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Inter" w:hAnsi="Inter"/>
          <w:b/>
          <w:color w:val="51439C"/>
          <w:sz w:val="24"/>
        </w:rPr>
        <w:t>Studo RLA</w:t>
      </w:r>
    </w:p>
    <w:p>
      <w:pPr>
        <w:pStyle w:val="Title"/>
      </w:pPr>
      <w:r>
        <w:rPr>
          <w:rFonts w:ascii="Inter" w:hAnsi="Inter"/>
          <w:b/>
          <w:color w:val="172235"/>
          <w:sz w:val="56"/>
        </w:rPr>
        <w:t>PDF Visual Accessibility Standard v2</w:t>
      </w:r>
    </w:p>
    <w:p>
      <w:r>
        <w:rPr>
          <w:rFonts w:ascii="Inter" w:hAnsi="Inter"/>
          <w:b w:val="0"/>
          <w:color w:val="374151"/>
          <w:sz w:val="28"/>
        </w:rPr>
        <w:t>Clear-print rules for study guides, workbook sheets, and practice resources.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0FA"/>
          </w:tcPr>
          <w:p>
            <w:r>
              <w:rPr>
                <w:rFonts w:ascii="Inter" w:hAnsi="Inter"/>
                <w:b/>
                <w:color w:val="51439C"/>
                <w:sz w:val="26"/>
              </w:rPr>
              <w:t>Core rule</w:t>
            </w:r>
          </w:p>
          <w:p>
            <w:r>
              <w:rPr>
                <w:rFonts w:ascii="Inter" w:hAnsi="Inter"/>
                <w:b w:val="0"/>
                <w:color w:val="172235"/>
                <w:sz w:val="28"/>
              </w:rPr>
              <w:t>A learner should not have to zoom aggressively, distinguish faint colors, or fight dense layout just to read the material. Visual design must support the reasoning task, not compete with it.</w:t>
            </w:r>
          </w:p>
        </w:tc>
      </w:tr>
    </w:tbl>
    <w:p>
      <w:pPr>
        <w:pStyle w:val="Heading1"/>
      </w:pPr>
      <w:r>
        <w:rPr>
          <w:rFonts w:ascii="Inter" w:hAnsi="Inter"/>
          <w:b/>
          <w:color w:val="172235"/>
          <w:sz w:val="38"/>
        </w:rPr>
        <w:t>1. Visual acuity and text size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Body text: 14 pt by default. Avoid dropping below 12 pt in learner-facing PDFs.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Questions and passage text: about 14-15 pt with comfortable line height.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Headings: large enough to create an obvious hierarchy without using all caps as the main signal.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For a separate modified large-print edition, use 18 pt or larger and simplify layout further.</w:t>
      </w:r>
    </w:p>
    <w:p>
      <w:pPr>
        <w:pStyle w:val="Heading1"/>
      </w:pPr>
      <w:r>
        <w:rPr>
          <w:rFonts w:ascii="Inter" w:hAnsi="Inter"/>
          <w:b/>
          <w:color w:val="172235"/>
          <w:sz w:val="38"/>
        </w:rPr>
        <w:t>2. Contrast sensitivity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Use very dark text on a light background. Studo body text uses #172235 on white, far above the WCAG minimum contrast requirement.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Use pale lavender as a background accent, not as low-contrast body text.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Lavender text must use the darker accessible tone #51439C; do not use light lavender for small text.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Avoid thin light-gray text, faint rules, watermark-like text, and low-opacity labels.</w:t>
      </w:r>
    </w:p>
    <w:p>
      <w:pPr>
        <w:pStyle w:val="Heading1"/>
      </w:pPr>
      <w:r>
        <w:rPr>
          <w:rFonts w:ascii="Inter" w:hAnsi="Inter"/>
          <w:b/>
          <w:color w:val="172235"/>
          <w:sz w:val="38"/>
        </w:rPr>
        <w:t>3. Color vision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Never communicate correct/wrong, categories, importance, or instructions by color alone.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Pair color with words, labels, bold weight, borders, symbols, or position.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Keep the palette restrained so learners do not need to decode many colors.</w:t>
      </w:r>
    </w:p>
    <w:p>
      <w:pPr>
        <w:pStyle w:val="Heading1"/>
      </w:pPr>
      <w:r>
        <w:rPr>
          <w:rFonts w:ascii="Inter" w:hAnsi="Inter"/>
          <w:b/>
          <w:color w:val="172235"/>
          <w:sz w:val="38"/>
        </w:rPr>
        <w:t>4. Crowding, spacing, and visual field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Use one clear reading column for passages and explanations.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Keep generous spacing between questions and answer options.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Use about 1.35 line spacing for the default clear-print edition.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Avoid dense multi-column prose. Tables are reserved for true comparisons and should have roomy cells.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Keep line length moderate; do not stretch paragraphs across the full page width.</w:t>
      </w:r>
    </w:p>
    <w:p>
      <w:pPr>
        <w:pStyle w:val="Heading1"/>
      </w:pPr>
      <w:r>
        <w:rPr>
          <w:rFonts w:ascii="Inter" w:hAnsi="Inter"/>
          <w:b/>
          <w:color w:val="172235"/>
          <w:sz w:val="38"/>
        </w:rPr>
        <w:t>5. Glare and backgrounds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Default to white or near-white backgrounds with dark text.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Use tinted callout boxes sparingly and only with strong text contrast.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Avoid large saturated color fields behind long passages.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Because glare preferences vary, the website should eventually offer alternate screen themes even though printable PDFs remain clear-print first.</w:t>
      </w:r>
    </w:p>
    <w:p>
      <w:pPr>
        <w:pStyle w:val="Heading1"/>
      </w:pPr>
      <w:r>
        <w:rPr>
          <w:rFonts w:ascii="Inter" w:hAnsi="Inter"/>
          <w:b/>
          <w:color w:val="172235"/>
          <w:sz w:val="38"/>
        </w:rPr>
        <w:t>6. Typography and recognition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Use a plain sans-serif typeface with clear letterforms. Studo uses Inter for the PDF system.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Prefer sentence case and title case. Long ALL-CAPS headings reduce word-shape cues.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Use bold for short emphasis; avoid long italic or underlined passages.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Keep answer labels A, B, C, D visually distinct and aligned.</w:t>
      </w:r>
    </w:p>
    <w:p>
      <w:pPr>
        <w:pStyle w:val="Heading1"/>
      </w:pPr>
      <w:r>
        <w:rPr>
          <w:rFonts w:ascii="Inter" w:hAnsi="Inter"/>
          <w:b/>
          <w:color w:val="172235"/>
          <w:sz w:val="38"/>
        </w:rPr>
        <w:t>7. Cognitive and scanning load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One page should have an obvious starting point and predictable heading hierarchy.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Use short paragraphs, lists, and worked examples rather than walls of text.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Separate source passages from questions with spacing or a subtle neutral panel.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Keep explanations direct: answer, evidence, reasoning, then a short mistake diagnosis when useful.</w:t>
      </w:r>
    </w:p>
    <w:p>
      <w:pPr>
        <w:pStyle w:val="Heading1"/>
      </w:pPr>
      <w:r>
        <w:rPr>
          <w:rFonts w:ascii="Inter" w:hAnsi="Inter"/>
          <w:b/>
          <w:color w:val="172235"/>
          <w:sz w:val="38"/>
        </w:rPr>
        <w:t>8. PDF accessibility beyond appearance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Keep text as real selectable text, not screenshots of text.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Use logical reading order and structured headings in the authoring document.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Use real tables only when a table relationship exists.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Check reflow/zoom behavior and run an accessibility audit when the publishing workflow supports it.</w:t>
      </w:r>
    </w:p>
    <w:p>
      <w:pPr>
        <w:pStyle w:val="Heading1"/>
      </w:pPr>
      <w:r>
        <w:rPr>
          <w:rFonts w:ascii="Inter" w:hAnsi="Inter"/>
          <w:b/>
          <w:color w:val="172235"/>
          <w:sz w:val="38"/>
        </w:rPr>
        <w:t>Research basis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W3C WCAG 2.2: color must not be the only means of conveying information; normal text requires at least 4.5:1 contrast at Level AA, with 7:1 as enhanced contrast.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RNIB Clear Print guidance: body text should ideally be 14 pt, use plain sans-serif fonts, and left-align text rather than fully justifying it.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RNIB colour and contrast guidance: people with sight loss benefit from strong foreground/background contrast; very light text on pale tints can become effectively invisible.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American Printing House for the Blind: large-print production requires deliberate choices about font face, size, color, spacing, and formatting; modified large-print materials commonly use 18 pt or larger.</w:t>
      </w:r>
    </w:p>
    <w:p>
      <w:pPr>
        <w:ind w:left="346" w:hanging="230"/>
      </w:pPr>
      <w:r>
        <w:rPr>
          <w:rFonts w:ascii="Inter" w:hAnsi="Inter"/>
          <w:b/>
          <w:color w:val="51439C"/>
          <w:sz w:val="28"/>
        </w:rPr>
        <w:t xml:space="preserve">• </w:t>
      </w:r>
      <w:r>
        <w:rPr>
          <w:rFonts w:ascii="Inter" w:hAnsi="Inter"/>
          <w:b w:val="0"/>
          <w:color w:val="172235"/>
          <w:sz w:val="28"/>
        </w:rPr>
        <w:t>Adobe PDF accessibility guidance: accessible PDFs require logical structure/reading order and should support reflow and assistive reading.</w:t>
      </w:r>
    </w:p>
    <w:p>
      <w:pPr>
        <w:pStyle w:val="Heading1"/>
      </w:pPr>
      <w:r>
        <w:rPr>
          <w:rFonts w:ascii="Inter" w:hAnsi="Inter"/>
          <w:b/>
          <w:color w:val="172235"/>
          <w:sz w:val="38"/>
        </w:rPr>
        <w:t>Studo clear-print defaults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3F0FA"/>
          </w:tcPr>
          <w:p>
            <w:r>
              <w:rPr>
                <w:rFonts w:ascii="Inter" w:hAnsi="Inter"/>
                <w:b/>
                <w:color w:val="172235"/>
                <w:sz w:val="26"/>
              </w:rPr>
              <w:t>Element</w:t>
            </w:r>
          </w:p>
        </w:tc>
        <w:tc>
          <w:tcPr>
            <w:tcW w:type="dxa" w:w="4968"/>
            <w:shd w:fill="F3F0FA"/>
          </w:tcPr>
          <w:p>
            <w:r>
              <w:rPr>
                <w:rFonts w:ascii="Inter" w:hAnsi="Inter"/>
                <w:b/>
                <w:color w:val="172235"/>
                <w:sz w:val="26"/>
              </w:rPr>
              <w:t>Default</w:t>
            </w:r>
          </w:p>
        </w:tc>
      </w:tr>
      <w:tr>
        <w:tc>
          <w:tcPr>
            <w:tcW w:type="dxa" w:w="4968"/>
          </w:tcPr>
          <w:p>
            <w:r>
              <w:rPr>
                <w:rFonts w:ascii="Inter" w:hAnsi="Inter"/>
                <w:b w:val="0"/>
                <w:color w:val="172235"/>
                <w:sz w:val="26"/>
              </w:rPr>
              <w:t>Body</w:t>
            </w:r>
          </w:p>
        </w:tc>
        <w:tc>
          <w:tcPr>
            <w:tcW w:type="dxa" w:w="4968"/>
          </w:tcPr>
          <w:p>
            <w:r>
              <w:rPr>
                <w:rFonts w:ascii="Inter" w:hAnsi="Inter"/>
                <w:b w:val="0"/>
                <w:color w:val="172235"/>
                <w:sz w:val="26"/>
              </w:rPr>
              <w:t>14 pt Inter, dark ink</w:t>
            </w:r>
          </w:p>
        </w:tc>
      </w:tr>
      <w:tr>
        <w:tc>
          <w:tcPr>
            <w:tcW w:type="dxa" w:w="4968"/>
          </w:tcPr>
          <w:p>
            <w:r>
              <w:rPr>
                <w:rFonts w:ascii="Inter" w:hAnsi="Inter"/>
                <w:b w:val="0"/>
                <w:color w:val="172235"/>
                <w:sz w:val="26"/>
              </w:rPr>
              <w:t>Passages / questions</w:t>
            </w:r>
          </w:p>
        </w:tc>
        <w:tc>
          <w:tcPr>
            <w:tcW w:type="dxa" w:w="4968"/>
          </w:tcPr>
          <w:p>
            <w:r>
              <w:rPr>
                <w:rFonts w:ascii="Inter" w:hAnsi="Inter"/>
                <w:b w:val="0"/>
                <w:color w:val="172235"/>
                <w:sz w:val="26"/>
              </w:rPr>
              <w:t>14-15 pt, 1.35 line spacing</w:t>
            </w:r>
          </w:p>
        </w:tc>
      </w:tr>
      <w:tr>
        <w:tc>
          <w:tcPr>
            <w:tcW w:type="dxa" w:w="4968"/>
          </w:tcPr>
          <w:p>
            <w:r>
              <w:rPr>
                <w:rFonts w:ascii="Inter" w:hAnsi="Inter"/>
                <w:b w:val="0"/>
                <w:color w:val="172235"/>
                <w:sz w:val="26"/>
              </w:rPr>
              <w:t>Primary headings</w:t>
            </w:r>
          </w:p>
        </w:tc>
        <w:tc>
          <w:tcPr>
            <w:tcW w:type="dxa" w:w="4968"/>
          </w:tcPr>
          <w:p>
            <w:r>
              <w:rPr>
                <w:rFonts w:ascii="Inter" w:hAnsi="Inter"/>
                <w:b w:val="0"/>
                <w:color w:val="172235"/>
                <w:sz w:val="26"/>
              </w:rPr>
              <w:t>19-28 pt, bold</w:t>
            </w:r>
          </w:p>
        </w:tc>
      </w:tr>
      <w:tr>
        <w:tc>
          <w:tcPr>
            <w:tcW w:type="dxa" w:w="4968"/>
          </w:tcPr>
          <w:p>
            <w:r>
              <w:rPr>
                <w:rFonts w:ascii="Inter" w:hAnsi="Inter"/>
                <w:b w:val="0"/>
                <w:color w:val="172235"/>
                <w:sz w:val="26"/>
              </w:rPr>
              <w:t>Body contrast</w:t>
            </w:r>
          </w:p>
        </w:tc>
        <w:tc>
          <w:tcPr>
            <w:tcW w:type="dxa" w:w="4968"/>
          </w:tcPr>
          <w:p>
            <w:r>
              <w:rPr>
                <w:rFonts w:ascii="Inter" w:hAnsi="Inter"/>
                <w:b w:val="0"/>
                <w:color w:val="172235"/>
                <w:sz w:val="26"/>
              </w:rPr>
              <w:t>High contrast; dark ink on white</w:t>
            </w:r>
          </w:p>
        </w:tc>
      </w:tr>
      <w:tr>
        <w:tc>
          <w:tcPr>
            <w:tcW w:type="dxa" w:w="4968"/>
          </w:tcPr>
          <w:p>
            <w:r>
              <w:rPr>
                <w:rFonts w:ascii="Inter" w:hAnsi="Inter"/>
                <w:b w:val="0"/>
                <w:color w:val="172235"/>
                <w:sz w:val="26"/>
              </w:rPr>
              <w:t>Accent</w:t>
            </w:r>
          </w:p>
        </w:tc>
        <w:tc>
          <w:tcPr>
            <w:tcW w:type="dxa" w:w="4968"/>
          </w:tcPr>
          <w:p>
            <w:r>
              <w:rPr>
                <w:rFonts w:ascii="Inter" w:hAnsi="Inter"/>
                <w:b w:val="0"/>
                <w:color w:val="172235"/>
                <w:sz w:val="26"/>
              </w:rPr>
              <w:t>Dark lavender text + pale lavender background</w:t>
            </w:r>
          </w:p>
        </w:tc>
      </w:tr>
      <w:tr>
        <w:tc>
          <w:tcPr>
            <w:tcW w:type="dxa" w:w="4968"/>
          </w:tcPr>
          <w:p>
            <w:r>
              <w:rPr>
                <w:rFonts w:ascii="Inter" w:hAnsi="Inter"/>
                <w:b w:val="0"/>
                <w:color w:val="172235"/>
                <w:sz w:val="26"/>
              </w:rPr>
              <w:t>Alignment</w:t>
            </w:r>
          </w:p>
        </w:tc>
        <w:tc>
          <w:tcPr>
            <w:tcW w:type="dxa" w:w="4968"/>
          </w:tcPr>
          <w:p>
            <w:r>
              <w:rPr>
                <w:rFonts w:ascii="Inter" w:hAnsi="Inter"/>
                <w:b w:val="0"/>
                <w:color w:val="172235"/>
                <w:sz w:val="26"/>
              </w:rPr>
              <w:t>Left aligned; no justified prose</w:t>
            </w:r>
          </w:p>
        </w:tc>
      </w:tr>
      <w:tr>
        <w:tc>
          <w:tcPr>
            <w:tcW w:type="dxa" w:w="4968"/>
          </w:tcPr>
          <w:p>
            <w:r>
              <w:rPr>
                <w:rFonts w:ascii="Inter" w:hAnsi="Inter"/>
                <w:b w:val="0"/>
                <w:color w:val="172235"/>
                <w:sz w:val="26"/>
              </w:rPr>
              <w:t>Tables</w:t>
            </w:r>
          </w:p>
        </w:tc>
        <w:tc>
          <w:tcPr>
            <w:tcW w:type="dxa" w:w="4968"/>
          </w:tcPr>
          <w:p>
            <w:r>
              <w:rPr>
                <w:rFonts w:ascii="Inter" w:hAnsi="Inter"/>
                <w:b w:val="0"/>
                <w:color w:val="172235"/>
                <w:sz w:val="26"/>
              </w:rPr>
              <w:t>Only for genuine comparisons; roomy cells</w:t>
            </w:r>
          </w:p>
        </w:tc>
      </w:tr>
      <w:tr>
        <w:tc>
          <w:tcPr>
            <w:tcW w:type="dxa" w:w="4968"/>
          </w:tcPr>
          <w:p>
            <w:r>
              <w:rPr>
                <w:rFonts w:ascii="Inter" w:hAnsi="Inter"/>
                <w:b w:val="0"/>
                <w:color w:val="172235"/>
                <w:sz w:val="26"/>
              </w:rPr>
              <w:t>Color meaning</w:t>
            </w:r>
          </w:p>
        </w:tc>
        <w:tc>
          <w:tcPr>
            <w:tcW w:type="dxa" w:w="4968"/>
          </w:tcPr>
          <w:p>
            <w:r>
              <w:rPr>
                <w:rFonts w:ascii="Inter" w:hAnsi="Inter"/>
                <w:b w:val="0"/>
                <w:color w:val="172235"/>
                <w:sz w:val="26"/>
              </w:rPr>
              <w:t>Always duplicated by text/structure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b w:val="0"/>
        <w:color w:val="374151"/>
        <w:sz w:val="20"/>
      </w:rPr>
      <w:t>Studo | RLA PDF Standard v2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Inter" w:hAnsi="Inter"/>
      <w:color w:val="172235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Inter" w:hAnsi="Inter"/>
      <w:b/>
      <w:bCs/>
      <w:color w:val="17223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Inter" w:hAnsi="Inter"/>
      <w:b/>
      <w:bCs/>
      <w:color w:val="51439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80"/>
      <w:contextualSpacing/>
    </w:pPr>
    <w:rPr>
      <w:rFonts w:asciiTheme="majorHAnsi" w:eastAsiaTheme="majorEastAsia" w:hAnsiTheme="majorHAnsi" w:cstheme="majorBidi" w:ascii="Inter" w:hAnsi="Inter"/>
      <w:b/>
      <w:color w:val="17223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