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265ED" w14:textId="40BCEAE6" w:rsidR="00DA2E1E" w:rsidRPr="005F7C34" w:rsidRDefault="003D48D3">
      <w:pPr>
        <w:rPr>
          <w:rFonts w:ascii="Arial" w:hAnsi="Arial" w:cs="Arial"/>
          <w:b/>
        </w:rPr>
      </w:pPr>
      <w:r w:rsidRPr="005F7C34">
        <w:rPr>
          <w:rFonts w:ascii="Arial" w:hAnsi="Arial" w:cs="Arial"/>
          <w:b/>
        </w:rPr>
        <w:t>Air quality Analysis –</w:t>
      </w:r>
      <w:r w:rsidR="00823DA0" w:rsidRPr="005F7C34">
        <w:rPr>
          <w:rFonts w:ascii="Arial" w:hAnsi="Arial" w:cs="Arial"/>
          <w:b/>
        </w:rPr>
        <w:t xml:space="preserve"> </w:t>
      </w:r>
      <w:r w:rsidRPr="005F7C34">
        <w:rPr>
          <w:rFonts w:ascii="Arial" w:hAnsi="Arial" w:cs="Arial"/>
          <w:b/>
        </w:rPr>
        <w:t xml:space="preserve">Literature </w:t>
      </w:r>
      <w:r w:rsidR="00823DA0" w:rsidRPr="005F7C34">
        <w:rPr>
          <w:rFonts w:ascii="Arial" w:hAnsi="Arial" w:cs="Arial"/>
          <w:b/>
        </w:rPr>
        <w:t>survey</w:t>
      </w:r>
    </w:p>
    <w:p w14:paraId="7163A691" w14:textId="77777777" w:rsidR="003D48D3" w:rsidRPr="005F7C34" w:rsidRDefault="003D48D3">
      <w:pPr>
        <w:rPr>
          <w:rFonts w:ascii="Arial" w:hAnsi="Arial" w:cs="Arial"/>
          <w:b/>
        </w:rPr>
      </w:pPr>
    </w:p>
    <w:p w14:paraId="0D020F85" w14:textId="7F5B6CA3" w:rsidR="003D48D3" w:rsidRPr="005F7C34" w:rsidRDefault="003D48D3">
      <w:pPr>
        <w:rPr>
          <w:rFonts w:ascii="Arial" w:hAnsi="Arial" w:cs="Arial"/>
          <w:b/>
        </w:rPr>
      </w:pPr>
      <w:r w:rsidRPr="005F7C34">
        <w:rPr>
          <w:rFonts w:ascii="Arial" w:hAnsi="Arial" w:cs="Arial"/>
          <w:b/>
        </w:rPr>
        <w:t>Introduction</w:t>
      </w:r>
    </w:p>
    <w:p w14:paraId="73ED238A" w14:textId="68AC9816" w:rsidR="00823DA0" w:rsidRPr="005F7C34" w:rsidRDefault="001C2B93">
      <w:pPr>
        <w:rPr>
          <w:rFonts w:ascii="Arial" w:hAnsi="Arial" w:cs="Arial"/>
        </w:rPr>
      </w:pPr>
      <w:r>
        <w:rPr>
          <w:rFonts w:ascii="Arial" w:hAnsi="Arial" w:cs="Arial"/>
        </w:rPr>
        <w:t>The problem of air pollution goes on increasing with increase in urbanisation</w:t>
      </w:r>
      <w:bookmarkStart w:id="0" w:name="_GoBack"/>
      <w:bookmarkEnd w:id="0"/>
      <w:r w:rsidR="00C55F27" w:rsidRPr="005F7C34">
        <w:rPr>
          <w:rFonts w:ascii="Arial" w:hAnsi="Arial" w:cs="Arial"/>
        </w:rPr>
        <w:t xml:space="preserve">. While we reap the benefits of innovations in the city. It is also our responsibility to know what we are giving back to it. </w:t>
      </w:r>
    </w:p>
    <w:p w14:paraId="77AADCF7" w14:textId="77777777" w:rsidR="00C55F27" w:rsidRPr="005F7C34" w:rsidRDefault="00C55F27">
      <w:pPr>
        <w:rPr>
          <w:rFonts w:ascii="Arial" w:hAnsi="Arial" w:cs="Arial"/>
        </w:rPr>
      </w:pPr>
      <w:r w:rsidRPr="005F7C34">
        <w:rPr>
          <w:rFonts w:ascii="Arial" w:hAnsi="Arial" w:cs="Arial"/>
        </w:rPr>
        <w:t>We have taken up one of the key factors that defines the life in a place, The Air.</w:t>
      </w:r>
    </w:p>
    <w:p w14:paraId="7C57484F" w14:textId="77777777" w:rsidR="00C55F27" w:rsidRPr="005F7C34" w:rsidRDefault="00C55F27">
      <w:pPr>
        <w:rPr>
          <w:rFonts w:ascii="Arial" w:hAnsi="Arial" w:cs="Arial"/>
        </w:rPr>
      </w:pPr>
      <w:r w:rsidRPr="005F7C34">
        <w:rPr>
          <w:rFonts w:ascii="Arial" w:hAnsi="Arial" w:cs="Arial"/>
        </w:rPr>
        <w:t>Before getting into the numbers and graphs, we can see, breathe and feel the degradation of the quality of air around us. Although the environmental awareness continues to spread, the air quality continues to degrade.</w:t>
      </w:r>
    </w:p>
    <w:p w14:paraId="3CF1BA34" w14:textId="4821AE5E" w:rsidR="00C55F27" w:rsidRPr="005F7C34" w:rsidRDefault="00DD6A7A">
      <w:pPr>
        <w:rPr>
          <w:rFonts w:ascii="Arial" w:hAnsi="Arial" w:cs="Arial"/>
        </w:rPr>
      </w:pPr>
      <w:r w:rsidRPr="005F7C34">
        <w:rPr>
          <w:rFonts w:ascii="Arial" w:hAnsi="Arial" w:cs="Arial"/>
        </w:rPr>
        <w:t xml:space="preserve">Our first </w:t>
      </w:r>
      <w:r w:rsidR="00C55F27" w:rsidRPr="005F7C34">
        <w:rPr>
          <w:rFonts w:ascii="Arial" w:hAnsi="Arial" w:cs="Arial"/>
        </w:rPr>
        <w:t xml:space="preserve">aim </w:t>
      </w:r>
      <w:r w:rsidRPr="005F7C34">
        <w:rPr>
          <w:rFonts w:ascii="Arial" w:hAnsi="Arial" w:cs="Arial"/>
        </w:rPr>
        <w:t xml:space="preserve">is to </w:t>
      </w:r>
      <w:r w:rsidR="00C55F27" w:rsidRPr="005F7C34">
        <w:rPr>
          <w:rFonts w:ascii="Arial" w:hAnsi="Arial" w:cs="Arial"/>
        </w:rPr>
        <w:t>us</w:t>
      </w:r>
      <w:r w:rsidRPr="005F7C34">
        <w:rPr>
          <w:rFonts w:ascii="Arial" w:hAnsi="Arial" w:cs="Arial"/>
        </w:rPr>
        <w:t>e</w:t>
      </w:r>
      <w:r w:rsidR="00C55F27" w:rsidRPr="005F7C34">
        <w:rPr>
          <w:rFonts w:ascii="Arial" w:hAnsi="Arial" w:cs="Arial"/>
        </w:rPr>
        <w:t xml:space="preserve"> these numbers to identify and learn any sorts of correlations among the pollutants. Thereby, getting some clarity </w:t>
      </w:r>
      <w:r w:rsidRPr="005F7C34">
        <w:rPr>
          <w:rFonts w:ascii="Arial" w:hAnsi="Arial" w:cs="Arial"/>
        </w:rPr>
        <w:t>on the causes and help us take precise recovery measures with high accuracy.</w:t>
      </w:r>
    </w:p>
    <w:p w14:paraId="55CA07C8" w14:textId="43D62A25" w:rsidR="00DD6A7A" w:rsidRPr="005F7C34" w:rsidRDefault="00DD6A7A">
      <w:pPr>
        <w:rPr>
          <w:rFonts w:ascii="Arial" w:hAnsi="Arial" w:cs="Arial"/>
        </w:rPr>
      </w:pPr>
      <w:r w:rsidRPr="005F7C34">
        <w:rPr>
          <w:rFonts w:ascii="Arial" w:hAnsi="Arial" w:cs="Arial"/>
        </w:rPr>
        <w:t>Secondly, we intent to build a prediction system that takes the necessary inputs and provides an estimate of the AQI and other concerned pollutant levels.</w:t>
      </w:r>
    </w:p>
    <w:p w14:paraId="0A1BA7E2" w14:textId="24F4FA62" w:rsidR="003D48D3" w:rsidRPr="005F7C34" w:rsidRDefault="00A12C6E">
      <w:pPr>
        <w:rPr>
          <w:rFonts w:ascii="Arial" w:hAnsi="Arial" w:cs="Arial"/>
          <w:b/>
        </w:rPr>
      </w:pPr>
      <w:r w:rsidRPr="005F7C34">
        <w:rPr>
          <w:rFonts w:ascii="Arial" w:hAnsi="Arial" w:cs="Arial"/>
          <w:b/>
        </w:rPr>
        <w:t xml:space="preserve">Things to know </w:t>
      </w:r>
    </w:p>
    <w:p w14:paraId="65364C61" w14:textId="3B6CAC02" w:rsidR="00A12C6E" w:rsidRPr="005F7C34" w:rsidRDefault="00A12C6E">
      <w:pPr>
        <w:rPr>
          <w:rFonts w:ascii="Arial" w:hAnsi="Arial" w:cs="Arial"/>
          <w:b/>
        </w:rPr>
      </w:pPr>
      <w:r w:rsidRPr="005F7C34">
        <w:rPr>
          <w:rFonts w:ascii="Arial" w:hAnsi="Arial" w:cs="Arial"/>
          <w:b/>
        </w:rPr>
        <w:t>AQI: Air Quality Index</w:t>
      </w:r>
    </w:p>
    <w:p w14:paraId="56D04CE1" w14:textId="7B60D13E" w:rsidR="00A12C6E" w:rsidRPr="005F7C34" w:rsidRDefault="00A12C6E" w:rsidP="00A12C6E">
      <w:pPr>
        <w:rPr>
          <w:rFonts w:ascii="Arial" w:hAnsi="Arial" w:cs="Arial"/>
          <w:color w:val="222222"/>
          <w:shd w:val="clear" w:color="auto" w:fill="FFFFFF"/>
        </w:rPr>
      </w:pPr>
      <w:r w:rsidRPr="005F7C34">
        <w:rPr>
          <w:rFonts w:ascii="Arial" w:hAnsi="Arial" w:cs="Arial"/>
          <w:color w:val="222222"/>
          <w:shd w:val="clear" w:color="auto" w:fill="FFFFFF"/>
        </w:rPr>
        <w:t>An </w:t>
      </w:r>
      <w:r w:rsidRPr="005F7C34">
        <w:rPr>
          <w:rFonts w:ascii="Arial" w:hAnsi="Arial" w:cs="Arial"/>
          <w:b/>
          <w:bCs/>
          <w:color w:val="222222"/>
          <w:shd w:val="clear" w:color="auto" w:fill="FFFFFF"/>
        </w:rPr>
        <w:t>air quality index</w:t>
      </w:r>
      <w:r w:rsidRPr="005F7C34">
        <w:rPr>
          <w:rFonts w:ascii="Arial" w:hAnsi="Arial" w:cs="Arial"/>
          <w:color w:val="222222"/>
          <w:shd w:val="clear" w:color="auto" w:fill="FFFFFF"/>
        </w:rPr>
        <w:t> (AQI) is a number used by </w:t>
      </w:r>
      <w:r w:rsidRPr="005F7C34">
        <w:rPr>
          <w:rFonts w:ascii="Arial" w:hAnsi="Arial" w:cs="Arial"/>
          <w:shd w:val="clear" w:color="auto" w:fill="FFFFFF"/>
        </w:rPr>
        <w:t xml:space="preserve">government agencies </w:t>
      </w:r>
      <w:r w:rsidRPr="005F7C34">
        <w:rPr>
          <w:rFonts w:ascii="Arial" w:hAnsi="Arial" w:cs="Arial"/>
          <w:color w:val="222222"/>
          <w:shd w:val="clear" w:color="auto" w:fill="FFFFFF"/>
        </w:rPr>
        <w:t>to communicate to the public how </w:t>
      </w:r>
      <w:r w:rsidRPr="005F7C34">
        <w:rPr>
          <w:rFonts w:ascii="Arial" w:hAnsi="Arial" w:cs="Arial"/>
          <w:shd w:val="clear" w:color="auto" w:fill="FFFFFF"/>
        </w:rPr>
        <w:t>polluted</w:t>
      </w:r>
      <w:r w:rsidRPr="005F7C34">
        <w:rPr>
          <w:rFonts w:ascii="Arial" w:hAnsi="Arial" w:cs="Arial"/>
          <w:color w:val="222222"/>
          <w:shd w:val="clear" w:color="auto" w:fill="FFFFFF"/>
        </w:rPr>
        <w:t> the air currently is or how polluted it is forecast. As the AQI increases, an increasingly large percentage of the population is likely to experience increasingly severe adverse health effects. Different countries have their own air quality indices, corresponding to different national air quality standards.</w:t>
      </w:r>
    </w:p>
    <w:p w14:paraId="10223021" w14:textId="6A4FB8A7" w:rsidR="00A12C6E" w:rsidRPr="005F7C34" w:rsidRDefault="00A12C6E" w:rsidP="00A12C6E">
      <w:pPr>
        <w:pStyle w:val="NormalWeb"/>
        <w:shd w:val="clear" w:color="auto" w:fill="FFFFFF"/>
        <w:spacing w:before="120" w:beforeAutospacing="0" w:after="120" w:afterAutospacing="0"/>
        <w:rPr>
          <w:rFonts w:ascii="Arial" w:hAnsi="Arial" w:cs="Arial"/>
          <w:color w:val="222222"/>
          <w:sz w:val="22"/>
          <w:szCs w:val="22"/>
        </w:rPr>
      </w:pPr>
      <w:r w:rsidRPr="005F7C34">
        <w:rPr>
          <w:rFonts w:ascii="Arial" w:hAnsi="Arial" w:cs="Arial"/>
          <w:color w:val="222222"/>
          <w:sz w:val="22"/>
          <w:szCs w:val="22"/>
        </w:rPr>
        <w:t>In India, The National Air Quality Index (AQI) was launched in New Delhi on 17 September 2014 under the Swachh Bharat Abhiyan.</w:t>
      </w:r>
    </w:p>
    <w:p w14:paraId="45129934" w14:textId="0D2C14A9" w:rsidR="00A12C6E" w:rsidRPr="005F7C34" w:rsidRDefault="00A12C6E" w:rsidP="00A12C6E">
      <w:pPr>
        <w:pStyle w:val="NormalWeb"/>
        <w:shd w:val="clear" w:color="auto" w:fill="FFFFFF"/>
        <w:spacing w:before="120" w:beforeAutospacing="0" w:after="120" w:afterAutospacing="0"/>
        <w:rPr>
          <w:rFonts w:ascii="Arial" w:hAnsi="Arial" w:cs="Arial"/>
          <w:color w:val="222222"/>
          <w:sz w:val="22"/>
          <w:szCs w:val="22"/>
        </w:rPr>
      </w:pPr>
      <w:r w:rsidRPr="005F7C34">
        <w:rPr>
          <w:rFonts w:ascii="Arial" w:hAnsi="Arial" w:cs="Arial"/>
          <w:color w:val="222222"/>
          <w:sz w:val="22"/>
          <w:szCs w:val="22"/>
        </w:rPr>
        <w:t>The Central Pollution Control Board along with State Pollution Control Boards has been operating National Air Monitoring Program (NAMP) covering 240 cities of the country having more than 342 monitoring stations.</w:t>
      </w:r>
    </w:p>
    <w:p w14:paraId="53407820" w14:textId="698D3257" w:rsidR="00431AB4" w:rsidRPr="005F7C34" w:rsidRDefault="00A12C6E" w:rsidP="00A12C6E">
      <w:pPr>
        <w:pStyle w:val="NormalWeb"/>
        <w:shd w:val="clear" w:color="auto" w:fill="FFFFFF"/>
        <w:spacing w:before="120" w:beforeAutospacing="0" w:after="120" w:afterAutospacing="0"/>
        <w:rPr>
          <w:rFonts w:ascii="Arial" w:hAnsi="Arial" w:cs="Arial"/>
          <w:color w:val="222222"/>
          <w:sz w:val="22"/>
          <w:szCs w:val="22"/>
        </w:rPr>
      </w:pPr>
      <w:r w:rsidRPr="005F7C34">
        <w:rPr>
          <w:rFonts w:ascii="Arial" w:hAnsi="Arial" w:cs="Arial"/>
          <w:color w:val="222222"/>
          <w:sz w:val="22"/>
          <w:szCs w:val="22"/>
        </w:rPr>
        <w:t> An Expert Group comprising medical professionals, air quality experts, academia, advocacy groups, and SPCBs was constituted and a technical study was awarded to IIT Kanpur. IIT Kanpur and the Expert Group recommended an AQI scheme in 2014</w:t>
      </w:r>
      <w:r w:rsidR="00431AB4" w:rsidRPr="005F7C34">
        <w:rPr>
          <w:rFonts w:ascii="Arial" w:hAnsi="Arial" w:cs="Arial"/>
          <w:color w:val="222222"/>
          <w:sz w:val="22"/>
          <w:szCs w:val="22"/>
        </w:rPr>
        <w:t>.</w:t>
      </w:r>
    </w:p>
    <w:p w14:paraId="0A9D140B" w14:textId="0C338083" w:rsidR="00A12C6E" w:rsidRPr="005F7C34" w:rsidRDefault="00A12C6E" w:rsidP="00A12C6E">
      <w:pPr>
        <w:pStyle w:val="NormalWeb"/>
        <w:shd w:val="clear" w:color="auto" w:fill="FFFFFF"/>
        <w:spacing w:before="120" w:beforeAutospacing="0" w:after="120" w:afterAutospacing="0"/>
        <w:rPr>
          <w:rFonts w:ascii="Arial" w:hAnsi="Arial" w:cs="Arial"/>
          <w:color w:val="222222"/>
          <w:sz w:val="22"/>
          <w:szCs w:val="22"/>
        </w:rPr>
      </w:pPr>
      <w:r w:rsidRPr="005F7C34">
        <w:rPr>
          <w:rFonts w:ascii="Arial" w:hAnsi="Arial" w:cs="Arial"/>
          <w:color w:val="222222"/>
          <w:sz w:val="22"/>
          <w:szCs w:val="22"/>
        </w:rPr>
        <w:t>While the earlier measuring index was limited to three indicators, the new index measures eight parameters</w:t>
      </w:r>
      <w:r w:rsidR="00431AB4" w:rsidRPr="005F7C34">
        <w:rPr>
          <w:rFonts w:ascii="Arial" w:hAnsi="Arial" w:cs="Arial"/>
          <w:color w:val="222222"/>
          <w:sz w:val="22"/>
          <w:szCs w:val="22"/>
        </w:rPr>
        <w:t>.</w:t>
      </w:r>
      <w:r w:rsidRPr="005F7C34">
        <w:rPr>
          <w:rFonts w:ascii="Arial" w:hAnsi="Arial" w:cs="Arial"/>
          <w:color w:val="222222"/>
          <w:sz w:val="22"/>
          <w:szCs w:val="22"/>
        </w:rPr>
        <w:t> The continuous monitoring systems that provide data on near real-time basis are installed in New Delhi, Mumbai, Pune and Ahmedabad</w:t>
      </w:r>
      <w:r w:rsidR="00431AB4" w:rsidRPr="005F7C34">
        <w:rPr>
          <w:rFonts w:ascii="Arial" w:hAnsi="Arial" w:cs="Arial"/>
          <w:color w:val="222222"/>
          <w:sz w:val="22"/>
          <w:szCs w:val="22"/>
        </w:rPr>
        <w:t>.</w:t>
      </w:r>
    </w:p>
    <w:p w14:paraId="5F9A7979" w14:textId="3D62704D" w:rsidR="00431AB4" w:rsidRPr="005F7C34" w:rsidRDefault="00A12C6E" w:rsidP="00A12C6E">
      <w:pPr>
        <w:pStyle w:val="NormalWeb"/>
        <w:shd w:val="clear" w:color="auto" w:fill="FFFFFF"/>
        <w:spacing w:before="120" w:beforeAutospacing="0" w:after="120" w:afterAutospacing="0"/>
        <w:rPr>
          <w:rFonts w:ascii="Arial" w:hAnsi="Arial" w:cs="Arial"/>
          <w:color w:val="222222"/>
          <w:sz w:val="22"/>
          <w:szCs w:val="22"/>
        </w:rPr>
      </w:pPr>
      <w:r w:rsidRPr="005F7C34">
        <w:rPr>
          <w:rFonts w:ascii="Arial" w:hAnsi="Arial" w:cs="Arial"/>
          <w:color w:val="222222"/>
          <w:sz w:val="22"/>
          <w:szCs w:val="22"/>
        </w:rPr>
        <w:t>There are six AQI categories, namely Good, Satisfactory, Moderately polluted, Poor, Very Poor, and Severe. The proposed AQI will consider eight pollutants (PM</w:t>
      </w:r>
      <w:r w:rsidRPr="005F7C34">
        <w:rPr>
          <w:rFonts w:ascii="Arial" w:hAnsi="Arial" w:cs="Arial"/>
          <w:color w:val="222222"/>
          <w:sz w:val="22"/>
          <w:szCs w:val="22"/>
          <w:vertAlign w:val="subscript"/>
        </w:rPr>
        <w:t>10</w:t>
      </w:r>
      <w:r w:rsidRPr="005F7C34">
        <w:rPr>
          <w:rFonts w:ascii="Arial" w:hAnsi="Arial" w:cs="Arial"/>
          <w:color w:val="222222"/>
          <w:sz w:val="22"/>
          <w:szCs w:val="22"/>
        </w:rPr>
        <w:t>, PM</w:t>
      </w:r>
      <w:r w:rsidRPr="005F7C34">
        <w:rPr>
          <w:rFonts w:ascii="Arial" w:hAnsi="Arial" w:cs="Arial"/>
          <w:color w:val="222222"/>
          <w:sz w:val="22"/>
          <w:szCs w:val="22"/>
          <w:vertAlign w:val="subscript"/>
        </w:rPr>
        <w:t>2.5</w:t>
      </w:r>
      <w:r w:rsidRPr="005F7C34">
        <w:rPr>
          <w:rFonts w:ascii="Arial" w:hAnsi="Arial" w:cs="Arial"/>
          <w:color w:val="222222"/>
          <w:sz w:val="22"/>
          <w:szCs w:val="22"/>
        </w:rPr>
        <w:t>, NO</w:t>
      </w:r>
      <w:r w:rsidRPr="005F7C34">
        <w:rPr>
          <w:rFonts w:ascii="Arial" w:hAnsi="Arial" w:cs="Arial"/>
          <w:color w:val="222222"/>
          <w:sz w:val="22"/>
          <w:szCs w:val="22"/>
          <w:vertAlign w:val="subscript"/>
        </w:rPr>
        <w:t>2</w:t>
      </w:r>
      <w:r w:rsidRPr="005F7C34">
        <w:rPr>
          <w:rFonts w:ascii="Arial" w:hAnsi="Arial" w:cs="Arial"/>
          <w:color w:val="222222"/>
          <w:sz w:val="22"/>
          <w:szCs w:val="22"/>
        </w:rPr>
        <w:t>, SO</w:t>
      </w:r>
      <w:r w:rsidRPr="005F7C34">
        <w:rPr>
          <w:rFonts w:ascii="Arial" w:hAnsi="Arial" w:cs="Arial"/>
          <w:color w:val="222222"/>
          <w:sz w:val="22"/>
          <w:szCs w:val="22"/>
          <w:vertAlign w:val="subscript"/>
        </w:rPr>
        <w:t>2</w:t>
      </w:r>
      <w:r w:rsidRPr="005F7C34">
        <w:rPr>
          <w:rFonts w:ascii="Arial" w:hAnsi="Arial" w:cs="Arial"/>
          <w:color w:val="222222"/>
          <w:sz w:val="22"/>
          <w:szCs w:val="22"/>
        </w:rPr>
        <w:t>, CO, O</w:t>
      </w:r>
      <w:r w:rsidRPr="005F7C34">
        <w:rPr>
          <w:rFonts w:ascii="Arial" w:hAnsi="Arial" w:cs="Arial"/>
          <w:color w:val="222222"/>
          <w:sz w:val="22"/>
          <w:szCs w:val="22"/>
          <w:vertAlign w:val="subscript"/>
        </w:rPr>
        <w:t>3</w:t>
      </w:r>
      <w:r w:rsidRPr="005F7C34">
        <w:rPr>
          <w:rFonts w:ascii="Arial" w:hAnsi="Arial" w:cs="Arial"/>
          <w:color w:val="222222"/>
          <w:sz w:val="22"/>
          <w:szCs w:val="22"/>
        </w:rPr>
        <w:t>, NH</w:t>
      </w:r>
      <w:r w:rsidRPr="005F7C34">
        <w:rPr>
          <w:rFonts w:ascii="Arial" w:hAnsi="Arial" w:cs="Arial"/>
          <w:color w:val="222222"/>
          <w:sz w:val="22"/>
          <w:szCs w:val="22"/>
          <w:vertAlign w:val="subscript"/>
        </w:rPr>
        <w:t>3</w:t>
      </w:r>
      <w:r w:rsidRPr="005F7C34">
        <w:rPr>
          <w:rFonts w:ascii="Arial" w:hAnsi="Arial" w:cs="Arial"/>
          <w:color w:val="222222"/>
          <w:sz w:val="22"/>
          <w:szCs w:val="22"/>
        </w:rPr>
        <w:t>, and Pb) for which short-term (up to 24-hourly averaging period) National Ambient Air Quality Standards are prescribed</w:t>
      </w:r>
      <w:r w:rsidR="00431AB4" w:rsidRPr="005F7C34">
        <w:rPr>
          <w:rFonts w:ascii="Arial" w:hAnsi="Arial" w:cs="Arial"/>
          <w:color w:val="222222"/>
          <w:sz w:val="22"/>
          <w:szCs w:val="22"/>
        </w:rPr>
        <w:t>.</w:t>
      </w:r>
    </w:p>
    <w:p w14:paraId="0293EEA4" w14:textId="77777777" w:rsidR="00431AB4" w:rsidRPr="005F7C34" w:rsidRDefault="00A12C6E" w:rsidP="00A12C6E">
      <w:pPr>
        <w:pStyle w:val="NormalWeb"/>
        <w:shd w:val="clear" w:color="auto" w:fill="FFFFFF"/>
        <w:spacing w:before="120" w:beforeAutospacing="0" w:after="120" w:afterAutospacing="0"/>
        <w:rPr>
          <w:rFonts w:ascii="Arial" w:hAnsi="Arial" w:cs="Arial"/>
          <w:color w:val="222222"/>
          <w:sz w:val="22"/>
          <w:szCs w:val="22"/>
        </w:rPr>
      </w:pPr>
      <w:r w:rsidRPr="005F7C34">
        <w:rPr>
          <w:rFonts w:ascii="Arial" w:hAnsi="Arial" w:cs="Arial"/>
          <w:color w:val="222222"/>
          <w:sz w:val="22"/>
          <w:szCs w:val="22"/>
        </w:rPr>
        <w:t xml:space="preserve">Based on the measured ambient concentrations, corresponding standards and likely health impact, a sub-index is calculated for each of these pollutants. The worst sub-index reflects overall AQI. Likely health impacts for different AQI categories and pollutants have also been suggested, with primary inputs from the medical experts in the group. </w:t>
      </w:r>
    </w:p>
    <w:p w14:paraId="4F477087" w14:textId="77777777" w:rsidR="00431AB4" w:rsidRPr="005F7C34" w:rsidRDefault="00431AB4" w:rsidP="00A12C6E">
      <w:pPr>
        <w:pStyle w:val="NormalWeb"/>
        <w:shd w:val="clear" w:color="auto" w:fill="FFFFFF"/>
        <w:spacing w:before="120" w:beforeAutospacing="0" w:after="120" w:afterAutospacing="0"/>
        <w:rPr>
          <w:rFonts w:ascii="Arial" w:hAnsi="Arial" w:cs="Arial"/>
          <w:color w:val="222222"/>
          <w:sz w:val="22"/>
          <w:szCs w:val="22"/>
        </w:rPr>
      </w:pPr>
    </w:p>
    <w:p w14:paraId="6B61F39D" w14:textId="77777777" w:rsidR="00431AB4" w:rsidRPr="005F7C34" w:rsidRDefault="00431AB4" w:rsidP="00A12C6E">
      <w:pPr>
        <w:pStyle w:val="NormalWeb"/>
        <w:shd w:val="clear" w:color="auto" w:fill="FFFFFF"/>
        <w:spacing w:before="120" w:beforeAutospacing="0" w:after="120" w:afterAutospacing="0"/>
        <w:rPr>
          <w:rFonts w:ascii="Arial" w:hAnsi="Arial" w:cs="Arial"/>
          <w:color w:val="222222"/>
          <w:sz w:val="22"/>
          <w:szCs w:val="22"/>
        </w:rPr>
      </w:pPr>
    </w:p>
    <w:p w14:paraId="506086A9" w14:textId="77777777" w:rsidR="00431AB4" w:rsidRPr="005F7C34" w:rsidRDefault="00431AB4" w:rsidP="00A12C6E">
      <w:pPr>
        <w:pStyle w:val="NormalWeb"/>
        <w:shd w:val="clear" w:color="auto" w:fill="FFFFFF"/>
        <w:spacing w:before="120" w:beforeAutospacing="0" w:after="120" w:afterAutospacing="0"/>
        <w:rPr>
          <w:rFonts w:ascii="Arial" w:hAnsi="Arial" w:cs="Arial"/>
          <w:color w:val="222222"/>
          <w:sz w:val="22"/>
          <w:szCs w:val="22"/>
        </w:rPr>
      </w:pPr>
    </w:p>
    <w:p w14:paraId="7BA13B3B" w14:textId="77777777" w:rsidR="00431AB4" w:rsidRPr="005F7C34" w:rsidRDefault="00431AB4" w:rsidP="00A12C6E">
      <w:pPr>
        <w:pStyle w:val="NormalWeb"/>
        <w:shd w:val="clear" w:color="auto" w:fill="FFFFFF"/>
        <w:spacing w:before="120" w:beforeAutospacing="0" w:after="120" w:afterAutospacing="0"/>
        <w:rPr>
          <w:rFonts w:ascii="Arial" w:hAnsi="Arial" w:cs="Arial"/>
          <w:color w:val="222222"/>
          <w:sz w:val="22"/>
          <w:szCs w:val="22"/>
        </w:rPr>
      </w:pPr>
    </w:p>
    <w:p w14:paraId="50E238FE" w14:textId="77777777" w:rsidR="00431AB4" w:rsidRPr="005F7C34" w:rsidRDefault="00431AB4" w:rsidP="00A12C6E">
      <w:pPr>
        <w:pStyle w:val="NormalWeb"/>
        <w:shd w:val="clear" w:color="auto" w:fill="FFFFFF"/>
        <w:spacing w:before="120" w:beforeAutospacing="0" w:after="120" w:afterAutospacing="0"/>
        <w:rPr>
          <w:rFonts w:ascii="Arial" w:hAnsi="Arial" w:cs="Arial"/>
          <w:color w:val="222222"/>
          <w:sz w:val="22"/>
          <w:szCs w:val="22"/>
        </w:rPr>
      </w:pPr>
    </w:p>
    <w:p w14:paraId="4716AA5C" w14:textId="38D50AE1" w:rsidR="00A12C6E" w:rsidRPr="005F7C34" w:rsidRDefault="00A12C6E" w:rsidP="00A12C6E">
      <w:pPr>
        <w:pStyle w:val="NormalWeb"/>
        <w:shd w:val="clear" w:color="auto" w:fill="FFFFFF"/>
        <w:spacing w:before="120" w:beforeAutospacing="0" w:after="120" w:afterAutospacing="0"/>
        <w:rPr>
          <w:rFonts w:ascii="Arial" w:hAnsi="Arial" w:cs="Arial"/>
          <w:color w:val="222222"/>
          <w:sz w:val="22"/>
          <w:szCs w:val="22"/>
        </w:rPr>
      </w:pPr>
      <w:r w:rsidRPr="005F7C34">
        <w:rPr>
          <w:rFonts w:ascii="Arial" w:hAnsi="Arial" w:cs="Arial"/>
          <w:color w:val="222222"/>
          <w:sz w:val="22"/>
          <w:szCs w:val="22"/>
        </w:rPr>
        <w:t>The AQI values and corresponding ambient concentrations (health breakpoints) as well as associated likely health impacts for the identified eight pollutants are as follows:</w:t>
      </w:r>
    </w:p>
    <w:p w14:paraId="600F1B73" w14:textId="77777777" w:rsidR="00431AB4" w:rsidRPr="005F7C34" w:rsidRDefault="00431AB4" w:rsidP="00A12C6E">
      <w:pPr>
        <w:pStyle w:val="NormalWeb"/>
        <w:shd w:val="clear" w:color="auto" w:fill="FFFFFF"/>
        <w:spacing w:before="120" w:beforeAutospacing="0" w:after="120" w:afterAutospacing="0"/>
        <w:rPr>
          <w:rFonts w:ascii="Arial" w:hAnsi="Arial" w:cs="Arial"/>
          <w:color w:val="222222"/>
          <w:sz w:val="22"/>
          <w:szCs w:val="22"/>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21"/>
        <w:gridCol w:w="1351"/>
        <w:gridCol w:w="1389"/>
        <w:gridCol w:w="1273"/>
        <w:gridCol w:w="993"/>
        <w:gridCol w:w="698"/>
        <w:gridCol w:w="1261"/>
        <w:gridCol w:w="1261"/>
        <w:gridCol w:w="819"/>
      </w:tblGrid>
      <w:tr w:rsidR="00A12C6E" w:rsidRPr="005F7C34" w14:paraId="4A6EAB12" w14:textId="77777777" w:rsidTr="00A12C6E">
        <w:tc>
          <w:tcPr>
            <w:tcW w:w="0" w:type="auto"/>
            <w:gridSpan w:val="9"/>
            <w:tcBorders>
              <w:top w:val="nil"/>
              <w:left w:val="nil"/>
              <w:bottom w:val="nil"/>
              <w:right w:val="nil"/>
            </w:tcBorders>
            <w:shd w:val="clear" w:color="auto" w:fill="99CCFF"/>
            <w:tcMar>
              <w:top w:w="48" w:type="dxa"/>
              <w:left w:w="96" w:type="dxa"/>
              <w:bottom w:w="48" w:type="dxa"/>
              <w:right w:w="96" w:type="dxa"/>
            </w:tcMar>
            <w:vAlign w:val="center"/>
            <w:hideMark/>
          </w:tcPr>
          <w:p w14:paraId="4B926662" w14:textId="77777777" w:rsidR="00A12C6E" w:rsidRPr="005F7C34" w:rsidRDefault="00A12C6E">
            <w:pPr>
              <w:spacing w:before="240" w:after="240"/>
              <w:jc w:val="center"/>
              <w:rPr>
                <w:rFonts w:ascii="Arial" w:hAnsi="Arial" w:cs="Arial"/>
                <w:b/>
                <w:bCs/>
                <w:color w:val="222222"/>
              </w:rPr>
            </w:pPr>
            <w:r w:rsidRPr="005F7C34">
              <w:rPr>
                <w:rFonts w:ascii="Arial" w:hAnsi="Arial" w:cs="Arial"/>
                <w:b/>
                <w:bCs/>
                <w:color w:val="222222"/>
              </w:rPr>
              <w:lastRenderedPageBreak/>
              <w:t>AQI Category, Pollutants and Health Breakpoints</w:t>
            </w:r>
          </w:p>
        </w:tc>
      </w:tr>
      <w:tr w:rsidR="005F7C34" w:rsidRPr="005F7C34" w14:paraId="31CFF1D7" w14:textId="77777777" w:rsidTr="00A12C6E">
        <w:tc>
          <w:tcPr>
            <w:tcW w:w="0" w:type="auto"/>
            <w:tcBorders>
              <w:top w:val="single" w:sz="6" w:space="0" w:color="A2A9B1"/>
              <w:left w:val="single" w:sz="6" w:space="0" w:color="A2A9B1"/>
              <w:bottom w:val="single" w:sz="6" w:space="0" w:color="A2A9B1"/>
              <w:right w:val="single" w:sz="6" w:space="0" w:color="A2A9B1"/>
            </w:tcBorders>
            <w:shd w:val="clear" w:color="auto" w:fill="99CCFF"/>
            <w:tcMar>
              <w:top w:w="48" w:type="dxa"/>
              <w:left w:w="96" w:type="dxa"/>
              <w:bottom w:w="48" w:type="dxa"/>
              <w:right w:w="96" w:type="dxa"/>
            </w:tcMar>
            <w:vAlign w:val="center"/>
            <w:hideMark/>
          </w:tcPr>
          <w:p w14:paraId="12A5B9D8" w14:textId="77777777" w:rsidR="00A12C6E" w:rsidRPr="005F7C34" w:rsidRDefault="00A12C6E">
            <w:pPr>
              <w:spacing w:before="240" w:after="240"/>
              <w:rPr>
                <w:rFonts w:ascii="Arial" w:hAnsi="Arial" w:cs="Arial"/>
                <w:b/>
                <w:bCs/>
                <w:color w:val="222222"/>
              </w:rPr>
            </w:pPr>
            <w:r w:rsidRPr="005F7C34">
              <w:rPr>
                <w:rFonts w:ascii="Arial" w:hAnsi="Arial" w:cs="Arial"/>
                <w:b/>
                <w:bCs/>
                <w:color w:val="222222"/>
              </w:rPr>
              <w:t>AQI Category (Range)</w:t>
            </w:r>
          </w:p>
        </w:tc>
        <w:tc>
          <w:tcPr>
            <w:tcW w:w="0" w:type="auto"/>
            <w:tcBorders>
              <w:top w:val="single" w:sz="6" w:space="0" w:color="A2A9B1"/>
              <w:left w:val="single" w:sz="6" w:space="0" w:color="A2A9B1"/>
              <w:bottom w:val="single" w:sz="6" w:space="0" w:color="A2A9B1"/>
              <w:right w:val="single" w:sz="6" w:space="0" w:color="A2A9B1"/>
            </w:tcBorders>
            <w:shd w:val="clear" w:color="auto" w:fill="99CCFF"/>
            <w:tcMar>
              <w:top w:w="48" w:type="dxa"/>
              <w:left w:w="96" w:type="dxa"/>
              <w:bottom w:w="48" w:type="dxa"/>
              <w:right w:w="96" w:type="dxa"/>
            </w:tcMar>
            <w:vAlign w:val="center"/>
            <w:hideMark/>
          </w:tcPr>
          <w:p w14:paraId="7AD740F2" w14:textId="77777777" w:rsidR="00A12C6E" w:rsidRPr="005F7C34" w:rsidRDefault="00A12C6E">
            <w:pPr>
              <w:spacing w:before="240" w:after="240"/>
              <w:rPr>
                <w:rFonts w:ascii="Arial" w:hAnsi="Arial" w:cs="Arial"/>
                <w:b/>
                <w:bCs/>
                <w:color w:val="222222"/>
              </w:rPr>
            </w:pPr>
            <w:r w:rsidRPr="005F7C34">
              <w:rPr>
                <w:rFonts w:ascii="Arial" w:hAnsi="Arial" w:cs="Arial"/>
                <w:b/>
                <w:bCs/>
                <w:color w:val="222222"/>
              </w:rPr>
              <w:t>PM</w:t>
            </w:r>
            <w:r w:rsidRPr="005F7C34">
              <w:rPr>
                <w:rFonts w:ascii="Arial" w:hAnsi="Arial" w:cs="Arial"/>
                <w:b/>
                <w:bCs/>
                <w:color w:val="222222"/>
                <w:vertAlign w:val="subscript"/>
              </w:rPr>
              <w:t>10</w:t>
            </w:r>
            <w:r w:rsidRPr="005F7C34">
              <w:rPr>
                <w:rFonts w:ascii="Arial" w:hAnsi="Arial" w:cs="Arial"/>
                <w:b/>
                <w:bCs/>
                <w:color w:val="222222"/>
              </w:rPr>
              <w:t> (24hr)</w:t>
            </w:r>
          </w:p>
        </w:tc>
        <w:tc>
          <w:tcPr>
            <w:tcW w:w="0" w:type="auto"/>
            <w:tcBorders>
              <w:top w:val="single" w:sz="6" w:space="0" w:color="A2A9B1"/>
              <w:left w:val="single" w:sz="6" w:space="0" w:color="A2A9B1"/>
              <w:bottom w:val="single" w:sz="6" w:space="0" w:color="A2A9B1"/>
              <w:right w:val="single" w:sz="6" w:space="0" w:color="A2A9B1"/>
            </w:tcBorders>
            <w:shd w:val="clear" w:color="auto" w:fill="99CCFF"/>
            <w:tcMar>
              <w:top w:w="48" w:type="dxa"/>
              <w:left w:w="96" w:type="dxa"/>
              <w:bottom w:w="48" w:type="dxa"/>
              <w:right w:w="96" w:type="dxa"/>
            </w:tcMar>
            <w:vAlign w:val="center"/>
            <w:hideMark/>
          </w:tcPr>
          <w:p w14:paraId="2EE38DEF" w14:textId="77777777" w:rsidR="00A12C6E" w:rsidRPr="005F7C34" w:rsidRDefault="00A12C6E">
            <w:pPr>
              <w:spacing w:before="240" w:after="240"/>
              <w:rPr>
                <w:rFonts w:ascii="Arial" w:hAnsi="Arial" w:cs="Arial"/>
                <w:b/>
                <w:bCs/>
                <w:color w:val="222222"/>
              </w:rPr>
            </w:pPr>
            <w:r w:rsidRPr="005F7C34">
              <w:rPr>
                <w:rFonts w:ascii="Arial" w:hAnsi="Arial" w:cs="Arial"/>
                <w:b/>
                <w:bCs/>
                <w:color w:val="222222"/>
              </w:rPr>
              <w:t>PM</w:t>
            </w:r>
            <w:r w:rsidRPr="005F7C34">
              <w:rPr>
                <w:rFonts w:ascii="Arial" w:hAnsi="Arial" w:cs="Arial"/>
                <w:b/>
                <w:bCs/>
                <w:color w:val="222222"/>
                <w:vertAlign w:val="subscript"/>
              </w:rPr>
              <w:t>2.5</w:t>
            </w:r>
            <w:r w:rsidRPr="005F7C34">
              <w:rPr>
                <w:rFonts w:ascii="Arial" w:hAnsi="Arial" w:cs="Arial"/>
                <w:b/>
                <w:bCs/>
                <w:color w:val="222222"/>
              </w:rPr>
              <w:t> (24hr)</w:t>
            </w:r>
          </w:p>
        </w:tc>
        <w:tc>
          <w:tcPr>
            <w:tcW w:w="0" w:type="auto"/>
            <w:tcBorders>
              <w:top w:val="single" w:sz="6" w:space="0" w:color="A2A9B1"/>
              <w:left w:val="single" w:sz="6" w:space="0" w:color="A2A9B1"/>
              <w:bottom w:val="single" w:sz="6" w:space="0" w:color="A2A9B1"/>
              <w:right w:val="single" w:sz="6" w:space="0" w:color="A2A9B1"/>
            </w:tcBorders>
            <w:shd w:val="clear" w:color="auto" w:fill="99CCFF"/>
            <w:tcMar>
              <w:top w:w="48" w:type="dxa"/>
              <w:left w:w="96" w:type="dxa"/>
              <w:bottom w:w="48" w:type="dxa"/>
              <w:right w:w="96" w:type="dxa"/>
            </w:tcMar>
            <w:vAlign w:val="center"/>
            <w:hideMark/>
          </w:tcPr>
          <w:p w14:paraId="6AC8D3C7" w14:textId="77777777" w:rsidR="00A12C6E" w:rsidRPr="005F7C34" w:rsidRDefault="00A12C6E">
            <w:pPr>
              <w:spacing w:before="240" w:after="240"/>
              <w:rPr>
                <w:rFonts w:ascii="Arial" w:hAnsi="Arial" w:cs="Arial"/>
                <w:b/>
                <w:bCs/>
                <w:color w:val="222222"/>
              </w:rPr>
            </w:pPr>
            <w:r w:rsidRPr="005F7C34">
              <w:rPr>
                <w:rFonts w:ascii="Arial" w:hAnsi="Arial" w:cs="Arial"/>
                <w:b/>
                <w:bCs/>
                <w:color w:val="222222"/>
              </w:rPr>
              <w:t>NO</w:t>
            </w:r>
            <w:r w:rsidRPr="005F7C34">
              <w:rPr>
                <w:rFonts w:ascii="Arial" w:hAnsi="Arial" w:cs="Arial"/>
                <w:b/>
                <w:bCs/>
                <w:color w:val="222222"/>
                <w:vertAlign w:val="subscript"/>
              </w:rPr>
              <w:t>2</w:t>
            </w:r>
            <w:r w:rsidRPr="005F7C34">
              <w:rPr>
                <w:rFonts w:ascii="Arial" w:hAnsi="Arial" w:cs="Arial"/>
                <w:b/>
                <w:bCs/>
                <w:color w:val="222222"/>
              </w:rPr>
              <w:t> (24hr)</w:t>
            </w:r>
          </w:p>
        </w:tc>
        <w:tc>
          <w:tcPr>
            <w:tcW w:w="0" w:type="auto"/>
            <w:tcBorders>
              <w:top w:val="single" w:sz="6" w:space="0" w:color="A2A9B1"/>
              <w:left w:val="single" w:sz="6" w:space="0" w:color="A2A9B1"/>
              <w:bottom w:val="single" w:sz="6" w:space="0" w:color="A2A9B1"/>
              <w:right w:val="single" w:sz="6" w:space="0" w:color="A2A9B1"/>
            </w:tcBorders>
            <w:shd w:val="clear" w:color="auto" w:fill="99CCFF"/>
            <w:tcMar>
              <w:top w:w="48" w:type="dxa"/>
              <w:left w:w="96" w:type="dxa"/>
              <w:bottom w:w="48" w:type="dxa"/>
              <w:right w:w="96" w:type="dxa"/>
            </w:tcMar>
            <w:vAlign w:val="center"/>
            <w:hideMark/>
          </w:tcPr>
          <w:p w14:paraId="35715DD9" w14:textId="77777777" w:rsidR="00A12C6E" w:rsidRPr="005F7C34" w:rsidRDefault="00A12C6E">
            <w:pPr>
              <w:spacing w:before="240" w:after="240"/>
              <w:rPr>
                <w:rFonts w:ascii="Arial" w:hAnsi="Arial" w:cs="Arial"/>
                <w:b/>
                <w:bCs/>
                <w:color w:val="222222"/>
              </w:rPr>
            </w:pPr>
            <w:r w:rsidRPr="005F7C34">
              <w:rPr>
                <w:rFonts w:ascii="Arial" w:hAnsi="Arial" w:cs="Arial"/>
                <w:b/>
                <w:bCs/>
                <w:color w:val="222222"/>
              </w:rPr>
              <w:t>O</w:t>
            </w:r>
            <w:r w:rsidRPr="005F7C34">
              <w:rPr>
                <w:rFonts w:ascii="Arial" w:hAnsi="Arial" w:cs="Arial"/>
                <w:b/>
                <w:bCs/>
                <w:color w:val="222222"/>
                <w:vertAlign w:val="subscript"/>
              </w:rPr>
              <w:t>3</w:t>
            </w:r>
            <w:r w:rsidRPr="005F7C34">
              <w:rPr>
                <w:rFonts w:ascii="Arial" w:hAnsi="Arial" w:cs="Arial"/>
                <w:b/>
                <w:bCs/>
                <w:color w:val="222222"/>
              </w:rPr>
              <w:t> (8hr)</w:t>
            </w:r>
          </w:p>
        </w:tc>
        <w:tc>
          <w:tcPr>
            <w:tcW w:w="0" w:type="auto"/>
            <w:tcBorders>
              <w:top w:val="single" w:sz="6" w:space="0" w:color="A2A9B1"/>
              <w:left w:val="single" w:sz="6" w:space="0" w:color="A2A9B1"/>
              <w:bottom w:val="single" w:sz="6" w:space="0" w:color="A2A9B1"/>
              <w:right w:val="single" w:sz="6" w:space="0" w:color="A2A9B1"/>
            </w:tcBorders>
            <w:shd w:val="clear" w:color="auto" w:fill="99CCFF"/>
            <w:tcMar>
              <w:top w:w="48" w:type="dxa"/>
              <w:left w:w="96" w:type="dxa"/>
              <w:bottom w:w="48" w:type="dxa"/>
              <w:right w:w="96" w:type="dxa"/>
            </w:tcMar>
            <w:vAlign w:val="center"/>
            <w:hideMark/>
          </w:tcPr>
          <w:p w14:paraId="592A1EAE" w14:textId="77777777" w:rsidR="00A12C6E" w:rsidRPr="005F7C34" w:rsidRDefault="00A12C6E">
            <w:pPr>
              <w:spacing w:before="240" w:after="240"/>
              <w:rPr>
                <w:rFonts w:ascii="Arial" w:hAnsi="Arial" w:cs="Arial"/>
                <w:b/>
                <w:bCs/>
                <w:color w:val="222222"/>
              </w:rPr>
            </w:pPr>
            <w:r w:rsidRPr="005F7C34">
              <w:rPr>
                <w:rFonts w:ascii="Arial" w:hAnsi="Arial" w:cs="Arial"/>
                <w:b/>
                <w:bCs/>
                <w:color w:val="222222"/>
              </w:rPr>
              <w:t>CO (8hr)</w:t>
            </w:r>
          </w:p>
        </w:tc>
        <w:tc>
          <w:tcPr>
            <w:tcW w:w="0" w:type="auto"/>
            <w:tcBorders>
              <w:top w:val="single" w:sz="6" w:space="0" w:color="A2A9B1"/>
              <w:left w:val="single" w:sz="6" w:space="0" w:color="A2A9B1"/>
              <w:bottom w:val="single" w:sz="6" w:space="0" w:color="A2A9B1"/>
              <w:right w:val="single" w:sz="6" w:space="0" w:color="A2A9B1"/>
            </w:tcBorders>
            <w:shd w:val="clear" w:color="auto" w:fill="99CCFF"/>
            <w:tcMar>
              <w:top w:w="48" w:type="dxa"/>
              <w:left w:w="96" w:type="dxa"/>
              <w:bottom w:w="48" w:type="dxa"/>
              <w:right w:w="96" w:type="dxa"/>
            </w:tcMar>
            <w:vAlign w:val="center"/>
            <w:hideMark/>
          </w:tcPr>
          <w:p w14:paraId="3FE7D2AD" w14:textId="77777777" w:rsidR="00A12C6E" w:rsidRPr="005F7C34" w:rsidRDefault="00A12C6E">
            <w:pPr>
              <w:spacing w:before="240" w:after="240"/>
              <w:rPr>
                <w:rFonts w:ascii="Arial" w:hAnsi="Arial" w:cs="Arial"/>
                <w:b/>
                <w:bCs/>
                <w:color w:val="222222"/>
              </w:rPr>
            </w:pPr>
            <w:r w:rsidRPr="005F7C34">
              <w:rPr>
                <w:rFonts w:ascii="Arial" w:hAnsi="Arial" w:cs="Arial"/>
                <w:b/>
                <w:bCs/>
                <w:color w:val="222222"/>
              </w:rPr>
              <w:t>SO</w:t>
            </w:r>
            <w:r w:rsidRPr="005F7C34">
              <w:rPr>
                <w:rFonts w:ascii="Arial" w:hAnsi="Arial" w:cs="Arial"/>
                <w:b/>
                <w:bCs/>
                <w:color w:val="222222"/>
                <w:vertAlign w:val="subscript"/>
              </w:rPr>
              <w:t>2</w:t>
            </w:r>
            <w:r w:rsidRPr="005F7C34">
              <w:rPr>
                <w:rFonts w:ascii="Arial" w:hAnsi="Arial" w:cs="Arial"/>
                <w:b/>
                <w:bCs/>
                <w:color w:val="222222"/>
              </w:rPr>
              <w:t> (24hr)</w:t>
            </w:r>
          </w:p>
        </w:tc>
        <w:tc>
          <w:tcPr>
            <w:tcW w:w="0" w:type="auto"/>
            <w:tcBorders>
              <w:top w:val="single" w:sz="6" w:space="0" w:color="A2A9B1"/>
              <w:left w:val="single" w:sz="6" w:space="0" w:color="A2A9B1"/>
              <w:bottom w:val="single" w:sz="6" w:space="0" w:color="A2A9B1"/>
              <w:right w:val="single" w:sz="6" w:space="0" w:color="A2A9B1"/>
            </w:tcBorders>
            <w:shd w:val="clear" w:color="auto" w:fill="99CCFF"/>
            <w:tcMar>
              <w:top w:w="48" w:type="dxa"/>
              <w:left w:w="96" w:type="dxa"/>
              <w:bottom w:w="48" w:type="dxa"/>
              <w:right w:w="96" w:type="dxa"/>
            </w:tcMar>
            <w:vAlign w:val="center"/>
            <w:hideMark/>
          </w:tcPr>
          <w:p w14:paraId="3B8A0C0B" w14:textId="77777777" w:rsidR="00A12C6E" w:rsidRPr="005F7C34" w:rsidRDefault="00A12C6E">
            <w:pPr>
              <w:spacing w:before="240" w:after="240"/>
              <w:rPr>
                <w:rFonts w:ascii="Arial" w:hAnsi="Arial" w:cs="Arial"/>
                <w:b/>
                <w:bCs/>
                <w:color w:val="222222"/>
              </w:rPr>
            </w:pPr>
            <w:r w:rsidRPr="005F7C34">
              <w:rPr>
                <w:rFonts w:ascii="Arial" w:hAnsi="Arial" w:cs="Arial"/>
                <w:b/>
                <w:bCs/>
                <w:color w:val="222222"/>
              </w:rPr>
              <w:t>NH</w:t>
            </w:r>
            <w:r w:rsidRPr="005F7C34">
              <w:rPr>
                <w:rFonts w:ascii="Arial" w:hAnsi="Arial" w:cs="Arial"/>
                <w:b/>
                <w:bCs/>
                <w:color w:val="222222"/>
                <w:vertAlign w:val="subscript"/>
              </w:rPr>
              <w:t>3</w:t>
            </w:r>
            <w:r w:rsidRPr="005F7C34">
              <w:rPr>
                <w:rFonts w:ascii="Arial" w:hAnsi="Arial" w:cs="Arial"/>
                <w:b/>
                <w:bCs/>
                <w:color w:val="222222"/>
              </w:rPr>
              <w:t> (24hr)</w:t>
            </w:r>
          </w:p>
        </w:tc>
        <w:tc>
          <w:tcPr>
            <w:tcW w:w="0" w:type="auto"/>
            <w:tcBorders>
              <w:top w:val="single" w:sz="6" w:space="0" w:color="A2A9B1"/>
              <w:left w:val="single" w:sz="6" w:space="0" w:color="A2A9B1"/>
              <w:bottom w:val="single" w:sz="6" w:space="0" w:color="A2A9B1"/>
              <w:right w:val="single" w:sz="6" w:space="0" w:color="A2A9B1"/>
            </w:tcBorders>
            <w:shd w:val="clear" w:color="auto" w:fill="99CCFF"/>
            <w:tcMar>
              <w:top w:w="48" w:type="dxa"/>
              <w:left w:w="96" w:type="dxa"/>
              <w:bottom w:w="48" w:type="dxa"/>
              <w:right w:w="96" w:type="dxa"/>
            </w:tcMar>
            <w:vAlign w:val="center"/>
            <w:hideMark/>
          </w:tcPr>
          <w:p w14:paraId="39FCC9A1" w14:textId="77777777" w:rsidR="00A12C6E" w:rsidRPr="005F7C34" w:rsidRDefault="00A12C6E">
            <w:pPr>
              <w:spacing w:before="240" w:after="240"/>
              <w:rPr>
                <w:rFonts w:ascii="Arial" w:hAnsi="Arial" w:cs="Arial"/>
                <w:b/>
                <w:bCs/>
                <w:color w:val="222222"/>
              </w:rPr>
            </w:pPr>
            <w:r w:rsidRPr="005F7C34">
              <w:rPr>
                <w:rFonts w:ascii="Arial" w:hAnsi="Arial" w:cs="Arial"/>
                <w:b/>
                <w:bCs/>
                <w:color w:val="222222"/>
              </w:rPr>
              <w:t>Pb (24hr)</w:t>
            </w:r>
          </w:p>
        </w:tc>
      </w:tr>
      <w:tr w:rsidR="005F7C34" w:rsidRPr="005F7C34" w14:paraId="50180B0E" w14:textId="77777777" w:rsidTr="00A12C6E">
        <w:tc>
          <w:tcPr>
            <w:tcW w:w="0" w:type="auto"/>
            <w:tcBorders>
              <w:top w:val="single" w:sz="6" w:space="0" w:color="A2A9B1"/>
              <w:left w:val="single" w:sz="6" w:space="0" w:color="A2A9B1"/>
              <w:bottom w:val="single" w:sz="6" w:space="0" w:color="A2A9B1"/>
              <w:right w:val="single" w:sz="6" w:space="0" w:color="A2A9B1"/>
            </w:tcBorders>
            <w:shd w:val="clear" w:color="auto" w:fill="00CC00"/>
            <w:tcMar>
              <w:top w:w="48" w:type="dxa"/>
              <w:left w:w="96" w:type="dxa"/>
              <w:bottom w:w="48" w:type="dxa"/>
              <w:right w:w="96" w:type="dxa"/>
            </w:tcMar>
            <w:vAlign w:val="center"/>
            <w:hideMark/>
          </w:tcPr>
          <w:p w14:paraId="117DA278" w14:textId="77777777" w:rsidR="00A12C6E" w:rsidRPr="005F7C34" w:rsidRDefault="00A12C6E">
            <w:pPr>
              <w:spacing w:before="240" w:after="240"/>
              <w:rPr>
                <w:rFonts w:ascii="Arial" w:hAnsi="Arial" w:cs="Arial"/>
                <w:color w:val="222222"/>
              </w:rPr>
            </w:pPr>
            <w:r w:rsidRPr="005F7C34">
              <w:rPr>
                <w:rFonts w:ascii="Arial" w:hAnsi="Arial" w:cs="Arial"/>
                <w:color w:val="222222"/>
              </w:rPr>
              <w:t>Good (0–50)</w:t>
            </w:r>
          </w:p>
        </w:tc>
        <w:tc>
          <w:tcPr>
            <w:tcW w:w="0" w:type="auto"/>
            <w:tcBorders>
              <w:top w:val="single" w:sz="6" w:space="0" w:color="A2A9B1"/>
              <w:left w:val="single" w:sz="6" w:space="0" w:color="A2A9B1"/>
              <w:bottom w:val="single" w:sz="6" w:space="0" w:color="A2A9B1"/>
              <w:right w:val="single" w:sz="6" w:space="0" w:color="A2A9B1"/>
            </w:tcBorders>
            <w:shd w:val="clear" w:color="auto" w:fill="00CC00"/>
            <w:tcMar>
              <w:top w:w="48" w:type="dxa"/>
              <w:left w:w="96" w:type="dxa"/>
              <w:bottom w:w="48" w:type="dxa"/>
              <w:right w:w="96" w:type="dxa"/>
            </w:tcMar>
            <w:vAlign w:val="center"/>
            <w:hideMark/>
          </w:tcPr>
          <w:p w14:paraId="1BCE9583" w14:textId="77777777" w:rsidR="00A12C6E" w:rsidRPr="005F7C34" w:rsidRDefault="00A12C6E">
            <w:pPr>
              <w:spacing w:before="240" w:after="240"/>
              <w:rPr>
                <w:rFonts w:ascii="Arial" w:hAnsi="Arial" w:cs="Arial"/>
                <w:color w:val="222222"/>
              </w:rPr>
            </w:pPr>
            <w:r w:rsidRPr="005F7C34">
              <w:rPr>
                <w:rFonts w:ascii="Arial" w:hAnsi="Arial" w:cs="Arial"/>
                <w:color w:val="222222"/>
              </w:rPr>
              <w:t>0–50</w:t>
            </w:r>
          </w:p>
        </w:tc>
        <w:tc>
          <w:tcPr>
            <w:tcW w:w="0" w:type="auto"/>
            <w:tcBorders>
              <w:top w:val="single" w:sz="6" w:space="0" w:color="A2A9B1"/>
              <w:left w:val="single" w:sz="6" w:space="0" w:color="A2A9B1"/>
              <w:bottom w:val="single" w:sz="6" w:space="0" w:color="A2A9B1"/>
              <w:right w:val="single" w:sz="6" w:space="0" w:color="A2A9B1"/>
            </w:tcBorders>
            <w:shd w:val="clear" w:color="auto" w:fill="00CC00"/>
            <w:tcMar>
              <w:top w:w="48" w:type="dxa"/>
              <w:left w:w="96" w:type="dxa"/>
              <w:bottom w:w="48" w:type="dxa"/>
              <w:right w:w="96" w:type="dxa"/>
            </w:tcMar>
            <w:vAlign w:val="center"/>
            <w:hideMark/>
          </w:tcPr>
          <w:p w14:paraId="5F4A73BE" w14:textId="77777777" w:rsidR="00A12C6E" w:rsidRPr="005F7C34" w:rsidRDefault="00A12C6E">
            <w:pPr>
              <w:spacing w:before="240" w:after="240"/>
              <w:rPr>
                <w:rFonts w:ascii="Arial" w:hAnsi="Arial" w:cs="Arial"/>
                <w:color w:val="222222"/>
              </w:rPr>
            </w:pPr>
            <w:r w:rsidRPr="005F7C34">
              <w:rPr>
                <w:rFonts w:ascii="Arial" w:hAnsi="Arial" w:cs="Arial"/>
                <w:color w:val="222222"/>
              </w:rPr>
              <w:t>0–30</w:t>
            </w:r>
          </w:p>
        </w:tc>
        <w:tc>
          <w:tcPr>
            <w:tcW w:w="0" w:type="auto"/>
            <w:tcBorders>
              <w:top w:val="single" w:sz="6" w:space="0" w:color="A2A9B1"/>
              <w:left w:val="single" w:sz="6" w:space="0" w:color="A2A9B1"/>
              <w:bottom w:val="single" w:sz="6" w:space="0" w:color="A2A9B1"/>
              <w:right w:val="single" w:sz="6" w:space="0" w:color="A2A9B1"/>
            </w:tcBorders>
            <w:shd w:val="clear" w:color="auto" w:fill="00CC00"/>
            <w:tcMar>
              <w:top w:w="48" w:type="dxa"/>
              <w:left w:w="96" w:type="dxa"/>
              <w:bottom w:w="48" w:type="dxa"/>
              <w:right w:w="96" w:type="dxa"/>
            </w:tcMar>
            <w:vAlign w:val="center"/>
            <w:hideMark/>
          </w:tcPr>
          <w:p w14:paraId="46471FDB" w14:textId="77777777" w:rsidR="00A12C6E" w:rsidRPr="005F7C34" w:rsidRDefault="00A12C6E">
            <w:pPr>
              <w:spacing w:before="240" w:after="240"/>
              <w:rPr>
                <w:rFonts w:ascii="Arial" w:hAnsi="Arial" w:cs="Arial"/>
                <w:color w:val="222222"/>
              </w:rPr>
            </w:pPr>
            <w:r w:rsidRPr="005F7C34">
              <w:rPr>
                <w:rFonts w:ascii="Arial" w:hAnsi="Arial" w:cs="Arial"/>
                <w:color w:val="222222"/>
              </w:rPr>
              <w:t>0–40</w:t>
            </w:r>
          </w:p>
        </w:tc>
        <w:tc>
          <w:tcPr>
            <w:tcW w:w="0" w:type="auto"/>
            <w:tcBorders>
              <w:top w:val="single" w:sz="6" w:space="0" w:color="A2A9B1"/>
              <w:left w:val="single" w:sz="6" w:space="0" w:color="A2A9B1"/>
              <w:bottom w:val="single" w:sz="6" w:space="0" w:color="A2A9B1"/>
              <w:right w:val="single" w:sz="6" w:space="0" w:color="A2A9B1"/>
            </w:tcBorders>
            <w:shd w:val="clear" w:color="auto" w:fill="00CC00"/>
            <w:tcMar>
              <w:top w:w="48" w:type="dxa"/>
              <w:left w:w="96" w:type="dxa"/>
              <w:bottom w:w="48" w:type="dxa"/>
              <w:right w:w="96" w:type="dxa"/>
            </w:tcMar>
            <w:vAlign w:val="center"/>
            <w:hideMark/>
          </w:tcPr>
          <w:p w14:paraId="319DFA9D" w14:textId="77777777" w:rsidR="00A12C6E" w:rsidRPr="005F7C34" w:rsidRDefault="00A12C6E">
            <w:pPr>
              <w:spacing w:before="240" w:after="240"/>
              <w:rPr>
                <w:rFonts w:ascii="Arial" w:hAnsi="Arial" w:cs="Arial"/>
                <w:color w:val="222222"/>
              </w:rPr>
            </w:pPr>
            <w:r w:rsidRPr="005F7C34">
              <w:rPr>
                <w:rFonts w:ascii="Arial" w:hAnsi="Arial" w:cs="Arial"/>
                <w:color w:val="222222"/>
              </w:rPr>
              <w:t>0–50</w:t>
            </w:r>
          </w:p>
        </w:tc>
        <w:tc>
          <w:tcPr>
            <w:tcW w:w="0" w:type="auto"/>
            <w:tcBorders>
              <w:top w:val="single" w:sz="6" w:space="0" w:color="A2A9B1"/>
              <w:left w:val="single" w:sz="6" w:space="0" w:color="A2A9B1"/>
              <w:bottom w:val="single" w:sz="6" w:space="0" w:color="A2A9B1"/>
              <w:right w:val="single" w:sz="6" w:space="0" w:color="A2A9B1"/>
            </w:tcBorders>
            <w:shd w:val="clear" w:color="auto" w:fill="00CC00"/>
            <w:tcMar>
              <w:top w:w="48" w:type="dxa"/>
              <w:left w:w="96" w:type="dxa"/>
              <w:bottom w:w="48" w:type="dxa"/>
              <w:right w:w="96" w:type="dxa"/>
            </w:tcMar>
            <w:vAlign w:val="center"/>
            <w:hideMark/>
          </w:tcPr>
          <w:p w14:paraId="14A41BA6" w14:textId="77777777" w:rsidR="00A12C6E" w:rsidRPr="005F7C34" w:rsidRDefault="00A12C6E">
            <w:pPr>
              <w:spacing w:before="240" w:after="240"/>
              <w:rPr>
                <w:rFonts w:ascii="Arial" w:hAnsi="Arial" w:cs="Arial"/>
                <w:color w:val="222222"/>
              </w:rPr>
            </w:pPr>
            <w:r w:rsidRPr="005F7C34">
              <w:rPr>
                <w:rFonts w:ascii="Arial" w:hAnsi="Arial" w:cs="Arial"/>
                <w:color w:val="222222"/>
              </w:rPr>
              <w:t>0–1.0</w:t>
            </w:r>
          </w:p>
        </w:tc>
        <w:tc>
          <w:tcPr>
            <w:tcW w:w="0" w:type="auto"/>
            <w:tcBorders>
              <w:top w:val="single" w:sz="6" w:space="0" w:color="A2A9B1"/>
              <w:left w:val="single" w:sz="6" w:space="0" w:color="A2A9B1"/>
              <w:bottom w:val="single" w:sz="6" w:space="0" w:color="A2A9B1"/>
              <w:right w:val="single" w:sz="6" w:space="0" w:color="A2A9B1"/>
            </w:tcBorders>
            <w:shd w:val="clear" w:color="auto" w:fill="00CC00"/>
            <w:tcMar>
              <w:top w:w="48" w:type="dxa"/>
              <w:left w:w="96" w:type="dxa"/>
              <w:bottom w:w="48" w:type="dxa"/>
              <w:right w:w="96" w:type="dxa"/>
            </w:tcMar>
            <w:vAlign w:val="center"/>
            <w:hideMark/>
          </w:tcPr>
          <w:p w14:paraId="76C57523" w14:textId="77777777" w:rsidR="00A12C6E" w:rsidRPr="005F7C34" w:rsidRDefault="00A12C6E">
            <w:pPr>
              <w:spacing w:before="240" w:after="240"/>
              <w:rPr>
                <w:rFonts w:ascii="Arial" w:hAnsi="Arial" w:cs="Arial"/>
                <w:color w:val="222222"/>
              </w:rPr>
            </w:pPr>
            <w:r w:rsidRPr="005F7C34">
              <w:rPr>
                <w:rFonts w:ascii="Arial" w:hAnsi="Arial" w:cs="Arial"/>
                <w:color w:val="222222"/>
              </w:rPr>
              <w:t>0–40</w:t>
            </w:r>
          </w:p>
        </w:tc>
        <w:tc>
          <w:tcPr>
            <w:tcW w:w="0" w:type="auto"/>
            <w:tcBorders>
              <w:top w:val="single" w:sz="6" w:space="0" w:color="A2A9B1"/>
              <w:left w:val="single" w:sz="6" w:space="0" w:color="A2A9B1"/>
              <w:bottom w:val="single" w:sz="6" w:space="0" w:color="A2A9B1"/>
              <w:right w:val="single" w:sz="6" w:space="0" w:color="A2A9B1"/>
            </w:tcBorders>
            <w:shd w:val="clear" w:color="auto" w:fill="00CC00"/>
            <w:tcMar>
              <w:top w:w="48" w:type="dxa"/>
              <w:left w:w="96" w:type="dxa"/>
              <w:bottom w:w="48" w:type="dxa"/>
              <w:right w:w="96" w:type="dxa"/>
            </w:tcMar>
            <w:vAlign w:val="center"/>
            <w:hideMark/>
          </w:tcPr>
          <w:p w14:paraId="102BA4A6" w14:textId="77777777" w:rsidR="00A12C6E" w:rsidRPr="005F7C34" w:rsidRDefault="00A12C6E">
            <w:pPr>
              <w:spacing w:before="240" w:after="240"/>
              <w:rPr>
                <w:rFonts w:ascii="Arial" w:hAnsi="Arial" w:cs="Arial"/>
                <w:color w:val="222222"/>
              </w:rPr>
            </w:pPr>
            <w:r w:rsidRPr="005F7C34">
              <w:rPr>
                <w:rFonts w:ascii="Arial" w:hAnsi="Arial" w:cs="Arial"/>
                <w:color w:val="222222"/>
              </w:rPr>
              <w:t>0–200</w:t>
            </w:r>
          </w:p>
        </w:tc>
        <w:tc>
          <w:tcPr>
            <w:tcW w:w="0" w:type="auto"/>
            <w:tcBorders>
              <w:top w:val="single" w:sz="6" w:space="0" w:color="A2A9B1"/>
              <w:left w:val="single" w:sz="6" w:space="0" w:color="A2A9B1"/>
              <w:bottom w:val="single" w:sz="6" w:space="0" w:color="A2A9B1"/>
              <w:right w:val="single" w:sz="6" w:space="0" w:color="A2A9B1"/>
            </w:tcBorders>
            <w:shd w:val="clear" w:color="auto" w:fill="00CC00"/>
            <w:tcMar>
              <w:top w:w="48" w:type="dxa"/>
              <w:left w:w="96" w:type="dxa"/>
              <w:bottom w:w="48" w:type="dxa"/>
              <w:right w:w="96" w:type="dxa"/>
            </w:tcMar>
            <w:vAlign w:val="center"/>
            <w:hideMark/>
          </w:tcPr>
          <w:p w14:paraId="75581B31" w14:textId="77777777" w:rsidR="00A12C6E" w:rsidRPr="005F7C34" w:rsidRDefault="00A12C6E">
            <w:pPr>
              <w:spacing w:before="240" w:after="240"/>
              <w:rPr>
                <w:rFonts w:ascii="Arial" w:hAnsi="Arial" w:cs="Arial"/>
                <w:color w:val="222222"/>
              </w:rPr>
            </w:pPr>
            <w:r w:rsidRPr="005F7C34">
              <w:rPr>
                <w:rFonts w:ascii="Arial" w:hAnsi="Arial" w:cs="Arial"/>
                <w:color w:val="222222"/>
              </w:rPr>
              <w:t>0–0.5</w:t>
            </w:r>
          </w:p>
        </w:tc>
      </w:tr>
      <w:tr w:rsidR="005F7C34" w:rsidRPr="005F7C34" w14:paraId="2824E710" w14:textId="77777777" w:rsidTr="00A12C6E">
        <w:tc>
          <w:tcPr>
            <w:tcW w:w="0" w:type="auto"/>
            <w:tcBorders>
              <w:top w:val="single" w:sz="6" w:space="0" w:color="A2A9B1"/>
              <w:left w:val="single" w:sz="6" w:space="0" w:color="A2A9B1"/>
              <w:bottom w:val="single" w:sz="6" w:space="0" w:color="A2A9B1"/>
              <w:right w:val="single" w:sz="6" w:space="0" w:color="A2A9B1"/>
            </w:tcBorders>
            <w:shd w:val="clear" w:color="auto" w:fill="66CC00"/>
            <w:tcMar>
              <w:top w:w="48" w:type="dxa"/>
              <w:left w:w="96" w:type="dxa"/>
              <w:bottom w:w="48" w:type="dxa"/>
              <w:right w:w="96" w:type="dxa"/>
            </w:tcMar>
            <w:vAlign w:val="center"/>
            <w:hideMark/>
          </w:tcPr>
          <w:p w14:paraId="456CF36C" w14:textId="77777777" w:rsidR="00A12C6E" w:rsidRPr="005F7C34" w:rsidRDefault="00A12C6E">
            <w:pPr>
              <w:spacing w:before="240" w:after="240"/>
              <w:rPr>
                <w:rFonts w:ascii="Arial" w:hAnsi="Arial" w:cs="Arial"/>
                <w:color w:val="222222"/>
              </w:rPr>
            </w:pPr>
            <w:r w:rsidRPr="005F7C34">
              <w:rPr>
                <w:rFonts w:ascii="Arial" w:hAnsi="Arial" w:cs="Arial"/>
                <w:color w:val="222222"/>
              </w:rPr>
              <w:t>Satisfactory (51–100)</w:t>
            </w:r>
          </w:p>
        </w:tc>
        <w:tc>
          <w:tcPr>
            <w:tcW w:w="0" w:type="auto"/>
            <w:tcBorders>
              <w:top w:val="single" w:sz="6" w:space="0" w:color="A2A9B1"/>
              <w:left w:val="single" w:sz="6" w:space="0" w:color="A2A9B1"/>
              <w:bottom w:val="single" w:sz="6" w:space="0" w:color="A2A9B1"/>
              <w:right w:val="single" w:sz="6" w:space="0" w:color="A2A9B1"/>
            </w:tcBorders>
            <w:shd w:val="clear" w:color="auto" w:fill="66CC00"/>
            <w:tcMar>
              <w:top w:w="48" w:type="dxa"/>
              <w:left w:w="96" w:type="dxa"/>
              <w:bottom w:w="48" w:type="dxa"/>
              <w:right w:w="96" w:type="dxa"/>
            </w:tcMar>
            <w:vAlign w:val="center"/>
            <w:hideMark/>
          </w:tcPr>
          <w:p w14:paraId="7FC3602E" w14:textId="77777777" w:rsidR="00A12C6E" w:rsidRPr="005F7C34" w:rsidRDefault="00A12C6E">
            <w:pPr>
              <w:spacing w:before="240" w:after="240"/>
              <w:rPr>
                <w:rFonts w:ascii="Arial" w:hAnsi="Arial" w:cs="Arial"/>
                <w:color w:val="222222"/>
              </w:rPr>
            </w:pPr>
            <w:r w:rsidRPr="005F7C34">
              <w:rPr>
                <w:rFonts w:ascii="Arial" w:hAnsi="Arial" w:cs="Arial"/>
                <w:color w:val="222222"/>
              </w:rPr>
              <w:t>51–100</w:t>
            </w:r>
          </w:p>
        </w:tc>
        <w:tc>
          <w:tcPr>
            <w:tcW w:w="0" w:type="auto"/>
            <w:tcBorders>
              <w:top w:val="single" w:sz="6" w:space="0" w:color="A2A9B1"/>
              <w:left w:val="single" w:sz="6" w:space="0" w:color="A2A9B1"/>
              <w:bottom w:val="single" w:sz="6" w:space="0" w:color="A2A9B1"/>
              <w:right w:val="single" w:sz="6" w:space="0" w:color="A2A9B1"/>
            </w:tcBorders>
            <w:shd w:val="clear" w:color="auto" w:fill="66CC00"/>
            <w:tcMar>
              <w:top w:w="48" w:type="dxa"/>
              <w:left w:w="96" w:type="dxa"/>
              <w:bottom w:w="48" w:type="dxa"/>
              <w:right w:w="96" w:type="dxa"/>
            </w:tcMar>
            <w:vAlign w:val="center"/>
            <w:hideMark/>
          </w:tcPr>
          <w:p w14:paraId="054DBEC6" w14:textId="77777777" w:rsidR="00A12C6E" w:rsidRPr="005F7C34" w:rsidRDefault="00A12C6E">
            <w:pPr>
              <w:spacing w:before="240" w:after="240"/>
              <w:rPr>
                <w:rFonts w:ascii="Arial" w:hAnsi="Arial" w:cs="Arial"/>
                <w:color w:val="222222"/>
              </w:rPr>
            </w:pPr>
            <w:r w:rsidRPr="005F7C34">
              <w:rPr>
                <w:rFonts w:ascii="Arial" w:hAnsi="Arial" w:cs="Arial"/>
                <w:color w:val="222222"/>
              </w:rPr>
              <w:t>31–60</w:t>
            </w:r>
          </w:p>
        </w:tc>
        <w:tc>
          <w:tcPr>
            <w:tcW w:w="0" w:type="auto"/>
            <w:tcBorders>
              <w:top w:val="single" w:sz="6" w:space="0" w:color="A2A9B1"/>
              <w:left w:val="single" w:sz="6" w:space="0" w:color="A2A9B1"/>
              <w:bottom w:val="single" w:sz="6" w:space="0" w:color="A2A9B1"/>
              <w:right w:val="single" w:sz="6" w:space="0" w:color="A2A9B1"/>
            </w:tcBorders>
            <w:shd w:val="clear" w:color="auto" w:fill="66CC00"/>
            <w:tcMar>
              <w:top w:w="48" w:type="dxa"/>
              <w:left w:w="96" w:type="dxa"/>
              <w:bottom w:w="48" w:type="dxa"/>
              <w:right w:w="96" w:type="dxa"/>
            </w:tcMar>
            <w:vAlign w:val="center"/>
            <w:hideMark/>
          </w:tcPr>
          <w:p w14:paraId="129C615D" w14:textId="77777777" w:rsidR="00A12C6E" w:rsidRPr="005F7C34" w:rsidRDefault="00A12C6E">
            <w:pPr>
              <w:spacing w:before="240" w:after="240"/>
              <w:rPr>
                <w:rFonts w:ascii="Arial" w:hAnsi="Arial" w:cs="Arial"/>
                <w:color w:val="222222"/>
              </w:rPr>
            </w:pPr>
            <w:r w:rsidRPr="005F7C34">
              <w:rPr>
                <w:rFonts w:ascii="Arial" w:hAnsi="Arial" w:cs="Arial"/>
                <w:color w:val="222222"/>
              </w:rPr>
              <w:t>41–80</w:t>
            </w:r>
          </w:p>
        </w:tc>
        <w:tc>
          <w:tcPr>
            <w:tcW w:w="0" w:type="auto"/>
            <w:tcBorders>
              <w:top w:val="single" w:sz="6" w:space="0" w:color="A2A9B1"/>
              <w:left w:val="single" w:sz="6" w:space="0" w:color="A2A9B1"/>
              <w:bottom w:val="single" w:sz="6" w:space="0" w:color="A2A9B1"/>
              <w:right w:val="single" w:sz="6" w:space="0" w:color="A2A9B1"/>
            </w:tcBorders>
            <w:shd w:val="clear" w:color="auto" w:fill="66CC00"/>
            <w:tcMar>
              <w:top w:w="48" w:type="dxa"/>
              <w:left w:w="96" w:type="dxa"/>
              <w:bottom w:w="48" w:type="dxa"/>
              <w:right w:w="96" w:type="dxa"/>
            </w:tcMar>
            <w:vAlign w:val="center"/>
            <w:hideMark/>
          </w:tcPr>
          <w:p w14:paraId="144FDF71" w14:textId="77777777" w:rsidR="00A12C6E" w:rsidRPr="005F7C34" w:rsidRDefault="00A12C6E">
            <w:pPr>
              <w:spacing w:before="240" w:after="240"/>
              <w:rPr>
                <w:rFonts w:ascii="Arial" w:hAnsi="Arial" w:cs="Arial"/>
                <w:color w:val="222222"/>
              </w:rPr>
            </w:pPr>
            <w:r w:rsidRPr="005F7C34">
              <w:rPr>
                <w:rFonts w:ascii="Arial" w:hAnsi="Arial" w:cs="Arial"/>
                <w:color w:val="222222"/>
              </w:rPr>
              <w:t>51–100</w:t>
            </w:r>
          </w:p>
        </w:tc>
        <w:tc>
          <w:tcPr>
            <w:tcW w:w="0" w:type="auto"/>
            <w:tcBorders>
              <w:top w:val="single" w:sz="6" w:space="0" w:color="A2A9B1"/>
              <w:left w:val="single" w:sz="6" w:space="0" w:color="A2A9B1"/>
              <w:bottom w:val="single" w:sz="6" w:space="0" w:color="A2A9B1"/>
              <w:right w:val="single" w:sz="6" w:space="0" w:color="A2A9B1"/>
            </w:tcBorders>
            <w:shd w:val="clear" w:color="auto" w:fill="66CC00"/>
            <w:tcMar>
              <w:top w:w="48" w:type="dxa"/>
              <w:left w:w="96" w:type="dxa"/>
              <w:bottom w:w="48" w:type="dxa"/>
              <w:right w:w="96" w:type="dxa"/>
            </w:tcMar>
            <w:vAlign w:val="center"/>
            <w:hideMark/>
          </w:tcPr>
          <w:p w14:paraId="573B9D6F" w14:textId="77777777" w:rsidR="00A12C6E" w:rsidRPr="005F7C34" w:rsidRDefault="00A12C6E">
            <w:pPr>
              <w:spacing w:before="240" w:after="240"/>
              <w:rPr>
                <w:rFonts w:ascii="Arial" w:hAnsi="Arial" w:cs="Arial"/>
                <w:color w:val="222222"/>
              </w:rPr>
            </w:pPr>
            <w:r w:rsidRPr="005F7C34">
              <w:rPr>
                <w:rFonts w:ascii="Arial" w:hAnsi="Arial" w:cs="Arial"/>
                <w:color w:val="222222"/>
              </w:rPr>
              <w:t>1.1–2.0</w:t>
            </w:r>
          </w:p>
        </w:tc>
        <w:tc>
          <w:tcPr>
            <w:tcW w:w="0" w:type="auto"/>
            <w:tcBorders>
              <w:top w:val="single" w:sz="6" w:space="0" w:color="A2A9B1"/>
              <w:left w:val="single" w:sz="6" w:space="0" w:color="A2A9B1"/>
              <w:bottom w:val="single" w:sz="6" w:space="0" w:color="A2A9B1"/>
              <w:right w:val="single" w:sz="6" w:space="0" w:color="A2A9B1"/>
            </w:tcBorders>
            <w:shd w:val="clear" w:color="auto" w:fill="66CC00"/>
            <w:tcMar>
              <w:top w:w="48" w:type="dxa"/>
              <w:left w:w="96" w:type="dxa"/>
              <w:bottom w:w="48" w:type="dxa"/>
              <w:right w:w="96" w:type="dxa"/>
            </w:tcMar>
            <w:vAlign w:val="center"/>
            <w:hideMark/>
          </w:tcPr>
          <w:p w14:paraId="25138BAF" w14:textId="77777777" w:rsidR="00A12C6E" w:rsidRPr="005F7C34" w:rsidRDefault="00A12C6E">
            <w:pPr>
              <w:spacing w:before="240" w:after="240"/>
              <w:rPr>
                <w:rFonts w:ascii="Arial" w:hAnsi="Arial" w:cs="Arial"/>
                <w:color w:val="222222"/>
              </w:rPr>
            </w:pPr>
            <w:r w:rsidRPr="005F7C34">
              <w:rPr>
                <w:rFonts w:ascii="Arial" w:hAnsi="Arial" w:cs="Arial"/>
                <w:color w:val="222222"/>
              </w:rPr>
              <w:t>41–80</w:t>
            </w:r>
          </w:p>
        </w:tc>
        <w:tc>
          <w:tcPr>
            <w:tcW w:w="0" w:type="auto"/>
            <w:tcBorders>
              <w:top w:val="single" w:sz="6" w:space="0" w:color="A2A9B1"/>
              <w:left w:val="single" w:sz="6" w:space="0" w:color="A2A9B1"/>
              <w:bottom w:val="single" w:sz="6" w:space="0" w:color="A2A9B1"/>
              <w:right w:val="single" w:sz="6" w:space="0" w:color="A2A9B1"/>
            </w:tcBorders>
            <w:shd w:val="clear" w:color="auto" w:fill="66CC00"/>
            <w:tcMar>
              <w:top w:w="48" w:type="dxa"/>
              <w:left w:w="96" w:type="dxa"/>
              <w:bottom w:w="48" w:type="dxa"/>
              <w:right w:w="96" w:type="dxa"/>
            </w:tcMar>
            <w:vAlign w:val="center"/>
            <w:hideMark/>
          </w:tcPr>
          <w:p w14:paraId="79E282AD" w14:textId="77777777" w:rsidR="00A12C6E" w:rsidRPr="005F7C34" w:rsidRDefault="00A12C6E">
            <w:pPr>
              <w:spacing w:before="240" w:after="240"/>
              <w:rPr>
                <w:rFonts w:ascii="Arial" w:hAnsi="Arial" w:cs="Arial"/>
                <w:color w:val="222222"/>
              </w:rPr>
            </w:pPr>
            <w:r w:rsidRPr="005F7C34">
              <w:rPr>
                <w:rFonts w:ascii="Arial" w:hAnsi="Arial" w:cs="Arial"/>
                <w:color w:val="222222"/>
              </w:rPr>
              <w:t>201–400</w:t>
            </w:r>
          </w:p>
        </w:tc>
        <w:tc>
          <w:tcPr>
            <w:tcW w:w="0" w:type="auto"/>
            <w:tcBorders>
              <w:top w:val="single" w:sz="6" w:space="0" w:color="A2A9B1"/>
              <w:left w:val="single" w:sz="6" w:space="0" w:color="A2A9B1"/>
              <w:bottom w:val="single" w:sz="6" w:space="0" w:color="A2A9B1"/>
              <w:right w:val="single" w:sz="6" w:space="0" w:color="A2A9B1"/>
            </w:tcBorders>
            <w:shd w:val="clear" w:color="auto" w:fill="66CC00"/>
            <w:tcMar>
              <w:top w:w="48" w:type="dxa"/>
              <w:left w:w="96" w:type="dxa"/>
              <w:bottom w:w="48" w:type="dxa"/>
              <w:right w:w="96" w:type="dxa"/>
            </w:tcMar>
            <w:vAlign w:val="center"/>
            <w:hideMark/>
          </w:tcPr>
          <w:p w14:paraId="01BC1958" w14:textId="77777777" w:rsidR="00A12C6E" w:rsidRPr="005F7C34" w:rsidRDefault="00A12C6E">
            <w:pPr>
              <w:spacing w:before="240" w:after="240"/>
              <w:rPr>
                <w:rFonts w:ascii="Arial" w:hAnsi="Arial" w:cs="Arial"/>
                <w:color w:val="222222"/>
              </w:rPr>
            </w:pPr>
            <w:r w:rsidRPr="005F7C34">
              <w:rPr>
                <w:rFonts w:ascii="Arial" w:hAnsi="Arial" w:cs="Arial"/>
                <w:color w:val="222222"/>
              </w:rPr>
              <w:t>0.5–1.0</w:t>
            </w:r>
          </w:p>
        </w:tc>
      </w:tr>
      <w:tr w:rsidR="005F7C34" w:rsidRPr="005F7C34" w14:paraId="24D1297A" w14:textId="77777777" w:rsidTr="00A12C6E">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AC11D18" w14:textId="77777777" w:rsidR="00A12C6E" w:rsidRPr="005F7C34" w:rsidRDefault="00A12C6E">
            <w:pPr>
              <w:spacing w:before="240" w:after="240"/>
              <w:rPr>
                <w:rFonts w:ascii="Arial" w:hAnsi="Arial" w:cs="Arial"/>
                <w:color w:val="222222"/>
              </w:rPr>
            </w:pPr>
            <w:r w:rsidRPr="005F7C34">
              <w:rPr>
                <w:rFonts w:ascii="Arial" w:hAnsi="Arial" w:cs="Arial"/>
                <w:color w:val="222222"/>
              </w:rPr>
              <w:t>Moderately polluted (101–200)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4D85E8C0" w14:textId="77777777" w:rsidR="00A12C6E" w:rsidRPr="005F7C34" w:rsidRDefault="00A12C6E">
            <w:pPr>
              <w:spacing w:before="240" w:after="240"/>
              <w:rPr>
                <w:rFonts w:ascii="Arial" w:hAnsi="Arial" w:cs="Arial"/>
                <w:color w:val="222222"/>
              </w:rPr>
            </w:pPr>
            <w:r w:rsidRPr="005F7C34">
              <w:rPr>
                <w:rFonts w:ascii="Arial" w:hAnsi="Arial" w:cs="Arial"/>
                <w:color w:val="222222"/>
              </w:rPr>
              <w:t>101–250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53EEF15" w14:textId="77777777" w:rsidR="00A12C6E" w:rsidRPr="005F7C34" w:rsidRDefault="00A12C6E">
            <w:pPr>
              <w:spacing w:before="240" w:after="240"/>
              <w:rPr>
                <w:rFonts w:ascii="Arial" w:hAnsi="Arial" w:cs="Arial"/>
                <w:color w:val="222222"/>
              </w:rPr>
            </w:pPr>
            <w:r w:rsidRPr="005F7C34">
              <w:rPr>
                <w:rFonts w:ascii="Arial" w:hAnsi="Arial" w:cs="Arial"/>
                <w:color w:val="222222"/>
              </w:rPr>
              <w:t>61–90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7A66D097" w14:textId="77777777" w:rsidR="00A12C6E" w:rsidRPr="005F7C34" w:rsidRDefault="00A12C6E">
            <w:pPr>
              <w:spacing w:before="240" w:after="240"/>
              <w:rPr>
                <w:rFonts w:ascii="Arial" w:hAnsi="Arial" w:cs="Arial"/>
                <w:color w:val="222222"/>
              </w:rPr>
            </w:pPr>
            <w:r w:rsidRPr="005F7C34">
              <w:rPr>
                <w:rFonts w:ascii="Arial" w:hAnsi="Arial" w:cs="Arial"/>
                <w:color w:val="222222"/>
              </w:rPr>
              <w:t>81–180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55D3A7F" w14:textId="77777777" w:rsidR="00A12C6E" w:rsidRPr="005F7C34" w:rsidRDefault="00A12C6E">
            <w:pPr>
              <w:spacing w:before="240" w:after="240"/>
              <w:rPr>
                <w:rFonts w:ascii="Arial" w:hAnsi="Arial" w:cs="Arial"/>
                <w:color w:val="222222"/>
              </w:rPr>
            </w:pPr>
            <w:r w:rsidRPr="005F7C34">
              <w:rPr>
                <w:rFonts w:ascii="Arial" w:hAnsi="Arial" w:cs="Arial"/>
                <w:color w:val="222222"/>
              </w:rPr>
              <w:t>101–168</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749A0DE6" w14:textId="77777777" w:rsidR="00A12C6E" w:rsidRPr="005F7C34" w:rsidRDefault="00A12C6E">
            <w:pPr>
              <w:spacing w:before="240" w:after="240"/>
              <w:rPr>
                <w:rFonts w:ascii="Arial" w:hAnsi="Arial" w:cs="Arial"/>
                <w:color w:val="222222"/>
              </w:rPr>
            </w:pPr>
            <w:r w:rsidRPr="005F7C34">
              <w:rPr>
                <w:rFonts w:ascii="Arial" w:hAnsi="Arial" w:cs="Arial"/>
                <w:color w:val="222222"/>
              </w:rPr>
              <w:t>2.1–10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51422BF" w14:textId="77777777" w:rsidR="00A12C6E" w:rsidRPr="005F7C34" w:rsidRDefault="00A12C6E">
            <w:pPr>
              <w:spacing w:before="240" w:after="240"/>
              <w:rPr>
                <w:rFonts w:ascii="Arial" w:hAnsi="Arial" w:cs="Arial"/>
                <w:color w:val="222222"/>
              </w:rPr>
            </w:pPr>
            <w:r w:rsidRPr="005F7C34">
              <w:rPr>
                <w:rFonts w:ascii="Arial" w:hAnsi="Arial" w:cs="Arial"/>
                <w:color w:val="222222"/>
              </w:rPr>
              <w:t>81–380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0085CC56" w14:textId="77777777" w:rsidR="00A12C6E" w:rsidRPr="005F7C34" w:rsidRDefault="00A12C6E">
            <w:pPr>
              <w:spacing w:before="240" w:after="240"/>
              <w:rPr>
                <w:rFonts w:ascii="Arial" w:hAnsi="Arial" w:cs="Arial"/>
                <w:color w:val="222222"/>
              </w:rPr>
            </w:pPr>
            <w:r w:rsidRPr="005F7C34">
              <w:rPr>
                <w:rFonts w:ascii="Arial" w:hAnsi="Arial" w:cs="Arial"/>
                <w:color w:val="222222"/>
              </w:rPr>
              <w:t>401–800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7FCB5A4" w14:textId="77777777" w:rsidR="00A12C6E" w:rsidRPr="005F7C34" w:rsidRDefault="00A12C6E">
            <w:pPr>
              <w:spacing w:before="240" w:after="240"/>
              <w:rPr>
                <w:rFonts w:ascii="Arial" w:hAnsi="Arial" w:cs="Arial"/>
                <w:color w:val="222222"/>
              </w:rPr>
            </w:pPr>
            <w:r w:rsidRPr="005F7C34">
              <w:rPr>
                <w:rFonts w:ascii="Arial" w:hAnsi="Arial" w:cs="Arial"/>
                <w:color w:val="222222"/>
              </w:rPr>
              <w:t>1.1–2.0</w:t>
            </w:r>
          </w:p>
        </w:tc>
      </w:tr>
      <w:tr w:rsidR="005F7C34" w:rsidRPr="005F7C34" w14:paraId="765CFA52" w14:textId="77777777" w:rsidTr="00A12C6E">
        <w:tc>
          <w:tcPr>
            <w:tcW w:w="0" w:type="auto"/>
            <w:tcBorders>
              <w:top w:val="single" w:sz="6" w:space="0" w:color="A2A9B1"/>
              <w:left w:val="single" w:sz="6" w:space="0" w:color="A2A9B1"/>
              <w:bottom w:val="single" w:sz="6" w:space="0" w:color="A2A9B1"/>
              <w:right w:val="single" w:sz="6" w:space="0" w:color="A2A9B1"/>
            </w:tcBorders>
            <w:shd w:val="clear" w:color="auto" w:fill="FF9900"/>
            <w:tcMar>
              <w:top w:w="48" w:type="dxa"/>
              <w:left w:w="96" w:type="dxa"/>
              <w:bottom w:w="48" w:type="dxa"/>
              <w:right w:w="96" w:type="dxa"/>
            </w:tcMar>
            <w:vAlign w:val="center"/>
            <w:hideMark/>
          </w:tcPr>
          <w:p w14:paraId="0730E495" w14:textId="77777777" w:rsidR="00A12C6E" w:rsidRPr="005F7C34" w:rsidRDefault="00A12C6E">
            <w:pPr>
              <w:spacing w:before="240" w:after="240"/>
              <w:rPr>
                <w:rFonts w:ascii="Arial" w:hAnsi="Arial" w:cs="Arial"/>
                <w:color w:val="222222"/>
              </w:rPr>
            </w:pPr>
            <w:r w:rsidRPr="005F7C34">
              <w:rPr>
                <w:rFonts w:ascii="Arial" w:hAnsi="Arial" w:cs="Arial"/>
                <w:color w:val="222222"/>
              </w:rPr>
              <w:t>Poor (201–300)</w:t>
            </w:r>
          </w:p>
        </w:tc>
        <w:tc>
          <w:tcPr>
            <w:tcW w:w="0" w:type="auto"/>
            <w:tcBorders>
              <w:top w:val="single" w:sz="6" w:space="0" w:color="A2A9B1"/>
              <w:left w:val="single" w:sz="6" w:space="0" w:color="A2A9B1"/>
              <w:bottom w:val="single" w:sz="6" w:space="0" w:color="A2A9B1"/>
              <w:right w:val="single" w:sz="6" w:space="0" w:color="A2A9B1"/>
            </w:tcBorders>
            <w:shd w:val="clear" w:color="auto" w:fill="FF9900"/>
            <w:tcMar>
              <w:top w:w="48" w:type="dxa"/>
              <w:left w:w="96" w:type="dxa"/>
              <w:bottom w:w="48" w:type="dxa"/>
              <w:right w:w="96" w:type="dxa"/>
            </w:tcMar>
            <w:vAlign w:val="center"/>
            <w:hideMark/>
          </w:tcPr>
          <w:p w14:paraId="79BDED3F" w14:textId="77777777" w:rsidR="00A12C6E" w:rsidRPr="005F7C34" w:rsidRDefault="00A12C6E">
            <w:pPr>
              <w:spacing w:before="240" w:after="240"/>
              <w:rPr>
                <w:rFonts w:ascii="Arial" w:hAnsi="Arial" w:cs="Arial"/>
                <w:color w:val="222222"/>
              </w:rPr>
            </w:pPr>
            <w:r w:rsidRPr="005F7C34">
              <w:rPr>
                <w:rFonts w:ascii="Arial" w:hAnsi="Arial" w:cs="Arial"/>
                <w:color w:val="222222"/>
              </w:rPr>
              <w:t>251–350</w:t>
            </w:r>
          </w:p>
        </w:tc>
        <w:tc>
          <w:tcPr>
            <w:tcW w:w="0" w:type="auto"/>
            <w:tcBorders>
              <w:top w:val="single" w:sz="6" w:space="0" w:color="A2A9B1"/>
              <w:left w:val="single" w:sz="6" w:space="0" w:color="A2A9B1"/>
              <w:bottom w:val="single" w:sz="6" w:space="0" w:color="A2A9B1"/>
              <w:right w:val="single" w:sz="6" w:space="0" w:color="A2A9B1"/>
            </w:tcBorders>
            <w:shd w:val="clear" w:color="auto" w:fill="FF9900"/>
            <w:tcMar>
              <w:top w:w="48" w:type="dxa"/>
              <w:left w:w="96" w:type="dxa"/>
              <w:bottom w:w="48" w:type="dxa"/>
              <w:right w:w="96" w:type="dxa"/>
            </w:tcMar>
            <w:vAlign w:val="center"/>
            <w:hideMark/>
          </w:tcPr>
          <w:p w14:paraId="06438C87" w14:textId="77777777" w:rsidR="00A12C6E" w:rsidRPr="005F7C34" w:rsidRDefault="00A12C6E">
            <w:pPr>
              <w:spacing w:before="240" w:after="240"/>
              <w:rPr>
                <w:rFonts w:ascii="Arial" w:hAnsi="Arial" w:cs="Arial"/>
                <w:color w:val="222222"/>
              </w:rPr>
            </w:pPr>
            <w:r w:rsidRPr="005F7C34">
              <w:rPr>
                <w:rFonts w:ascii="Arial" w:hAnsi="Arial" w:cs="Arial"/>
                <w:color w:val="222222"/>
              </w:rPr>
              <w:t>91–120</w:t>
            </w:r>
          </w:p>
        </w:tc>
        <w:tc>
          <w:tcPr>
            <w:tcW w:w="0" w:type="auto"/>
            <w:tcBorders>
              <w:top w:val="single" w:sz="6" w:space="0" w:color="A2A9B1"/>
              <w:left w:val="single" w:sz="6" w:space="0" w:color="A2A9B1"/>
              <w:bottom w:val="single" w:sz="6" w:space="0" w:color="A2A9B1"/>
              <w:right w:val="single" w:sz="6" w:space="0" w:color="A2A9B1"/>
            </w:tcBorders>
            <w:shd w:val="clear" w:color="auto" w:fill="FF9900"/>
            <w:tcMar>
              <w:top w:w="48" w:type="dxa"/>
              <w:left w:w="96" w:type="dxa"/>
              <w:bottom w:w="48" w:type="dxa"/>
              <w:right w:w="96" w:type="dxa"/>
            </w:tcMar>
            <w:vAlign w:val="center"/>
            <w:hideMark/>
          </w:tcPr>
          <w:p w14:paraId="6872D1DC" w14:textId="77777777" w:rsidR="00A12C6E" w:rsidRPr="005F7C34" w:rsidRDefault="00A12C6E">
            <w:pPr>
              <w:spacing w:before="240" w:after="240"/>
              <w:rPr>
                <w:rFonts w:ascii="Arial" w:hAnsi="Arial" w:cs="Arial"/>
                <w:color w:val="222222"/>
              </w:rPr>
            </w:pPr>
            <w:r w:rsidRPr="005F7C34">
              <w:rPr>
                <w:rFonts w:ascii="Arial" w:hAnsi="Arial" w:cs="Arial"/>
                <w:color w:val="222222"/>
              </w:rPr>
              <w:t>181–280</w:t>
            </w:r>
          </w:p>
        </w:tc>
        <w:tc>
          <w:tcPr>
            <w:tcW w:w="0" w:type="auto"/>
            <w:tcBorders>
              <w:top w:val="single" w:sz="6" w:space="0" w:color="A2A9B1"/>
              <w:left w:val="single" w:sz="6" w:space="0" w:color="A2A9B1"/>
              <w:bottom w:val="single" w:sz="6" w:space="0" w:color="A2A9B1"/>
              <w:right w:val="single" w:sz="6" w:space="0" w:color="A2A9B1"/>
            </w:tcBorders>
            <w:shd w:val="clear" w:color="auto" w:fill="FF9900"/>
            <w:tcMar>
              <w:top w:w="48" w:type="dxa"/>
              <w:left w:w="96" w:type="dxa"/>
              <w:bottom w:w="48" w:type="dxa"/>
              <w:right w:w="96" w:type="dxa"/>
            </w:tcMar>
            <w:vAlign w:val="center"/>
            <w:hideMark/>
          </w:tcPr>
          <w:p w14:paraId="17E9D551" w14:textId="77777777" w:rsidR="00A12C6E" w:rsidRPr="005F7C34" w:rsidRDefault="00A12C6E">
            <w:pPr>
              <w:spacing w:before="240" w:after="240"/>
              <w:rPr>
                <w:rFonts w:ascii="Arial" w:hAnsi="Arial" w:cs="Arial"/>
                <w:color w:val="222222"/>
              </w:rPr>
            </w:pPr>
            <w:r w:rsidRPr="005F7C34">
              <w:rPr>
                <w:rFonts w:ascii="Arial" w:hAnsi="Arial" w:cs="Arial"/>
                <w:color w:val="222222"/>
              </w:rPr>
              <w:t>169–208</w:t>
            </w:r>
          </w:p>
        </w:tc>
        <w:tc>
          <w:tcPr>
            <w:tcW w:w="0" w:type="auto"/>
            <w:tcBorders>
              <w:top w:val="single" w:sz="6" w:space="0" w:color="A2A9B1"/>
              <w:left w:val="single" w:sz="6" w:space="0" w:color="A2A9B1"/>
              <w:bottom w:val="single" w:sz="6" w:space="0" w:color="A2A9B1"/>
              <w:right w:val="single" w:sz="6" w:space="0" w:color="A2A9B1"/>
            </w:tcBorders>
            <w:shd w:val="clear" w:color="auto" w:fill="FF9900"/>
            <w:tcMar>
              <w:top w:w="48" w:type="dxa"/>
              <w:left w:w="96" w:type="dxa"/>
              <w:bottom w:w="48" w:type="dxa"/>
              <w:right w:w="96" w:type="dxa"/>
            </w:tcMar>
            <w:vAlign w:val="center"/>
            <w:hideMark/>
          </w:tcPr>
          <w:p w14:paraId="00A94997" w14:textId="77777777" w:rsidR="00A12C6E" w:rsidRPr="005F7C34" w:rsidRDefault="00A12C6E">
            <w:pPr>
              <w:spacing w:before="240" w:after="240"/>
              <w:rPr>
                <w:rFonts w:ascii="Arial" w:hAnsi="Arial" w:cs="Arial"/>
                <w:color w:val="222222"/>
              </w:rPr>
            </w:pPr>
            <w:r w:rsidRPr="005F7C34">
              <w:rPr>
                <w:rFonts w:ascii="Arial" w:hAnsi="Arial" w:cs="Arial"/>
                <w:color w:val="222222"/>
              </w:rPr>
              <w:t>10–17</w:t>
            </w:r>
          </w:p>
        </w:tc>
        <w:tc>
          <w:tcPr>
            <w:tcW w:w="0" w:type="auto"/>
            <w:tcBorders>
              <w:top w:val="single" w:sz="6" w:space="0" w:color="A2A9B1"/>
              <w:left w:val="single" w:sz="6" w:space="0" w:color="A2A9B1"/>
              <w:bottom w:val="single" w:sz="6" w:space="0" w:color="A2A9B1"/>
              <w:right w:val="single" w:sz="6" w:space="0" w:color="A2A9B1"/>
            </w:tcBorders>
            <w:shd w:val="clear" w:color="auto" w:fill="FF9900"/>
            <w:tcMar>
              <w:top w:w="48" w:type="dxa"/>
              <w:left w:w="96" w:type="dxa"/>
              <w:bottom w:w="48" w:type="dxa"/>
              <w:right w:w="96" w:type="dxa"/>
            </w:tcMar>
            <w:vAlign w:val="center"/>
            <w:hideMark/>
          </w:tcPr>
          <w:p w14:paraId="7978CC11" w14:textId="77777777" w:rsidR="00A12C6E" w:rsidRPr="005F7C34" w:rsidRDefault="00A12C6E">
            <w:pPr>
              <w:spacing w:before="240" w:after="240"/>
              <w:rPr>
                <w:rFonts w:ascii="Arial" w:hAnsi="Arial" w:cs="Arial"/>
                <w:color w:val="222222"/>
              </w:rPr>
            </w:pPr>
            <w:r w:rsidRPr="005F7C34">
              <w:rPr>
                <w:rFonts w:ascii="Arial" w:hAnsi="Arial" w:cs="Arial"/>
                <w:color w:val="222222"/>
              </w:rPr>
              <w:t>381–800</w:t>
            </w:r>
          </w:p>
        </w:tc>
        <w:tc>
          <w:tcPr>
            <w:tcW w:w="0" w:type="auto"/>
            <w:tcBorders>
              <w:top w:val="single" w:sz="6" w:space="0" w:color="A2A9B1"/>
              <w:left w:val="single" w:sz="6" w:space="0" w:color="A2A9B1"/>
              <w:bottom w:val="single" w:sz="6" w:space="0" w:color="A2A9B1"/>
              <w:right w:val="single" w:sz="6" w:space="0" w:color="A2A9B1"/>
            </w:tcBorders>
            <w:shd w:val="clear" w:color="auto" w:fill="FF9900"/>
            <w:tcMar>
              <w:top w:w="48" w:type="dxa"/>
              <w:left w:w="96" w:type="dxa"/>
              <w:bottom w:w="48" w:type="dxa"/>
              <w:right w:w="96" w:type="dxa"/>
            </w:tcMar>
            <w:vAlign w:val="center"/>
            <w:hideMark/>
          </w:tcPr>
          <w:p w14:paraId="2A399A72" w14:textId="77777777" w:rsidR="00A12C6E" w:rsidRPr="005F7C34" w:rsidRDefault="00A12C6E">
            <w:pPr>
              <w:spacing w:before="240" w:after="240"/>
              <w:rPr>
                <w:rFonts w:ascii="Arial" w:hAnsi="Arial" w:cs="Arial"/>
                <w:color w:val="222222"/>
              </w:rPr>
            </w:pPr>
            <w:r w:rsidRPr="005F7C34">
              <w:rPr>
                <w:rFonts w:ascii="Arial" w:hAnsi="Arial" w:cs="Arial"/>
                <w:color w:val="222222"/>
              </w:rPr>
              <w:t>801–1200</w:t>
            </w:r>
          </w:p>
        </w:tc>
        <w:tc>
          <w:tcPr>
            <w:tcW w:w="0" w:type="auto"/>
            <w:tcBorders>
              <w:top w:val="single" w:sz="6" w:space="0" w:color="A2A9B1"/>
              <w:left w:val="single" w:sz="6" w:space="0" w:color="A2A9B1"/>
              <w:bottom w:val="single" w:sz="6" w:space="0" w:color="A2A9B1"/>
              <w:right w:val="single" w:sz="6" w:space="0" w:color="A2A9B1"/>
            </w:tcBorders>
            <w:shd w:val="clear" w:color="auto" w:fill="FF9900"/>
            <w:tcMar>
              <w:top w:w="48" w:type="dxa"/>
              <w:left w:w="96" w:type="dxa"/>
              <w:bottom w:w="48" w:type="dxa"/>
              <w:right w:w="96" w:type="dxa"/>
            </w:tcMar>
            <w:vAlign w:val="center"/>
            <w:hideMark/>
          </w:tcPr>
          <w:p w14:paraId="7EE6C693" w14:textId="77777777" w:rsidR="00A12C6E" w:rsidRPr="005F7C34" w:rsidRDefault="00A12C6E">
            <w:pPr>
              <w:spacing w:before="240" w:after="240"/>
              <w:rPr>
                <w:rFonts w:ascii="Arial" w:hAnsi="Arial" w:cs="Arial"/>
                <w:color w:val="222222"/>
              </w:rPr>
            </w:pPr>
            <w:r w:rsidRPr="005F7C34">
              <w:rPr>
                <w:rFonts w:ascii="Arial" w:hAnsi="Arial" w:cs="Arial"/>
                <w:color w:val="222222"/>
              </w:rPr>
              <w:t>2.1–3.0</w:t>
            </w:r>
          </w:p>
        </w:tc>
      </w:tr>
      <w:tr w:rsidR="005F7C34" w:rsidRPr="005F7C34" w14:paraId="4CA58E8C" w14:textId="77777777" w:rsidTr="00A12C6E">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14:paraId="67FC24FB" w14:textId="77777777" w:rsidR="00A12C6E" w:rsidRPr="005F7C34" w:rsidRDefault="00A12C6E">
            <w:pPr>
              <w:spacing w:before="240" w:after="240"/>
              <w:rPr>
                <w:rFonts w:ascii="Arial" w:hAnsi="Arial" w:cs="Arial"/>
                <w:color w:val="222222"/>
              </w:rPr>
            </w:pPr>
            <w:r w:rsidRPr="005F7C34">
              <w:rPr>
                <w:rFonts w:ascii="Arial" w:hAnsi="Arial" w:cs="Arial"/>
                <w:color w:val="222222"/>
              </w:rPr>
              <w:t>Very poor (301–400)</w:t>
            </w:r>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14:paraId="4F23A180" w14:textId="77777777" w:rsidR="00A12C6E" w:rsidRPr="005F7C34" w:rsidRDefault="00A12C6E">
            <w:pPr>
              <w:spacing w:before="240" w:after="240"/>
              <w:rPr>
                <w:rFonts w:ascii="Arial" w:hAnsi="Arial" w:cs="Arial"/>
                <w:color w:val="222222"/>
              </w:rPr>
            </w:pPr>
            <w:r w:rsidRPr="005F7C34">
              <w:rPr>
                <w:rFonts w:ascii="Arial" w:hAnsi="Arial" w:cs="Arial"/>
                <w:color w:val="222222"/>
              </w:rPr>
              <w:t>351–430</w:t>
            </w:r>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14:paraId="24F7900E" w14:textId="77777777" w:rsidR="00A12C6E" w:rsidRPr="005F7C34" w:rsidRDefault="00A12C6E">
            <w:pPr>
              <w:spacing w:before="240" w:after="240"/>
              <w:rPr>
                <w:rFonts w:ascii="Arial" w:hAnsi="Arial" w:cs="Arial"/>
                <w:color w:val="222222"/>
              </w:rPr>
            </w:pPr>
            <w:r w:rsidRPr="005F7C34">
              <w:rPr>
                <w:rFonts w:ascii="Arial" w:hAnsi="Arial" w:cs="Arial"/>
                <w:color w:val="222222"/>
              </w:rPr>
              <w:t>121–250</w:t>
            </w:r>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14:paraId="485E39C9" w14:textId="77777777" w:rsidR="00A12C6E" w:rsidRPr="005F7C34" w:rsidRDefault="00A12C6E">
            <w:pPr>
              <w:spacing w:before="240" w:after="240"/>
              <w:rPr>
                <w:rFonts w:ascii="Arial" w:hAnsi="Arial" w:cs="Arial"/>
                <w:color w:val="222222"/>
              </w:rPr>
            </w:pPr>
            <w:r w:rsidRPr="005F7C34">
              <w:rPr>
                <w:rFonts w:ascii="Arial" w:hAnsi="Arial" w:cs="Arial"/>
                <w:color w:val="222222"/>
              </w:rPr>
              <w:t>281–400</w:t>
            </w:r>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14:paraId="61DB9F8C" w14:textId="77777777" w:rsidR="00A12C6E" w:rsidRPr="005F7C34" w:rsidRDefault="00A12C6E">
            <w:pPr>
              <w:spacing w:before="240" w:after="240"/>
              <w:rPr>
                <w:rFonts w:ascii="Arial" w:hAnsi="Arial" w:cs="Arial"/>
                <w:color w:val="222222"/>
              </w:rPr>
            </w:pPr>
            <w:r w:rsidRPr="005F7C34">
              <w:rPr>
                <w:rFonts w:ascii="Arial" w:hAnsi="Arial" w:cs="Arial"/>
                <w:color w:val="222222"/>
              </w:rPr>
              <w:t>209–748</w:t>
            </w:r>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14:paraId="41849B4C" w14:textId="77777777" w:rsidR="00A12C6E" w:rsidRPr="005F7C34" w:rsidRDefault="00A12C6E">
            <w:pPr>
              <w:spacing w:before="240" w:after="240"/>
              <w:rPr>
                <w:rFonts w:ascii="Arial" w:hAnsi="Arial" w:cs="Arial"/>
                <w:color w:val="222222"/>
              </w:rPr>
            </w:pPr>
            <w:r w:rsidRPr="005F7C34">
              <w:rPr>
                <w:rFonts w:ascii="Arial" w:hAnsi="Arial" w:cs="Arial"/>
                <w:color w:val="222222"/>
              </w:rPr>
              <w:t>17–34</w:t>
            </w:r>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14:paraId="1746797F" w14:textId="77777777" w:rsidR="00A12C6E" w:rsidRPr="005F7C34" w:rsidRDefault="00A12C6E">
            <w:pPr>
              <w:spacing w:before="240" w:after="240"/>
              <w:rPr>
                <w:rFonts w:ascii="Arial" w:hAnsi="Arial" w:cs="Arial"/>
                <w:color w:val="222222"/>
              </w:rPr>
            </w:pPr>
            <w:r w:rsidRPr="005F7C34">
              <w:rPr>
                <w:rFonts w:ascii="Arial" w:hAnsi="Arial" w:cs="Arial"/>
                <w:color w:val="222222"/>
              </w:rPr>
              <w:t>801–1600</w:t>
            </w:r>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14:paraId="05AFAA2C" w14:textId="77777777" w:rsidR="00A12C6E" w:rsidRPr="005F7C34" w:rsidRDefault="00A12C6E">
            <w:pPr>
              <w:spacing w:before="240" w:after="240"/>
              <w:rPr>
                <w:rFonts w:ascii="Arial" w:hAnsi="Arial" w:cs="Arial"/>
                <w:color w:val="222222"/>
              </w:rPr>
            </w:pPr>
            <w:r w:rsidRPr="005F7C34">
              <w:rPr>
                <w:rFonts w:ascii="Arial" w:hAnsi="Arial" w:cs="Arial"/>
                <w:color w:val="222222"/>
              </w:rPr>
              <w:t>1200–1800</w:t>
            </w:r>
          </w:p>
        </w:tc>
        <w:tc>
          <w:tcPr>
            <w:tcW w:w="0" w:type="auto"/>
            <w:tcBorders>
              <w:top w:val="single" w:sz="6" w:space="0" w:color="A2A9B1"/>
              <w:left w:val="single" w:sz="6" w:space="0" w:color="A2A9B1"/>
              <w:bottom w:val="single" w:sz="6" w:space="0" w:color="A2A9B1"/>
              <w:right w:val="single" w:sz="6" w:space="0" w:color="A2A9B1"/>
            </w:tcBorders>
            <w:shd w:val="clear" w:color="auto" w:fill="FF0000"/>
            <w:tcMar>
              <w:top w:w="48" w:type="dxa"/>
              <w:left w:w="96" w:type="dxa"/>
              <w:bottom w:w="48" w:type="dxa"/>
              <w:right w:w="96" w:type="dxa"/>
            </w:tcMar>
            <w:vAlign w:val="center"/>
            <w:hideMark/>
          </w:tcPr>
          <w:p w14:paraId="3F2013D4" w14:textId="77777777" w:rsidR="00A12C6E" w:rsidRPr="005F7C34" w:rsidRDefault="00A12C6E">
            <w:pPr>
              <w:spacing w:before="240" w:after="240"/>
              <w:rPr>
                <w:rFonts w:ascii="Arial" w:hAnsi="Arial" w:cs="Arial"/>
                <w:color w:val="222222"/>
              </w:rPr>
            </w:pPr>
            <w:r w:rsidRPr="005F7C34">
              <w:rPr>
                <w:rFonts w:ascii="Arial" w:hAnsi="Arial" w:cs="Arial"/>
                <w:color w:val="222222"/>
              </w:rPr>
              <w:t>3.1–3.5</w:t>
            </w:r>
          </w:p>
        </w:tc>
      </w:tr>
      <w:tr w:rsidR="005F7C34" w:rsidRPr="005F7C34" w14:paraId="1EB0E9E5" w14:textId="77777777" w:rsidTr="00A12C6E">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065A653C" w14:textId="77777777" w:rsidR="00A12C6E" w:rsidRPr="005F7C34" w:rsidRDefault="00A12C6E">
            <w:pPr>
              <w:spacing w:before="240" w:after="240"/>
              <w:rPr>
                <w:rFonts w:ascii="Arial" w:hAnsi="Arial" w:cs="Arial"/>
                <w:color w:val="222222"/>
              </w:rPr>
            </w:pPr>
            <w:r w:rsidRPr="005F7C34">
              <w:rPr>
                <w:rFonts w:ascii="Arial" w:hAnsi="Arial" w:cs="Arial"/>
                <w:color w:val="222222"/>
              </w:rPr>
              <w:t>Severe (401–500)</w:t>
            </w:r>
          </w:p>
        </w:tc>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54EA5024" w14:textId="77777777" w:rsidR="00A12C6E" w:rsidRPr="005F7C34" w:rsidRDefault="00A12C6E">
            <w:pPr>
              <w:spacing w:before="240" w:after="240"/>
              <w:rPr>
                <w:rFonts w:ascii="Arial" w:hAnsi="Arial" w:cs="Arial"/>
                <w:color w:val="222222"/>
              </w:rPr>
            </w:pPr>
            <w:r w:rsidRPr="005F7C34">
              <w:rPr>
                <w:rFonts w:ascii="Arial" w:hAnsi="Arial" w:cs="Arial"/>
                <w:color w:val="222222"/>
              </w:rPr>
              <w:t>430+</w:t>
            </w:r>
          </w:p>
        </w:tc>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3C114866" w14:textId="77777777" w:rsidR="00A12C6E" w:rsidRPr="005F7C34" w:rsidRDefault="00A12C6E">
            <w:pPr>
              <w:spacing w:before="240" w:after="240"/>
              <w:rPr>
                <w:rFonts w:ascii="Arial" w:hAnsi="Arial" w:cs="Arial"/>
                <w:color w:val="222222"/>
              </w:rPr>
            </w:pPr>
            <w:r w:rsidRPr="005F7C34">
              <w:rPr>
                <w:rFonts w:ascii="Arial" w:hAnsi="Arial" w:cs="Arial"/>
                <w:color w:val="222222"/>
              </w:rPr>
              <w:t>250+</w:t>
            </w:r>
          </w:p>
        </w:tc>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7E134A4A" w14:textId="77777777" w:rsidR="00A12C6E" w:rsidRPr="005F7C34" w:rsidRDefault="00A12C6E">
            <w:pPr>
              <w:spacing w:before="240" w:after="240"/>
              <w:rPr>
                <w:rFonts w:ascii="Arial" w:hAnsi="Arial" w:cs="Arial"/>
                <w:color w:val="222222"/>
              </w:rPr>
            </w:pPr>
            <w:r w:rsidRPr="005F7C34">
              <w:rPr>
                <w:rFonts w:ascii="Arial" w:hAnsi="Arial" w:cs="Arial"/>
                <w:color w:val="222222"/>
              </w:rPr>
              <w:t>400+</w:t>
            </w:r>
          </w:p>
        </w:tc>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451605E6" w14:textId="77777777" w:rsidR="00A12C6E" w:rsidRPr="005F7C34" w:rsidRDefault="00A12C6E">
            <w:pPr>
              <w:spacing w:before="240" w:after="240"/>
              <w:rPr>
                <w:rFonts w:ascii="Arial" w:hAnsi="Arial" w:cs="Arial"/>
                <w:color w:val="222222"/>
              </w:rPr>
            </w:pPr>
            <w:r w:rsidRPr="005F7C34">
              <w:rPr>
                <w:rFonts w:ascii="Arial" w:hAnsi="Arial" w:cs="Arial"/>
                <w:color w:val="222222"/>
              </w:rPr>
              <w:t>748+</w:t>
            </w:r>
          </w:p>
        </w:tc>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78ED1CB2" w14:textId="77777777" w:rsidR="00A12C6E" w:rsidRPr="005F7C34" w:rsidRDefault="00A12C6E">
            <w:pPr>
              <w:spacing w:before="240" w:after="240"/>
              <w:rPr>
                <w:rFonts w:ascii="Arial" w:hAnsi="Arial" w:cs="Arial"/>
                <w:color w:val="222222"/>
              </w:rPr>
            </w:pPr>
            <w:r w:rsidRPr="005F7C34">
              <w:rPr>
                <w:rFonts w:ascii="Arial" w:hAnsi="Arial" w:cs="Arial"/>
                <w:color w:val="222222"/>
              </w:rPr>
              <w:t>34+</w:t>
            </w:r>
          </w:p>
        </w:tc>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3B72D831" w14:textId="77777777" w:rsidR="00A12C6E" w:rsidRPr="005F7C34" w:rsidRDefault="00A12C6E">
            <w:pPr>
              <w:spacing w:before="240" w:after="240"/>
              <w:rPr>
                <w:rFonts w:ascii="Arial" w:hAnsi="Arial" w:cs="Arial"/>
                <w:color w:val="222222"/>
              </w:rPr>
            </w:pPr>
            <w:r w:rsidRPr="005F7C34">
              <w:rPr>
                <w:rFonts w:ascii="Arial" w:hAnsi="Arial" w:cs="Arial"/>
                <w:color w:val="222222"/>
              </w:rPr>
              <w:t>1600+</w:t>
            </w:r>
          </w:p>
        </w:tc>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3FDCAFA2" w14:textId="77777777" w:rsidR="00A12C6E" w:rsidRPr="005F7C34" w:rsidRDefault="00A12C6E">
            <w:pPr>
              <w:spacing w:before="240" w:after="240"/>
              <w:rPr>
                <w:rFonts w:ascii="Arial" w:hAnsi="Arial" w:cs="Arial"/>
                <w:color w:val="222222"/>
              </w:rPr>
            </w:pPr>
            <w:r w:rsidRPr="005F7C34">
              <w:rPr>
                <w:rFonts w:ascii="Arial" w:hAnsi="Arial" w:cs="Arial"/>
                <w:color w:val="222222"/>
              </w:rPr>
              <w:t>1800+</w:t>
            </w:r>
          </w:p>
        </w:tc>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104ABFE8" w14:textId="77777777" w:rsidR="00A12C6E" w:rsidRPr="005F7C34" w:rsidRDefault="00A12C6E">
            <w:pPr>
              <w:spacing w:before="240" w:after="240"/>
              <w:rPr>
                <w:rFonts w:ascii="Arial" w:hAnsi="Arial" w:cs="Arial"/>
                <w:color w:val="222222"/>
              </w:rPr>
            </w:pPr>
            <w:r w:rsidRPr="005F7C34">
              <w:rPr>
                <w:rFonts w:ascii="Arial" w:hAnsi="Arial" w:cs="Arial"/>
                <w:color w:val="222222"/>
              </w:rPr>
              <w:t>3.5+</w:t>
            </w:r>
          </w:p>
        </w:tc>
      </w:tr>
    </w:tbl>
    <w:p w14:paraId="0409BC07" w14:textId="77777777" w:rsidR="00A12C6E" w:rsidRPr="005F7C34" w:rsidRDefault="00A12C6E" w:rsidP="00A12C6E">
      <w:pPr>
        <w:rPr>
          <w:rFonts w:ascii="Arial" w:hAnsi="Arial" w:cs="Arial"/>
          <w:vanish/>
        </w:rPr>
      </w:pPr>
    </w:p>
    <w:p w14:paraId="59C26892" w14:textId="2D8E8A51" w:rsidR="00A12C6E" w:rsidRPr="005F7C34" w:rsidRDefault="00A12C6E">
      <w:pPr>
        <w:rPr>
          <w:rFonts w:ascii="Arial" w:hAnsi="Arial" w:cs="Arial"/>
          <w:color w:val="222222"/>
          <w:shd w:val="clear" w:color="auto" w:fill="FFFFFF"/>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77"/>
        <w:gridCol w:w="8373"/>
      </w:tblGrid>
      <w:tr w:rsidR="00431AB4" w:rsidRPr="00431AB4" w14:paraId="0797899F" w14:textId="77777777" w:rsidTr="00431A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AD4C22" w14:textId="77777777" w:rsidR="00431AB4" w:rsidRPr="00431AB4" w:rsidRDefault="00431AB4" w:rsidP="00431AB4">
            <w:pPr>
              <w:spacing w:before="240" w:after="240" w:line="240" w:lineRule="auto"/>
              <w:jc w:val="center"/>
              <w:rPr>
                <w:rFonts w:ascii="Arial" w:eastAsia="Times New Roman" w:hAnsi="Arial" w:cs="Arial"/>
                <w:b/>
                <w:bCs/>
                <w:color w:val="222222"/>
                <w:lang w:eastAsia="en-IN"/>
              </w:rPr>
            </w:pPr>
            <w:r w:rsidRPr="00431AB4">
              <w:rPr>
                <w:rFonts w:ascii="Arial" w:eastAsia="Times New Roman" w:hAnsi="Arial" w:cs="Arial"/>
                <w:b/>
                <w:bCs/>
                <w:color w:val="222222"/>
                <w:lang w:eastAsia="en-IN"/>
              </w:rPr>
              <w:t>AQI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4E9ADA" w14:textId="77777777" w:rsidR="00431AB4" w:rsidRPr="00431AB4" w:rsidRDefault="00431AB4" w:rsidP="00431AB4">
            <w:pPr>
              <w:spacing w:before="240" w:after="240" w:line="240" w:lineRule="auto"/>
              <w:jc w:val="center"/>
              <w:rPr>
                <w:rFonts w:ascii="Arial" w:eastAsia="Times New Roman" w:hAnsi="Arial" w:cs="Arial"/>
                <w:b/>
                <w:bCs/>
                <w:color w:val="222222"/>
                <w:lang w:eastAsia="en-IN"/>
              </w:rPr>
            </w:pPr>
            <w:r w:rsidRPr="00431AB4">
              <w:rPr>
                <w:rFonts w:ascii="Arial" w:eastAsia="Times New Roman" w:hAnsi="Arial" w:cs="Arial"/>
                <w:b/>
                <w:bCs/>
                <w:color w:val="222222"/>
                <w:lang w:eastAsia="en-IN"/>
              </w:rPr>
              <w:t>Associated Health Impacts</w:t>
            </w:r>
          </w:p>
        </w:tc>
      </w:tr>
      <w:tr w:rsidR="00431AB4" w:rsidRPr="00431AB4" w14:paraId="0B7A4911" w14:textId="77777777" w:rsidTr="00431AB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745DE"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Good (0–50)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03CD2"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Minimal impact</w:t>
            </w:r>
          </w:p>
        </w:tc>
      </w:tr>
      <w:tr w:rsidR="00431AB4" w:rsidRPr="00431AB4" w14:paraId="3A1C1E95" w14:textId="77777777" w:rsidTr="00431AB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51BF8E"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Satisfactory (51–100)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E9522"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May cause minor breathing discomfort to sensitive people.</w:t>
            </w:r>
          </w:p>
        </w:tc>
      </w:tr>
      <w:tr w:rsidR="00431AB4" w:rsidRPr="00431AB4" w14:paraId="68B0EC44" w14:textId="77777777" w:rsidTr="00431AB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CDFCE3"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Moderately polluted (101–200)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B8A98"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May cause breathing discomfort to people with lung disease such as asthma, and discomfort to people with heart disease, children and older adults.</w:t>
            </w:r>
          </w:p>
        </w:tc>
      </w:tr>
      <w:tr w:rsidR="00431AB4" w:rsidRPr="00431AB4" w14:paraId="779C7C4D" w14:textId="77777777" w:rsidTr="00431AB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4E111"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Poor (201–300)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B2663"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May cause breathing discomfort to people on prolonged exposure, and discomfort to people with heart disease.</w:t>
            </w:r>
          </w:p>
        </w:tc>
      </w:tr>
      <w:tr w:rsidR="00431AB4" w:rsidRPr="00431AB4" w14:paraId="055E1C50" w14:textId="77777777" w:rsidTr="00431AB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99C18"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lastRenderedPageBreak/>
              <w:t>Very poor (301–400)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623F5"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May cause respiratory illness to the people on prolonged exposure. Effect may be more pronounced in people with lung and heart diseases.</w:t>
            </w:r>
          </w:p>
        </w:tc>
      </w:tr>
      <w:tr w:rsidR="00431AB4" w:rsidRPr="00431AB4" w14:paraId="73FB5D02" w14:textId="77777777" w:rsidTr="00431AB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0E648"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Severe (401–500)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F1AFE" w14:textId="77777777" w:rsidR="00431AB4" w:rsidRPr="00431AB4" w:rsidRDefault="00431AB4" w:rsidP="00431AB4">
            <w:pPr>
              <w:spacing w:before="240" w:after="240" w:line="240" w:lineRule="auto"/>
              <w:rPr>
                <w:rFonts w:ascii="Arial" w:eastAsia="Times New Roman" w:hAnsi="Arial" w:cs="Arial"/>
                <w:color w:val="222222"/>
                <w:lang w:eastAsia="en-IN"/>
              </w:rPr>
            </w:pPr>
            <w:r w:rsidRPr="00431AB4">
              <w:rPr>
                <w:rFonts w:ascii="Arial" w:eastAsia="Times New Roman" w:hAnsi="Arial" w:cs="Arial"/>
                <w:color w:val="222222"/>
                <w:lang w:eastAsia="en-IN"/>
              </w:rPr>
              <w:t>May cause respiratory impact even on healthy people, and serious health impacts on people with lung/heart disease. The health impacts may be experienced even during light physical activity.</w:t>
            </w:r>
          </w:p>
        </w:tc>
      </w:tr>
    </w:tbl>
    <w:p w14:paraId="148488B5" w14:textId="77777777" w:rsidR="00431AB4" w:rsidRPr="005F7C34" w:rsidRDefault="00431AB4">
      <w:pPr>
        <w:rPr>
          <w:rFonts w:ascii="Arial" w:hAnsi="Arial" w:cs="Arial"/>
          <w:color w:val="222222"/>
          <w:shd w:val="clear" w:color="auto" w:fill="FFFFFF"/>
        </w:rPr>
      </w:pPr>
    </w:p>
    <w:p w14:paraId="25B31F49" w14:textId="17652B0A" w:rsidR="00431AB4" w:rsidRPr="005F7C34" w:rsidRDefault="00431AB4">
      <w:pPr>
        <w:rPr>
          <w:rFonts w:ascii="Arial" w:hAnsi="Arial" w:cs="Arial"/>
          <w:b/>
        </w:rPr>
      </w:pPr>
      <w:r w:rsidRPr="005F7C34">
        <w:rPr>
          <w:rFonts w:ascii="Arial" w:hAnsi="Arial" w:cs="Arial"/>
          <w:b/>
        </w:rPr>
        <w:t>Pollutants</w:t>
      </w:r>
    </w:p>
    <w:p w14:paraId="0AB331DC" w14:textId="6D571C91" w:rsidR="00B368F7" w:rsidRPr="005F7C34" w:rsidRDefault="009D5A85" w:rsidP="009D5A85">
      <w:pPr>
        <w:rPr>
          <w:rFonts w:ascii="Arial" w:hAnsi="Arial" w:cs="Arial"/>
          <w:b/>
          <w:color w:val="222222"/>
          <w:u w:val="single"/>
        </w:rPr>
      </w:pPr>
      <w:r w:rsidRPr="005F7C34">
        <w:rPr>
          <w:rFonts w:ascii="Arial" w:hAnsi="Arial" w:cs="Arial"/>
          <w:b/>
          <w:color w:val="222222"/>
          <w:u w:val="single"/>
        </w:rPr>
        <w:t>1.</w:t>
      </w:r>
      <w:r w:rsidR="00431AB4" w:rsidRPr="005F7C34">
        <w:rPr>
          <w:rFonts w:ascii="Arial" w:hAnsi="Arial" w:cs="Arial"/>
          <w:b/>
          <w:color w:val="222222"/>
          <w:u w:val="single"/>
        </w:rPr>
        <w:t>PM</w:t>
      </w:r>
      <w:r w:rsidR="00431AB4" w:rsidRPr="005F7C34">
        <w:rPr>
          <w:rFonts w:ascii="Arial" w:hAnsi="Arial" w:cs="Arial"/>
          <w:b/>
          <w:color w:val="222222"/>
          <w:u w:val="single"/>
          <w:vertAlign w:val="subscript"/>
        </w:rPr>
        <w:t>10</w:t>
      </w:r>
      <w:r w:rsidR="00B368F7" w:rsidRPr="005F7C34">
        <w:rPr>
          <w:rFonts w:ascii="Arial" w:hAnsi="Arial" w:cs="Arial"/>
          <w:b/>
          <w:color w:val="222222"/>
          <w:u w:val="single"/>
          <w:vertAlign w:val="subscript"/>
        </w:rPr>
        <w:t xml:space="preserve"> </w:t>
      </w:r>
      <w:r w:rsidR="00B368F7" w:rsidRPr="005F7C34">
        <w:rPr>
          <w:rFonts w:ascii="Arial" w:hAnsi="Arial" w:cs="Arial"/>
          <w:color w:val="000000"/>
          <w:u w:val="single"/>
          <w:shd w:val="clear" w:color="auto" w:fill="FFFFFF"/>
        </w:rPr>
        <w:t xml:space="preserve">&amp; </w:t>
      </w:r>
      <w:r w:rsidR="00B368F7" w:rsidRPr="005F7C34">
        <w:rPr>
          <w:rFonts w:ascii="Arial" w:hAnsi="Arial" w:cs="Arial"/>
          <w:b/>
          <w:color w:val="222222"/>
          <w:u w:val="single"/>
        </w:rPr>
        <w:t>PM</w:t>
      </w:r>
      <w:r w:rsidR="00B368F7" w:rsidRPr="005F7C34">
        <w:rPr>
          <w:rFonts w:ascii="Arial" w:hAnsi="Arial" w:cs="Arial"/>
          <w:b/>
          <w:color w:val="222222"/>
          <w:u w:val="single"/>
          <w:vertAlign w:val="subscript"/>
        </w:rPr>
        <w:t xml:space="preserve">2.5 </w:t>
      </w:r>
    </w:p>
    <w:p w14:paraId="6A386561" w14:textId="51EB9634" w:rsidR="00B368F7" w:rsidRPr="005F7C34" w:rsidRDefault="00B368F7">
      <w:pPr>
        <w:rPr>
          <w:rFonts w:ascii="Arial" w:hAnsi="Arial" w:cs="Arial"/>
          <w:color w:val="000000"/>
          <w:shd w:val="clear" w:color="auto" w:fill="FFFFFF"/>
        </w:rPr>
      </w:pPr>
      <w:r w:rsidRPr="005F7C34">
        <w:rPr>
          <w:rFonts w:ascii="Arial" w:hAnsi="Arial" w:cs="Arial"/>
          <w:color w:val="000000"/>
          <w:shd w:val="clear" w:color="auto" w:fill="FFFFFF"/>
        </w:rPr>
        <w:t>PM</w:t>
      </w:r>
      <w:r w:rsidRPr="005F7C34">
        <w:rPr>
          <w:rFonts w:ascii="Arial" w:hAnsi="Arial" w:cs="Arial"/>
          <w:color w:val="000000"/>
          <w:bdr w:val="none" w:sz="0" w:space="0" w:color="auto" w:frame="1"/>
          <w:shd w:val="clear" w:color="auto" w:fill="FFFFFF"/>
          <w:vertAlign w:val="subscript"/>
        </w:rPr>
        <w:t>10</w:t>
      </w:r>
      <w:r w:rsidRPr="005F7C34">
        <w:rPr>
          <w:rFonts w:ascii="Arial" w:hAnsi="Arial" w:cs="Arial"/>
          <w:color w:val="000000"/>
          <w:shd w:val="clear" w:color="auto" w:fill="FFFFFF"/>
        </w:rPr>
        <w:t> is particulate matter 10 micro meters or less in diameter, PM</w:t>
      </w:r>
      <w:r w:rsidRPr="005F7C34">
        <w:rPr>
          <w:rFonts w:ascii="Arial" w:hAnsi="Arial" w:cs="Arial"/>
          <w:color w:val="000000"/>
          <w:bdr w:val="none" w:sz="0" w:space="0" w:color="auto" w:frame="1"/>
          <w:shd w:val="clear" w:color="auto" w:fill="FFFFFF"/>
          <w:vertAlign w:val="subscript"/>
        </w:rPr>
        <w:t>2.5</w:t>
      </w:r>
      <w:r w:rsidRPr="005F7C34">
        <w:rPr>
          <w:rFonts w:ascii="Arial" w:hAnsi="Arial" w:cs="Arial"/>
          <w:color w:val="000000"/>
          <w:shd w:val="clear" w:color="auto" w:fill="FFFFFF"/>
        </w:rPr>
        <w:t xml:space="preserve"> is particulate matter 2.5 </w:t>
      </w:r>
      <w:proofErr w:type="spellStart"/>
      <w:r w:rsidRPr="005F7C34">
        <w:rPr>
          <w:rFonts w:ascii="Arial" w:hAnsi="Arial" w:cs="Arial"/>
          <w:color w:val="000000"/>
          <w:shd w:val="clear" w:color="auto" w:fill="FFFFFF"/>
        </w:rPr>
        <w:t>micrometers</w:t>
      </w:r>
      <w:proofErr w:type="spellEnd"/>
      <w:r w:rsidRPr="005F7C34">
        <w:rPr>
          <w:rFonts w:ascii="Arial" w:hAnsi="Arial" w:cs="Arial"/>
          <w:color w:val="000000"/>
          <w:shd w:val="clear" w:color="auto" w:fill="FFFFFF"/>
        </w:rPr>
        <w:t xml:space="preserve"> or less in diameter. PM</w:t>
      </w:r>
      <w:r w:rsidRPr="005F7C34">
        <w:rPr>
          <w:rFonts w:ascii="Arial" w:hAnsi="Arial" w:cs="Arial"/>
          <w:color w:val="000000"/>
          <w:bdr w:val="none" w:sz="0" w:space="0" w:color="auto" w:frame="1"/>
          <w:shd w:val="clear" w:color="auto" w:fill="FFFFFF"/>
          <w:vertAlign w:val="subscript"/>
        </w:rPr>
        <w:t>2.5</w:t>
      </w:r>
      <w:r w:rsidRPr="005F7C34">
        <w:rPr>
          <w:rFonts w:ascii="Arial" w:hAnsi="Arial" w:cs="Arial"/>
          <w:color w:val="000000"/>
          <w:shd w:val="clear" w:color="auto" w:fill="FFFFFF"/>
        </w:rPr>
        <w:t xml:space="preserve"> is generally described as fine particles. By way of comparison, a human hair is about 100 micrometres, so roughly 40 fine particles could be placed on its width. </w:t>
      </w:r>
    </w:p>
    <w:p w14:paraId="55EE27D3" w14:textId="62ADCCB2" w:rsidR="00B368F7" w:rsidRPr="005F7C34" w:rsidRDefault="00B368F7">
      <w:pPr>
        <w:rPr>
          <w:rFonts w:ascii="Arial" w:hAnsi="Arial" w:cs="Arial"/>
          <w:b/>
          <w:color w:val="000000"/>
          <w:shd w:val="clear" w:color="auto" w:fill="FFFFFF"/>
        </w:rPr>
      </w:pPr>
      <w:r w:rsidRPr="005F7C34">
        <w:rPr>
          <w:rFonts w:ascii="Arial" w:hAnsi="Arial" w:cs="Arial"/>
          <w:b/>
          <w:color w:val="000000"/>
          <w:shd w:val="clear" w:color="auto" w:fill="FFFFFF"/>
        </w:rPr>
        <w:t>Health Effects</w:t>
      </w:r>
    </w:p>
    <w:p w14:paraId="3B2F6832" w14:textId="77777777" w:rsidR="00B368F7" w:rsidRPr="005F7C34" w:rsidRDefault="00B368F7" w:rsidP="00B368F7">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Recent epidemiological research suggests that there is no threshold at which health effects do not occur. The health effects include:</w:t>
      </w:r>
    </w:p>
    <w:p w14:paraId="24BD239A"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toxic effects by absorption of the toxic material into the blood (e.g. lead, cadmium, zinc)</w:t>
      </w:r>
    </w:p>
    <w:p w14:paraId="070B91D5"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allergic or hypersensitivity effects (e.g. some woods, flour grains, chemicals)</w:t>
      </w:r>
    </w:p>
    <w:p w14:paraId="61E64569"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bacterial and fungal infections (from live organisms)</w:t>
      </w:r>
    </w:p>
    <w:p w14:paraId="5A01AD5A"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fibrosis (e.g. asbestos, quartz)</w:t>
      </w:r>
    </w:p>
    <w:p w14:paraId="0D64383B"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cancer (e.g. asbestos, chromates)</w:t>
      </w:r>
    </w:p>
    <w:p w14:paraId="58CDDD70"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irritation of mucous membranes (e.g. acid and alkalis)</w:t>
      </w:r>
    </w:p>
    <w:p w14:paraId="6CB4FFC1"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increased respiratory symptoms, aggravation of asthma and premature death. The risks are highest for sensitive groups such as the elderly and children.</w:t>
      </w:r>
    </w:p>
    <w:p w14:paraId="76C488CB" w14:textId="77777777" w:rsidR="00B368F7" w:rsidRPr="005F7C34" w:rsidRDefault="00B368F7" w:rsidP="00B368F7">
      <w:pPr>
        <w:pStyle w:val="NormalWeb"/>
        <w:numPr>
          <w:ilvl w:val="0"/>
          <w:numId w:val="3"/>
        </w:numPr>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The factors that may influence the health effects related to exposure to particles include:</w:t>
      </w:r>
    </w:p>
    <w:p w14:paraId="6CC0D359"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the chemical composition and physical properties of the particles</w:t>
      </w:r>
    </w:p>
    <w:p w14:paraId="3C78E40F"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the mass concentration of the airborne particles</w:t>
      </w:r>
    </w:p>
    <w:p w14:paraId="04D1EE7E"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the size of the particles (smaller particles may be associated with more adverse effects because they can be inhaled more deeply into the lungs)</w:t>
      </w:r>
    </w:p>
    <w:p w14:paraId="7D65C2CD" w14:textId="77777777" w:rsidR="00B368F7" w:rsidRPr="005F7C34" w:rsidRDefault="00B368F7" w:rsidP="00B368F7">
      <w:pPr>
        <w:numPr>
          <w:ilvl w:val="0"/>
          <w:numId w:val="3"/>
        </w:numPr>
        <w:shd w:val="clear" w:color="auto" w:fill="FFFFFF"/>
        <w:spacing w:after="0" w:line="384" w:lineRule="atLeast"/>
        <w:textAlignment w:val="baseline"/>
        <w:rPr>
          <w:rFonts w:ascii="Arial" w:hAnsi="Arial" w:cs="Arial"/>
          <w:color w:val="000000"/>
        </w:rPr>
      </w:pPr>
      <w:r w:rsidRPr="005F7C34">
        <w:rPr>
          <w:rFonts w:ascii="Arial" w:hAnsi="Arial" w:cs="Arial"/>
          <w:color w:val="000000"/>
        </w:rPr>
        <w:t>the duration of exposure (short and long term, possibly in years).</w:t>
      </w:r>
    </w:p>
    <w:p w14:paraId="70B230E7" w14:textId="77777777" w:rsidR="00B368F7" w:rsidRPr="005F7C34" w:rsidRDefault="00B368F7" w:rsidP="00B368F7">
      <w:pPr>
        <w:shd w:val="clear" w:color="auto" w:fill="FFFFFF"/>
        <w:spacing w:after="0" w:line="384" w:lineRule="atLeast"/>
        <w:textAlignment w:val="baseline"/>
        <w:rPr>
          <w:rFonts w:ascii="Arial" w:hAnsi="Arial" w:cs="Arial"/>
          <w:b/>
          <w:bCs/>
          <w:color w:val="000000"/>
        </w:rPr>
      </w:pPr>
    </w:p>
    <w:p w14:paraId="7B741C39" w14:textId="278D3EE2" w:rsidR="00B368F7" w:rsidRPr="005F7C34" w:rsidRDefault="00B368F7" w:rsidP="00B368F7">
      <w:pPr>
        <w:shd w:val="clear" w:color="auto" w:fill="FFFFFF"/>
        <w:spacing w:after="0" w:line="384" w:lineRule="atLeast"/>
        <w:textAlignment w:val="baseline"/>
        <w:rPr>
          <w:rFonts w:ascii="Arial" w:hAnsi="Arial" w:cs="Arial"/>
          <w:color w:val="000000"/>
        </w:rPr>
      </w:pPr>
      <w:r w:rsidRPr="005F7C34">
        <w:rPr>
          <w:rFonts w:ascii="Arial" w:hAnsi="Arial" w:cs="Arial"/>
          <w:b/>
          <w:bCs/>
          <w:color w:val="000000"/>
        </w:rPr>
        <w:t>Entering the body</w:t>
      </w:r>
    </w:p>
    <w:p w14:paraId="402005D9" w14:textId="77777777" w:rsidR="00B368F7" w:rsidRPr="005F7C34" w:rsidRDefault="00B368F7" w:rsidP="00B368F7">
      <w:pPr>
        <w:pStyle w:val="NormalWeb"/>
        <w:shd w:val="clear" w:color="auto" w:fill="FFFFFF"/>
        <w:spacing w:before="0" w:beforeAutospacing="0" w:after="0" w:afterAutospacing="0"/>
        <w:textAlignment w:val="baseline"/>
        <w:rPr>
          <w:rFonts w:ascii="Arial" w:hAnsi="Arial" w:cs="Arial"/>
          <w:color w:val="000000"/>
          <w:sz w:val="22"/>
          <w:szCs w:val="22"/>
        </w:rPr>
      </w:pPr>
    </w:p>
    <w:p w14:paraId="65D13619" w14:textId="77777777" w:rsidR="00B368F7" w:rsidRPr="005F7C34" w:rsidRDefault="00B368F7" w:rsidP="00B368F7">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Particles in the PM</w:t>
      </w:r>
      <w:r w:rsidRPr="005F7C34">
        <w:rPr>
          <w:rFonts w:ascii="Arial" w:hAnsi="Arial" w:cs="Arial"/>
          <w:color w:val="000000"/>
          <w:sz w:val="22"/>
          <w:szCs w:val="22"/>
          <w:bdr w:val="none" w:sz="0" w:space="0" w:color="auto" w:frame="1"/>
          <w:vertAlign w:val="subscript"/>
        </w:rPr>
        <w:t>10</w:t>
      </w:r>
      <w:r w:rsidRPr="005F7C34">
        <w:rPr>
          <w:rFonts w:ascii="Arial" w:hAnsi="Arial" w:cs="Arial"/>
          <w:color w:val="000000"/>
          <w:sz w:val="22"/>
          <w:szCs w:val="22"/>
        </w:rPr>
        <w:t> size range are commonly present in air and may be drawn into the body with every breath. In the lungs particles can have a direct physical effect and/or be absorbed into the blood. Airborne particles, not only the PM</w:t>
      </w:r>
      <w:r w:rsidRPr="005F7C34">
        <w:rPr>
          <w:rFonts w:ascii="Arial" w:hAnsi="Arial" w:cs="Arial"/>
          <w:color w:val="000000"/>
          <w:sz w:val="22"/>
          <w:szCs w:val="22"/>
          <w:bdr w:val="none" w:sz="0" w:space="0" w:color="auto" w:frame="1"/>
          <w:vertAlign w:val="subscript"/>
        </w:rPr>
        <w:t>10</w:t>
      </w:r>
      <w:r w:rsidRPr="005F7C34">
        <w:rPr>
          <w:rFonts w:ascii="Arial" w:hAnsi="Arial" w:cs="Arial"/>
          <w:color w:val="000000"/>
          <w:sz w:val="22"/>
          <w:szCs w:val="22"/>
        </w:rPr>
        <w:t> fraction, may also may be deposited in the mouth, throat or nose and be ingested.</w:t>
      </w:r>
    </w:p>
    <w:p w14:paraId="1B6F394A" w14:textId="77777777" w:rsidR="00B368F7" w:rsidRPr="005F7C34" w:rsidRDefault="00B368F7" w:rsidP="00B368F7">
      <w:pPr>
        <w:pStyle w:val="NormalWeb"/>
        <w:shd w:val="clear" w:color="auto" w:fill="FFFFFF"/>
        <w:spacing w:before="0" w:beforeAutospacing="0" w:after="0" w:afterAutospacing="0"/>
        <w:textAlignment w:val="baseline"/>
        <w:rPr>
          <w:rFonts w:ascii="Arial" w:hAnsi="Arial" w:cs="Arial"/>
          <w:b/>
          <w:bCs/>
          <w:color w:val="000000"/>
          <w:sz w:val="22"/>
          <w:szCs w:val="22"/>
        </w:rPr>
      </w:pPr>
    </w:p>
    <w:p w14:paraId="2E7D4404" w14:textId="2615551E" w:rsidR="00B368F7" w:rsidRPr="005F7C34" w:rsidRDefault="00B368F7" w:rsidP="00B368F7">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b/>
          <w:bCs/>
          <w:color w:val="000000"/>
          <w:sz w:val="22"/>
          <w:szCs w:val="22"/>
        </w:rPr>
        <w:t>Exposure</w:t>
      </w:r>
    </w:p>
    <w:p w14:paraId="23722314" w14:textId="77777777" w:rsidR="00B368F7" w:rsidRPr="005F7C34" w:rsidRDefault="00B368F7" w:rsidP="00B368F7">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All people are continuously exposed to some extent except in special filtered environments. Exposure may be higher in urban and industrial areas due to an increase in the number of sources, however high levels may also occur in natural environments.</w:t>
      </w:r>
    </w:p>
    <w:p w14:paraId="7ACBA389" w14:textId="77777777" w:rsidR="00B368F7" w:rsidRPr="005F7C34" w:rsidRDefault="00B368F7" w:rsidP="00B368F7">
      <w:pPr>
        <w:pStyle w:val="NormalWeb"/>
        <w:shd w:val="clear" w:color="auto" w:fill="FFFFFF"/>
        <w:spacing w:before="0" w:beforeAutospacing="0" w:after="240" w:afterAutospacing="0"/>
        <w:textAlignment w:val="baseline"/>
        <w:rPr>
          <w:rFonts w:ascii="Arial" w:hAnsi="Arial" w:cs="Arial"/>
          <w:b/>
          <w:bCs/>
          <w:color w:val="000000"/>
          <w:sz w:val="22"/>
          <w:szCs w:val="22"/>
        </w:rPr>
      </w:pPr>
    </w:p>
    <w:p w14:paraId="25DD56F2" w14:textId="6CB870C8" w:rsidR="00B368F7" w:rsidRPr="005F7C34" w:rsidRDefault="00B368F7" w:rsidP="00B368F7">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lastRenderedPageBreak/>
        <w:t>Health guidelines</w:t>
      </w:r>
    </w:p>
    <w:p w14:paraId="375D493F" w14:textId="77777777" w:rsidR="00B368F7" w:rsidRPr="005F7C34" w:rsidRDefault="00B368F7" w:rsidP="00B368F7">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National Ambient Air Quality Standards:</w:t>
      </w:r>
      <w:r w:rsidRPr="005F7C34">
        <w:rPr>
          <w:rFonts w:ascii="Arial" w:hAnsi="Arial" w:cs="Arial"/>
          <w:color w:val="000000"/>
          <w:sz w:val="22"/>
          <w:szCs w:val="22"/>
        </w:rPr>
        <w:br/>
        <w:t>Under the National Environment Protection Measure for Ambient Air Quality, Australian governments have set a national ambient air quality standard for PM</w:t>
      </w:r>
      <w:r w:rsidRPr="005F7C34">
        <w:rPr>
          <w:rFonts w:ascii="Arial" w:hAnsi="Arial" w:cs="Arial"/>
          <w:color w:val="000000"/>
          <w:sz w:val="22"/>
          <w:szCs w:val="22"/>
          <w:bdr w:val="none" w:sz="0" w:space="0" w:color="auto" w:frame="1"/>
          <w:vertAlign w:val="subscript"/>
        </w:rPr>
        <w:t>10</w:t>
      </w:r>
      <w:r w:rsidRPr="005F7C34">
        <w:rPr>
          <w:rFonts w:ascii="Arial" w:hAnsi="Arial" w:cs="Arial"/>
          <w:color w:val="000000"/>
          <w:sz w:val="22"/>
          <w:szCs w:val="22"/>
        </w:rPr>
        <w:t> of 50 micrograms per cubic metre (50 µg/m</w:t>
      </w:r>
      <w:r w:rsidRPr="005F7C34">
        <w:rPr>
          <w:rFonts w:ascii="Arial" w:hAnsi="Arial" w:cs="Arial"/>
          <w:color w:val="000000"/>
          <w:sz w:val="22"/>
          <w:szCs w:val="22"/>
          <w:bdr w:val="none" w:sz="0" w:space="0" w:color="auto" w:frame="1"/>
          <w:vertAlign w:val="superscript"/>
        </w:rPr>
        <w:t>3</w:t>
      </w:r>
      <w:r w:rsidRPr="005F7C34">
        <w:rPr>
          <w:rFonts w:ascii="Arial" w:hAnsi="Arial" w:cs="Arial"/>
          <w:color w:val="000000"/>
          <w:sz w:val="22"/>
          <w:szCs w:val="22"/>
        </w:rPr>
        <w:t>) in outdoor air averaged over a 24-hour period. The goal, to be met by 2008, is for the standard to be exceeded no more than five days a calendar year.</w:t>
      </w:r>
    </w:p>
    <w:p w14:paraId="10CFCCBB" w14:textId="77777777" w:rsidR="00B368F7" w:rsidRPr="005F7C34" w:rsidRDefault="00B368F7" w:rsidP="00B368F7">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The Measure was varied in 2003 to include advisory reporting standards for PM</w:t>
      </w:r>
      <w:r w:rsidRPr="005F7C34">
        <w:rPr>
          <w:rFonts w:ascii="Arial" w:hAnsi="Arial" w:cs="Arial"/>
          <w:color w:val="000000"/>
          <w:sz w:val="22"/>
          <w:szCs w:val="22"/>
          <w:bdr w:val="none" w:sz="0" w:space="0" w:color="auto" w:frame="1"/>
          <w:vertAlign w:val="subscript"/>
        </w:rPr>
        <w:t>2.5</w:t>
      </w:r>
      <w:r w:rsidRPr="005F7C34">
        <w:rPr>
          <w:rFonts w:ascii="Arial" w:hAnsi="Arial" w:cs="Arial"/>
          <w:color w:val="000000"/>
          <w:sz w:val="22"/>
          <w:szCs w:val="22"/>
        </w:rPr>
        <w:t>. These are: 25 µg/m</w:t>
      </w:r>
      <w:r w:rsidRPr="005F7C34">
        <w:rPr>
          <w:rFonts w:ascii="Arial" w:hAnsi="Arial" w:cs="Arial"/>
          <w:color w:val="000000"/>
          <w:sz w:val="22"/>
          <w:szCs w:val="22"/>
          <w:bdr w:val="none" w:sz="0" w:space="0" w:color="auto" w:frame="1"/>
          <w:vertAlign w:val="superscript"/>
        </w:rPr>
        <w:t>3</w:t>
      </w:r>
      <w:r w:rsidRPr="005F7C34">
        <w:rPr>
          <w:rFonts w:ascii="Arial" w:hAnsi="Arial" w:cs="Arial"/>
          <w:color w:val="000000"/>
          <w:sz w:val="22"/>
          <w:szCs w:val="22"/>
        </w:rPr>
        <w:t> averaged over 24 hours; and 8 µg/m</w:t>
      </w:r>
      <w:r w:rsidRPr="005F7C34">
        <w:rPr>
          <w:rFonts w:ascii="Arial" w:hAnsi="Arial" w:cs="Arial"/>
          <w:color w:val="000000"/>
          <w:sz w:val="22"/>
          <w:szCs w:val="22"/>
          <w:bdr w:val="none" w:sz="0" w:space="0" w:color="auto" w:frame="1"/>
          <w:vertAlign w:val="superscript"/>
        </w:rPr>
        <w:t>3</w:t>
      </w:r>
      <w:r w:rsidRPr="005F7C34">
        <w:rPr>
          <w:rFonts w:ascii="Arial" w:hAnsi="Arial" w:cs="Arial"/>
          <w:color w:val="000000"/>
          <w:sz w:val="22"/>
          <w:szCs w:val="22"/>
        </w:rPr>
        <w:t>averaged over one year. The goal of the variation is to collect sufficient PM</w:t>
      </w:r>
      <w:r w:rsidRPr="005F7C34">
        <w:rPr>
          <w:rFonts w:ascii="Arial" w:hAnsi="Arial" w:cs="Arial"/>
          <w:color w:val="000000"/>
          <w:sz w:val="22"/>
          <w:szCs w:val="22"/>
          <w:bdr w:val="none" w:sz="0" w:space="0" w:color="auto" w:frame="1"/>
          <w:vertAlign w:val="subscript"/>
        </w:rPr>
        <w:t>2.5</w:t>
      </w:r>
      <w:r w:rsidRPr="005F7C34">
        <w:rPr>
          <w:rFonts w:ascii="Arial" w:hAnsi="Arial" w:cs="Arial"/>
          <w:color w:val="000000"/>
          <w:sz w:val="22"/>
          <w:szCs w:val="22"/>
        </w:rPr>
        <w:t> monitoring data to allow the development of air quality standards.</w:t>
      </w:r>
    </w:p>
    <w:p w14:paraId="0047A0C4" w14:textId="714DBAC6" w:rsidR="00B368F7" w:rsidRPr="005F7C34" w:rsidRDefault="00B368F7" w:rsidP="00B368F7">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Workplace exposure:</w:t>
      </w:r>
      <w:r w:rsidRPr="005F7C34">
        <w:rPr>
          <w:rFonts w:ascii="Arial" w:hAnsi="Arial" w:cs="Arial"/>
          <w:color w:val="000000"/>
          <w:sz w:val="22"/>
          <w:szCs w:val="22"/>
        </w:rPr>
        <w:br/>
        <w:t>Currently, the eight-hour time weighted average (TWA) exposure limits are 10 milligrams of inspirable dust per cubic metre of air. Consult with your state or territory workplace safety authority to confirm current guidelines for particulate matter.</w:t>
      </w:r>
    </w:p>
    <w:p w14:paraId="4E032F72" w14:textId="712A208E" w:rsidR="00B368F7" w:rsidRPr="005F7C34" w:rsidRDefault="00B368F7" w:rsidP="00B368F7">
      <w:pPr>
        <w:pStyle w:val="NormalWeb"/>
        <w:shd w:val="clear" w:color="auto" w:fill="FFFFFF"/>
        <w:spacing w:before="0" w:beforeAutospacing="0" w:after="240" w:afterAutospacing="0"/>
        <w:textAlignment w:val="baseline"/>
        <w:rPr>
          <w:rFonts w:ascii="Arial" w:hAnsi="Arial" w:cs="Arial"/>
          <w:b/>
          <w:color w:val="000000"/>
          <w:sz w:val="22"/>
          <w:szCs w:val="22"/>
        </w:rPr>
      </w:pPr>
      <w:r w:rsidRPr="005F7C34">
        <w:rPr>
          <w:rFonts w:ascii="Arial" w:hAnsi="Arial" w:cs="Arial"/>
          <w:b/>
          <w:color w:val="000000"/>
          <w:sz w:val="22"/>
          <w:szCs w:val="22"/>
        </w:rPr>
        <w:t>Environmental Effects</w:t>
      </w:r>
    </w:p>
    <w:p w14:paraId="5735BE6F" w14:textId="77777777" w:rsidR="00B368F7" w:rsidRPr="005F7C34" w:rsidRDefault="00B368F7" w:rsidP="00B368F7">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PM</w:t>
      </w:r>
      <w:r w:rsidRPr="005F7C34">
        <w:rPr>
          <w:rFonts w:ascii="Arial" w:hAnsi="Arial" w:cs="Arial"/>
          <w:color w:val="000000"/>
          <w:sz w:val="22"/>
          <w:szCs w:val="22"/>
          <w:bdr w:val="none" w:sz="0" w:space="0" w:color="auto" w:frame="1"/>
          <w:vertAlign w:val="subscript"/>
        </w:rPr>
        <w:t>10</w:t>
      </w:r>
      <w:r w:rsidRPr="005F7C34">
        <w:rPr>
          <w:rFonts w:ascii="Arial" w:hAnsi="Arial" w:cs="Arial"/>
          <w:color w:val="000000"/>
          <w:sz w:val="22"/>
          <w:szCs w:val="22"/>
        </w:rPr>
        <w:t> may affect animals in the same way as it affects humans. Particles in general, not specifically PM</w:t>
      </w:r>
      <w:r w:rsidRPr="005F7C34">
        <w:rPr>
          <w:rFonts w:ascii="Arial" w:hAnsi="Arial" w:cs="Arial"/>
          <w:color w:val="000000"/>
          <w:sz w:val="22"/>
          <w:szCs w:val="22"/>
          <w:bdr w:val="none" w:sz="0" w:space="0" w:color="auto" w:frame="1"/>
          <w:vertAlign w:val="subscript"/>
        </w:rPr>
        <w:t>10</w:t>
      </w:r>
      <w:r w:rsidRPr="005F7C34">
        <w:rPr>
          <w:rFonts w:ascii="Arial" w:hAnsi="Arial" w:cs="Arial"/>
          <w:color w:val="000000"/>
          <w:sz w:val="22"/>
          <w:szCs w:val="22"/>
        </w:rPr>
        <w:t> or PM</w:t>
      </w:r>
      <w:r w:rsidRPr="005F7C34">
        <w:rPr>
          <w:rFonts w:ascii="Arial" w:hAnsi="Arial" w:cs="Arial"/>
          <w:color w:val="000000"/>
          <w:sz w:val="22"/>
          <w:szCs w:val="22"/>
          <w:bdr w:val="none" w:sz="0" w:space="0" w:color="auto" w:frame="1"/>
          <w:vertAlign w:val="subscript"/>
        </w:rPr>
        <w:t>2.5</w:t>
      </w:r>
      <w:r w:rsidRPr="005F7C34">
        <w:rPr>
          <w:rFonts w:ascii="Arial" w:hAnsi="Arial" w:cs="Arial"/>
          <w:color w:val="000000"/>
          <w:sz w:val="22"/>
          <w:szCs w:val="22"/>
        </w:rPr>
        <w:t>, affect the aesthetics and utility of areas through visibility reduction and may affect buildings and vegetation. The specific effect of particles depends on their composition, concentration and the presence of other pollutants such as acid forming gases.</w:t>
      </w:r>
    </w:p>
    <w:p w14:paraId="527DF5EF" w14:textId="77777777" w:rsidR="00665B3E" w:rsidRPr="005F7C34" w:rsidRDefault="00665B3E" w:rsidP="00B368F7">
      <w:pPr>
        <w:pStyle w:val="NormalWeb"/>
        <w:shd w:val="clear" w:color="auto" w:fill="FFFFFF"/>
        <w:spacing w:before="0" w:beforeAutospacing="0" w:after="0" w:afterAutospacing="0"/>
        <w:textAlignment w:val="baseline"/>
        <w:rPr>
          <w:rFonts w:ascii="Arial" w:hAnsi="Arial" w:cs="Arial"/>
          <w:b/>
          <w:bCs/>
          <w:color w:val="000000"/>
          <w:sz w:val="22"/>
          <w:szCs w:val="22"/>
        </w:rPr>
      </w:pPr>
    </w:p>
    <w:p w14:paraId="04E9A04D" w14:textId="59F2C95B" w:rsidR="00B368F7" w:rsidRPr="005F7C34" w:rsidRDefault="00B368F7" w:rsidP="00B368F7">
      <w:pPr>
        <w:pStyle w:val="NormalWeb"/>
        <w:shd w:val="clear" w:color="auto" w:fill="FFFFFF"/>
        <w:spacing w:before="0" w:beforeAutospacing="0" w:after="0" w:afterAutospacing="0"/>
        <w:textAlignment w:val="baseline"/>
        <w:rPr>
          <w:rFonts w:ascii="Arial" w:hAnsi="Arial" w:cs="Arial"/>
          <w:b/>
          <w:bCs/>
          <w:color w:val="000000"/>
          <w:sz w:val="22"/>
          <w:szCs w:val="22"/>
        </w:rPr>
      </w:pPr>
      <w:r w:rsidRPr="005F7C34">
        <w:rPr>
          <w:rFonts w:ascii="Arial" w:hAnsi="Arial" w:cs="Arial"/>
          <w:b/>
          <w:bCs/>
          <w:color w:val="000000"/>
          <w:sz w:val="22"/>
          <w:szCs w:val="22"/>
        </w:rPr>
        <w:t>Entering the environment</w:t>
      </w:r>
    </w:p>
    <w:p w14:paraId="52237FE0" w14:textId="77777777" w:rsidR="00665B3E" w:rsidRPr="005F7C34" w:rsidRDefault="00665B3E" w:rsidP="00B368F7">
      <w:pPr>
        <w:pStyle w:val="NormalWeb"/>
        <w:shd w:val="clear" w:color="auto" w:fill="FFFFFF"/>
        <w:spacing w:before="0" w:beforeAutospacing="0" w:after="0" w:afterAutospacing="0"/>
        <w:textAlignment w:val="baseline"/>
        <w:rPr>
          <w:rFonts w:ascii="Arial" w:hAnsi="Arial" w:cs="Arial"/>
          <w:color w:val="000000"/>
          <w:sz w:val="22"/>
          <w:szCs w:val="22"/>
        </w:rPr>
      </w:pPr>
    </w:p>
    <w:p w14:paraId="795206F9" w14:textId="2CF79FC3" w:rsidR="00B368F7" w:rsidRPr="005F7C34" w:rsidRDefault="00B368F7" w:rsidP="00B368F7">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Particles in the air affect both the quality of the air and visibility. Once in the air particulate matter generally takes a long time to settle. The particulates may be washed from the air by rain or snow. When they settle on land they may settle permanently or be re-entrained. In water particulates may settle, dissolve or both.</w:t>
      </w:r>
    </w:p>
    <w:p w14:paraId="4060EF48" w14:textId="047AE28E" w:rsidR="00B368F7" w:rsidRPr="005F7C34" w:rsidRDefault="00B368F7" w:rsidP="00B368F7">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Where it ends up</w:t>
      </w:r>
    </w:p>
    <w:p w14:paraId="61C86828" w14:textId="7101AD0C" w:rsidR="00B368F7" w:rsidRPr="005F7C34" w:rsidRDefault="00B368F7" w:rsidP="00B368F7">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PM</w:t>
      </w:r>
      <w:r w:rsidRPr="005F7C34">
        <w:rPr>
          <w:rFonts w:ascii="Arial" w:hAnsi="Arial" w:cs="Arial"/>
          <w:color w:val="000000"/>
          <w:sz w:val="22"/>
          <w:szCs w:val="22"/>
          <w:bdr w:val="none" w:sz="0" w:space="0" w:color="auto" w:frame="1"/>
          <w:vertAlign w:val="subscript"/>
        </w:rPr>
        <w:t>10</w:t>
      </w:r>
      <w:r w:rsidRPr="005F7C34">
        <w:rPr>
          <w:rFonts w:ascii="Arial" w:hAnsi="Arial" w:cs="Arial"/>
          <w:color w:val="000000"/>
          <w:sz w:val="22"/>
          <w:szCs w:val="22"/>
        </w:rPr>
        <w:t> and PM</w:t>
      </w:r>
      <w:r w:rsidRPr="005F7C34">
        <w:rPr>
          <w:rFonts w:ascii="Arial" w:hAnsi="Arial" w:cs="Arial"/>
          <w:color w:val="000000"/>
          <w:sz w:val="22"/>
          <w:szCs w:val="22"/>
          <w:bdr w:val="none" w:sz="0" w:space="0" w:color="auto" w:frame="1"/>
          <w:vertAlign w:val="subscript"/>
        </w:rPr>
        <w:t>2.5</w:t>
      </w:r>
      <w:r w:rsidRPr="005F7C34">
        <w:rPr>
          <w:rFonts w:ascii="Arial" w:hAnsi="Arial" w:cs="Arial"/>
          <w:color w:val="000000"/>
          <w:sz w:val="22"/>
          <w:szCs w:val="22"/>
        </w:rPr>
        <w:t> are very fine and light and are therefore easily entrained into the air by wind or disturbances. Chemical changes may occur, as may reactions with other substances, depending on the composition of the particles. Particles may stick together or break apart, changing the size distribution over time.</w:t>
      </w:r>
    </w:p>
    <w:p w14:paraId="68588F02" w14:textId="28731E10" w:rsidR="00665B3E" w:rsidRPr="005F7C34" w:rsidRDefault="00665B3E" w:rsidP="00B368F7">
      <w:pPr>
        <w:pStyle w:val="NormalWeb"/>
        <w:shd w:val="clear" w:color="auto" w:fill="FFFFFF"/>
        <w:spacing w:before="0" w:beforeAutospacing="0" w:after="0" w:afterAutospacing="0"/>
        <w:textAlignment w:val="baseline"/>
        <w:rPr>
          <w:rFonts w:ascii="Arial" w:hAnsi="Arial" w:cs="Arial"/>
          <w:color w:val="000000"/>
          <w:sz w:val="22"/>
          <w:szCs w:val="22"/>
        </w:rPr>
      </w:pPr>
    </w:p>
    <w:p w14:paraId="2C8390D4" w14:textId="77777777" w:rsidR="00665B3E" w:rsidRPr="005F7C34" w:rsidRDefault="00665B3E" w:rsidP="00665B3E">
      <w:pPr>
        <w:pStyle w:val="NormalWeb"/>
        <w:shd w:val="clear" w:color="auto" w:fill="FFFFFF"/>
        <w:spacing w:before="0" w:beforeAutospacing="0" w:after="0" w:afterAutospacing="0"/>
        <w:textAlignment w:val="baseline"/>
        <w:rPr>
          <w:rFonts w:ascii="Arial" w:hAnsi="Arial" w:cs="Arial"/>
          <w:b/>
          <w:color w:val="000000"/>
          <w:sz w:val="22"/>
          <w:szCs w:val="22"/>
        </w:rPr>
      </w:pPr>
      <w:r w:rsidRPr="005F7C34">
        <w:rPr>
          <w:rFonts w:ascii="Arial" w:hAnsi="Arial" w:cs="Arial"/>
          <w:b/>
          <w:color w:val="000000"/>
          <w:sz w:val="22"/>
          <w:szCs w:val="22"/>
        </w:rPr>
        <w:t xml:space="preserve">Sources of Emission </w:t>
      </w:r>
    </w:p>
    <w:p w14:paraId="1BB5CFCB" w14:textId="77777777" w:rsidR="00665B3E" w:rsidRPr="005F7C34" w:rsidRDefault="00665B3E" w:rsidP="00665B3E">
      <w:pPr>
        <w:pStyle w:val="NormalWeb"/>
        <w:shd w:val="clear" w:color="auto" w:fill="FFFFFF"/>
        <w:spacing w:before="0" w:beforeAutospacing="0" w:after="0" w:afterAutospacing="0"/>
        <w:textAlignment w:val="baseline"/>
        <w:rPr>
          <w:rFonts w:ascii="Arial" w:hAnsi="Arial" w:cs="Arial"/>
          <w:b/>
          <w:bCs/>
          <w:color w:val="000000"/>
          <w:sz w:val="22"/>
          <w:szCs w:val="22"/>
        </w:rPr>
      </w:pPr>
    </w:p>
    <w:p w14:paraId="6C6A643C" w14:textId="4E57DC93" w:rsidR="00665B3E" w:rsidRPr="005F7C34" w:rsidRDefault="00665B3E" w:rsidP="00665B3E">
      <w:pPr>
        <w:pStyle w:val="NormalWeb"/>
        <w:shd w:val="clear" w:color="auto" w:fill="FFFFFF"/>
        <w:spacing w:before="0" w:beforeAutospacing="0" w:after="0" w:afterAutospacing="0"/>
        <w:textAlignment w:val="baseline"/>
        <w:rPr>
          <w:rFonts w:ascii="Arial" w:hAnsi="Arial" w:cs="Arial"/>
          <w:b/>
          <w:color w:val="000000"/>
          <w:sz w:val="22"/>
          <w:szCs w:val="22"/>
        </w:rPr>
      </w:pPr>
      <w:r w:rsidRPr="005F7C34">
        <w:rPr>
          <w:rFonts w:ascii="Arial" w:hAnsi="Arial" w:cs="Arial"/>
          <w:b/>
          <w:bCs/>
          <w:color w:val="000000"/>
          <w:sz w:val="22"/>
          <w:szCs w:val="22"/>
        </w:rPr>
        <w:t>Industry sources</w:t>
      </w:r>
    </w:p>
    <w:p w14:paraId="4A390C86" w14:textId="77777777" w:rsidR="00665B3E" w:rsidRPr="005F7C34" w:rsidRDefault="00665B3E" w:rsidP="00665B3E">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PM</w:t>
      </w:r>
      <w:r w:rsidRPr="005F7C34">
        <w:rPr>
          <w:rFonts w:ascii="Arial" w:hAnsi="Arial" w:cs="Arial"/>
          <w:color w:val="000000"/>
          <w:sz w:val="22"/>
          <w:szCs w:val="22"/>
          <w:bdr w:val="none" w:sz="0" w:space="0" w:color="auto" w:frame="1"/>
          <w:vertAlign w:val="subscript"/>
        </w:rPr>
        <w:t>10</w:t>
      </w:r>
      <w:r w:rsidRPr="005F7C34">
        <w:rPr>
          <w:rFonts w:ascii="Arial" w:hAnsi="Arial" w:cs="Arial"/>
          <w:color w:val="000000"/>
          <w:sz w:val="22"/>
          <w:szCs w:val="22"/>
        </w:rPr>
        <w:t> and PM</w:t>
      </w:r>
      <w:r w:rsidRPr="005F7C34">
        <w:rPr>
          <w:rFonts w:ascii="Arial" w:hAnsi="Arial" w:cs="Arial"/>
          <w:color w:val="000000"/>
          <w:sz w:val="22"/>
          <w:szCs w:val="22"/>
          <w:bdr w:val="none" w:sz="0" w:space="0" w:color="auto" w:frame="1"/>
          <w:vertAlign w:val="subscript"/>
        </w:rPr>
        <w:t>2.5</w:t>
      </w:r>
      <w:r w:rsidRPr="005F7C34">
        <w:rPr>
          <w:rFonts w:ascii="Arial" w:hAnsi="Arial" w:cs="Arial"/>
          <w:color w:val="000000"/>
          <w:sz w:val="22"/>
          <w:szCs w:val="22"/>
        </w:rPr>
        <w:t> are produced from a wide range of industrial processes through bulk material handling, combustion and minerals processing. The industries using these processes include brickworks, refineries, cement works, iron and steel making, quarrying, and fossil fuel power plants.</w:t>
      </w:r>
    </w:p>
    <w:p w14:paraId="34142AD7" w14:textId="77777777" w:rsidR="00665B3E" w:rsidRPr="005F7C34" w:rsidRDefault="00665B3E" w:rsidP="00665B3E">
      <w:pPr>
        <w:pStyle w:val="NormalWeb"/>
        <w:shd w:val="clear" w:color="auto" w:fill="FFFFFF"/>
        <w:spacing w:before="0" w:beforeAutospacing="0" w:after="0" w:afterAutospacing="0"/>
        <w:textAlignment w:val="baseline"/>
        <w:rPr>
          <w:rFonts w:ascii="Arial" w:hAnsi="Arial" w:cs="Arial"/>
          <w:b/>
          <w:bCs/>
          <w:color w:val="000000"/>
          <w:sz w:val="22"/>
          <w:szCs w:val="22"/>
        </w:rPr>
      </w:pPr>
    </w:p>
    <w:p w14:paraId="7C9C216F" w14:textId="09A257EF" w:rsidR="00665B3E" w:rsidRPr="005F7C34" w:rsidRDefault="00665B3E" w:rsidP="00665B3E">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b/>
          <w:bCs/>
          <w:color w:val="000000"/>
          <w:sz w:val="22"/>
          <w:szCs w:val="22"/>
        </w:rPr>
        <w:t>Diffuse sources, and industry sources included in diffuse emissions data</w:t>
      </w:r>
    </w:p>
    <w:p w14:paraId="667408C6" w14:textId="2D8B86C5" w:rsidR="00665B3E" w:rsidRPr="005F7C34" w:rsidRDefault="00665B3E" w:rsidP="00665B3E">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Particulates are released from a wide range of diffuse sources. Examples include lawn mowing, wood stoves, fires, and wind generated dust, though this tends to be coarser.</w:t>
      </w:r>
    </w:p>
    <w:p w14:paraId="144B76B9" w14:textId="44B81E6D" w:rsidR="00665B3E" w:rsidRPr="005F7C34" w:rsidRDefault="00665B3E" w:rsidP="00665B3E">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Natural sources</w:t>
      </w:r>
    </w:p>
    <w:p w14:paraId="45203485" w14:textId="77777777" w:rsidR="00665B3E" w:rsidRPr="005F7C34" w:rsidRDefault="00665B3E" w:rsidP="00665B3E">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Natural sources of PM</w:t>
      </w:r>
      <w:r w:rsidRPr="005F7C34">
        <w:rPr>
          <w:rFonts w:ascii="Arial" w:hAnsi="Arial" w:cs="Arial"/>
          <w:color w:val="000000"/>
          <w:sz w:val="22"/>
          <w:szCs w:val="22"/>
          <w:bdr w:val="none" w:sz="0" w:space="0" w:color="auto" w:frame="1"/>
          <w:vertAlign w:val="subscript"/>
        </w:rPr>
        <w:t>10</w:t>
      </w:r>
      <w:r w:rsidRPr="005F7C34">
        <w:rPr>
          <w:rFonts w:ascii="Arial" w:hAnsi="Arial" w:cs="Arial"/>
          <w:color w:val="000000"/>
          <w:sz w:val="22"/>
          <w:szCs w:val="22"/>
        </w:rPr>
        <w:t> and PM</w:t>
      </w:r>
      <w:r w:rsidRPr="005F7C34">
        <w:rPr>
          <w:rFonts w:ascii="Arial" w:hAnsi="Arial" w:cs="Arial"/>
          <w:color w:val="000000"/>
          <w:sz w:val="22"/>
          <w:szCs w:val="22"/>
          <w:bdr w:val="none" w:sz="0" w:space="0" w:color="auto" w:frame="1"/>
          <w:vertAlign w:val="subscript"/>
        </w:rPr>
        <w:t>2.5</w:t>
      </w:r>
      <w:r w:rsidRPr="005F7C34">
        <w:rPr>
          <w:rFonts w:ascii="Arial" w:hAnsi="Arial" w:cs="Arial"/>
          <w:color w:val="000000"/>
          <w:sz w:val="22"/>
          <w:szCs w:val="22"/>
        </w:rPr>
        <w:t> include bushfires, dust storms, pollens and sea spray.</w:t>
      </w:r>
    </w:p>
    <w:p w14:paraId="2D2FE281" w14:textId="77777777" w:rsidR="00665B3E" w:rsidRPr="005F7C34" w:rsidRDefault="00665B3E" w:rsidP="00665B3E">
      <w:pPr>
        <w:pStyle w:val="NormalWeb"/>
        <w:shd w:val="clear" w:color="auto" w:fill="FFFFFF"/>
        <w:spacing w:before="0" w:beforeAutospacing="0" w:after="0" w:afterAutospacing="0"/>
        <w:textAlignment w:val="baseline"/>
        <w:rPr>
          <w:rFonts w:ascii="Arial" w:hAnsi="Arial" w:cs="Arial"/>
          <w:b/>
          <w:bCs/>
          <w:color w:val="000000"/>
          <w:sz w:val="22"/>
          <w:szCs w:val="22"/>
        </w:rPr>
      </w:pPr>
    </w:p>
    <w:p w14:paraId="287E0A46" w14:textId="7F8BB1C6" w:rsidR="00665B3E" w:rsidRPr="005F7C34" w:rsidRDefault="00665B3E" w:rsidP="00665B3E">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b/>
          <w:bCs/>
          <w:color w:val="000000"/>
          <w:sz w:val="22"/>
          <w:szCs w:val="22"/>
        </w:rPr>
        <w:t>Transport sources</w:t>
      </w:r>
    </w:p>
    <w:p w14:paraId="2C0575EC" w14:textId="77777777" w:rsidR="00665B3E" w:rsidRPr="005F7C34" w:rsidRDefault="00665B3E" w:rsidP="00665B3E">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Vehicles will generate particulates either from direct emissions from the burning of fuels (especially diesel powered vehicles) or from wear of tyres or vehicle-generated air turbulence on roadways. Particles may also be generated from the action of wind on the dusty material that the vehicle may be carrying.</w:t>
      </w:r>
    </w:p>
    <w:p w14:paraId="350D9DAF" w14:textId="2EBD3776" w:rsidR="00665B3E" w:rsidRPr="005F7C34" w:rsidRDefault="00665B3E" w:rsidP="00665B3E">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Consumer products</w:t>
      </w:r>
    </w:p>
    <w:p w14:paraId="0F0CE2DA" w14:textId="77777777" w:rsidR="005F7C34" w:rsidRPr="005F7C34" w:rsidRDefault="00665B3E"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Particulates are not generally included intentionally in any product but may be present as part of the product, for example as part of talc or other powder products.</w:t>
      </w:r>
    </w:p>
    <w:p w14:paraId="6AE95CCE" w14:textId="77777777" w:rsidR="005F7C34" w:rsidRDefault="005F7C34" w:rsidP="005F7C34">
      <w:pPr>
        <w:pStyle w:val="NormalWeb"/>
        <w:shd w:val="clear" w:color="auto" w:fill="FFFFFF"/>
        <w:spacing w:before="0" w:beforeAutospacing="0" w:after="240" w:afterAutospacing="0"/>
        <w:textAlignment w:val="baseline"/>
        <w:rPr>
          <w:rFonts w:ascii="Arial" w:hAnsi="Arial" w:cs="Arial"/>
          <w:b/>
          <w:color w:val="222222"/>
          <w:sz w:val="22"/>
          <w:szCs w:val="22"/>
          <w:u w:val="single"/>
        </w:rPr>
      </w:pPr>
    </w:p>
    <w:p w14:paraId="4639D840" w14:textId="30273357" w:rsidR="005F7C34" w:rsidRPr="005F7C34" w:rsidRDefault="005F7C34" w:rsidP="005F7C34">
      <w:pPr>
        <w:pStyle w:val="NormalWeb"/>
        <w:shd w:val="clear" w:color="auto" w:fill="FFFFFF"/>
        <w:spacing w:before="0" w:beforeAutospacing="0" w:after="240" w:afterAutospacing="0"/>
        <w:textAlignment w:val="baseline"/>
        <w:rPr>
          <w:rFonts w:ascii="Arial" w:hAnsi="Arial" w:cs="Arial"/>
          <w:b/>
          <w:color w:val="222222"/>
          <w:sz w:val="22"/>
          <w:szCs w:val="22"/>
          <w:u w:val="single"/>
          <w:vertAlign w:val="subscript"/>
        </w:rPr>
      </w:pPr>
      <w:r w:rsidRPr="005F7C34">
        <w:rPr>
          <w:rFonts w:ascii="Arial" w:hAnsi="Arial" w:cs="Arial"/>
          <w:b/>
          <w:color w:val="222222"/>
          <w:sz w:val="22"/>
          <w:szCs w:val="22"/>
          <w:u w:val="single"/>
        </w:rPr>
        <w:lastRenderedPageBreak/>
        <w:t>2.</w:t>
      </w:r>
      <w:r w:rsidR="00431AB4" w:rsidRPr="005F7C34">
        <w:rPr>
          <w:rFonts w:ascii="Arial" w:hAnsi="Arial" w:cs="Arial"/>
          <w:b/>
          <w:color w:val="222222"/>
          <w:sz w:val="22"/>
          <w:szCs w:val="22"/>
          <w:u w:val="single"/>
        </w:rPr>
        <w:t>NO</w:t>
      </w:r>
      <w:r w:rsidR="00431AB4" w:rsidRPr="005F7C34">
        <w:rPr>
          <w:rFonts w:ascii="Arial" w:hAnsi="Arial" w:cs="Arial"/>
          <w:b/>
          <w:color w:val="222222"/>
          <w:sz w:val="22"/>
          <w:szCs w:val="22"/>
          <w:u w:val="single"/>
          <w:vertAlign w:val="subscript"/>
        </w:rPr>
        <w:t>2</w:t>
      </w:r>
    </w:p>
    <w:p w14:paraId="5D7CE9D5" w14:textId="77777777" w:rsidR="005F7C34" w:rsidRPr="005F7C34" w:rsidRDefault="005F7C34" w:rsidP="005F7C34">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Oxides of nitrogen are a mixture of gases that are composed of nitrogen and oxygen. Two of the most toxicologically significant compounds are nitric oxide (NO) and nitrogen dioxide (NO</w:t>
      </w:r>
      <w:r w:rsidRPr="005F7C34">
        <w:rPr>
          <w:rFonts w:ascii="Arial" w:hAnsi="Arial" w:cs="Arial"/>
          <w:color w:val="000000"/>
          <w:sz w:val="22"/>
          <w:szCs w:val="22"/>
          <w:bdr w:val="none" w:sz="0" w:space="0" w:color="auto" w:frame="1"/>
          <w:vertAlign w:val="subscript"/>
        </w:rPr>
        <w:t>2</w:t>
      </w:r>
      <w:r w:rsidRPr="005F7C34">
        <w:rPr>
          <w:rFonts w:ascii="Arial" w:hAnsi="Arial" w:cs="Arial"/>
          <w:color w:val="000000"/>
          <w:sz w:val="22"/>
          <w:szCs w:val="22"/>
        </w:rPr>
        <w:t>). Other gases belonging to this group are nitrogen monoxide (or nitrous oxide, N</w:t>
      </w:r>
      <w:r w:rsidRPr="005F7C34">
        <w:rPr>
          <w:rFonts w:ascii="Arial" w:hAnsi="Arial" w:cs="Arial"/>
          <w:color w:val="000000"/>
          <w:sz w:val="22"/>
          <w:szCs w:val="22"/>
          <w:bdr w:val="none" w:sz="0" w:space="0" w:color="auto" w:frame="1"/>
          <w:vertAlign w:val="subscript"/>
        </w:rPr>
        <w:t>2</w:t>
      </w:r>
      <w:r w:rsidRPr="005F7C34">
        <w:rPr>
          <w:rFonts w:ascii="Arial" w:hAnsi="Arial" w:cs="Arial"/>
          <w:color w:val="000000"/>
          <w:sz w:val="22"/>
          <w:szCs w:val="22"/>
        </w:rPr>
        <w:t>O), and nitrogen pentoxide (NO</w:t>
      </w:r>
      <w:r w:rsidRPr="005F7C34">
        <w:rPr>
          <w:rFonts w:ascii="Arial" w:hAnsi="Arial" w:cs="Arial"/>
          <w:color w:val="000000"/>
          <w:sz w:val="22"/>
          <w:szCs w:val="22"/>
          <w:bdr w:val="none" w:sz="0" w:space="0" w:color="auto" w:frame="1"/>
          <w:vertAlign w:val="subscript"/>
        </w:rPr>
        <w:t>5</w:t>
      </w:r>
      <w:r w:rsidRPr="005F7C34">
        <w:rPr>
          <w:rFonts w:ascii="Arial" w:hAnsi="Arial" w:cs="Arial"/>
          <w:color w:val="000000"/>
          <w:sz w:val="22"/>
          <w:szCs w:val="22"/>
        </w:rPr>
        <w:t>).</w:t>
      </w:r>
    </w:p>
    <w:p w14:paraId="1C237456" w14:textId="1E594525"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Nitrogen dioxide is produced for the manufacture of nitric acid. Most nitric acid is used in the manufacture of fertilisers, while some is used in the production of explosives for both military and mining uses.</w:t>
      </w:r>
    </w:p>
    <w:p w14:paraId="61BE50D1" w14:textId="480DEE82" w:rsidR="005F7C34" w:rsidRPr="005F7C34" w:rsidRDefault="005F7C34" w:rsidP="005F7C34">
      <w:pPr>
        <w:pStyle w:val="NormalWeb"/>
        <w:shd w:val="clear" w:color="auto" w:fill="FFFFFF"/>
        <w:spacing w:before="0" w:beforeAutospacing="0" w:after="240" w:afterAutospacing="0"/>
        <w:textAlignment w:val="baseline"/>
        <w:rPr>
          <w:rFonts w:ascii="Arial" w:hAnsi="Arial" w:cs="Arial"/>
          <w:b/>
          <w:color w:val="000000"/>
        </w:rPr>
      </w:pPr>
      <w:r w:rsidRPr="005F7C34">
        <w:rPr>
          <w:rFonts w:ascii="Arial" w:hAnsi="Arial" w:cs="Arial"/>
          <w:b/>
          <w:color w:val="000000"/>
        </w:rPr>
        <w:t>Health Effects</w:t>
      </w:r>
    </w:p>
    <w:p w14:paraId="066C4381"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 xml:space="preserve">Low levels of oxides of nitrogen can irritate eyes, nose, throat and lungs, possibly leading to coughing, shortness of breath, tiredness and nausea. Exposure can also result in a </w:t>
      </w:r>
      <w:proofErr w:type="spellStart"/>
      <w:r w:rsidRPr="005F7C34">
        <w:rPr>
          <w:rFonts w:ascii="Arial" w:hAnsi="Arial" w:cs="Arial"/>
          <w:color w:val="000000"/>
          <w:sz w:val="22"/>
          <w:szCs w:val="22"/>
        </w:rPr>
        <w:t>build up</w:t>
      </w:r>
      <w:proofErr w:type="spellEnd"/>
      <w:r w:rsidRPr="005F7C34">
        <w:rPr>
          <w:rFonts w:ascii="Arial" w:hAnsi="Arial" w:cs="Arial"/>
          <w:color w:val="000000"/>
          <w:sz w:val="22"/>
          <w:szCs w:val="22"/>
        </w:rPr>
        <w:t xml:space="preserve"> of fluid in the lungs for 1-2 days after exposure. Breathing high levels of oxides of nitrogen can cause rapid burning, spasms and swelling of tissues in the throat and upper respiratory tract, reduced oxygenation of tissues, a </w:t>
      </w:r>
      <w:proofErr w:type="spellStart"/>
      <w:r w:rsidRPr="005F7C34">
        <w:rPr>
          <w:rFonts w:ascii="Arial" w:hAnsi="Arial" w:cs="Arial"/>
          <w:color w:val="000000"/>
          <w:sz w:val="22"/>
          <w:szCs w:val="22"/>
        </w:rPr>
        <w:t>build up</w:t>
      </w:r>
      <w:proofErr w:type="spellEnd"/>
      <w:r w:rsidRPr="005F7C34">
        <w:rPr>
          <w:rFonts w:ascii="Arial" w:hAnsi="Arial" w:cs="Arial"/>
          <w:color w:val="000000"/>
          <w:sz w:val="22"/>
          <w:szCs w:val="22"/>
        </w:rPr>
        <w:t xml:space="preserve"> of fluid in the lungs, and maybe even death.</w:t>
      </w:r>
    </w:p>
    <w:p w14:paraId="039A5AED" w14:textId="77777777" w:rsid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Skin or eye contact with high concentrations of oxides of nitrogen gases or nitrogen dioxide liquid will likely lead to serious burns.</w:t>
      </w:r>
    </w:p>
    <w:p w14:paraId="2B8FA7D9" w14:textId="59AE0248"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Entering the body</w:t>
      </w:r>
    </w:p>
    <w:p w14:paraId="67947144" w14:textId="77777777" w:rsid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Oxides of nitrogen may be inhaled or absorbed through the skin.</w:t>
      </w:r>
    </w:p>
    <w:p w14:paraId="114EF84D" w14:textId="1467A793"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Exposure</w:t>
      </w:r>
    </w:p>
    <w:p w14:paraId="1D985CB8"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Most people are exposed to oxides of nitrogen by breathing in polluted air. People who live near combustion sources such as coal burning power plants or areas of high motor vehicle usage, or live in households that burn a lot of wood or use kerosene heaters or gas stoves may be exposed to higher levels of nitrogen oxides. Workers employed in facilities that use welding materials, produce nitric acid or certain explosives, may inhale oxides of nitrogen during their work.</w:t>
      </w:r>
    </w:p>
    <w:p w14:paraId="456D9FD1" w14:textId="77777777" w:rsid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Nitrogen dioxide and nitric oxide are found in tobacco smoke.</w:t>
      </w:r>
    </w:p>
    <w:p w14:paraId="5200AA8F" w14:textId="1A3D86EB"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Health guidelines</w:t>
      </w:r>
    </w:p>
    <w:p w14:paraId="7E9C22A9" w14:textId="77777777" w:rsidR="005F7C34" w:rsidRPr="005F7C34" w:rsidRDefault="005F7C34" w:rsidP="005F7C34">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Workplace exposure:</w:t>
      </w:r>
      <w:r w:rsidRPr="005F7C34">
        <w:rPr>
          <w:rFonts w:ascii="Arial" w:hAnsi="Arial" w:cs="Arial"/>
          <w:color w:val="000000"/>
          <w:sz w:val="22"/>
          <w:szCs w:val="22"/>
        </w:rPr>
        <w:br/>
        <w:t>Currently, the eight-hour time weighted average (TWA) exposure limits are 31 milligrams of nitric oxide (NO) per cubic metre of air, 45 milligrams of nitrous oxide (N</w:t>
      </w:r>
      <w:r w:rsidRPr="005F7C34">
        <w:rPr>
          <w:rFonts w:ascii="Arial" w:hAnsi="Arial" w:cs="Arial"/>
          <w:color w:val="000000"/>
          <w:sz w:val="22"/>
          <w:szCs w:val="22"/>
          <w:bdr w:val="none" w:sz="0" w:space="0" w:color="auto" w:frame="1"/>
          <w:vertAlign w:val="subscript"/>
        </w:rPr>
        <w:t>2</w:t>
      </w:r>
      <w:r w:rsidRPr="005F7C34">
        <w:rPr>
          <w:rFonts w:ascii="Arial" w:hAnsi="Arial" w:cs="Arial"/>
          <w:color w:val="000000"/>
          <w:sz w:val="22"/>
          <w:szCs w:val="22"/>
        </w:rPr>
        <w:t>O) per cubic metre of air and 5.6 milligrams of nitrogen dioxide (NO</w:t>
      </w:r>
      <w:r w:rsidRPr="005F7C34">
        <w:rPr>
          <w:rFonts w:ascii="Arial" w:hAnsi="Arial" w:cs="Arial"/>
          <w:color w:val="000000"/>
          <w:sz w:val="22"/>
          <w:szCs w:val="22"/>
          <w:bdr w:val="none" w:sz="0" w:space="0" w:color="auto" w:frame="1"/>
          <w:vertAlign w:val="subscript"/>
        </w:rPr>
        <w:t>2</w:t>
      </w:r>
      <w:r w:rsidRPr="005F7C34">
        <w:rPr>
          <w:rFonts w:ascii="Arial" w:hAnsi="Arial" w:cs="Arial"/>
          <w:color w:val="000000"/>
          <w:sz w:val="22"/>
          <w:szCs w:val="22"/>
        </w:rPr>
        <w:t>) per cubic metre of air. A 15-minute short term exposure limit (STEL) has been established for NO</w:t>
      </w:r>
      <w:r w:rsidRPr="005F7C34">
        <w:rPr>
          <w:rFonts w:ascii="Arial" w:hAnsi="Arial" w:cs="Arial"/>
          <w:color w:val="000000"/>
          <w:sz w:val="22"/>
          <w:szCs w:val="22"/>
          <w:bdr w:val="none" w:sz="0" w:space="0" w:color="auto" w:frame="1"/>
          <w:vertAlign w:val="subscript"/>
        </w:rPr>
        <w:t>2</w:t>
      </w:r>
      <w:r w:rsidRPr="005F7C34">
        <w:rPr>
          <w:rFonts w:ascii="Arial" w:hAnsi="Arial" w:cs="Arial"/>
          <w:color w:val="000000"/>
          <w:sz w:val="22"/>
          <w:szCs w:val="22"/>
        </w:rPr>
        <w:t> at a level of 9.4 milligrams per cubic metre.</w:t>
      </w:r>
    </w:p>
    <w:p w14:paraId="46EAB11E"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Australian drinking water guidelines:</w:t>
      </w:r>
      <w:r w:rsidRPr="005F7C34">
        <w:rPr>
          <w:rFonts w:ascii="Arial" w:hAnsi="Arial" w:cs="Arial"/>
          <w:color w:val="000000"/>
          <w:sz w:val="22"/>
          <w:szCs w:val="22"/>
        </w:rPr>
        <w:br/>
        <w:t>In 2004, the National Health and Medical Research Council (NHMRC) and the National Resource Management Ministerial Council (NRMMC) established the following guidelines for acceptable water quality:</w:t>
      </w:r>
    </w:p>
    <w:p w14:paraId="3499B254"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Based on health considerations, the concentration of nitrates should not exceed 50 milligrams per litre of drinking water for bottle-fed infants up to 3 months of age, up to 100 milligrams per litre of drinking water for adults and children over 3 months of age.</w:t>
      </w:r>
    </w:p>
    <w:p w14:paraId="075AFF9C"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Where a water supply has between 50 and 100 milligrams of nitrate per litre of drinking water, active measures are required to ensure that those caring for infants are aware of the need to use alternative water sources in making up bottle feeds for infants under 3 months of age.</w:t>
      </w:r>
    </w:p>
    <w:p w14:paraId="490CB4E6"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Based on health considerations, the concentration of nitrites should not exceed 3 milligrams per litre of drinking water.</w:t>
      </w:r>
    </w:p>
    <w:p w14:paraId="5983D794" w14:textId="35307EB2" w:rsidR="005F7C34" w:rsidRPr="005F7C34" w:rsidRDefault="005F7C34" w:rsidP="005F7C34">
      <w:pPr>
        <w:pStyle w:val="NormalWeb"/>
        <w:shd w:val="clear" w:color="auto" w:fill="FFFFFF"/>
        <w:spacing w:before="0" w:beforeAutospacing="0" w:after="240" w:afterAutospacing="0"/>
        <w:textAlignment w:val="baseline"/>
        <w:rPr>
          <w:rFonts w:ascii="Arial" w:hAnsi="Arial" w:cs="Arial"/>
          <w:b/>
          <w:color w:val="000000"/>
        </w:rPr>
      </w:pPr>
      <w:r w:rsidRPr="005F7C34">
        <w:rPr>
          <w:rFonts w:ascii="Arial" w:hAnsi="Arial" w:cs="Arial"/>
          <w:b/>
          <w:color w:val="000000"/>
        </w:rPr>
        <w:t xml:space="preserve">Environmental Effects </w:t>
      </w:r>
    </w:p>
    <w:p w14:paraId="7E99411A" w14:textId="77777777" w:rsidR="005F7C34" w:rsidRDefault="005F7C34" w:rsidP="005F7C34">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Excessive levels of the oxides of nitrogen, particularly nitrogen dioxide (NO</w:t>
      </w:r>
      <w:r w:rsidRPr="005F7C34">
        <w:rPr>
          <w:rFonts w:ascii="Arial" w:hAnsi="Arial" w:cs="Arial"/>
          <w:color w:val="000000"/>
          <w:sz w:val="22"/>
          <w:szCs w:val="22"/>
          <w:bdr w:val="none" w:sz="0" w:space="0" w:color="auto" w:frame="1"/>
          <w:vertAlign w:val="subscript"/>
        </w:rPr>
        <w:t>2</w:t>
      </w:r>
      <w:r w:rsidRPr="005F7C34">
        <w:rPr>
          <w:rFonts w:ascii="Arial" w:hAnsi="Arial" w:cs="Arial"/>
          <w:color w:val="000000"/>
          <w:sz w:val="22"/>
          <w:szCs w:val="22"/>
        </w:rPr>
        <w:t>), can cause death in plants and roots and damage the leaves of many agricultural crops. NO</w:t>
      </w:r>
      <w:r w:rsidRPr="005F7C34">
        <w:rPr>
          <w:rFonts w:ascii="Arial" w:hAnsi="Arial" w:cs="Arial"/>
          <w:color w:val="000000"/>
          <w:sz w:val="22"/>
          <w:szCs w:val="22"/>
          <w:bdr w:val="none" w:sz="0" w:space="0" w:color="auto" w:frame="1"/>
          <w:vertAlign w:val="subscript"/>
        </w:rPr>
        <w:t>2</w:t>
      </w:r>
      <w:r w:rsidRPr="005F7C34">
        <w:rPr>
          <w:rFonts w:ascii="Arial" w:hAnsi="Arial" w:cs="Arial"/>
          <w:color w:val="000000"/>
          <w:sz w:val="22"/>
          <w:szCs w:val="22"/>
        </w:rPr>
        <w:t xml:space="preserve"> is the damaging component of photochemical smog. Excessive levels increase the acidity of rain (lower the pH), and thus lower the pH of </w:t>
      </w:r>
      <w:r w:rsidRPr="005F7C34">
        <w:rPr>
          <w:rFonts w:ascii="Arial" w:hAnsi="Arial" w:cs="Arial"/>
          <w:color w:val="000000"/>
          <w:sz w:val="22"/>
          <w:szCs w:val="22"/>
        </w:rPr>
        <w:lastRenderedPageBreak/>
        <w:t>surface and ground waters and soil. The lowered pH can have harmful effects, possibly even death, on a variety of biological systems.</w:t>
      </w:r>
    </w:p>
    <w:p w14:paraId="7E4158E8" w14:textId="77777777" w:rsidR="005F7C34" w:rsidRDefault="005F7C34" w:rsidP="005F7C34">
      <w:pPr>
        <w:pStyle w:val="NormalWeb"/>
        <w:shd w:val="clear" w:color="auto" w:fill="FFFFFF"/>
        <w:spacing w:before="0" w:beforeAutospacing="0" w:after="0" w:afterAutospacing="0"/>
        <w:textAlignment w:val="baseline"/>
        <w:rPr>
          <w:rFonts w:ascii="Arial" w:hAnsi="Arial" w:cs="Arial"/>
          <w:b/>
          <w:bCs/>
          <w:color w:val="000000"/>
          <w:sz w:val="22"/>
          <w:szCs w:val="22"/>
        </w:rPr>
      </w:pPr>
    </w:p>
    <w:p w14:paraId="1627F758" w14:textId="58638DBC" w:rsidR="005F7C34" w:rsidRPr="005F7C34" w:rsidRDefault="005F7C34" w:rsidP="005F7C34">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b/>
          <w:bCs/>
          <w:color w:val="000000"/>
          <w:sz w:val="22"/>
          <w:szCs w:val="22"/>
        </w:rPr>
        <w:t>Entering the environment</w:t>
      </w:r>
    </w:p>
    <w:p w14:paraId="1648A3C4"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Oxides of nitrogen are part of the biogeochemical cycling of nitrogen, and are found in air, soil and water.</w:t>
      </w:r>
    </w:p>
    <w:p w14:paraId="7BBF63E7" w14:textId="77777777" w:rsidR="005F7C34" w:rsidRPr="005F7C34" w:rsidRDefault="005F7C34" w:rsidP="005F7C34">
      <w:pPr>
        <w:pStyle w:val="NormalWeb"/>
        <w:shd w:val="clear" w:color="auto" w:fill="FFFFFF"/>
        <w:spacing w:before="0" w:beforeAutospacing="0" w:after="0" w:afterAutospacing="0"/>
        <w:textAlignment w:val="baseline"/>
        <w:rPr>
          <w:rFonts w:ascii="Arial" w:hAnsi="Arial" w:cs="Arial"/>
          <w:color w:val="000000"/>
          <w:sz w:val="22"/>
          <w:szCs w:val="22"/>
        </w:rPr>
      </w:pPr>
      <w:r w:rsidRPr="005F7C34">
        <w:rPr>
          <w:rFonts w:ascii="Arial" w:hAnsi="Arial" w:cs="Arial"/>
          <w:color w:val="000000"/>
          <w:sz w:val="22"/>
          <w:szCs w:val="22"/>
        </w:rPr>
        <w:t>In the atmosphere, the oxides of nitrogen are rapidly equilibrated to nitrogen dioxide (NO</w:t>
      </w:r>
      <w:r w:rsidRPr="005F7C34">
        <w:rPr>
          <w:rFonts w:ascii="Arial" w:hAnsi="Arial" w:cs="Arial"/>
          <w:color w:val="000000"/>
          <w:sz w:val="22"/>
          <w:szCs w:val="22"/>
          <w:bdr w:val="none" w:sz="0" w:space="0" w:color="auto" w:frame="1"/>
          <w:vertAlign w:val="subscript"/>
        </w:rPr>
        <w:t>2</w:t>
      </w:r>
      <w:r w:rsidRPr="005F7C34">
        <w:rPr>
          <w:rFonts w:ascii="Arial" w:hAnsi="Arial" w:cs="Arial"/>
          <w:color w:val="000000"/>
          <w:sz w:val="22"/>
          <w:szCs w:val="22"/>
        </w:rPr>
        <w:t>), which eventually forms acid rain. In the stratosphere, oxides of nitrogen play a crucial role in maintaining the levels of ozone. Ozone is formed through the photochemical reaction between nitrogen dioxide and oxygen.</w:t>
      </w:r>
    </w:p>
    <w:p w14:paraId="78687C9E" w14:textId="77777777" w:rsidR="005F7C34" w:rsidRPr="005F7C34" w:rsidRDefault="005F7C34" w:rsidP="005F7C34">
      <w:pPr>
        <w:pStyle w:val="Heading2"/>
        <w:shd w:val="clear" w:color="auto" w:fill="FFFFFF"/>
        <w:spacing w:before="0" w:after="120" w:line="312" w:lineRule="atLeast"/>
        <w:textAlignment w:val="baseline"/>
        <w:rPr>
          <w:rFonts w:ascii="Arial" w:hAnsi="Arial" w:cs="Arial"/>
          <w:color w:val="000000"/>
          <w:sz w:val="22"/>
          <w:szCs w:val="22"/>
        </w:rPr>
      </w:pPr>
      <w:r w:rsidRPr="005F7C34">
        <w:rPr>
          <w:rFonts w:ascii="Arial" w:hAnsi="Arial" w:cs="Arial"/>
          <w:b/>
          <w:bCs/>
          <w:color w:val="000000"/>
          <w:sz w:val="22"/>
          <w:szCs w:val="22"/>
        </w:rPr>
        <w:t>Where it ends up</w:t>
      </w:r>
    </w:p>
    <w:p w14:paraId="5B81A239"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Oxides of nitrogen are rapidly broken down by reacting with other substances found in the air. Nitrogen dioxide can form nitric acid in sunlight, and is a major constituent of acid rain, tropospheric ozone and smog. Nitrogen oxides react in the soil and the water to nitric acid.</w:t>
      </w:r>
    </w:p>
    <w:p w14:paraId="1739430B" w14:textId="77777777" w:rsidR="005F7C34" w:rsidRPr="005F7C34" w:rsidRDefault="005F7C34" w:rsidP="005F7C34">
      <w:pPr>
        <w:pStyle w:val="Heading2"/>
        <w:shd w:val="clear" w:color="auto" w:fill="FFFFFF"/>
        <w:spacing w:before="0" w:after="120" w:line="312" w:lineRule="atLeast"/>
        <w:textAlignment w:val="baseline"/>
        <w:rPr>
          <w:rFonts w:ascii="Arial" w:hAnsi="Arial" w:cs="Arial"/>
          <w:color w:val="000000"/>
          <w:sz w:val="22"/>
          <w:szCs w:val="22"/>
        </w:rPr>
      </w:pPr>
      <w:r w:rsidRPr="005F7C34">
        <w:rPr>
          <w:rFonts w:ascii="Arial" w:hAnsi="Arial" w:cs="Arial"/>
          <w:b/>
          <w:bCs/>
          <w:color w:val="000000"/>
          <w:sz w:val="22"/>
          <w:szCs w:val="22"/>
        </w:rPr>
        <w:t>Environmental guidelines</w:t>
      </w:r>
    </w:p>
    <w:p w14:paraId="423A573E" w14:textId="38DD72C6" w:rsid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The following ambient air quality standards were established for nitrogen dioxide in 1999:</w:t>
      </w:r>
      <w:r w:rsidRPr="005F7C34">
        <w:rPr>
          <w:rFonts w:ascii="Arial" w:hAnsi="Arial" w:cs="Arial"/>
          <w:color w:val="000000"/>
          <w:sz w:val="22"/>
          <w:szCs w:val="22"/>
        </w:rPr>
        <w:br/>
        <w:t>Averaging period of 1 hour, a maximum of 0.12 parts per million, with a maximum allowable exceedance of 1 day per year.</w:t>
      </w:r>
      <w:r w:rsidRPr="005F7C34">
        <w:rPr>
          <w:rFonts w:ascii="Arial" w:hAnsi="Arial" w:cs="Arial"/>
          <w:color w:val="000000"/>
          <w:sz w:val="22"/>
          <w:szCs w:val="22"/>
        </w:rPr>
        <w:br/>
        <w:t>Averaging period of 1 year, a maximum of 0.03 parts per million.</w:t>
      </w:r>
    </w:p>
    <w:p w14:paraId="786940FF" w14:textId="77777777" w:rsidR="005F7C34" w:rsidRPr="005F7C34" w:rsidRDefault="005F7C34" w:rsidP="005F7C34">
      <w:pPr>
        <w:pStyle w:val="NormalWeb"/>
        <w:shd w:val="clear" w:color="auto" w:fill="FFFFFF"/>
        <w:spacing w:before="0" w:beforeAutospacing="0" w:after="0" w:afterAutospacing="0"/>
        <w:textAlignment w:val="baseline"/>
        <w:rPr>
          <w:rFonts w:ascii="Arial" w:hAnsi="Arial" w:cs="Arial"/>
          <w:b/>
          <w:color w:val="000000"/>
          <w:sz w:val="22"/>
          <w:szCs w:val="22"/>
        </w:rPr>
      </w:pPr>
      <w:r w:rsidRPr="005F7C34">
        <w:rPr>
          <w:rFonts w:ascii="Arial" w:hAnsi="Arial" w:cs="Arial"/>
          <w:b/>
          <w:color w:val="000000"/>
          <w:sz w:val="22"/>
          <w:szCs w:val="22"/>
        </w:rPr>
        <w:t xml:space="preserve">Sources of Emission </w:t>
      </w:r>
    </w:p>
    <w:p w14:paraId="1513AED7" w14:textId="77777777" w:rsid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p>
    <w:p w14:paraId="070AB8CE" w14:textId="78EF72CA"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Industry sources</w:t>
      </w:r>
    </w:p>
    <w:p w14:paraId="099F6228" w14:textId="77777777" w:rsid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Industrial sources of oxides of nitrogen are electricity supply, mining, oil and gas extraction, manufacturing industries and petroleum manufacturing.</w:t>
      </w:r>
    </w:p>
    <w:p w14:paraId="2B2BCD1D" w14:textId="34A71A0E"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Diffuse sources, and industry sources included in diffuse emissions data</w:t>
      </w:r>
    </w:p>
    <w:p w14:paraId="5E72C4BA" w14:textId="77777777" w:rsid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 xml:space="preserve">A variety of agricultural (both cultivation and animal feeding) and forestry (both "burn-offs" and </w:t>
      </w:r>
      <w:proofErr w:type="spellStart"/>
      <w:r w:rsidRPr="005F7C34">
        <w:rPr>
          <w:rFonts w:ascii="Arial" w:hAnsi="Arial" w:cs="Arial"/>
          <w:color w:val="000000"/>
          <w:sz w:val="22"/>
          <w:szCs w:val="22"/>
        </w:rPr>
        <w:t>clearfelling</w:t>
      </w:r>
      <w:proofErr w:type="spellEnd"/>
      <w:r w:rsidRPr="005F7C34">
        <w:rPr>
          <w:rFonts w:ascii="Arial" w:hAnsi="Arial" w:cs="Arial"/>
          <w:color w:val="000000"/>
          <w:sz w:val="22"/>
          <w:szCs w:val="22"/>
        </w:rPr>
        <w:t>) activities increase the rate of natural processes that produce oxides of nitrogen. Fuel burning activities, such as for heating, and cigarette smoking are also diffuse sources of oxides of nitrogen.</w:t>
      </w:r>
    </w:p>
    <w:p w14:paraId="2C6694D7" w14:textId="0F237601"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Natural sources</w:t>
      </w:r>
    </w:p>
    <w:p w14:paraId="7668D857"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The biological cycling of nitrogen includes processes that produce nitric oxide and nitrous oxide as intermediates.</w:t>
      </w:r>
    </w:p>
    <w:p w14:paraId="1F85ADC1" w14:textId="77777777" w:rsid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Thermal processes in the atmosphere (during lightning or bushfires/wildfires) produce oxides of nitrogen.</w:t>
      </w:r>
    </w:p>
    <w:p w14:paraId="56736E88" w14:textId="2358C4E1"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Transport sources</w:t>
      </w:r>
    </w:p>
    <w:p w14:paraId="26561703" w14:textId="77777777" w:rsid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Oxides of nitrogen are present in the exhausts of all vehicles, including motor vehicles, lawn mowers, shipping/boating, aeroplanes and railways.</w:t>
      </w:r>
    </w:p>
    <w:p w14:paraId="11E716DC" w14:textId="2AAF68D9"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b/>
          <w:bCs/>
          <w:color w:val="000000"/>
          <w:sz w:val="22"/>
          <w:szCs w:val="22"/>
        </w:rPr>
        <w:t>Consumer products</w:t>
      </w:r>
    </w:p>
    <w:p w14:paraId="6964BB74" w14:textId="77777777" w:rsidR="005F7C34" w:rsidRPr="005F7C34" w:rsidRDefault="005F7C34" w:rsidP="005F7C34">
      <w:pPr>
        <w:pStyle w:val="NormalWeb"/>
        <w:shd w:val="clear" w:color="auto" w:fill="FFFFFF"/>
        <w:spacing w:before="0" w:beforeAutospacing="0" w:after="240" w:afterAutospacing="0"/>
        <w:textAlignment w:val="baseline"/>
        <w:rPr>
          <w:rFonts w:ascii="Arial" w:hAnsi="Arial" w:cs="Arial"/>
          <w:color w:val="000000"/>
          <w:sz w:val="22"/>
          <w:szCs w:val="22"/>
        </w:rPr>
      </w:pPr>
      <w:r w:rsidRPr="005F7C34">
        <w:rPr>
          <w:rFonts w:ascii="Arial" w:hAnsi="Arial" w:cs="Arial"/>
          <w:color w:val="000000"/>
          <w:sz w:val="22"/>
          <w:szCs w:val="22"/>
        </w:rPr>
        <w:t>Nitrate containing fertilisers contain oxides of nitrogen.</w:t>
      </w:r>
    </w:p>
    <w:p w14:paraId="36926DAA" w14:textId="77777777" w:rsidR="005F7C34" w:rsidRDefault="005F7C34">
      <w:pPr>
        <w:rPr>
          <w:rFonts w:ascii="Arial" w:eastAsia="Times New Roman" w:hAnsi="Arial" w:cs="Arial"/>
          <w:color w:val="000000"/>
          <w:lang w:eastAsia="en-IN"/>
        </w:rPr>
      </w:pPr>
    </w:p>
    <w:p w14:paraId="6FA731AE" w14:textId="77777777" w:rsidR="005F7C34" w:rsidRDefault="005F7C34">
      <w:pPr>
        <w:rPr>
          <w:rFonts w:ascii="Arial" w:hAnsi="Arial" w:cs="Arial"/>
          <w:b/>
          <w:color w:val="222222"/>
        </w:rPr>
      </w:pPr>
    </w:p>
    <w:p w14:paraId="6DCC91AA" w14:textId="77777777" w:rsidR="005F7C34" w:rsidRDefault="005F7C34">
      <w:pPr>
        <w:rPr>
          <w:rFonts w:ascii="Arial" w:hAnsi="Arial" w:cs="Arial"/>
          <w:b/>
          <w:color w:val="222222"/>
        </w:rPr>
      </w:pPr>
    </w:p>
    <w:p w14:paraId="19EEFB91" w14:textId="77777777" w:rsidR="005F7C34" w:rsidRDefault="005F7C34">
      <w:pPr>
        <w:rPr>
          <w:rFonts w:ascii="Arial" w:hAnsi="Arial" w:cs="Arial"/>
          <w:b/>
          <w:color w:val="222222"/>
        </w:rPr>
      </w:pPr>
    </w:p>
    <w:p w14:paraId="232B5ABB" w14:textId="77777777" w:rsidR="005F7C34" w:rsidRDefault="005F7C34">
      <w:pPr>
        <w:rPr>
          <w:rFonts w:ascii="Arial" w:hAnsi="Arial" w:cs="Arial"/>
          <w:b/>
          <w:color w:val="222222"/>
        </w:rPr>
      </w:pPr>
    </w:p>
    <w:p w14:paraId="495F8EDF" w14:textId="0DC1E646" w:rsidR="00431AB4" w:rsidRDefault="00881A5A">
      <w:pPr>
        <w:rPr>
          <w:rFonts w:ascii="Arial" w:hAnsi="Arial" w:cs="Arial"/>
          <w:b/>
          <w:color w:val="222222"/>
          <w:u w:val="single"/>
          <w:vertAlign w:val="subscript"/>
        </w:rPr>
      </w:pPr>
      <w:r w:rsidRPr="00881A5A">
        <w:rPr>
          <w:rFonts w:ascii="Arial" w:hAnsi="Arial" w:cs="Arial"/>
          <w:b/>
          <w:color w:val="222222"/>
          <w:u w:val="single"/>
        </w:rPr>
        <w:lastRenderedPageBreak/>
        <w:t>3.</w:t>
      </w:r>
      <w:r w:rsidR="00431AB4" w:rsidRPr="00881A5A">
        <w:rPr>
          <w:rFonts w:ascii="Arial" w:hAnsi="Arial" w:cs="Arial"/>
          <w:b/>
          <w:color w:val="222222"/>
          <w:u w:val="single"/>
        </w:rPr>
        <w:t>SO</w:t>
      </w:r>
      <w:r w:rsidR="00431AB4" w:rsidRPr="00881A5A">
        <w:rPr>
          <w:rFonts w:ascii="Arial" w:hAnsi="Arial" w:cs="Arial"/>
          <w:b/>
          <w:color w:val="222222"/>
          <w:u w:val="single"/>
          <w:vertAlign w:val="subscript"/>
        </w:rPr>
        <w:t>2</w:t>
      </w:r>
    </w:p>
    <w:p w14:paraId="2DFA2EFF" w14:textId="77777777" w:rsidR="00881A5A" w:rsidRDefault="00881A5A" w:rsidP="00881A5A">
      <w:pPr>
        <w:rPr>
          <w:rFonts w:ascii="Arial" w:hAnsi="Arial" w:cs="Arial"/>
          <w:color w:val="000000"/>
          <w:shd w:val="clear" w:color="auto" w:fill="FFFFFF"/>
        </w:rPr>
      </w:pPr>
      <w:r w:rsidRPr="00881A5A">
        <w:rPr>
          <w:rFonts w:ascii="Arial" w:hAnsi="Arial" w:cs="Arial"/>
          <w:color w:val="000000"/>
          <w:shd w:val="clear" w:color="auto" w:fill="FFFFFF"/>
        </w:rPr>
        <w:t>As a fruit preserving agent and as a food preservative or additive.</w:t>
      </w:r>
      <w:r w:rsidRPr="00881A5A">
        <w:rPr>
          <w:rFonts w:ascii="Arial" w:hAnsi="Arial" w:cs="Arial"/>
          <w:color w:val="000000"/>
        </w:rPr>
        <w:br/>
      </w:r>
      <w:r w:rsidRPr="00881A5A">
        <w:rPr>
          <w:rFonts w:ascii="Arial" w:hAnsi="Arial" w:cs="Arial"/>
          <w:color w:val="000000"/>
          <w:shd w:val="clear" w:color="auto" w:fill="FFFFFF"/>
        </w:rPr>
        <w:t>In the fermentation stage of wine making.</w:t>
      </w:r>
      <w:r w:rsidRPr="00881A5A">
        <w:rPr>
          <w:rFonts w:ascii="Arial" w:hAnsi="Arial" w:cs="Arial"/>
          <w:color w:val="000000"/>
        </w:rPr>
        <w:br/>
      </w:r>
      <w:r w:rsidRPr="00881A5A">
        <w:rPr>
          <w:rFonts w:ascii="Arial" w:hAnsi="Arial" w:cs="Arial"/>
          <w:color w:val="000000"/>
          <w:shd w:val="clear" w:color="auto" w:fill="FFFFFF"/>
        </w:rPr>
        <w:t>For bleaching textile fibres.</w:t>
      </w:r>
      <w:r w:rsidRPr="00881A5A">
        <w:rPr>
          <w:rFonts w:ascii="Arial" w:hAnsi="Arial" w:cs="Arial"/>
          <w:color w:val="000000"/>
        </w:rPr>
        <w:br/>
      </w:r>
      <w:r w:rsidRPr="00881A5A">
        <w:rPr>
          <w:rFonts w:ascii="Arial" w:hAnsi="Arial" w:cs="Arial"/>
          <w:color w:val="000000"/>
          <w:shd w:val="clear" w:color="auto" w:fill="FFFFFF"/>
        </w:rPr>
        <w:t>In the manufacture of paper.</w:t>
      </w:r>
      <w:r w:rsidRPr="00881A5A">
        <w:rPr>
          <w:rFonts w:ascii="Arial" w:hAnsi="Arial" w:cs="Arial"/>
          <w:color w:val="000000"/>
        </w:rPr>
        <w:br/>
      </w:r>
      <w:r w:rsidRPr="00881A5A">
        <w:rPr>
          <w:rFonts w:ascii="Arial" w:hAnsi="Arial" w:cs="Arial"/>
          <w:color w:val="000000"/>
          <w:shd w:val="clear" w:color="auto" w:fill="FFFFFF"/>
        </w:rPr>
        <w:t>As a disinfectant in breweries and food factories.</w:t>
      </w:r>
      <w:r w:rsidRPr="00881A5A">
        <w:rPr>
          <w:rFonts w:ascii="Arial" w:hAnsi="Arial" w:cs="Arial"/>
          <w:color w:val="000000"/>
        </w:rPr>
        <w:br/>
      </w:r>
      <w:r w:rsidRPr="00881A5A">
        <w:rPr>
          <w:rFonts w:ascii="Arial" w:hAnsi="Arial" w:cs="Arial"/>
          <w:color w:val="000000"/>
          <w:shd w:val="clear" w:color="auto" w:fill="FFFFFF"/>
        </w:rPr>
        <w:t>As a fumigant for grains, grapes and citrus fruits.</w:t>
      </w:r>
    </w:p>
    <w:p w14:paraId="78BE8E46" w14:textId="23F4B61B" w:rsidR="00881A5A" w:rsidRPr="00881A5A" w:rsidRDefault="00881A5A" w:rsidP="00881A5A">
      <w:pPr>
        <w:rPr>
          <w:rFonts w:ascii="Arial" w:hAnsi="Arial" w:cs="Arial"/>
          <w:color w:val="000000"/>
          <w:shd w:val="clear" w:color="auto" w:fill="FFFFFF"/>
        </w:rPr>
      </w:pPr>
      <w:r>
        <w:rPr>
          <w:rFonts w:ascii="Arial" w:hAnsi="Arial" w:cs="Arial"/>
          <w:b/>
          <w:bCs/>
          <w:color w:val="000000"/>
        </w:rPr>
        <w:t>Health effects</w:t>
      </w:r>
    </w:p>
    <w:p w14:paraId="4164FE81" w14:textId="77777777" w:rsidR="00881A5A" w:rsidRPr="00881A5A" w:rsidRDefault="00881A5A" w:rsidP="00881A5A">
      <w:pPr>
        <w:pStyle w:val="NormalWeb"/>
        <w:shd w:val="clear" w:color="auto" w:fill="FFFFFF"/>
        <w:spacing w:before="0" w:beforeAutospacing="0" w:after="240" w:afterAutospacing="0"/>
        <w:textAlignment w:val="baseline"/>
        <w:rPr>
          <w:rFonts w:ascii="Arial" w:hAnsi="Arial" w:cs="Arial"/>
          <w:color w:val="000000"/>
          <w:sz w:val="22"/>
          <w:szCs w:val="22"/>
        </w:rPr>
      </w:pPr>
      <w:r w:rsidRPr="00881A5A">
        <w:rPr>
          <w:rFonts w:ascii="Arial" w:hAnsi="Arial" w:cs="Arial"/>
          <w:color w:val="000000"/>
          <w:sz w:val="22"/>
          <w:szCs w:val="22"/>
        </w:rPr>
        <w:t>Exposure to concentrations of 10 to 50 parts per million for 5 to 15 minutes causes irritation of the eyes, nose and throat, choking and coughing.</w:t>
      </w:r>
    </w:p>
    <w:p w14:paraId="7AC5F95F" w14:textId="77777777" w:rsidR="00881A5A" w:rsidRDefault="00881A5A" w:rsidP="00881A5A">
      <w:pPr>
        <w:pStyle w:val="NormalWeb"/>
        <w:shd w:val="clear" w:color="auto" w:fill="FFFFFF"/>
        <w:spacing w:before="0" w:beforeAutospacing="0" w:after="240" w:afterAutospacing="0"/>
        <w:textAlignment w:val="baseline"/>
        <w:rPr>
          <w:rFonts w:ascii="Arial" w:hAnsi="Arial" w:cs="Arial"/>
          <w:color w:val="000000"/>
          <w:sz w:val="22"/>
          <w:szCs w:val="22"/>
        </w:rPr>
      </w:pPr>
      <w:r w:rsidRPr="00881A5A">
        <w:rPr>
          <w:rFonts w:ascii="Arial" w:hAnsi="Arial" w:cs="Arial"/>
          <w:color w:val="000000"/>
          <w:sz w:val="22"/>
          <w:szCs w:val="22"/>
        </w:rPr>
        <w:t xml:space="preserve">Exposure of the eyes to liquid </w:t>
      </w:r>
      <w:proofErr w:type="spellStart"/>
      <w:r w:rsidRPr="00881A5A">
        <w:rPr>
          <w:rFonts w:ascii="Arial" w:hAnsi="Arial" w:cs="Arial"/>
          <w:color w:val="000000"/>
          <w:sz w:val="22"/>
          <w:szCs w:val="22"/>
        </w:rPr>
        <w:t>sulfur</w:t>
      </w:r>
      <w:proofErr w:type="spellEnd"/>
      <w:r w:rsidRPr="00881A5A">
        <w:rPr>
          <w:rFonts w:ascii="Arial" w:hAnsi="Arial" w:cs="Arial"/>
          <w:color w:val="000000"/>
          <w:sz w:val="22"/>
          <w:szCs w:val="22"/>
        </w:rPr>
        <w:t xml:space="preserve"> dioxide, (from, for example an industrial accident) can cause severe burns, resulting in the loss of vision. On the skin it produces burns. Other health effects include headache, general discomfort and anxiety. Those with impaired heart or lung function and asthmatics are at increased risk. Repeated or prolonged exposure to moderate concentrations may cause inflammation of the respiratory tract, wheezing and lung damage. It has also proved to be harmful to the reproductive systems of experimental animals and caused developmental changes in their </w:t>
      </w:r>
      <w:proofErr w:type="spellStart"/>
      <w:r w:rsidRPr="00881A5A">
        <w:rPr>
          <w:rFonts w:ascii="Arial" w:hAnsi="Arial" w:cs="Arial"/>
          <w:color w:val="000000"/>
          <w:sz w:val="22"/>
          <w:szCs w:val="22"/>
        </w:rPr>
        <w:t>newborn</w:t>
      </w:r>
      <w:proofErr w:type="spellEnd"/>
      <w:r w:rsidRPr="00881A5A">
        <w:rPr>
          <w:rFonts w:ascii="Arial" w:hAnsi="Arial" w:cs="Arial"/>
          <w:color w:val="000000"/>
          <w:sz w:val="22"/>
          <w:szCs w:val="22"/>
        </w:rPr>
        <w:t>.</w:t>
      </w:r>
    </w:p>
    <w:p w14:paraId="23FFCBC6" w14:textId="2DE66539" w:rsidR="00881A5A" w:rsidRPr="00881A5A" w:rsidRDefault="00881A5A" w:rsidP="00881A5A">
      <w:pPr>
        <w:pStyle w:val="NormalWeb"/>
        <w:shd w:val="clear" w:color="auto" w:fill="FFFFFF"/>
        <w:spacing w:before="0" w:beforeAutospacing="0" w:after="240" w:afterAutospacing="0"/>
        <w:textAlignment w:val="baseline"/>
        <w:rPr>
          <w:rFonts w:ascii="Arial" w:hAnsi="Arial" w:cs="Arial"/>
          <w:color w:val="000000"/>
          <w:sz w:val="22"/>
          <w:szCs w:val="22"/>
        </w:rPr>
      </w:pPr>
      <w:r w:rsidRPr="00881A5A">
        <w:rPr>
          <w:rFonts w:ascii="Arial" w:hAnsi="Arial" w:cs="Arial"/>
          <w:b/>
          <w:bCs/>
          <w:color w:val="000000"/>
          <w:sz w:val="22"/>
          <w:szCs w:val="22"/>
        </w:rPr>
        <w:t>Entering the body</w:t>
      </w:r>
    </w:p>
    <w:p w14:paraId="27393E7A" w14:textId="77777777" w:rsidR="00881A5A" w:rsidRPr="00881A5A" w:rsidRDefault="00881A5A" w:rsidP="00881A5A">
      <w:pPr>
        <w:pStyle w:val="NormalWeb"/>
        <w:shd w:val="clear" w:color="auto" w:fill="FFFFFF"/>
        <w:spacing w:before="0" w:beforeAutospacing="0" w:after="240" w:afterAutospacing="0"/>
        <w:textAlignment w:val="baseline"/>
        <w:rPr>
          <w:rFonts w:ascii="Arial" w:hAnsi="Arial" w:cs="Arial"/>
          <w:color w:val="000000"/>
          <w:sz w:val="22"/>
          <w:szCs w:val="22"/>
        </w:rPr>
      </w:pPr>
      <w:proofErr w:type="spellStart"/>
      <w:r w:rsidRPr="00881A5A">
        <w:rPr>
          <w:rFonts w:ascii="Arial" w:hAnsi="Arial" w:cs="Arial"/>
          <w:color w:val="000000"/>
          <w:sz w:val="22"/>
          <w:szCs w:val="22"/>
        </w:rPr>
        <w:t>Sulfur</w:t>
      </w:r>
      <w:proofErr w:type="spellEnd"/>
      <w:r w:rsidRPr="00881A5A">
        <w:rPr>
          <w:rFonts w:ascii="Arial" w:hAnsi="Arial" w:cs="Arial"/>
          <w:color w:val="000000"/>
          <w:sz w:val="22"/>
          <w:szCs w:val="22"/>
        </w:rPr>
        <w:t xml:space="preserve"> dioxide will enter the body if we breathe in contaminated air. Upon entry, nose, throat and lungs may be affected. </w:t>
      </w:r>
      <w:proofErr w:type="spellStart"/>
      <w:r w:rsidRPr="00881A5A">
        <w:rPr>
          <w:rFonts w:ascii="Arial" w:hAnsi="Arial" w:cs="Arial"/>
          <w:color w:val="000000"/>
          <w:sz w:val="22"/>
          <w:szCs w:val="22"/>
        </w:rPr>
        <w:t>Sulfur</w:t>
      </w:r>
      <w:proofErr w:type="spellEnd"/>
      <w:r w:rsidRPr="00881A5A">
        <w:rPr>
          <w:rFonts w:ascii="Arial" w:hAnsi="Arial" w:cs="Arial"/>
          <w:color w:val="000000"/>
          <w:sz w:val="22"/>
          <w:szCs w:val="22"/>
        </w:rPr>
        <w:t xml:space="preserve"> dioxide can also enter our bodies when we eat or drink food or beverages (wine) which contain </w:t>
      </w:r>
      <w:proofErr w:type="spellStart"/>
      <w:r w:rsidRPr="00881A5A">
        <w:rPr>
          <w:rFonts w:ascii="Arial" w:hAnsi="Arial" w:cs="Arial"/>
          <w:color w:val="000000"/>
          <w:sz w:val="22"/>
          <w:szCs w:val="22"/>
        </w:rPr>
        <w:t>sulfur</w:t>
      </w:r>
      <w:proofErr w:type="spellEnd"/>
      <w:r w:rsidRPr="00881A5A">
        <w:rPr>
          <w:rFonts w:ascii="Arial" w:hAnsi="Arial" w:cs="Arial"/>
          <w:color w:val="000000"/>
          <w:sz w:val="22"/>
          <w:szCs w:val="22"/>
        </w:rPr>
        <w:t xml:space="preserve"> dioxide as a preservative. </w:t>
      </w:r>
      <w:proofErr w:type="spellStart"/>
      <w:r w:rsidRPr="00881A5A">
        <w:rPr>
          <w:rFonts w:ascii="Arial" w:hAnsi="Arial" w:cs="Arial"/>
          <w:color w:val="000000"/>
          <w:sz w:val="22"/>
          <w:szCs w:val="22"/>
        </w:rPr>
        <w:t>Sulfur</w:t>
      </w:r>
      <w:proofErr w:type="spellEnd"/>
      <w:r w:rsidRPr="00881A5A">
        <w:rPr>
          <w:rFonts w:ascii="Arial" w:hAnsi="Arial" w:cs="Arial"/>
          <w:color w:val="000000"/>
          <w:sz w:val="22"/>
          <w:szCs w:val="22"/>
        </w:rPr>
        <w:t xml:space="preserve"> dioxide can enter the body through skin contact.</w:t>
      </w:r>
    </w:p>
    <w:p w14:paraId="5A1E961A" w14:textId="77777777" w:rsidR="00881A5A" w:rsidRPr="00881A5A" w:rsidRDefault="00881A5A" w:rsidP="00881A5A">
      <w:pPr>
        <w:pStyle w:val="Heading2"/>
        <w:shd w:val="clear" w:color="auto" w:fill="FFFFFF"/>
        <w:spacing w:before="0" w:after="120" w:line="312" w:lineRule="atLeast"/>
        <w:textAlignment w:val="baseline"/>
        <w:rPr>
          <w:rFonts w:ascii="Arial" w:hAnsi="Arial" w:cs="Arial"/>
          <w:color w:val="000000"/>
          <w:sz w:val="22"/>
          <w:szCs w:val="22"/>
        </w:rPr>
      </w:pPr>
      <w:r w:rsidRPr="00881A5A">
        <w:rPr>
          <w:rFonts w:ascii="Arial" w:hAnsi="Arial" w:cs="Arial"/>
          <w:b/>
          <w:bCs/>
          <w:color w:val="000000"/>
          <w:sz w:val="22"/>
          <w:szCs w:val="22"/>
        </w:rPr>
        <w:t>Exposure</w:t>
      </w:r>
    </w:p>
    <w:p w14:paraId="62713DBB" w14:textId="77777777" w:rsidR="00881A5A" w:rsidRPr="00881A5A" w:rsidRDefault="00881A5A" w:rsidP="00881A5A">
      <w:pPr>
        <w:pStyle w:val="NormalWeb"/>
        <w:shd w:val="clear" w:color="auto" w:fill="FFFFFF"/>
        <w:spacing w:before="0" w:beforeAutospacing="0" w:after="240" w:afterAutospacing="0"/>
        <w:textAlignment w:val="baseline"/>
        <w:rPr>
          <w:rFonts w:ascii="Arial" w:hAnsi="Arial" w:cs="Arial"/>
          <w:color w:val="000000"/>
          <w:sz w:val="22"/>
          <w:szCs w:val="22"/>
        </w:rPr>
      </w:pPr>
      <w:proofErr w:type="spellStart"/>
      <w:r w:rsidRPr="00881A5A">
        <w:rPr>
          <w:rFonts w:ascii="Arial" w:hAnsi="Arial" w:cs="Arial"/>
          <w:color w:val="000000"/>
          <w:sz w:val="22"/>
          <w:szCs w:val="22"/>
        </w:rPr>
        <w:t>Sulfur</w:t>
      </w:r>
      <w:proofErr w:type="spellEnd"/>
      <w:r w:rsidRPr="00881A5A">
        <w:rPr>
          <w:rFonts w:ascii="Arial" w:hAnsi="Arial" w:cs="Arial"/>
          <w:color w:val="000000"/>
          <w:sz w:val="22"/>
          <w:szCs w:val="22"/>
        </w:rPr>
        <w:t xml:space="preserve"> dioxide is a common pollutant to which we are exposed at very low levels every day by breathing air in cities and some industrial environments. Higher exposure levels are more likely to be found in the workplace where it is produced as a by-product, such as in smelting and the combustion of coal or oil. Exposure can also happen from the manufacture of fumigants, food preservatives, bleaches and wine making. It can be ingested by eating preserved foods and breathed in causing a risk to asthmatics and other individuals sensitive to its effects.</w:t>
      </w:r>
    </w:p>
    <w:p w14:paraId="2D5A2A6B" w14:textId="77777777" w:rsidR="00881A5A" w:rsidRPr="00881A5A" w:rsidRDefault="00881A5A" w:rsidP="00881A5A">
      <w:pPr>
        <w:pStyle w:val="Heading2"/>
        <w:shd w:val="clear" w:color="auto" w:fill="FFFFFF"/>
        <w:spacing w:before="0" w:after="120" w:line="312" w:lineRule="atLeast"/>
        <w:textAlignment w:val="baseline"/>
        <w:rPr>
          <w:rFonts w:ascii="Arial" w:hAnsi="Arial" w:cs="Arial"/>
          <w:color w:val="000000"/>
          <w:sz w:val="22"/>
          <w:szCs w:val="22"/>
        </w:rPr>
      </w:pPr>
      <w:r w:rsidRPr="00881A5A">
        <w:rPr>
          <w:rFonts w:ascii="Arial" w:hAnsi="Arial" w:cs="Arial"/>
          <w:b/>
          <w:bCs/>
          <w:color w:val="000000"/>
          <w:sz w:val="22"/>
          <w:szCs w:val="22"/>
        </w:rPr>
        <w:t>Health guidelines</w:t>
      </w:r>
    </w:p>
    <w:p w14:paraId="771A0B88" w14:textId="77777777" w:rsidR="00881A5A" w:rsidRPr="00881A5A" w:rsidRDefault="00881A5A" w:rsidP="00881A5A">
      <w:pPr>
        <w:pStyle w:val="NormalWeb"/>
        <w:shd w:val="clear" w:color="auto" w:fill="FFFFFF"/>
        <w:spacing w:before="0" w:beforeAutospacing="0" w:after="240" w:afterAutospacing="0"/>
        <w:textAlignment w:val="baseline"/>
        <w:rPr>
          <w:rFonts w:ascii="Arial" w:hAnsi="Arial" w:cs="Arial"/>
          <w:color w:val="000000"/>
          <w:sz w:val="22"/>
          <w:szCs w:val="22"/>
        </w:rPr>
      </w:pPr>
      <w:r w:rsidRPr="00881A5A">
        <w:rPr>
          <w:rFonts w:ascii="Arial" w:hAnsi="Arial" w:cs="Arial"/>
          <w:color w:val="000000"/>
          <w:sz w:val="22"/>
          <w:szCs w:val="22"/>
        </w:rPr>
        <w:t>National Ambient Air Quality Standards and Goals:</w:t>
      </w:r>
    </w:p>
    <w:p w14:paraId="3D39573E" w14:textId="77777777" w:rsidR="00881A5A" w:rsidRPr="00881A5A" w:rsidRDefault="00881A5A" w:rsidP="00881A5A">
      <w:pPr>
        <w:pStyle w:val="NormalWeb"/>
        <w:shd w:val="clear" w:color="auto" w:fill="FFFFFF"/>
        <w:spacing w:before="0" w:beforeAutospacing="0" w:after="240" w:afterAutospacing="0"/>
        <w:textAlignment w:val="baseline"/>
        <w:rPr>
          <w:rFonts w:ascii="Arial" w:hAnsi="Arial" w:cs="Arial"/>
          <w:color w:val="000000"/>
          <w:sz w:val="22"/>
          <w:szCs w:val="22"/>
        </w:rPr>
      </w:pPr>
      <w:r w:rsidRPr="00881A5A">
        <w:rPr>
          <w:rFonts w:ascii="Arial" w:hAnsi="Arial" w:cs="Arial"/>
          <w:color w:val="000000"/>
          <w:sz w:val="22"/>
          <w:szCs w:val="22"/>
        </w:rPr>
        <w:t xml:space="preserve">Averaging period 1 hour: Maximum 0.2 parts per million, maximum allowable </w:t>
      </w:r>
      <w:proofErr w:type="spellStart"/>
      <w:r w:rsidRPr="00881A5A">
        <w:rPr>
          <w:rFonts w:ascii="Arial" w:hAnsi="Arial" w:cs="Arial"/>
          <w:color w:val="000000"/>
          <w:sz w:val="22"/>
          <w:szCs w:val="22"/>
        </w:rPr>
        <w:t>exceedences</w:t>
      </w:r>
      <w:proofErr w:type="spellEnd"/>
      <w:r w:rsidRPr="00881A5A">
        <w:rPr>
          <w:rFonts w:ascii="Arial" w:hAnsi="Arial" w:cs="Arial"/>
          <w:color w:val="000000"/>
          <w:sz w:val="22"/>
          <w:szCs w:val="22"/>
        </w:rPr>
        <w:t>: 1 day a year.</w:t>
      </w:r>
    </w:p>
    <w:p w14:paraId="5BD4C2A8" w14:textId="77777777" w:rsidR="00881A5A" w:rsidRPr="00881A5A" w:rsidRDefault="00881A5A" w:rsidP="00881A5A">
      <w:pPr>
        <w:pStyle w:val="NormalWeb"/>
        <w:shd w:val="clear" w:color="auto" w:fill="FFFFFF"/>
        <w:spacing w:before="0" w:beforeAutospacing="0" w:after="240" w:afterAutospacing="0"/>
        <w:textAlignment w:val="baseline"/>
        <w:rPr>
          <w:rFonts w:ascii="Arial" w:hAnsi="Arial" w:cs="Arial"/>
          <w:color w:val="000000"/>
          <w:sz w:val="22"/>
          <w:szCs w:val="22"/>
        </w:rPr>
      </w:pPr>
      <w:r w:rsidRPr="00881A5A">
        <w:rPr>
          <w:rFonts w:ascii="Arial" w:hAnsi="Arial" w:cs="Arial"/>
          <w:color w:val="000000"/>
          <w:sz w:val="22"/>
          <w:szCs w:val="22"/>
        </w:rPr>
        <w:t xml:space="preserve">Averaging period 1 day: Maximum 0.08 parts per million, maximum allowable </w:t>
      </w:r>
      <w:proofErr w:type="spellStart"/>
      <w:r w:rsidRPr="00881A5A">
        <w:rPr>
          <w:rFonts w:ascii="Arial" w:hAnsi="Arial" w:cs="Arial"/>
          <w:color w:val="000000"/>
          <w:sz w:val="22"/>
          <w:szCs w:val="22"/>
        </w:rPr>
        <w:t>exceedences</w:t>
      </w:r>
      <w:proofErr w:type="spellEnd"/>
      <w:r w:rsidRPr="00881A5A">
        <w:rPr>
          <w:rFonts w:ascii="Arial" w:hAnsi="Arial" w:cs="Arial"/>
          <w:color w:val="000000"/>
          <w:sz w:val="22"/>
          <w:szCs w:val="22"/>
        </w:rPr>
        <w:t>: 1 day a year.</w:t>
      </w:r>
    </w:p>
    <w:p w14:paraId="0C3C9EC5" w14:textId="77777777" w:rsidR="00881A5A" w:rsidRPr="00881A5A" w:rsidRDefault="00881A5A" w:rsidP="00881A5A">
      <w:pPr>
        <w:pStyle w:val="NormalWeb"/>
        <w:shd w:val="clear" w:color="auto" w:fill="FFFFFF"/>
        <w:spacing w:before="0" w:beforeAutospacing="0" w:after="240" w:afterAutospacing="0"/>
        <w:textAlignment w:val="baseline"/>
        <w:rPr>
          <w:rFonts w:ascii="Arial" w:hAnsi="Arial" w:cs="Arial"/>
          <w:color w:val="000000"/>
          <w:sz w:val="22"/>
          <w:szCs w:val="22"/>
        </w:rPr>
      </w:pPr>
      <w:r w:rsidRPr="00881A5A">
        <w:rPr>
          <w:rFonts w:ascii="Arial" w:hAnsi="Arial" w:cs="Arial"/>
          <w:color w:val="000000"/>
          <w:sz w:val="22"/>
          <w:szCs w:val="22"/>
        </w:rPr>
        <w:t xml:space="preserve">Averaging period 1 year: Maximum 0.02 parts per million, maximum allowable </w:t>
      </w:r>
      <w:proofErr w:type="spellStart"/>
      <w:r w:rsidRPr="00881A5A">
        <w:rPr>
          <w:rFonts w:ascii="Arial" w:hAnsi="Arial" w:cs="Arial"/>
          <w:color w:val="000000"/>
          <w:sz w:val="22"/>
          <w:szCs w:val="22"/>
        </w:rPr>
        <w:t>exceedences</w:t>
      </w:r>
      <w:proofErr w:type="spellEnd"/>
      <w:r w:rsidRPr="00881A5A">
        <w:rPr>
          <w:rFonts w:ascii="Arial" w:hAnsi="Arial" w:cs="Arial"/>
          <w:color w:val="000000"/>
          <w:sz w:val="22"/>
          <w:szCs w:val="22"/>
        </w:rPr>
        <w:t>: none.</w:t>
      </w:r>
    </w:p>
    <w:p w14:paraId="57E09214" w14:textId="5B5FFC9F" w:rsidR="00881A5A" w:rsidRPr="00881A5A" w:rsidRDefault="004E41C2">
      <w:pPr>
        <w:rPr>
          <w:rFonts w:ascii="Arial" w:hAnsi="Arial" w:cs="Arial"/>
          <w:b/>
          <w:color w:val="222222"/>
          <w:u w:val="single"/>
        </w:rPr>
      </w:pPr>
      <w:r w:rsidRPr="004E41C2">
        <w:rPr>
          <w:rFonts w:ascii="Arial" w:hAnsi="Arial" w:cs="Arial"/>
          <w:b/>
          <w:color w:val="222222"/>
          <w:u w:val="single"/>
        </w:rPr>
        <w:t>http://www.npi.gov.au/resource/sulfur-dioxide</w:t>
      </w:r>
    </w:p>
    <w:p w14:paraId="45338617" w14:textId="0C6B449E" w:rsidR="00431AB4" w:rsidRDefault="00431AB4">
      <w:pPr>
        <w:rPr>
          <w:rFonts w:ascii="Arial" w:hAnsi="Arial" w:cs="Arial"/>
          <w:b/>
          <w:color w:val="222222"/>
        </w:rPr>
      </w:pPr>
      <w:r w:rsidRPr="005F7C34">
        <w:rPr>
          <w:rFonts w:ascii="Arial" w:hAnsi="Arial" w:cs="Arial"/>
          <w:b/>
          <w:color w:val="222222"/>
        </w:rPr>
        <w:t>CO</w:t>
      </w:r>
    </w:p>
    <w:p w14:paraId="0A34279C" w14:textId="26A6F6AB" w:rsidR="004E41C2" w:rsidRPr="005F7C34" w:rsidRDefault="004E41C2">
      <w:pPr>
        <w:rPr>
          <w:rFonts w:ascii="Arial" w:hAnsi="Arial" w:cs="Arial"/>
          <w:b/>
          <w:color w:val="222222"/>
        </w:rPr>
      </w:pPr>
      <w:r w:rsidRPr="004E41C2">
        <w:rPr>
          <w:rFonts w:ascii="Arial" w:hAnsi="Arial" w:cs="Arial"/>
          <w:b/>
          <w:color w:val="222222"/>
        </w:rPr>
        <w:t>http://www.npi.gov.au/resource/carbon-monoxide-0</w:t>
      </w:r>
    </w:p>
    <w:p w14:paraId="6A7A5230" w14:textId="6E51CBF8" w:rsidR="00431AB4" w:rsidRDefault="00431AB4">
      <w:pPr>
        <w:rPr>
          <w:rFonts w:ascii="Arial" w:hAnsi="Arial" w:cs="Arial"/>
          <w:b/>
          <w:color w:val="222222"/>
          <w:vertAlign w:val="subscript"/>
        </w:rPr>
      </w:pPr>
      <w:r w:rsidRPr="005F7C34">
        <w:rPr>
          <w:rFonts w:ascii="Arial" w:hAnsi="Arial" w:cs="Arial"/>
          <w:b/>
          <w:color w:val="222222"/>
        </w:rPr>
        <w:t>O</w:t>
      </w:r>
      <w:r w:rsidRPr="005F7C34">
        <w:rPr>
          <w:rFonts w:ascii="Arial" w:hAnsi="Arial" w:cs="Arial"/>
          <w:b/>
          <w:color w:val="222222"/>
          <w:vertAlign w:val="subscript"/>
        </w:rPr>
        <w:t>3</w:t>
      </w:r>
    </w:p>
    <w:p w14:paraId="4C60954B" w14:textId="77777777" w:rsidR="004E41C2" w:rsidRPr="005F7C34" w:rsidRDefault="004E41C2">
      <w:pPr>
        <w:rPr>
          <w:rFonts w:ascii="Arial" w:hAnsi="Arial" w:cs="Arial"/>
          <w:b/>
          <w:color w:val="222222"/>
        </w:rPr>
      </w:pPr>
    </w:p>
    <w:p w14:paraId="3CB45004" w14:textId="24DB7720" w:rsidR="00431AB4" w:rsidRDefault="00431AB4">
      <w:pPr>
        <w:rPr>
          <w:rFonts w:ascii="Arial" w:hAnsi="Arial" w:cs="Arial"/>
          <w:b/>
          <w:color w:val="222222"/>
          <w:vertAlign w:val="subscript"/>
        </w:rPr>
      </w:pPr>
      <w:r w:rsidRPr="005F7C34">
        <w:rPr>
          <w:rFonts w:ascii="Arial" w:hAnsi="Arial" w:cs="Arial"/>
          <w:b/>
          <w:color w:val="222222"/>
        </w:rPr>
        <w:t>NH</w:t>
      </w:r>
      <w:r w:rsidRPr="005F7C34">
        <w:rPr>
          <w:rFonts w:ascii="Arial" w:hAnsi="Arial" w:cs="Arial"/>
          <w:b/>
          <w:color w:val="222222"/>
          <w:vertAlign w:val="subscript"/>
        </w:rPr>
        <w:t>3</w:t>
      </w:r>
    </w:p>
    <w:p w14:paraId="4C232A14" w14:textId="77777777" w:rsidR="004E41C2" w:rsidRDefault="001C2B93" w:rsidP="004E41C2">
      <w:pPr>
        <w:rPr>
          <w:rFonts w:ascii="Arial" w:hAnsi="Arial" w:cs="Arial"/>
          <w:b/>
          <w:color w:val="222222"/>
        </w:rPr>
      </w:pPr>
      <w:hyperlink r:id="rId5" w:history="1">
        <w:r w:rsidR="004E41C2" w:rsidRPr="001D6259">
          <w:rPr>
            <w:rStyle w:val="Hyperlink"/>
            <w:rFonts w:ascii="Arial" w:hAnsi="Arial" w:cs="Arial"/>
            <w:b/>
          </w:rPr>
          <w:t>http://www.npi.gov.au/resource/ammonia-total</w:t>
        </w:r>
      </w:hyperlink>
    </w:p>
    <w:p w14:paraId="1275CC16" w14:textId="77777777" w:rsidR="004E41C2" w:rsidRPr="005F7C34" w:rsidRDefault="004E41C2">
      <w:pPr>
        <w:rPr>
          <w:rFonts w:ascii="Arial" w:hAnsi="Arial" w:cs="Arial"/>
          <w:b/>
          <w:color w:val="222222"/>
        </w:rPr>
      </w:pPr>
    </w:p>
    <w:p w14:paraId="1F30CA18" w14:textId="7C12230B" w:rsidR="00431AB4" w:rsidRDefault="00431AB4">
      <w:pPr>
        <w:rPr>
          <w:rFonts w:ascii="Arial" w:hAnsi="Arial" w:cs="Arial"/>
          <w:b/>
          <w:color w:val="222222"/>
        </w:rPr>
      </w:pPr>
      <w:r w:rsidRPr="005F7C34">
        <w:rPr>
          <w:rFonts w:ascii="Arial" w:hAnsi="Arial" w:cs="Arial"/>
          <w:b/>
          <w:color w:val="222222"/>
        </w:rPr>
        <w:t>Pb</w:t>
      </w:r>
    </w:p>
    <w:p w14:paraId="5ED75EC5" w14:textId="0A3D5F13" w:rsidR="004E41C2" w:rsidRPr="005F7C34" w:rsidRDefault="001C2B93">
      <w:pPr>
        <w:rPr>
          <w:rFonts w:ascii="Arial" w:hAnsi="Arial" w:cs="Arial"/>
          <w:b/>
        </w:rPr>
      </w:pPr>
      <w:hyperlink r:id="rId6" w:history="1">
        <w:r w:rsidR="004E41C2" w:rsidRPr="001D6259">
          <w:rPr>
            <w:rStyle w:val="Hyperlink"/>
            <w:rFonts w:ascii="Arial" w:hAnsi="Arial" w:cs="Arial"/>
            <w:b/>
          </w:rPr>
          <w:t>http://www.npi.gov.au/resource/lead-compounds</w:t>
        </w:r>
      </w:hyperlink>
      <w:r w:rsidR="004E41C2">
        <w:rPr>
          <w:rFonts w:ascii="Arial" w:hAnsi="Arial" w:cs="Arial"/>
          <w:b/>
        </w:rPr>
        <w:t xml:space="preserve"> </w:t>
      </w:r>
    </w:p>
    <w:p w14:paraId="50FD138C" w14:textId="77777777" w:rsidR="00431AB4" w:rsidRPr="005F7C34" w:rsidRDefault="00431AB4">
      <w:pPr>
        <w:rPr>
          <w:rFonts w:ascii="Arial" w:hAnsi="Arial" w:cs="Arial"/>
          <w:b/>
        </w:rPr>
      </w:pPr>
    </w:p>
    <w:p w14:paraId="3ED1B443" w14:textId="77777777" w:rsidR="00DD6A7A" w:rsidRPr="005F7C34" w:rsidRDefault="00DD6A7A">
      <w:pPr>
        <w:rPr>
          <w:rFonts w:ascii="Arial" w:hAnsi="Arial" w:cs="Arial"/>
        </w:rPr>
      </w:pPr>
    </w:p>
    <w:p w14:paraId="47233144" w14:textId="77777777" w:rsidR="00DD6A7A" w:rsidRPr="005F7C34" w:rsidRDefault="00DD6A7A">
      <w:pPr>
        <w:rPr>
          <w:rFonts w:ascii="Arial" w:hAnsi="Arial" w:cs="Arial"/>
        </w:rPr>
      </w:pPr>
    </w:p>
    <w:p w14:paraId="40E7D6E5" w14:textId="77777777" w:rsidR="00DD6A7A" w:rsidRPr="005F7C34" w:rsidRDefault="00DD6A7A">
      <w:pPr>
        <w:rPr>
          <w:rFonts w:ascii="Arial" w:hAnsi="Arial" w:cs="Arial"/>
        </w:rPr>
      </w:pPr>
    </w:p>
    <w:p w14:paraId="44CB6740" w14:textId="77777777" w:rsidR="00DD6A7A" w:rsidRPr="005F7C34" w:rsidRDefault="00DD6A7A">
      <w:pPr>
        <w:rPr>
          <w:rFonts w:ascii="Arial" w:hAnsi="Arial" w:cs="Arial"/>
        </w:rPr>
      </w:pPr>
    </w:p>
    <w:p w14:paraId="5CDC5339" w14:textId="4D86D18B" w:rsidR="00823DA0" w:rsidRPr="005F7C34" w:rsidRDefault="001C2B93">
      <w:pPr>
        <w:rPr>
          <w:rFonts w:ascii="Arial" w:hAnsi="Arial" w:cs="Arial"/>
        </w:rPr>
      </w:pPr>
      <w:hyperlink r:id="rId7" w:history="1">
        <w:r w:rsidR="00DD6A7A" w:rsidRPr="005F7C34">
          <w:rPr>
            <w:rStyle w:val="Hyperlink"/>
            <w:rFonts w:ascii="Arial" w:hAnsi="Arial" w:cs="Arial"/>
          </w:rPr>
          <w:t>http://www.indiaonlinepages.com/population/bangalore-population.html</w:t>
        </w:r>
      </w:hyperlink>
      <w:r w:rsidR="00DD6A7A" w:rsidRPr="005F7C34">
        <w:rPr>
          <w:rFonts w:ascii="Arial" w:hAnsi="Arial" w:cs="Arial"/>
        </w:rPr>
        <w:t xml:space="preserve"> </w:t>
      </w:r>
    </w:p>
    <w:sectPr w:rsidR="00823DA0" w:rsidRPr="005F7C34" w:rsidSect="00823D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D0E33"/>
    <w:multiLevelType w:val="multilevel"/>
    <w:tmpl w:val="E3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487BCA"/>
    <w:multiLevelType w:val="multilevel"/>
    <w:tmpl w:val="8B1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09767B"/>
    <w:multiLevelType w:val="hybridMultilevel"/>
    <w:tmpl w:val="26027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3D01A9"/>
    <w:multiLevelType w:val="hybridMultilevel"/>
    <w:tmpl w:val="DCF06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A0"/>
    <w:rsid w:val="001C2B93"/>
    <w:rsid w:val="003D48D3"/>
    <w:rsid w:val="00431AB4"/>
    <w:rsid w:val="004E41C2"/>
    <w:rsid w:val="00526BAA"/>
    <w:rsid w:val="005F7C34"/>
    <w:rsid w:val="00665B3E"/>
    <w:rsid w:val="00823DA0"/>
    <w:rsid w:val="00881A5A"/>
    <w:rsid w:val="009D5A85"/>
    <w:rsid w:val="00A12C6E"/>
    <w:rsid w:val="00B368F7"/>
    <w:rsid w:val="00C55F27"/>
    <w:rsid w:val="00DA2E1E"/>
    <w:rsid w:val="00DD6A7A"/>
    <w:rsid w:val="00EB0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A28F"/>
  <w15:chartTrackingRefBased/>
  <w15:docId w15:val="{76D1B43F-A2D2-4137-8F0C-C0C1A422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2C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A7A"/>
    <w:rPr>
      <w:color w:val="0563C1" w:themeColor="hyperlink"/>
      <w:u w:val="single"/>
    </w:rPr>
  </w:style>
  <w:style w:type="character" w:styleId="UnresolvedMention">
    <w:name w:val="Unresolved Mention"/>
    <w:basedOn w:val="DefaultParagraphFont"/>
    <w:uiPriority w:val="99"/>
    <w:semiHidden/>
    <w:unhideWhenUsed/>
    <w:rsid w:val="00DD6A7A"/>
    <w:rPr>
      <w:color w:val="605E5C"/>
      <w:shd w:val="clear" w:color="auto" w:fill="E1DFDD"/>
    </w:rPr>
  </w:style>
  <w:style w:type="character" w:customStyle="1" w:styleId="Heading3Char">
    <w:name w:val="Heading 3 Char"/>
    <w:basedOn w:val="DefaultParagraphFont"/>
    <w:link w:val="Heading3"/>
    <w:uiPriority w:val="9"/>
    <w:rsid w:val="00A12C6E"/>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A12C6E"/>
  </w:style>
  <w:style w:type="character" w:customStyle="1" w:styleId="mw-editsection">
    <w:name w:val="mw-editsection"/>
    <w:basedOn w:val="DefaultParagraphFont"/>
    <w:rsid w:val="00A12C6E"/>
  </w:style>
  <w:style w:type="character" w:customStyle="1" w:styleId="mw-editsection-bracket">
    <w:name w:val="mw-editsection-bracket"/>
    <w:basedOn w:val="DefaultParagraphFont"/>
    <w:rsid w:val="00A12C6E"/>
  </w:style>
  <w:style w:type="paragraph" w:styleId="NormalWeb">
    <w:name w:val="Normal (Web)"/>
    <w:basedOn w:val="Normal"/>
    <w:uiPriority w:val="99"/>
    <w:unhideWhenUsed/>
    <w:rsid w:val="00A12C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368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5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4228">
      <w:bodyDiv w:val="1"/>
      <w:marLeft w:val="0"/>
      <w:marRight w:val="0"/>
      <w:marTop w:val="0"/>
      <w:marBottom w:val="0"/>
      <w:divBdr>
        <w:top w:val="none" w:sz="0" w:space="0" w:color="auto"/>
        <w:left w:val="none" w:sz="0" w:space="0" w:color="auto"/>
        <w:bottom w:val="none" w:sz="0" w:space="0" w:color="auto"/>
        <w:right w:val="none" w:sz="0" w:space="0" w:color="auto"/>
      </w:divBdr>
    </w:div>
    <w:div w:id="235670529">
      <w:bodyDiv w:val="1"/>
      <w:marLeft w:val="0"/>
      <w:marRight w:val="0"/>
      <w:marTop w:val="0"/>
      <w:marBottom w:val="0"/>
      <w:divBdr>
        <w:top w:val="none" w:sz="0" w:space="0" w:color="auto"/>
        <w:left w:val="none" w:sz="0" w:space="0" w:color="auto"/>
        <w:bottom w:val="none" w:sz="0" w:space="0" w:color="auto"/>
        <w:right w:val="none" w:sz="0" w:space="0" w:color="auto"/>
      </w:divBdr>
    </w:div>
    <w:div w:id="568537250">
      <w:bodyDiv w:val="1"/>
      <w:marLeft w:val="0"/>
      <w:marRight w:val="0"/>
      <w:marTop w:val="0"/>
      <w:marBottom w:val="0"/>
      <w:divBdr>
        <w:top w:val="none" w:sz="0" w:space="0" w:color="auto"/>
        <w:left w:val="none" w:sz="0" w:space="0" w:color="auto"/>
        <w:bottom w:val="none" w:sz="0" w:space="0" w:color="auto"/>
        <w:right w:val="none" w:sz="0" w:space="0" w:color="auto"/>
      </w:divBdr>
    </w:div>
    <w:div w:id="1174222027">
      <w:bodyDiv w:val="1"/>
      <w:marLeft w:val="0"/>
      <w:marRight w:val="0"/>
      <w:marTop w:val="0"/>
      <w:marBottom w:val="0"/>
      <w:divBdr>
        <w:top w:val="none" w:sz="0" w:space="0" w:color="auto"/>
        <w:left w:val="none" w:sz="0" w:space="0" w:color="auto"/>
        <w:bottom w:val="none" w:sz="0" w:space="0" w:color="auto"/>
        <w:right w:val="none" w:sz="0" w:space="0" w:color="auto"/>
      </w:divBdr>
    </w:div>
    <w:div w:id="1219628665">
      <w:bodyDiv w:val="1"/>
      <w:marLeft w:val="0"/>
      <w:marRight w:val="0"/>
      <w:marTop w:val="0"/>
      <w:marBottom w:val="0"/>
      <w:divBdr>
        <w:top w:val="none" w:sz="0" w:space="0" w:color="auto"/>
        <w:left w:val="none" w:sz="0" w:space="0" w:color="auto"/>
        <w:bottom w:val="none" w:sz="0" w:space="0" w:color="auto"/>
        <w:right w:val="none" w:sz="0" w:space="0" w:color="auto"/>
      </w:divBdr>
    </w:div>
    <w:div w:id="1509446504">
      <w:bodyDiv w:val="1"/>
      <w:marLeft w:val="0"/>
      <w:marRight w:val="0"/>
      <w:marTop w:val="0"/>
      <w:marBottom w:val="0"/>
      <w:divBdr>
        <w:top w:val="none" w:sz="0" w:space="0" w:color="auto"/>
        <w:left w:val="none" w:sz="0" w:space="0" w:color="auto"/>
        <w:bottom w:val="none" w:sz="0" w:space="0" w:color="auto"/>
        <w:right w:val="none" w:sz="0" w:space="0" w:color="auto"/>
      </w:divBdr>
    </w:div>
    <w:div w:id="1580208430">
      <w:bodyDiv w:val="1"/>
      <w:marLeft w:val="0"/>
      <w:marRight w:val="0"/>
      <w:marTop w:val="0"/>
      <w:marBottom w:val="0"/>
      <w:divBdr>
        <w:top w:val="none" w:sz="0" w:space="0" w:color="auto"/>
        <w:left w:val="none" w:sz="0" w:space="0" w:color="auto"/>
        <w:bottom w:val="none" w:sz="0" w:space="0" w:color="auto"/>
        <w:right w:val="none" w:sz="0" w:space="0" w:color="auto"/>
      </w:divBdr>
    </w:div>
    <w:div w:id="1837064641">
      <w:bodyDiv w:val="1"/>
      <w:marLeft w:val="0"/>
      <w:marRight w:val="0"/>
      <w:marTop w:val="0"/>
      <w:marBottom w:val="0"/>
      <w:divBdr>
        <w:top w:val="none" w:sz="0" w:space="0" w:color="auto"/>
        <w:left w:val="none" w:sz="0" w:space="0" w:color="auto"/>
        <w:bottom w:val="none" w:sz="0" w:space="0" w:color="auto"/>
        <w:right w:val="none" w:sz="0" w:space="0" w:color="auto"/>
      </w:divBdr>
    </w:div>
    <w:div w:id="1914848642">
      <w:bodyDiv w:val="1"/>
      <w:marLeft w:val="0"/>
      <w:marRight w:val="0"/>
      <w:marTop w:val="0"/>
      <w:marBottom w:val="0"/>
      <w:divBdr>
        <w:top w:val="none" w:sz="0" w:space="0" w:color="auto"/>
        <w:left w:val="none" w:sz="0" w:space="0" w:color="auto"/>
        <w:bottom w:val="none" w:sz="0" w:space="0" w:color="auto"/>
        <w:right w:val="none" w:sz="0" w:space="0" w:color="auto"/>
      </w:divBdr>
    </w:div>
    <w:div w:id="203503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diaonlinepages.com/population/bangalore-popu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pi.gov.au/resource/lead-compounds" TargetMode="External"/><Relationship Id="rId5" Type="http://schemas.openxmlformats.org/officeDocument/2006/relationships/hyperlink" Target="http://www.npi.gov.au/resource/ammonia-tot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 Guru</dc:creator>
  <cp:keywords/>
  <dc:description/>
  <cp:lastModifiedBy>Noopur Agrawal</cp:lastModifiedBy>
  <cp:revision>6</cp:revision>
  <dcterms:created xsi:type="dcterms:W3CDTF">2018-09-23T05:40:00Z</dcterms:created>
  <dcterms:modified xsi:type="dcterms:W3CDTF">2019-02-01T06:00:00Z</dcterms:modified>
</cp:coreProperties>
</file>