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1.For payment customer should have sufficient balance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2.Recipient should have valid merchant/agent account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3.For each payment, deduct 1% service charge from customer balance, with a minimum fee of 5 tk.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4.Customer and Merchant both parties should get SMS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5.Customer balance should be updated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6.Customer and Merchant both parties transaction statement should be updated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7.After reaching 5000 tk in monthly transactions, customers receive 20% cashback on subsequent payments up to 5000 tk.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8.For monthly transactions exceeding 10000 tk, customers receive a maximum 30% cashback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 2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1.Customer should have register account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2.For applying  loan up to 20000 Tk  customer should have balance less than 100 Tk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3.Customer should get SMS about loan status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4.No interest should  charge for those customers who repay the loan within 30 days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5.Per day 1.8% interest should charge  for those customers who couldn’t repay the loan within 30 days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6.For applying another loan eligibility should have available for those customer who has already paid 50% of the remaining payment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7.Customers loan status should be updated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