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ell MT" w:cs="Bell MT" w:eastAsia="Bell MT" w:hAnsi="Bell MT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0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Mohamed Sanou Diallo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3435, Avenue Laurier Est, Montréal, Québec H1X 1V4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Cell : (438) - 270 - 3522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sdiallo@protonmail.com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Langues : Français, Anglais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FORMATION</w:t>
      </w:r>
    </w:p>
    <w:p w:rsidR="00000000" w:rsidDel="00000000" w:rsidP="00000000" w:rsidRDefault="00000000" w:rsidRPr="00000000" w14:paraId="00000009">
      <w:pPr>
        <w:widowControl w:val="1"/>
        <w:spacing w:after="0" w:before="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before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2020 à 2022</w:t>
        <w:tab/>
        <w:tab/>
        <w:t xml:space="preserve">Baccalauréat Informatique et génie logiciel</w:t>
      </w:r>
    </w:p>
    <w:p w:rsidR="00000000" w:rsidDel="00000000" w:rsidP="00000000" w:rsidRDefault="00000000" w:rsidRPr="00000000" w14:paraId="0000000B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Université du Québec à Montréal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(UQAM)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Montréal, Québec,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before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2019 à 2020 </w:t>
        <w:tab/>
        <w:tab/>
        <w:t xml:space="preserve">Programme d’échange à l’Université du Québec à Montréal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before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2017 à 2020 </w:t>
        <w:tab/>
        <w:tab/>
        <w:t xml:space="preserve">Licence Informatique Parcours International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Mention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Très bien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before="0" w:lineRule="auto"/>
        <w:ind w:left="1440" w:firstLine="72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Université de Bretagne Occidentale (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UBO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before="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 xml:space="preserve">             Brest, Finistère,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before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2014 à 2017 </w:t>
        <w:tab/>
        <w:tab/>
        <w:t xml:space="preserve">Baccalauréat de fin d’étude secondaire en Sciences Mathématiques et Physiques</w:t>
      </w:r>
    </w:p>
    <w:p w:rsidR="00000000" w:rsidDel="00000000" w:rsidP="00000000" w:rsidRDefault="00000000" w:rsidRPr="00000000" w14:paraId="00000015">
      <w:pPr>
        <w:widowControl w:val="1"/>
        <w:spacing w:after="0" w:before="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</w:t>
        <w:tab/>
        <w:tab/>
        <w:t xml:space="preserve">Lycée Hamadi N’Diobdy de Senou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before="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tab/>
        <w:tab/>
        <w:tab/>
        <w:t xml:space="preserve">Senou, Bamako, Mali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CONNAISSANCES PARTICUL</w:t>
      </w: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before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before="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Langages de programmation :</w:t>
      </w:r>
      <w:r w:rsidDel="00000000" w:rsidR="00000000" w:rsidRPr="00000000">
        <w:rPr>
          <w:sz w:val="24"/>
          <w:szCs w:val="24"/>
          <w:rtl w:val="0"/>
        </w:rPr>
        <w:t xml:space="preserve">  C, Java, Python, Bash, JavaScript, PHP, HTML, CSS, SQL, Ocaml</w:t>
      </w:r>
    </w:p>
    <w:p w:rsidR="00000000" w:rsidDel="00000000" w:rsidP="00000000" w:rsidRDefault="00000000" w:rsidRPr="00000000" w14:paraId="0000001B">
      <w:pPr>
        <w:widowControl w:val="1"/>
        <w:spacing w:after="0" w:before="0"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Cadriciels et librairies 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Bootstrap, JUnit, jQuery, Keras,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before="0"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Autres : </w:t>
      </w:r>
      <w:r w:rsidDel="00000000" w:rsidR="00000000" w:rsidRPr="00000000">
        <w:rPr>
          <w:sz w:val="24"/>
          <w:szCs w:val="24"/>
          <w:rtl w:val="0"/>
        </w:rPr>
        <w:t xml:space="preserve">Connaissances solides en Réseau,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Administration Système Linux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Microsoft Office Suite, UML, Tableau, BPMN, Latex, Oracle, Git, WAMP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EXPÉRIENCES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Agent Administratif </w:t>
        <w:tab/>
        <w:tab/>
        <w:tab/>
        <w:tab/>
        <w:tab/>
        <w:tab/>
        <w:tab/>
        <w:tab/>
        <w:t xml:space="preserve">2021-01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Direction de la Sant</w:t>
      </w:r>
      <w:r w:rsidDel="00000000" w:rsidR="00000000" w:rsidRPr="00000000">
        <w:rPr>
          <w:b w:val="1"/>
          <w:sz w:val="24"/>
          <w:szCs w:val="24"/>
          <w:rtl w:val="0"/>
        </w:rPr>
        <w:t xml:space="preserve">é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Publique (DSP)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Montréal, Québec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Tutorat réseaux </w:t>
        <w:tab/>
        <w:tab/>
        <w:tab/>
        <w:tab/>
        <w:tab/>
        <w:tab/>
        <w:tab/>
        <w:tab/>
        <w:t xml:space="preserve">2020-01 - 2020-05</w:t>
      </w:r>
    </w:p>
    <w:p w:rsidR="00000000" w:rsidDel="00000000" w:rsidP="00000000" w:rsidRDefault="00000000" w:rsidRPr="00000000" w14:paraId="00000024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Université de Bretagne Occidentale</w:t>
      </w:r>
      <w:r w:rsidDel="00000000" w:rsidR="00000000" w:rsidRPr="00000000">
        <w:rPr>
          <w:sz w:val="24"/>
          <w:szCs w:val="24"/>
          <w:rtl w:val="0"/>
        </w:rPr>
        <w:t xml:space="preserve">, Brest, France</w:t>
      </w:r>
    </w:p>
    <w:p w:rsidR="00000000" w:rsidDel="00000000" w:rsidP="00000000" w:rsidRDefault="00000000" w:rsidRPr="00000000" w14:paraId="00000025">
      <w:pPr>
        <w:widowControl w:val="1"/>
        <w:spacing w:after="0" w:before="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Accompagnement des étudiant(e)s de L1 sciences pour l'ingénieur dans le cours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Initiation au réseau TCP/IP .</w:t>
      </w:r>
    </w:p>
    <w:p w:rsidR="00000000" w:rsidDel="00000000" w:rsidP="00000000" w:rsidRDefault="00000000" w:rsidRPr="00000000" w14:paraId="00000026">
      <w:pPr>
        <w:widowControl w:val="1"/>
        <w:spacing w:after="0" w:before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Technicien en Informatique </w:t>
      </w:r>
    </w:p>
    <w:p w:rsidR="00000000" w:rsidDel="00000000" w:rsidP="00000000" w:rsidRDefault="00000000" w:rsidRPr="00000000" w14:paraId="0000002B">
      <w:pPr>
        <w:widowControl w:val="1"/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Cyber Coulibaly Consulting Inc, Bamako, Mali</w:t>
        <w:tab/>
        <w:tab/>
        <w:tab/>
        <w:tab/>
        <w:t xml:space="preserve">2017 -  2020</w:t>
      </w:r>
    </w:p>
    <w:p w:rsidR="00000000" w:rsidDel="00000000" w:rsidP="00000000" w:rsidRDefault="00000000" w:rsidRPr="00000000" w14:paraId="0000002C">
      <w:pPr>
        <w:widowControl w:val="1"/>
        <w:spacing w:after="0" w:before="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Assurer le bon fonctionnement du matériel et des logiciels informatiques; Installer, mettre à niveau et faire évoluer les éléments matériels et logiciels; Gérer le parc informatique incluant les serveurs, postes de travail, imprimantes, système téléphonique, appareils mobiles, antivirus, cartes magnétiques, etc.; Tenir à jour l’inventaire du matériel informatique et des licences, y compris les contrats d’entretien; Assurer le soutien technique auprès des utilisateurs internes et externes; Rédiger et actualiser la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PROJETS ACADÉMIQUES</w:t>
      </w:r>
    </w:p>
    <w:p w:rsidR="00000000" w:rsidDel="00000000" w:rsidP="00000000" w:rsidRDefault="00000000" w:rsidRPr="00000000" w14:paraId="00000030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Intelligence Artificielle</w:t>
        <w:tab/>
        <w:tab/>
        <w:tab/>
        <w:tab/>
        <w:tab/>
        <w:tab/>
        <w:tab/>
        <w:t xml:space="preserve">Hiver 2020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Recherche dans un espace d'états / Rétablir l'électricité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21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Expérimenter le paradigme de résolution de problème par recherche dans un espace </w:t>
      </w:r>
      <w:r w:rsidDel="00000000" w:rsidR="00000000" w:rsidRPr="00000000">
        <w:rPr>
          <w:sz w:val="24"/>
          <w:szCs w:val="24"/>
          <w:rtl w:val="0"/>
        </w:rPr>
        <w:t xml:space="preserve">d'état.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21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l'algorithme A*.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214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Définir une heuristique admissible et efficace.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Algorithme minimax appliqué au jeu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et appliquer l'algorithme minimax.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et appliquer l'algorithme minimax avec élagage alpha-beta.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Élaborer et définir une fonction d'évaluation efficace.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Implémenter un algorithme de prise de décision en temps réel (profondeur itérative).</w:t>
      </w:r>
    </w:p>
    <w:p w:rsidR="00000000" w:rsidDel="00000000" w:rsidP="00000000" w:rsidRDefault="00000000" w:rsidRPr="00000000" w14:paraId="0000003C">
      <w:pPr>
        <w:widowControl w:val="1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Réseaux Bayésiens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Implémenter un algorithme d'inférence dans un réseau bayésien.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2"/>
        </w:numPr>
        <w:spacing w:after="0" w:before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Calculer manuellement des requêtes dans un réseau bayésien.</w:t>
      </w:r>
    </w:p>
    <w:p w:rsidR="00000000" w:rsidDel="00000000" w:rsidP="00000000" w:rsidRDefault="00000000" w:rsidRPr="00000000" w14:paraId="00000040">
      <w:pPr>
        <w:widowControl w:val="1"/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after="0" w:before="0" w:lineRule="auto"/>
        <w:rPr/>
      </w:pPr>
      <w:r w:rsidDel="00000000" w:rsidR="00000000" w:rsidRPr="00000000">
        <w:rPr>
          <w:rFonts w:ascii="sans-serif" w:cs="sans-serif" w:eastAsia="sans-serif" w:hAnsi="sans-serif"/>
          <w:b w:val="1"/>
          <w:color w:val="000000"/>
          <w:sz w:val="24"/>
          <w:szCs w:val="24"/>
          <w:rtl w:val="0"/>
        </w:rPr>
        <w:t xml:space="preserve">Gestion et analyse de données</w:t>
        <w:tab/>
        <w:tab/>
        <w:tab/>
        <w:tab/>
        <w:tab/>
        <w:tab/>
        <w:t xml:space="preserve">Automne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after="0" w:before="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sans-serif" w:cs="sans-serif" w:eastAsia="sans-serif" w:hAnsi="sans-serif"/>
          <w:color w:val="000000"/>
          <w:sz w:val="24"/>
          <w:szCs w:val="24"/>
          <w:rtl w:val="0"/>
        </w:rPr>
        <w:t xml:space="preserve">Analyser et critiquer la performance de quelques algorithmes de classification : Arbre de décision, Forêt d’arbres décisionnels (Random Forest), et la classification bayésienne naïve.</w:t>
      </w:r>
    </w:p>
    <w:p w:rsidR="00000000" w:rsidDel="00000000" w:rsidP="00000000" w:rsidRDefault="00000000" w:rsidRPr="00000000" w14:paraId="00000043">
      <w:pPr>
        <w:widowControl w:val="1"/>
        <w:spacing w:after="0" w:before="0" w:lineRule="auto"/>
        <w:rPr>
          <w:rFonts w:ascii="sans-serif" w:cs="sans-serif" w:eastAsia="sans-serif" w:hAnsi="sans-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0" w:before="0" w:lineRule="auto"/>
        <w:rPr/>
      </w:pPr>
      <w:r w:rsidDel="00000000" w:rsidR="00000000" w:rsidRPr="00000000">
        <w:rPr>
          <w:rFonts w:ascii="sans-serif" w:cs="sans-serif" w:eastAsia="sans-serif" w:hAnsi="sans-serif"/>
          <w:b w:val="1"/>
          <w:color w:val="000000"/>
          <w:sz w:val="24"/>
          <w:szCs w:val="24"/>
          <w:rtl w:val="0"/>
        </w:rPr>
        <w:t xml:space="preserve">Apprentissage automatique</w:t>
      </w:r>
      <w:r w:rsidDel="00000000" w:rsidR="00000000" w:rsidRPr="00000000">
        <w:rPr>
          <w:rFonts w:ascii="sans-serif" w:cs="sans-serif" w:eastAsia="sans-serif" w:hAnsi="sans-serif"/>
          <w:color w:val="000000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sans-serif" w:cs="sans-serif" w:eastAsia="sans-serif" w:hAnsi="sans-serif"/>
          <w:b w:val="1"/>
          <w:color w:val="000000"/>
          <w:sz w:val="24"/>
          <w:szCs w:val="24"/>
          <w:rtl w:val="0"/>
        </w:rPr>
        <w:t xml:space="preserve">Automne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ans-serif" w:cs="sans-serif" w:eastAsia="sans-serif" w:hAnsi="sans-serif"/>
          <w:sz w:val="24"/>
          <w:szCs w:val="24"/>
          <w:rtl w:val="0"/>
        </w:rPr>
        <w:t xml:space="preserve">Développer un réseau de neurones à convolution (CNN) capable de distinguer entre les images des dauphins et des requins.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AUTRES EXPÉRIENCES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0" w:before="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0" w:before="0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Employé polyvalent </w:t>
        <w:tab/>
        <w:tab/>
        <w:tab/>
        <w:tab/>
        <w:tab/>
        <w:tab/>
        <w:tab/>
        <w:tab/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Service Alimentaire de l’UQAM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Montréal, Québec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0" w:before="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Employé polyvalent </w:t>
        <w:tab/>
        <w:tab/>
        <w:tab/>
        <w:tab/>
        <w:tab/>
        <w:tab/>
        <w:tab/>
        <w:tab/>
        <w:t xml:space="preserve">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Boite A Pizza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Brest, Finistère,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pacing w:after="0" w:before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after="0" w:before="0" w:lineRule="auto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Cassier</w:t>
        <w:tab/>
        <w:tab/>
        <w:tab/>
        <w:tab/>
        <w:tab/>
        <w:tab/>
        <w:tab/>
        <w:tab/>
        <w:tab/>
        <w:tab/>
        <w:t xml:space="preserve">2018-2019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Chez AZRA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Brest, Finistère,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0" w:before="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b w:val="1"/>
          <w:color w:val="0070c0"/>
          <w:sz w:val="26"/>
          <w:szCs w:val="26"/>
          <w:rtl w:val="0"/>
        </w:rPr>
        <w:t xml:space="preserve">PROFIL</w:t>
      </w:r>
    </w:p>
    <w:p w:rsidR="00000000" w:rsidDel="00000000" w:rsidP="00000000" w:rsidRDefault="00000000" w:rsidRPr="00000000" w14:paraId="00000056">
      <w:pPr>
        <w:widowControl w:val="1"/>
        <w:spacing w:after="0" w:before="0" w:line="240" w:lineRule="auto"/>
        <w:rPr>
          <w:b w:val="1"/>
          <w:color w:val="0070c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Personne responsable et soucieux du bon travail. 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l’écoute des gens et possédant un esprit d’équipe. </w:t>
      </w:r>
    </w:p>
    <w:p w:rsidR="00000000" w:rsidDel="00000000" w:rsidP="00000000" w:rsidRDefault="00000000" w:rsidRPr="00000000" w14:paraId="00000059">
      <w:pPr>
        <w:widowControl w:val="1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Apprends beaucoup en autodidacte, passionné d’informatique et de nouvelles technologies plus particulièrement par la sécurité des systèmes d'informations.</w:t>
      </w:r>
    </w:p>
    <w:p w:rsidR="00000000" w:rsidDel="00000000" w:rsidP="00000000" w:rsidRDefault="00000000" w:rsidRPr="00000000" w14:paraId="0000005A">
      <w:pPr>
        <w:widowControl w:val="1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pacing w:after="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Activités et loisirs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Cyclotourisme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Lecture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Participe au MontréHack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Participe à plusieurs CTFs online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4"/>
        </w:numPr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football</w:t>
      </w:r>
    </w:p>
    <w:p w:rsidR="00000000" w:rsidDel="00000000" w:rsidP="00000000" w:rsidRDefault="00000000" w:rsidRPr="00000000" w14:paraId="00000061">
      <w:pPr>
        <w:widowControl w:val="1"/>
        <w:spacing w:after="0" w:before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0" w:before="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Références fournies sur demandes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65" w:left="965" w:right="1019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sans-serif"/>
  <w:font w:name="Bell M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Lines w:val="1"/>
      <w:widowControl w:val="1"/>
      <w:tabs>
        <w:tab w:val="center" w:pos="4536"/>
        <w:tab w:val="right" w:pos="9072"/>
      </w:tabs>
      <w:spacing w:after="0" w:before="0" w:line="240" w:lineRule="auto"/>
      <w:jc w:val="center"/>
      <w:rPr>
        <w:b w:val="1"/>
        <w:color w:val="0070c0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/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/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/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/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/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2160" w:hanging="360"/>
      </w:pPr>
      <w:rPr/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320" w:hanging="360"/>
      </w:pPr>
      <w:rPr/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480" w:hanging="360"/>
      </w:pPr>
      <w:rPr/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✔"/>
      <w:lvlJc w:val="left"/>
      <w:pPr>
        <w:ind w:left="221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34" w:hanging="360"/>
      </w:pPr>
      <w:rPr/>
    </w:lvl>
    <w:lvl w:ilvl="2">
      <w:start w:val="1"/>
      <w:numFmt w:val="bullet"/>
      <w:lvlText w:val="▪"/>
      <w:lvlJc w:val="left"/>
      <w:pPr>
        <w:ind w:left="365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7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94" w:hanging="360"/>
      </w:pPr>
      <w:rPr/>
    </w:lvl>
    <w:lvl w:ilvl="5">
      <w:start w:val="1"/>
      <w:numFmt w:val="bullet"/>
      <w:lvlText w:val="▪"/>
      <w:lvlJc w:val="left"/>
      <w:pPr>
        <w:ind w:left="581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3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54" w:hanging="360"/>
      </w:pPr>
      <w:rPr/>
    </w:lvl>
    <w:lvl w:ilvl="8">
      <w:start w:val="1"/>
      <w:numFmt w:val="bullet"/>
      <w:lvlText w:val="▪"/>
      <w:lvlJc w:val="left"/>
      <w:pPr>
        <w:ind w:left="797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160" w:line="24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llMT-regular.ttf"/><Relationship Id="rId2" Type="http://schemas.openxmlformats.org/officeDocument/2006/relationships/font" Target="fonts/BellMT-bold.ttf"/><Relationship Id="rId3" Type="http://schemas.openxmlformats.org/officeDocument/2006/relationships/font" Target="fonts/BellMT-italic.ttf"/><Relationship Id="rId4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