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C8258" w14:textId="77777777" w:rsidR="003F3524" w:rsidRPr="00AA13F4" w:rsidRDefault="003F3524" w:rsidP="003F35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1326D" w14:textId="0A66D924" w:rsidR="003411C8" w:rsidRPr="00AA13F4" w:rsidRDefault="000007BA" w:rsidP="003F352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PENTINGNYA PEMAHAMAN PANCASILA SEBAGAI SUMBER MATERILL HUKUM NEGARA INDONESIA </w:t>
      </w:r>
    </w:p>
    <w:p w14:paraId="03A3A6C5" w14:textId="21EE82D7" w:rsidR="000007BA" w:rsidRPr="00AA13F4" w:rsidRDefault="000007BA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F8F17" w14:textId="561E2C19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47B45F58" wp14:editId="5E8EAB8C">
            <wp:simplePos x="0" y="0"/>
            <wp:positionH relativeFrom="page">
              <wp:align>center</wp:align>
            </wp:positionH>
            <wp:positionV relativeFrom="paragraph">
              <wp:posOffset>385445</wp:posOffset>
            </wp:positionV>
            <wp:extent cx="1801622" cy="1800225"/>
            <wp:effectExtent l="0" t="0" r="8255" b="0"/>
            <wp:wrapNone/>
            <wp:docPr id="1" name="image1.png" descr="H:\D3 TI\Tambahan\Pra Sem\.OSMARU UNS\SGO Emai;komp\logo-uns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62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78CE7" w14:textId="77777777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FDC89" w14:textId="77777777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CD54E" w14:textId="77777777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C8009" w14:textId="77777777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43EA1" w14:textId="77777777" w:rsidR="00AA13F4" w:rsidRPr="00AA13F4" w:rsidRDefault="00AA13F4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91D5A" w14:textId="77777777" w:rsidR="000007BA" w:rsidRPr="00AA13F4" w:rsidRDefault="000007BA" w:rsidP="003F352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3F4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1247E78" w14:textId="6C048AFA" w:rsidR="001E3C52" w:rsidRPr="00ED24E6" w:rsidRDefault="00ED24E6" w:rsidP="001E3C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NOOR AINI</w:t>
      </w:r>
    </w:p>
    <w:p w14:paraId="78568A3B" w14:textId="24BC9242" w:rsidR="001E3C52" w:rsidRDefault="001E3C52" w:rsidP="001E3C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M3119067</w:t>
      </w:r>
    </w:p>
    <w:p w14:paraId="7143B95A" w14:textId="77777777" w:rsidR="001E3C52" w:rsidRPr="001E3C52" w:rsidRDefault="001E3C52" w:rsidP="001E3C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E966271" w14:textId="77777777" w:rsidR="00AA13F4" w:rsidRPr="00AA13F4" w:rsidRDefault="00AA13F4" w:rsidP="00AA13F4">
      <w:pPr>
        <w:widowControl w:val="0"/>
        <w:autoSpaceDE w:val="0"/>
        <w:autoSpaceDN w:val="0"/>
        <w:spacing w:after="0" w:line="360" w:lineRule="auto"/>
        <w:ind w:right="99"/>
        <w:jc w:val="center"/>
        <w:rPr>
          <w:rFonts w:ascii="Times New Roman" w:eastAsia="Times New Roman" w:hAnsi="Times New Roman" w:cs="Times New Roman"/>
          <w:b/>
          <w:spacing w:val="-57"/>
          <w:sz w:val="24"/>
          <w:szCs w:val="24"/>
          <w:lang w:val="id"/>
        </w:rPr>
      </w:pPr>
      <w:r w:rsidRPr="00AA13F4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PROGRAM DIPLOMA III TEKNIK INFORMATIKA</w:t>
      </w:r>
      <w:r w:rsidRPr="00AA13F4">
        <w:rPr>
          <w:rFonts w:ascii="Times New Roman" w:eastAsia="Times New Roman" w:hAnsi="Times New Roman" w:cs="Times New Roman"/>
          <w:b/>
          <w:spacing w:val="-57"/>
          <w:sz w:val="24"/>
          <w:szCs w:val="24"/>
          <w:lang w:val="id"/>
        </w:rPr>
        <w:t xml:space="preserve"> </w:t>
      </w:r>
    </w:p>
    <w:p w14:paraId="7A4B6C2D" w14:textId="77777777" w:rsidR="00AA13F4" w:rsidRPr="00AA13F4" w:rsidRDefault="00AA13F4" w:rsidP="00AA13F4">
      <w:pPr>
        <w:widowControl w:val="0"/>
        <w:autoSpaceDE w:val="0"/>
        <w:autoSpaceDN w:val="0"/>
        <w:spacing w:after="0" w:line="360" w:lineRule="auto"/>
        <w:ind w:right="9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  <w:r w:rsidRPr="00AA13F4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SEKOLAH</w:t>
      </w:r>
      <w:r w:rsidRPr="00AA13F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id"/>
        </w:rPr>
        <w:t xml:space="preserve"> </w:t>
      </w:r>
      <w:r w:rsidRPr="00AA13F4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>VOKASI</w:t>
      </w:r>
    </w:p>
    <w:p w14:paraId="3A820677" w14:textId="77777777" w:rsidR="00AA13F4" w:rsidRPr="00ED24E6" w:rsidRDefault="00AA13F4" w:rsidP="00ED24E6">
      <w:pPr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ED24E6">
        <w:rPr>
          <w:rFonts w:ascii="Times New Roman" w:hAnsi="Times New Roman" w:cs="Times New Roman"/>
          <w:b/>
          <w:sz w:val="24"/>
          <w:szCs w:val="24"/>
          <w:lang w:val="id"/>
        </w:rPr>
        <w:t>UNIVERSITAS SEBELAS MARET</w:t>
      </w:r>
    </w:p>
    <w:p w14:paraId="293ED07C" w14:textId="0A82273C" w:rsidR="00AA13F4" w:rsidRPr="00ED24E6" w:rsidRDefault="00AA13F4" w:rsidP="00ED24E6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D24E6">
        <w:rPr>
          <w:rFonts w:ascii="Times New Roman" w:hAnsi="Times New Roman" w:cs="Times New Roman"/>
          <w:b/>
          <w:sz w:val="24"/>
          <w:szCs w:val="24"/>
          <w:lang w:val="id"/>
        </w:rPr>
        <w:t>20</w:t>
      </w:r>
      <w:r w:rsidRPr="00ED24E6">
        <w:rPr>
          <w:rFonts w:ascii="Times New Roman" w:hAnsi="Times New Roman" w:cs="Times New Roman"/>
          <w:b/>
          <w:sz w:val="24"/>
          <w:szCs w:val="24"/>
          <w:lang w:val="id-ID"/>
        </w:rPr>
        <w:t>22</w:t>
      </w:r>
    </w:p>
    <w:p w14:paraId="15930A75" w14:textId="333B65DE" w:rsidR="00AA13F4" w:rsidRPr="00AA13F4" w:rsidRDefault="00AA13F4" w:rsidP="00AA13F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AA13F4" w:rsidRPr="00AA13F4" w:rsidSect="00D43CFD">
          <w:footerReference w:type="default" r:id="rId9"/>
          <w:footerReference w:type="first" r:id="rId10"/>
          <w:pgSz w:w="11907" w:h="16839" w:code="9"/>
          <w:pgMar w:top="1985" w:right="1701" w:bottom="1701" w:left="1985" w:header="709" w:footer="709" w:gutter="0"/>
          <w:pgNumType w:fmt="lowerRoman" w:start="1"/>
          <w:cols w:space="708"/>
          <w:titlePg/>
          <w:docGrid w:linePitch="360"/>
        </w:sectPr>
      </w:pPr>
    </w:p>
    <w:sdt>
      <w:sdtPr>
        <w:id w:val="454450297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2"/>
          <w:szCs w:val="22"/>
        </w:rPr>
      </w:sdtEndPr>
      <w:sdtContent>
        <w:p w14:paraId="7397D36C" w14:textId="329A7D69" w:rsidR="00ED24E6" w:rsidRDefault="00ED24E6" w:rsidP="00ED24E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id-ID"/>
            </w:rPr>
          </w:pPr>
          <w:r w:rsidRPr="00ED24E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id-ID"/>
            </w:rPr>
            <w:t>Daftar Isi</w:t>
          </w:r>
        </w:p>
        <w:p w14:paraId="6BC9EB5A" w14:textId="77777777" w:rsidR="00ED24E6" w:rsidRPr="00ED24E6" w:rsidRDefault="00ED24E6" w:rsidP="00ED24E6">
          <w:pPr>
            <w:rPr>
              <w:lang w:val="id-ID"/>
            </w:rPr>
          </w:pPr>
        </w:p>
        <w:p w14:paraId="783EA2F1" w14:textId="0F0625F8" w:rsidR="00ED24E6" w:rsidRPr="00ED24E6" w:rsidRDefault="00ED24E6" w:rsidP="00ED24E6">
          <w:pPr>
            <w:pStyle w:val="TOC1"/>
            <w:tabs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ED24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D24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D24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7240824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_Toc107240824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DFE93" w14:textId="05FB1A30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25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 Masalah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_Toc107240825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C0D2A" w14:textId="60393991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26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_Toc107240826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1F433" w14:textId="6C20F952" w:rsidR="00ED24E6" w:rsidRPr="00ED24E6" w:rsidRDefault="00ED24E6" w:rsidP="00ED24E6">
          <w:pPr>
            <w:pStyle w:val="TOC1"/>
            <w:tabs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27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KAJIAN TEORI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_Toc107240827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2309A" w14:textId="368CA3A4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28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Sumber Hukum Tatanegara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_Toc107240828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F6954" w14:textId="4CFC7F27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29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Macam-macam Sumber Hukum Tatanegara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_Toc107240829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865D9" w14:textId="557451D1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0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Sumber Hukum Tatanegara Indonesia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_Toc107240830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827B8" w14:textId="73CBD9ED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1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Pancasila Sebagai Sumber Materill Tatanegara Indonesia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_Toc107240831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8C1A4" w14:textId="008A1109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2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Implementasi Pancasila Sebagai Sumber Hukum Dalam Produk Hukum Tatanegara Indonesia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_Toc107240832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99DE6" w14:textId="10CC115F" w:rsidR="00ED24E6" w:rsidRPr="00ED24E6" w:rsidRDefault="00ED24E6" w:rsidP="00ED24E6">
          <w:pPr>
            <w:pStyle w:val="TOC2"/>
            <w:tabs>
              <w:tab w:val="left" w:pos="660"/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3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ED24E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Konsekuensi Dari Keberadaan Pancasila Sebagai Sumber Hukum Materill Tatanegara Indonesia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_Toc107240833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B5AEB" w14:textId="7BCE80FC" w:rsidR="00ED24E6" w:rsidRPr="00ED24E6" w:rsidRDefault="00ED24E6" w:rsidP="00ED24E6">
          <w:pPr>
            <w:pStyle w:val="TOC1"/>
            <w:tabs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4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_Toc107240834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BC575" w14:textId="2C604ED4" w:rsidR="00ED24E6" w:rsidRPr="00ED24E6" w:rsidRDefault="00ED24E6" w:rsidP="00ED24E6">
          <w:pPr>
            <w:pStyle w:val="TOC1"/>
            <w:tabs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5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_Toc107240835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2FC68" w14:textId="3D2FA58D" w:rsidR="00ED24E6" w:rsidRPr="00ED24E6" w:rsidRDefault="00ED24E6" w:rsidP="00ED24E6">
          <w:pPr>
            <w:pStyle w:val="TOC1"/>
            <w:tabs>
              <w:tab w:val="right" w:leader="dot" w:pos="8211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107240836" w:history="1">
            <w:r w:rsidRPr="00ED24E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_Toc107240836 \h </w:instrTex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661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D24E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824362" w14:textId="25C1008B" w:rsidR="00ED24E6" w:rsidRDefault="00ED24E6" w:rsidP="00ED24E6">
          <w:pPr>
            <w:spacing w:line="360" w:lineRule="auto"/>
          </w:pPr>
          <w:r w:rsidRPr="00ED24E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DA8FF5" w14:textId="77777777" w:rsidR="00E04831" w:rsidRDefault="00E048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  <w:bookmarkStart w:id="0" w:name="_GoBack"/>
      <w:bookmarkEnd w:id="0"/>
    </w:p>
    <w:p w14:paraId="5A28B74E" w14:textId="280467DA" w:rsidR="00F20BD7" w:rsidRPr="00ED24E6" w:rsidRDefault="00F20BD7" w:rsidP="00ED24E6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2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4504EE50" w14:textId="08377543" w:rsidR="000007BA" w:rsidRPr="00E04831" w:rsidRDefault="000007BA" w:rsidP="00E04831">
      <w:pPr>
        <w:pStyle w:val="Heading1"/>
      </w:pPr>
      <w:bookmarkStart w:id="1" w:name="_Toc107240824"/>
      <w:r w:rsidRPr="00E04831">
        <w:t>PENDAHULUAN</w:t>
      </w:r>
      <w:bookmarkEnd w:id="1"/>
    </w:p>
    <w:p w14:paraId="69375BA9" w14:textId="5DCA1ABA" w:rsidR="000007BA" w:rsidRPr="00E04831" w:rsidRDefault="003F3524" w:rsidP="00ED24E6">
      <w:pPr>
        <w:pStyle w:val="Heading2"/>
      </w:pPr>
      <w:bookmarkStart w:id="2" w:name="_Toc107240825"/>
      <w:proofErr w:type="spellStart"/>
      <w:r w:rsidRPr="00E04831">
        <w:t>Latar</w:t>
      </w:r>
      <w:proofErr w:type="spellEnd"/>
      <w:r w:rsidRPr="00E04831">
        <w:t xml:space="preserve"> </w:t>
      </w:r>
      <w:proofErr w:type="spellStart"/>
      <w:r w:rsidRPr="00E04831">
        <w:t>Belakang</w:t>
      </w:r>
      <w:proofErr w:type="spellEnd"/>
      <w:r w:rsidRPr="00E04831">
        <w:t xml:space="preserve"> </w:t>
      </w:r>
      <w:proofErr w:type="spellStart"/>
      <w:r w:rsidRPr="00E04831">
        <w:t>Masalah</w:t>
      </w:r>
      <w:bookmarkEnd w:id="2"/>
      <w:proofErr w:type="spellEnd"/>
    </w:p>
    <w:p w14:paraId="0BC4521E" w14:textId="77777777" w:rsidR="000007BA" w:rsidRPr="00AA13F4" w:rsidRDefault="000007BA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</w:t>
      </w:r>
      <w:r w:rsidR="00092F50" w:rsidRPr="00AA13F4">
        <w:rPr>
          <w:rFonts w:ascii="Times New Roman" w:hAnsi="Times New Roman" w:cs="Times New Roman"/>
          <w:sz w:val="24"/>
          <w:szCs w:val="24"/>
        </w:rPr>
        <w:t>alsafah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Pancasila </w:t>
      </w:r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haru</w:t>
      </w:r>
      <w:r w:rsidR="00092F50" w:rsidRPr="00AA13F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ole</w:t>
      </w:r>
      <w:r w:rsidRPr="00AA13F4"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Indonesia. oleh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berkeTuhanan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berkemanusiaan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nilali-nilai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</w:t>
      </w:r>
      <w:r w:rsidR="00092F50" w:rsidRPr="00AA13F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Deng</w:t>
      </w:r>
      <w:r w:rsidRPr="00AA13F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Pancasila</w:t>
      </w:r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058EF5B6" w14:textId="77777777" w:rsidR="003F3524" w:rsidRPr="00AA13F4" w:rsidRDefault="006A1EB9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</w:t>
      </w:r>
      <w:r w:rsidR="00CD4D8E" w:rsidRPr="00AA13F4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D8E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D4D8E" w:rsidRPr="00AA13F4">
        <w:rPr>
          <w:rFonts w:ascii="Times New Roman" w:hAnsi="Times New Roman" w:cs="Times New Roman"/>
          <w:sz w:val="24"/>
          <w:szCs w:val="24"/>
        </w:rPr>
        <w:t xml:space="preserve"> Indonesia</w:t>
      </w:r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Pancasila. </w:t>
      </w:r>
    </w:p>
    <w:p w14:paraId="5874EC0E" w14:textId="77777777" w:rsidR="003F3524" w:rsidRPr="00AA13F4" w:rsidRDefault="003F3524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890C3FC" w14:textId="464E9BF2" w:rsidR="00CD4D8E" w:rsidRPr="00ED24E6" w:rsidRDefault="00CD4D8E" w:rsidP="00ED24E6">
      <w:pPr>
        <w:pStyle w:val="Heading2"/>
      </w:pPr>
      <w:bookmarkStart w:id="3" w:name="_Toc107240826"/>
      <w:proofErr w:type="spellStart"/>
      <w:r w:rsidRPr="00ED24E6">
        <w:t>Rumusan</w:t>
      </w:r>
      <w:proofErr w:type="spellEnd"/>
      <w:r w:rsidRPr="00ED24E6">
        <w:t xml:space="preserve"> </w:t>
      </w:r>
      <w:proofErr w:type="spellStart"/>
      <w:r w:rsidRPr="00ED24E6">
        <w:t>Masalah</w:t>
      </w:r>
      <w:bookmarkEnd w:id="3"/>
      <w:proofErr w:type="spellEnd"/>
    </w:p>
    <w:p w14:paraId="04BB476F" w14:textId="50C15A65" w:rsidR="003F3524" w:rsidRDefault="00CD4D8E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Mengapa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pemahaman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mengenai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penting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i/>
          <w:iCs/>
          <w:sz w:val="24"/>
          <w:szCs w:val="24"/>
        </w:rPr>
        <w:t>bagi</w:t>
      </w:r>
      <w:proofErr w:type="spellEnd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>kehidupan</w:t>
      </w:r>
      <w:proofErr w:type="spellEnd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>berbangsa</w:t>
      </w:r>
      <w:proofErr w:type="spellEnd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50042E" w:rsidRPr="00AA13F4">
        <w:rPr>
          <w:rFonts w:ascii="Times New Roman" w:hAnsi="Times New Roman" w:cs="Times New Roman"/>
          <w:i/>
          <w:iCs/>
          <w:sz w:val="24"/>
          <w:szCs w:val="24"/>
        </w:rPr>
        <w:t>bernegara</w:t>
      </w:r>
      <w:proofErr w:type="spellEnd"/>
      <w:r w:rsidRPr="00AA13F4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24B5B979" w14:textId="7FA13B69" w:rsidR="00F20BD7" w:rsidRDefault="00F20BD7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71255A" w14:textId="7AB2D16C" w:rsidR="00F20BD7" w:rsidRDefault="00F20BD7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919135F" w14:textId="1208F629" w:rsidR="00F20BD7" w:rsidRDefault="00F20BD7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0E32EA" w14:textId="77777777" w:rsidR="00F20BD7" w:rsidRPr="00E04831" w:rsidRDefault="00F20BD7" w:rsidP="00E04831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DCB1E3" w14:textId="4C10D3A3" w:rsidR="00F20BD7" w:rsidRPr="00ED24E6" w:rsidRDefault="00F20BD7" w:rsidP="00ED24E6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2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0DF561B2" w14:textId="27AD1860" w:rsidR="00F20BD7" w:rsidRPr="00E04831" w:rsidRDefault="00F20BD7" w:rsidP="00E04831">
      <w:pPr>
        <w:pStyle w:val="Heading1"/>
      </w:pPr>
      <w:bookmarkStart w:id="4" w:name="_Toc107240827"/>
      <w:r w:rsidRPr="00E04831">
        <w:t>KAJIAN TEORI</w:t>
      </w:r>
      <w:bookmarkEnd w:id="4"/>
    </w:p>
    <w:p w14:paraId="5C810CE0" w14:textId="77777777" w:rsidR="00F20BD7" w:rsidRPr="00F20BD7" w:rsidRDefault="00F20BD7" w:rsidP="00F20BD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B0193C" w14:textId="13DF65CD" w:rsidR="00CD4D8E" w:rsidRPr="00AA13F4" w:rsidRDefault="00CD4D8E" w:rsidP="00F20BD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PANCASILA SEBAGAI SUMBER </w:t>
      </w:r>
      <w:r w:rsidR="00F20BD7">
        <w:rPr>
          <w:rFonts w:ascii="Times New Roman" w:hAnsi="Times New Roman" w:cs="Times New Roman"/>
          <w:b/>
          <w:bCs/>
          <w:sz w:val="24"/>
          <w:szCs w:val="24"/>
          <w:lang w:val="id-ID"/>
        </w:rPr>
        <w:t>MATERIIL</w:t>
      </w:r>
      <w:r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 HUKUM NEGARA INDONESIA</w:t>
      </w:r>
    </w:p>
    <w:p w14:paraId="41C4D735" w14:textId="1677F477" w:rsidR="00CD4D8E" w:rsidRPr="00ED24E6" w:rsidRDefault="00CD4D8E" w:rsidP="00ED24E6">
      <w:pPr>
        <w:pStyle w:val="Heading2"/>
        <w:numPr>
          <w:ilvl w:val="0"/>
          <w:numId w:val="18"/>
        </w:numPr>
      </w:pPr>
      <w:bookmarkStart w:id="5" w:name="_Toc107240828"/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Tatanegara</w:t>
      </w:r>
      <w:bookmarkEnd w:id="5"/>
      <w:proofErr w:type="spellEnd"/>
    </w:p>
    <w:p w14:paraId="3780DFE0" w14:textId="77777777" w:rsidR="00E016A5" w:rsidRPr="00AA13F4" w:rsidRDefault="00E016A5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source of law.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pay</w:t>
      </w:r>
      <w:r w:rsidR="00092F50" w:rsidRPr="00AA13F4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</w:t>
      </w:r>
      <w:r w:rsidRPr="00AA13F4">
        <w:rPr>
          <w:rFonts w:ascii="Times New Roman" w:hAnsi="Times New Roman" w:cs="Times New Roman"/>
          <w:sz w:val="24"/>
          <w:szCs w:val="24"/>
        </w:rPr>
        <w:t>erkataan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asa-muasal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</w:t>
      </w:r>
      <w:r w:rsidR="00092F50" w:rsidRPr="00AA13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yurisprudensi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C54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B70C54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6619631F" w14:textId="77777777" w:rsidR="007F564E" w:rsidRPr="00AA13F4" w:rsidRDefault="007F564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6FC98CA" w14:textId="77777777" w:rsidR="00CD4D8E" w:rsidRPr="00ED24E6" w:rsidRDefault="00CD4D8E" w:rsidP="00ED24E6">
      <w:pPr>
        <w:pStyle w:val="Heading2"/>
      </w:pPr>
      <w:bookmarkStart w:id="6" w:name="_Toc107240829"/>
      <w:proofErr w:type="spellStart"/>
      <w:r w:rsidRPr="00ED24E6">
        <w:t>Macam-macam</w:t>
      </w:r>
      <w:proofErr w:type="spellEnd"/>
      <w:r w:rsidRPr="00ED24E6">
        <w:t xml:space="preserve"> </w:t>
      </w:r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Tatanegara</w:t>
      </w:r>
      <w:bookmarkEnd w:id="6"/>
      <w:proofErr w:type="spellEnd"/>
    </w:p>
    <w:p w14:paraId="537E793D" w14:textId="77777777" w:rsidR="00B70C54" w:rsidRPr="00AA13F4" w:rsidRDefault="00B70C54" w:rsidP="00F41BB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5FDFCBE" w14:textId="77777777" w:rsidR="00B70C54" w:rsidRPr="00AA13F4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kai</w:t>
      </w:r>
      <w:r w:rsidR="004C75CD" w:rsidRPr="00AA13F4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4C75CD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CD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C75CD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5CD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4C75CD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75CD" w:rsidRPr="00AA13F4">
        <w:rPr>
          <w:rFonts w:ascii="Times New Roman" w:hAnsi="Times New Roman" w:cs="Times New Roman"/>
          <w:sz w:val="24"/>
          <w:szCs w:val="24"/>
        </w:rPr>
        <w:t>d</w:t>
      </w:r>
      <w:r w:rsidR="00931755" w:rsidRPr="00AA13F4">
        <w:rPr>
          <w:rFonts w:ascii="Times New Roman" w:hAnsi="Times New Roman" w:cs="Times New Roman"/>
          <w:sz w:val="24"/>
          <w:szCs w:val="24"/>
        </w:rPr>
        <w:t>asar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kekuatan-kekuatan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D5C7DB" w14:textId="77777777" w:rsidR="00B70C54" w:rsidRPr="00AA13F4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formil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03611DAA" w14:textId="77777777" w:rsidR="004C75CD" w:rsidRPr="00AA13F4" w:rsidRDefault="00B70C54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dal</w:t>
      </w:r>
      <w:r w:rsidR="004C75CD" w:rsidRPr="00AA13F4">
        <w:rPr>
          <w:rFonts w:ascii="Times New Roman" w:hAnsi="Times New Roman" w:cs="Times New Roman"/>
          <w:sz w:val="24"/>
          <w:szCs w:val="24"/>
        </w:rPr>
        <w:t>a</w:t>
      </w:r>
      <w:r w:rsidR="00931755" w:rsidRPr="00AA13F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755"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931755" w:rsidRPr="00AA1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BBB509" w14:textId="77777777" w:rsidR="00B70C54" w:rsidRPr="00AA13F4" w:rsidRDefault="00931755" w:rsidP="00F41B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B70C54" w:rsidRPr="00AA13F4">
        <w:rPr>
          <w:rFonts w:ascii="Times New Roman" w:hAnsi="Times New Roman" w:cs="Times New Roman"/>
          <w:sz w:val="24"/>
          <w:szCs w:val="24"/>
        </w:rPr>
        <w:t>raktat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Internaisonal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(bilateral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multilateral)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1F1CEF8A" w14:textId="77777777" w:rsidR="007F564E" w:rsidRPr="00AA13F4" w:rsidRDefault="007F564E" w:rsidP="00F41BB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41E4FBC" w14:textId="77777777" w:rsidR="00CD4D8E" w:rsidRPr="00ED24E6" w:rsidRDefault="00CD4D8E" w:rsidP="00ED24E6">
      <w:pPr>
        <w:pStyle w:val="Heading2"/>
      </w:pPr>
      <w:bookmarkStart w:id="7" w:name="_Toc107240830"/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Tatanegara</w:t>
      </w:r>
      <w:proofErr w:type="spellEnd"/>
      <w:r w:rsidRPr="00ED24E6">
        <w:t xml:space="preserve"> Indonesia</w:t>
      </w:r>
      <w:bookmarkEnd w:id="7"/>
    </w:p>
    <w:p w14:paraId="09E5A788" w14:textId="77777777" w:rsidR="00931755" w:rsidRPr="00AA13F4" w:rsidRDefault="00321E80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(Pancasila),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formi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Dasar),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Daerah,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traktat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ditariknya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8C3C7" w14:textId="77777777" w:rsidR="007F564E" w:rsidRPr="00AA13F4" w:rsidRDefault="007F564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A5B8C0C" w14:textId="77777777" w:rsidR="00CD4D8E" w:rsidRPr="00ED24E6" w:rsidRDefault="00CD4D8E" w:rsidP="00ED24E6">
      <w:pPr>
        <w:pStyle w:val="Heading2"/>
      </w:pPr>
      <w:bookmarkStart w:id="8" w:name="_Toc107240831"/>
      <w:r w:rsidRPr="00ED24E6">
        <w:t xml:space="preserve">Pancasila </w:t>
      </w:r>
      <w:proofErr w:type="spellStart"/>
      <w:r w:rsidRPr="00ED24E6">
        <w:t>Sebagai</w:t>
      </w:r>
      <w:proofErr w:type="spellEnd"/>
      <w:r w:rsidRPr="00ED24E6">
        <w:t xml:space="preserve"> </w:t>
      </w:r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Materill</w:t>
      </w:r>
      <w:proofErr w:type="spellEnd"/>
      <w:r w:rsidRPr="00ED24E6">
        <w:t xml:space="preserve"> </w:t>
      </w:r>
      <w:proofErr w:type="spellStart"/>
      <w:r w:rsidRPr="00ED24E6">
        <w:t>Tatanegara</w:t>
      </w:r>
      <w:proofErr w:type="spellEnd"/>
      <w:r w:rsidRPr="00ED24E6">
        <w:t xml:space="preserve"> Indonesia</w:t>
      </w:r>
      <w:bookmarkEnd w:id="8"/>
    </w:p>
    <w:p w14:paraId="351891A2" w14:textId="77777777" w:rsidR="007F564E" w:rsidRPr="00AA13F4" w:rsidRDefault="005B1697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dijadikannya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di Indonesia.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pada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program-program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r w:rsidR="00F52291" w:rsidRPr="00AA13F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peraturan-peraturan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lain pada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instrumental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. Tata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sum</w:t>
      </w:r>
      <w:r w:rsidR="00092F50" w:rsidRPr="00AA13F4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92F50"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Dasar 1945</w:t>
      </w:r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Majelis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Permusyaa</w:t>
      </w:r>
      <w:r w:rsidR="00092F50" w:rsidRPr="00AA13F4">
        <w:rPr>
          <w:rFonts w:ascii="Times New Roman" w:hAnsi="Times New Roman" w:cs="Times New Roman"/>
          <w:sz w:val="24"/>
          <w:szCs w:val="24"/>
        </w:rPr>
        <w:t>ratan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Rakyat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r w:rsidR="00092F50" w:rsidRPr="00AA13F4">
        <w:rPr>
          <w:rFonts w:ascii="Times New Roman" w:hAnsi="Times New Roman" w:cs="Times New Roman"/>
          <w:sz w:val="24"/>
          <w:szCs w:val="24"/>
        </w:rPr>
        <w:lastRenderedPageBreak/>
        <w:t>Indonesia, UU/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Perpu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092F50" w:rsidRPr="00AA13F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092F50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F52291" w:rsidRPr="00AA13F4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F52291" w:rsidRPr="00AA13F4">
        <w:rPr>
          <w:rFonts w:ascii="Times New Roman" w:hAnsi="Times New Roman" w:cs="Times New Roman"/>
          <w:sz w:val="24"/>
          <w:szCs w:val="24"/>
        </w:rPr>
        <w:t>./Kota</w:t>
      </w:r>
      <w:r w:rsidR="004C75CD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0A97D590" w14:textId="77777777" w:rsidR="004C75CD" w:rsidRPr="00AA13F4" w:rsidRDefault="004C75CD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DE8A364" w14:textId="77777777" w:rsidR="00CD4D8E" w:rsidRPr="00ED24E6" w:rsidRDefault="00CD4D8E" w:rsidP="00ED24E6">
      <w:pPr>
        <w:pStyle w:val="Heading2"/>
      </w:pPr>
      <w:bookmarkStart w:id="9" w:name="_Toc107240832"/>
      <w:proofErr w:type="spellStart"/>
      <w:r w:rsidRPr="00ED24E6">
        <w:t>Implementasi</w:t>
      </w:r>
      <w:proofErr w:type="spellEnd"/>
      <w:r w:rsidRPr="00ED24E6">
        <w:t xml:space="preserve"> Pancasila </w:t>
      </w:r>
      <w:proofErr w:type="spellStart"/>
      <w:r w:rsidRPr="00ED24E6">
        <w:t>Sebagai</w:t>
      </w:r>
      <w:proofErr w:type="spellEnd"/>
      <w:r w:rsidRPr="00ED24E6">
        <w:t xml:space="preserve"> </w:t>
      </w:r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Dalam</w:t>
      </w:r>
      <w:proofErr w:type="spellEnd"/>
      <w:r w:rsidRPr="00ED24E6">
        <w:t xml:space="preserve"> </w:t>
      </w:r>
      <w:proofErr w:type="spellStart"/>
      <w:r w:rsidRPr="00ED24E6">
        <w:t>Produk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Tatanegara</w:t>
      </w:r>
      <w:proofErr w:type="spellEnd"/>
      <w:r w:rsidRPr="00ED24E6">
        <w:t xml:space="preserve"> Indonesia</w:t>
      </w:r>
      <w:bookmarkEnd w:id="9"/>
    </w:p>
    <w:p w14:paraId="60D1285D" w14:textId="77777777" w:rsidR="00092F50" w:rsidRPr="00AA13F4" w:rsidRDefault="00B8005E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Philipus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Hadjon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(1987:85)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Ekatjahnah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hubung</w:t>
      </w:r>
      <w:r w:rsidR="001B0A59" w:rsidRPr="00AA13F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an</w:t>
      </w:r>
      <w:r w:rsidR="001B0A59" w:rsidRPr="00AA13F4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A59" w:rsidRPr="00AA13F4">
        <w:rPr>
          <w:rFonts w:ascii="Times New Roman" w:hAnsi="Times New Roman" w:cs="Times New Roman"/>
          <w:sz w:val="24"/>
          <w:szCs w:val="24"/>
        </w:rPr>
        <w:t>kekuasaan-kekuasaan</w:t>
      </w:r>
      <w:proofErr w:type="spell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</w:t>
      </w:r>
      <w:r w:rsidR="001B0A59" w:rsidRPr="00AA13F4">
        <w:rPr>
          <w:rFonts w:ascii="Times New Roman" w:hAnsi="Times New Roman" w:cs="Times New Roman"/>
          <w:sz w:val="24"/>
          <w:szCs w:val="24"/>
        </w:rPr>
        <w:t>usyawarah</w:t>
      </w:r>
      <w:proofErr w:type="spell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manu</w:t>
      </w:r>
      <w:r w:rsidR="001B0A59" w:rsidRPr="00AA13F4">
        <w:rPr>
          <w:rFonts w:ascii="Times New Roman" w:hAnsi="Times New Roman" w:cs="Times New Roman"/>
          <w:sz w:val="24"/>
          <w:szCs w:val="24"/>
        </w:rPr>
        <w:t>sia</w:t>
      </w:r>
      <w:proofErr w:type="spellEnd"/>
      <w:r w:rsidR="001B0A59" w:rsidRPr="00AA1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066D7F" w14:textId="77777777" w:rsidR="007F564E" w:rsidRPr="00AA13F4" w:rsidRDefault="001B0A59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ketatanegaraan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lembaga-lembaga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negara demi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sengketa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diutamanakan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mufakat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adanyaa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kemanfaatan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dijunjung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III/MPR/2000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41768" w:rsidRPr="00AA13F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="00841768" w:rsidRPr="00AA13F4">
        <w:rPr>
          <w:rFonts w:ascii="Times New Roman" w:hAnsi="Times New Roman" w:cs="Times New Roman"/>
          <w:sz w:val="24"/>
          <w:szCs w:val="24"/>
        </w:rPr>
        <w:t xml:space="preserve"> (3) </w:t>
      </w:r>
    </w:p>
    <w:p w14:paraId="38A388B0" w14:textId="77777777" w:rsidR="00092F50" w:rsidRPr="00AA13F4" w:rsidRDefault="00092F50" w:rsidP="00F41BB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4BFA2D3" w14:textId="77777777" w:rsidR="00CD4D8E" w:rsidRPr="00ED24E6" w:rsidRDefault="00CD4D8E" w:rsidP="00ED24E6">
      <w:pPr>
        <w:pStyle w:val="Heading2"/>
      </w:pPr>
      <w:bookmarkStart w:id="10" w:name="_Toc107240833"/>
      <w:proofErr w:type="spellStart"/>
      <w:r w:rsidRPr="00ED24E6">
        <w:t>Konsekuensi</w:t>
      </w:r>
      <w:proofErr w:type="spellEnd"/>
      <w:r w:rsidRPr="00ED24E6">
        <w:t xml:space="preserve"> Dari </w:t>
      </w:r>
      <w:proofErr w:type="spellStart"/>
      <w:r w:rsidRPr="00ED24E6">
        <w:t>Keberadaan</w:t>
      </w:r>
      <w:proofErr w:type="spellEnd"/>
      <w:r w:rsidRPr="00ED24E6">
        <w:t xml:space="preserve"> Pancasila </w:t>
      </w:r>
      <w:proofErr w:type="spellStart"/>
      <w:r w:rsidRPr="00ED24E6">
        <w:t>Sebagai</w:t>
      </w:r>
      <w:proofErr w:type="spellEnd"/>
      <w:r w:rsidRPr="00ED24E6">
        <w:t xml:space="preserve"> </w:t>
      </w:r>
      <w:proofErr w:type="spellStart"/>
      <w:r w:rsidRPr="00ED24E6">
        <w:t>Sumber</w:t>
      </w:r>
      <w:proofErr w:type="spellEnd"/>
      <w:r w:rsidRPr="00ED24E6">
        <w:t xml:space="preserve"> </w:t>
      </w:r>
      <w:proofErr w:type="spellStart"/>
      <w:r w:rsidRPr="00ED24E6">
        <w:t>Hukum</w:t>
      </w:r>
      <w:proofErr w:type="spellEnd"/>
      <w:r w:rsidRPr="00ED24E6">
        <w:t xml:space="preserve"> </w:t>
      </w:r>
      <w:proofErr w:type="spellStart"/>
      <w:r w:rsidRPr="00ED24E6">
        <w:t>Materill</w:t>
      </w:r>
      <w:proofErr w:type="spellEnd"/>
      <w:r w:rsidRPr="00ED24E6">
        <w:t xml:space="preserve"> </w:t>
      </w:r>
      <w:proofErr w:type="spellStart"/>
      <w:r w:rsidRPr="00ED24E6">
        <w:t>Tatanegara</w:t>
      </w:r>
      <w:proofErr w:type="spellEnd"/>
      <w:r w:rsidRPr="00ED24E6">
        <w:t xml:space="preserve"> Indonesia</w:t>
      </w:r>
      <w:bookmarkEnd w:id="10"/>
    </w:p>
    <w:p w14:paraId="7CED881F" w14:textId="7CE74936" w:rsidR="001E3C52" w:rsidRPr="001E3C52" w:rsidRDefault="001B0A59" w:rsidP="001E3C5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lastRenderedPageBreak/>
        <w:t>Konsekuensi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pencerminan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09C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09C2" w:rsidRPr="00AA13F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4C75CD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7353A5C2" w14:textId="77777777" w:rsidR="00E04831" w:rsidRDefault="00E048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0216524A" w14:textId="47967D59" w:rsidR="00F20BD7" w:rsidRPr="00ED24E6" w:rsidRDefault="00F20BD7" w:rsidP="00ED24E6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2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0DD9298E" w14:textId="2171B0A2" w:rsidR="00F20BD7" w:rsidRPr="00F20BD7" w:rsidRDefault="00F20BD7" w:rsidP="00E04831">
      <w:pPr>
        <w:pStyle w:val="Heading1"/>
      </w:pPr>
      <w:bookmarkStart w:id="11" w:name="_Toc107240834"/>
      <w:r w:rsidRPr="00E04831">
        <w:t>PEMBAHASAN</w:t>
      </w:r>
      <w:bookmarkEnd w:id="11"/>
    </w:p>
    <w:p w14:paraId="7989139A" w14:textId="39C3FCB8" w:rsidR="00635C4E" w:rsidRPr="00AA13F4" w:rsidRDefault="00737C24" w:rsidP="00F20BD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PENTINGNYA PEMAHAMAN PANCASILA SEBAGAI SUMBER </w:t>
      </w:r>
      <w:r w:rsidR="0050042E"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MATERIIL </w:t>
      </w:r>
      <w:r w:rsidRPr="00AA13F4">
        <w:rPr>
          <w:rFonts w:ascii="Times New Roman" w:hAnsi="Times New Roman" w:cs="Times New Roman"/>
          <w:b/>
          <w:bCs/>
          <w:sz w:val="24"/>
          <w:szCs w:val="24"/>
        </w:rPr>
        <w:t xml:space="preserve">HUKUM NEGARA INDONESIA BAGI </w:t>
      </w:r>
      <w:r w:rsidR="0050042E" w:rsidRPr="00AA13F4">
        <w:rPr>
          <w:rFonts w:ascii="Times New Roman" w:hAnsi="Times New Roman" w:cs="Times New Roman"/>
          <w:b/>
          <w:bCs/>
          <w:sz w:val="24"/>
          <w:szCs w:val="24"/>
        </w:rPr>
        <w:t>KEHIDUPAN BERBANGSA DAN BERNEGARA</w:t>
      </w:r>
    </w:p>
    <w:p w14:paraId="1AC1F89A" w14:textId="59FA2ECF" w:rsidR="00635C4E" w:rsidRPr="00AA13F4" w:rsidRDefault="00635C4E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dilandaskan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pada Pancasila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dilandasi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E0C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BB7E0C" w:rsidRPr="00AA13F4">
        <w:rPr>
          <w:rFonts w:ascii="Times New Roman" w:hAnsi="Times New Roman" w:cs="Times New Roman"/>
          <w:sz w:val="24"/>
          <w:szCs w:val="24"/>
        </w:rPr>
        <w:t xml:space="preserve"> negara. </w:t>
      </w:r>
    </w:p>
    <w:p w14:paraId="1E6AF6F3" w14:textId="1D0D4C7F" w:rsidR="002A6A02" w:rsidRPr="00AA13F4" w:rsidRDefault="00BB7E0C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Setelah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pada 18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oleh PPKI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50042E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 w:rsidRPr="00AA13F4">
        <w:rPr>
          <w:rFonts w:ascii="Times New Roman" w:hAnsi="Times New Roman" w:cs="Times New Roman"/>
          <w:sz w:val="24"/>
          <w:szCs w:val="24"/>
        </w:rPr>
        <w:t>P</w:t>
      </w:r>
      <w:r w:rsidR="00E11708" w:rsidRPr="00AA13F4">
        <w:rPr>
          <w:rFonts w:ascii="Times New Roman" w:hAnsi="Times New Roman" w:cs="Times New Roman"/>
          <w:sz w:val="24"/>
          <w:szCs w:val="24"/>
        </w:rPr>
        <w:t>entingnya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bersosial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berpolitik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708" w:rsidRPr="00AA13F4">
        <w:rPr>
          <w:rFonts w:ascii="Times New Roman" w:hAnsi="Times New Roman" w:cs="Times New Roman"/>
          <w:sz w:val="24"/>
          <w:szCs w:val="24"/>
        </w:rPr>
        <w:t>berhukum</w:t>
      </w:r>
      <w:proofErr w:type="spellEnd"/>
      <w:r w:rsidR="00E11708" w:rsidRPr="00AA13F4">
        <w:rPr>
          <w:rFonts w:ascii="Times New Roman" w:hAnsi="Times New Roman" w:cs="Times New Roman"/>
          <w:sz w:val="24"/>
          <w:szCs w:val="24"/>
        </w:rPr>
        <w:t xml:space="preserve">. </w:t>
      </w:r>
      <w:r w:rsidR="002A6A02" w:rsidRPr="00AA13F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berhukum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dipertegas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XX/MPRS/1966 jo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V/MPR/1973 jo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MPR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IX/MPR/1978.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A02"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A6A02" w:rsidRPr="00AA13F4">
        <w:rPr>
          <w:rFonts w:ascii="Times New Roman" w:hAnsi="Times New Roman" w:cs="Times New Roman"/>
          <w:sz w:val="24"/>
          <w:szCs w:val="24"/>
        </w:rPr>
        <w:t xml:space="preserve"> Pancasila. </w:t>
      </w:r>
    </w:p>
    <w:p w14:paraId="08909B4D" w14:textId="4DC0B5B9" w:rsidR="002A6A02" w:rsidRPr="00AA13F4" w:rsidRDefault="002A6A02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 w:rsidRPr="00AA13F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0042E" w:rsidRPr="00AA13F4">
        <w:rPr>
          <w:rFonts w:ascii="Times New Roman" w:hAnsi="Times New Roman" w:cs="Times New Roman"/>
          <w:sz w:val="24"/>
          <w:szCs w:val="24"/>
        </w:rPr>
        <w:t xml:space="preserve"> negara Indonesia</w:t>
      </w:r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sang</w:t>
      </w:r>
      <w:r w:rsidR="00E24013" w:rsidRPr="00AA13F4">
        <w:rPr>
          <w:rFonts w:ascii="Times New Roman" w:hAnsi="Times New Roman" w:cs="Times New Roman"/>
          <w:sz w:val="24"/>
          <w:szCs w:val="24"/>
        </w:rPr>
        <w:t>at</w:t>
      </w:r>
      <w:proofErr w:type="spellEnd"/>
      <w:proofErr w:type="gram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r w:rsidRPr="00AA13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</w:t>
      </w:r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pengeta</w:t>
      </w:r>
      <w:r w:rsidR="002F0141" w:rsidRPr="00AA13F4">
        <w:rPr>
          <w:rFonts w:ascii="Times New Roman" w:hAnsi="Times New Roman" w:cs="Times New Roman"/>
          <w:sz w:val="24"/>
          <w:szCs w:val="24"/>
        </w:rPr>
        <w:t>huan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subj</w:t>
      </w:r>
      <w:r w:rsidR="00E24013" w:rsidRPr="00AA13F4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terd</w:t>
      </w:r>
      <w:r w:rsidR="002F0141" w:rsidRPr="00AA13F4">
        <w:rPr>
          <w:rFonts w:ascii="Times New Roman" w:hAnsi="Times New Roman" w:cs="Times New Roman"/>
          <w:sz w:val="24"/>
          <w:szCs w:val="24"/>
        </w:rPr>
        <w:t>a</w:t>
      </w:r>
      <w:r w:rsidRPr="00AA13F4">
        <w:rPr>
          <w:rFonts w:ascii="Times New Roman" w:hAnsi="Times New Roman" w:cs="Times New Roman"/>
          <w:sz w:val="24"/>
          <w:szCs w:val="24"/>
        </w:rPr>
        <w:t>pat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A29657" w14:textId="77777777" w:rsidR="002A6A02" w:rsidRPr="00AA13F4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lastRenderedPageBreak/>
        <w:t>Muatan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2E6E5861" w14:textId="77777777" w:rsidR="002A6A02" w:rsidRPr="00AA13F4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14:paraId="5A4153BC" w14:textId="77777777" w:rsidR="002A6A02" w:rsidRPr="00AA13F4" w:rsidRDefault="002A6A02" w:rsidP="00F41BB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362C9D" w14:textId="77777777" w:rsidR="00BB7E0C" w:rsidRPr="00AA13F4" w:rsidRDefault="002A6A02" w:rsidP="00F41BB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2F0141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0141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E24013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proofErr w:type="gram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pada Pancasila dan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menjiwai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013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24013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145A4A4C" w14:textId="3A78226D" w:rsidR="00E24013" w:rsidRPr="00AA13F4" w:rsidRDefault="00EC3C70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legitimasi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yuridis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perundnag-</w:t>
      </w:r>
      <w:proofErr w:type="gramStart"/>
      <w:r w:rsidRPr="00AA13F4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bukan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penyimpangan-penyimpanan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formalitas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Pancasila. </w:t>
      </w:r>
      <w:r w:rsidR="00F20BD7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embatalan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139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Mendagri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pancasila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</w:t>
      </w:r>
      <w:proofErr w:type="spellEnd"/>
      <w:r w:rsidR="00F20BD7">
        <w:rPr>
          <w:rFonts w:ascii="Times New Roman" w:hAnsi="Times New Roman" w:cs="Times New Roman"/>
          <w:sz w:val="24"/>
          <w:szCs w:val="24"/>
          <w:lang w:val="id-ID"/>
        </w:rPr>
        <w:t>dang</w:t>
      </w:r>
      <w:r w:rsidRPr="00AA13F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2F3259B1" w14:textId="01398CC8" w:rsidR="004C75CD" w:rsidRPr="00AA13F4" w:rsidRDefault="00EC3C70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42E" w:rsidRPr="00AA13F4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50042E" w:rsidRPr="00AA13F4">
        <w:rPr>
          <w:rFonts w:ascii="Times New Roman" w:hAnsi="Times New Roman" w:cs="Times New Roman"/>
          <w:sz w:val="24"/>
          <w:szCs w:val="24"/>
        </w:rPr>
        <w:t xml:space="preserve"> negara Indonesia yang </w:t>
      </w:r>
      <w:proofErr w:type="spellStart"/>
      <w:r w:rsidR="0050042E" w:rsidRPr="00AA13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lastRenderedPageBreak/>
        <w:t>kehidpan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kelak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732E6" w:rsidRPr="00AA13F4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732E6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32E6" w:rsidRPr="00AA13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A79E10" w14:textId="77777777" w:rsidR="000732E6" w:rsidRPr="00AA13F4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Ideology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6E679F94" w14:textId="77777777" w:rsidR="000732E6" w:rsidRPr="00AA13F4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dibelakang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1861F3D1" w14:textId="77777777" w:rsidR="000732E6" w:rsidRPr="00AA13F4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Asas-asas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00D366EE" w14:textId="77777777" w:rsidR="000732E6" w:rsidRPr="00AA13F4" w:rsidRDefault="000732E6" w:rsidP="00F41BB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kejiwaan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49206F4F" w14:textId="77777777" w:rsidR="000732E6" w:rsidRPr="00AA13F4" w:rsidRDefault="000732E6" w:rsidP="00F41BB8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dipertegas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MPR No. III/MPR/2000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1 TAP MPR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5B020A" w14:textId="77777777" w:rsidR="000732E6" w:rsidRPr="00AA13F4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</w:p>
    <w:p w14:paraId="4A6A24DB" w14:textId="77777777" w:rsidR="000732E6" w:rsidRPr="00AA13F4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tertulis</w:t>
      </w:r>
      <w:proofErr w:type="spellEnd"/>
    </w:p>
    <w:p w14:paraId="2640EB35" w14:textId="7CC73497" w:rsidR="00411ED9" w:rsidRPr="00AA13F4" w:rsidRDefault="000732E6" w:rsidP="00F41BB8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Dasar 1945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adildan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3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rakyat</w:t>
      </w:r>
      <w:proofErr w:type="spellEnd"/>
      <w:proofErr w:type="gram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510F4E15" w14:textId="77777777" w:rsidR="00F20BD7" w:rsidRDefault="00F20BD7" w:rsidP="00F20BD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E0CA3" w14:textId="77777777" w:rsidR="00F20BD7" w:rsidRDefault="00F20BD7" w:rsidP="00F20BD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D1BBC" w14:textId="77777777" w:rsidR="00F20BD7" w:rsidRDefault="00F20BD7" w:rsidP="00F20BD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892AB" w14:textId="77777777" w:rsidR="00F20BD7" w:rsidRDefault="00F20BD7" w:rsidP="00F20BD7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18F842" w14:textId="3C93EBF5" w:rsidR="00F20BD7" w:rsidRPr="00ED24E6" w:rsidRDefault="00F20BD7" w:rsidP="00ED24E6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2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4DA03DE5" w14:textId="013B8990" w:rsidR="00737C24" w:rsidRPr="00E04831" w:rsidRDefault="00737C24" w:rsidP="00E04831">
      <w:pPr>
        <w:pStyle w:val="Heading1"/>
      </w:pPr>
      <w:bookmarkStart w:id="12" w:name="_Toc107240835"/>
      <w:r w:rsidRPr="00E04831">
        <w:t>KESIMPULAN</w:t>
      </w:r>
      <w:bookmarkEnd w:id="12"/>
    </w:p>
    <w:p w14:paraId="1773614C" w14:textId="127AD2C8" w:rsidR="00603266" w:rsidRPr="006E4642" w:rsidRDefault="006E4642" w:rsidP="006E464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1A0A52" w:rsidRPr="00AA13F4">
        <w:rPr>
          <w:rFonts w:ascii="Times New Roman" w:hAnsi="Times New Roman" w:cs="Times New Roman"/>
          <w:sz w:val="24"/>
          <w:szCs w:val="24"/>
        </w:rPr>
        <w:t>enting</w:t>
      </w:r>
      <w:proofErr w:type="spellEnd"/>
      <w:r w:rsidR="001A0A5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A52" w:rsidRPr="00AA13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dapat diimplementasikan dalam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idupan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dan negara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sebaga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i warga negara Indonesia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266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603266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406851B0" w14:textId="47FE95E4" w:rsidR="00064962" w:rsidRPr="00AA13F4" w:rsidRDefault="00603266" w:rsidP="00F41BB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dan ideology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</w:t>
      </w:r>
      <w:r w:rsidR="006E4642">
        <w:rPr>
          <w:rFonts w:ascii="Times New Roman" w:hAnsi="Times New Roman" w:cs="Times New Roman"/>
          <w:sz w:val="24"/>
          <w:szCs w:val="24"/>
          <w:lang w:val="id-ID"/>
        </w:rPr>
        <w:t>Hal ini sangat</w:t>
      </w:r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pentingya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materill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dan agar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diperbudak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6E4642">
        <w:rPr>
          <w:rFonts w:ascii="Times New Roman" w:hAnsi="Times New Roman" w:cs="Times New Roman"/>
          <w:sz w:val="24"/>
          <w:szCs w:val="24"/>
          <w:lang w:val="id-ID"/>
        </w:rPr>
        <w:t xml:space="preserve"> supaya</w:t>
      </w:r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962" w:rsidRPr="00AA13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4962" w:rsidRPr="00AA13F4">
        <w:rPr>
          <w:rFonts w:ascii="Times New Roman" w:hAnsi="Times New Roman" w:cs="Times New Roman"/>
          <w:sz w:val="24"/>
          <w:szCs w:val="24"/>
        </w:rPr>
        <w:t>.</w:t>
      </w:r>
    </w:p>
    <w:p w14:paraId="7981E9A5" w14:textId="646576AB" w:rsidR="00F41BB8" w:rsidRPr="00AA13F4" w:rsidRDefault="00F41B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1866D" w14:textId="77777777" w:rsidR="00F20BD7" w:rsidRDefault="00F20B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12A5CD" w14:textId="624833A1" w:rsidR="00064962" w:rsidRPr="00E04831" w:rsidRDefault="00064962" w:rsidP="00E04831">
      <w:pPr>
        <w:pStyle w:val="Heading1"/>
      </w:pPr>
      <w:bookmarkStart w:id="13" w:name="_Toc107240836"/>
      <w:r w:rsidRPr="00E04831">
        <w:lastRenderedPageBreak/>
        <w:t>DAFTAR PUSTAKA</w:t>
      </w:r>
      <w:bookmarkEnd w:id="13"/>
    </w:p>
    <w:p w14:paraId="4F6F93A5" w14:textId="77777777" w:rsidR="00064962" w:rsidRPr="00AA13F4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Assidiqie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jimly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konsolodasi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0680099F" w14:textId="77777777" w:rsidR="00064962" w:rsidRPr="00AA13F4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Huda,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Ni’matul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Edisi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RajaGrafindo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>.</w:t>
      </w:r>
    </w:p>
    <w:p w14:paraId="78FDC2B8" w14:textId="77777777" w:rsidR="00CE0145" w:rsidRPr="00AA13F4" w:rsidRDefault="00CE0145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yusa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tatanegara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Malang: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Press.</w:t>
      </w:r>
    </w:p>
    <w:p w14:paraId="3A240242" w14:textId="77777777" w:rsidR="00064962" w:rsidRPr="00AA13F4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Jahawir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Thontowi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2016. Pancasila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prespektif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the lost generation. Yogyakarta: UII Press.</w:t>
      </w:r>
    </w:p>
    <w:p w14:paraId="127769BB" w14:textId="77777777" w:rsidR="00064962" w:rsidRPr="00AA13F4" w:rsidRDefault="00064962" w:rsidP="00064962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13F4">
        <w:rPr>
          <w:rFonts w:ascii="Times New Roman" w:hAnsi="Times New Roman" w:cs="Times New Roman"/>
          <w:sz w:val="24"/>
          <w:szCs w:val="24"/>
        </w:rPr>
        <w:t xml:space="preserve">Mohammad Hatta,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1978.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Pancasila. Jakarta: Mutiara</w:t>
      </w:r>
    </w:p>
    <w:p w14:paraId="0A1FF6EA" w14:textId="77777777" w:rsidR="00064962" w:rsidRPr="00AA13F4" w:rsidRDefault="00064962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3F4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. 2013.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3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13F4">
        <w:rPr>
          <w:rFonts w:ascii="Times New Roman" w:hAnsi="Times New Roman" w:cs="Times New Roman"/>
          <w:sz w:val="24"/>
          <w:szCs w:val="24"/>
        </w:rPr>
        <w:t xml:space="preserve"> Pancasila. Yogyakarta: Media Perkasa.</w:t>
      </w:r>
    </w:p>
    <w:p w14:paraId="07502988" w14:textId="77777777" w:rsidR="00CE0145" w:rsidRPr="00AA13F4" w:rsidRDefault="000D724A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54FFF" w:rsidRPr="00AA13F4">
          <w:rPr>
            <w:rStyle w:val="Hyperlink"/>
            <w:rFonts w:ascii="Times New Roman" w:hAnsi="Times New Roman" w:cs="Times New Roman"/>
            <w:sz w:val="24"/>
            <w:szCs w:val="24"/>
          </w:rPr>
          <w:t>https://m.hukumonline.com/klinik/detail/ulasan/it5cdbb9676483/kedudukan-pancasila-sebagai-sumber-hukum-negara/</w:t>
        </w:r>
      </w:hyperlink>
      <w:r w:rsidR="00954FFF" w:rsidRPr="00AA1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5F490" w14:textId="77777777" w:rsidR="00954FFF" w:rsidRPr="00AA13F4" w:rsidRDefault="000D724A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54FFF" w:rsidRPr="00AA13F4">
          <w:rPr>
            <w:rStyle w:val="Hyperlink"/>
            <w:rFonts w:ascii="Times New Roman" w:hAnsi="Times New Roman" w:cs="Times New Roman"/>
            <w:sz w:val="24"/>
            <w:szCs w:val="24"/>
          </w:rPr>
          <w:t>https://equityjusticia.blogspot.com/2017/11/sumber-hukum-materiil.html?m=1</w:t>
        </w:r>
      </w:hyperlink>
      <w:r w:rsidR="00954FFF" w:rsidRPr="00AA1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40DF4" w14:textId="77777777" w:rsidR="00064962" w:rsidRPr="00AA13F4" w:rsidRDefault="000D724A" w:rsidP="000732E6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653A6" w:rsidRPr="00AA13F4">
          <w:rPr>
            <w:rStyle w:val="Hyperlink"/>
            <w:rFonts w:ascii="Times New Roman" w:hAnsi="Times New Roman" w:cs="Times New Roman"/>
            <w:sz w:val="24"/>
            <w:szCs w:val="24"/>
          </w:rPr>
          <w:t>https://osc.medcom.id/community/peran-dan-kedudukan-pancasila-dalam-pembentukan-hukum-positif-1285</w:t>
        </w:r>
      </w:hyperlink>
      <w:r w:rsidR="008653A6" w:rsidRPr="00AA13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5B4DF" w14:textId="2B93C39D" w:rsidR="00D43CFD" w:rsidRPr="00AA13F4" w:rsidRDefault="000D724A" w:rsidP="0050042E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D43CFD" w:rsidRPr="00AA13F4" w:rsidSect="00E6684B">
          <w:pgSz w:w="11907" w:h="16839" w:code="9"/>
          <w:pgMar w:top="1985" w:right="1701" w:bottom="1701" w:left="1985" w:header="709" w:footer="709" w:gutter="0"/>
          <w:pgNumType w:start="1"/>
          <w:cols w:space="708"/>
          <w:docGrid w:linePitch="360"/>
        </w:sectPr>
      </w:pPr>
      <w:hyperlink r:id="rId14" w:history="1">
        <w:r w:rsidR="008653A6" w:rsidRPr="00AA13F4">
          <w:rPr>
            <w:rStyle w:val="Hyperlink"/>
            <w:rFonts w:ascii="Times New Roman" w:hAnsi="Times New Roman" w:cs="Times New Roman"/>
            <w:sz w:val="24"/>
            <w:szCs w:val="24"/>
          </w:rPr>
          <w:t>http://hukum.studenthournal.ub.ac.id/index.php/hukum/article/view/3445</w:t>
        </w:r>
      </w:hyperlink>
    </w:p>
    <w:p w14:paraId="0762FBCF" w14:textId="12DE3414" w:rsidR="005728C7" w:rsidRPr="00AA13F4" w:rsidRDefault="005728C7" w:rsidP="006E4642">
      <w:pPr>
        <w:widowControl w:val="0"/>
        <w:autoSpaceDE w:val="0"/>
        <w:autoSpaceDN w:val="0"/>
        <w:spacing w:before="31" w:after="0" w:line="240" w:lineRule="auto"/>
        <w:ind w:right="1343"/>
        <w:outlineLvl w:val="0"/>
        <w:rPr>
          <w:rFonts w:ascii="Times New Roman" w:eastAsia="Carlito" w:hAnsi="Times New Roman" w:cs="Times New Roman"/>
          <w:sz w:val="20"/>
          <w:lang w:val="id-ID"/>
        </w:rPr>
      </w:pPr>
    </w:p>
    <w:sectPr w:rsidR="005728C7" w:rsidRPr="00AA13F4">
      <w:pgSz w:w="12240" w:h="20160"/>
      <w:pgMar w:top="82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F62DB" w14:textId="77777777" w:rsidR="000D724A" w:rsidRDefault="000D724A" w:rsidP="000007BA">
      <w:pPr>
        <w:spacing w:after="0" w:line="240" w:lineRule="auto"/>
      </w:pPr>
      <w:r>
        <w:separator/>
      </w:r>
    </w:p>
  </w:endnote>
  <w:endnote w:type="continuationSeparator" w:id="0">
    <w:p w14:paraId="1DD3BCEA" w14:textId="77777777" w:rsidR="000D724A" w:rsidRDefault="000D724A" w:rsidP="0000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1CF6D" w14:textId="77777777" w:rsidR="00A34EFE" w:rsidRDefault="00A34EF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7C39">
      <w:rPr>
        <w:noProof/>
      </w:rPr>
      <w:t>16</w:t>
    </w:r>
    <w:r>
      <w:rPr>
        <w:noProof/>
      </w:rPr>
      <w:fldChar w:fldCharType="end"/>
    </w:r>
  </w:p>
  <w:p w14:paraId="232F6C67" w14:textId="77777777" w:rsidR="00291F5F" w:rsidRDefault="00291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A8A45" w14:textId="77777777" w:rsidR="00B345F7" w:rsidRDefault="00B345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A0A52">
      <w:rPr>
        <w:noProof/>
      </w:rPr>
      <w:t>i</w:t>
    </w:r>
    <w:r>
      <w:rPr>
        <w:noProof/>
      </w:rPr>
      <w:fldChar w:fldCharType="end"/>
    </w:r>
  </w:p>
  <w:p w14:paraId="23F752E8" w14:textId="77777777" w:rsidR="00B345F7" w:rsidRDefault="00B34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43586" w14:textId="77777777" w:rsidR="000D724A" w:rsidRDefault="000D724A" w:rsidP="000007BA">
      <w:pPr>
        <w:spacing w:after="0" w:line="240" w:lineRule="auto"/>
      </w:pPr>
      <w:r>
        <w:separator/>
      </w:r>
    </w:p>
  </w:footnote>
  <w:footnote w:type="continuationSeparator" w:id="0">
    <w:p w14:paraId="00331EBF" w14:textId="77777777" w:rsidR="000D724A" w:rsidRDefault="000D724A" w:rsidP="0000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3D0"/>
    <w:multiLevelType w:val="hybridMultilevel"/>
    <w:tmpl w:val="DF960D78"/>
    <w:lvl w:ilvl="0" w:tplc="2BB05F4E">
      <w:start w:val="1"/>
      <w:numFmt w:val="lowerLetter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45707"/>
    <w:multiLevelType w:val="hybridMultilevel"/>
    <w:tmpl w:val="E238FF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245840"/>
    <w:multiLevelType w:val="hybridMultilevel"/>
    <w:tmpl w:val="E266EB5E"/>
    <w:lvl w:ilvl="0" w:tplc="F9DE43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C1954"/>
    <w:multiLevelType w:val="hybridMultilevel"/>
    <w:tmpl w:val="439E9174"/>
    <w:lvl w:ilvl="0" w:tplc="3092A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95FC0"/>
    <w:multiLevelType w:val="hybridMultilevel"/>
    <w:tmpl w:val="9B5EFF50"/>
    <w:lvl w:ilvl="0" w:tplc="F0BC24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0B600F"/>
    <w:multiLevelType w:val="hybridMultilevel"/>
    <w:tmpl w:val="CAAE2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F43FE"/>
    <w:multiLevelType w:val="hybridMultilevel"/>
    <w:tmpl w:val="1B92F764"/>
    <w:lvl w:ilvl="0" w:tplc="3F4EF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77345F"/>
    <w:multiLevelType w:val="hybridMultilevel"/>
    <w:tmpl w:val="F4FE67A4"/>
    <w:lvl w:ilvl="0" w:tplc="34DC4B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F034D5"/>
    <w:multiLevelType w:val="hybridMultilevel"/>
    <w:tmpl w:val="00E005A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7504803"/>
    <w:multiLevelType w:val="hybridMultilevel"/>
    <w:tmpl w:val="98568FDC"/>
    <w:lvl w:ilvl="0" w:tplc="0B10BF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4671F3"/>
    <w:multiLevelType w:val="hybridMultilevel"/>
    <w:tmpl w:val="361E8A10"/>
    <w:lvl w:ilvl="0" w:tplc="F0E4F2D2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A54F26"/>
    <w:multiLevelType w:val="hybridMultilevel"/>
    <w:tmpl w:val="EF6CBF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2797"/>
    <w:multiLevelType w:val="hybridMultilevel"/>
    <w:tmpl w:val="2D683C6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2869DF"/>
    <w:multiLevelType w:val="hybridMultilevel"/>
    <w:tmpl w:val="C9FC6C02"/>
    <w:lvl w:ilvl="0" w:tplc="578AA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353F0B"/>
    <w:multiLevelType w:val="hybridMultilevel"/>
    <w:tmpl w:val="729671B4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69622C1F"/>
    <w:multiLevelType w:val="hybridMultilevel"/>
    <w:tmpl w:val="FB4415A4"/>
    <w:lvl w:ilvl="0" w:tplc="061E0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F6425C"/>
    <w:multiLevelType w:val="hybridMultilevel"/>
    <w:tmpl w:val="BD889914"/>
    <w:lvl w:ilvl="0" w:tplc="C7BE5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0"/>
  </w:num>
  <w:num w:numId="10">
    <w:abstractNumId w:val="2"/>
  </w:num>
  <w:num w:numId="11">
    <w:abstractNumId w:val="7"/>
  </w:num>
  <w:num w:numId="12">
    <w:abstractNumId w:val="13"/>
  </w:num>
  <w:num w:numId="13">
    <w:abstractNumId w:val="16"/>
  </w:num>
  <w:num w:numId="14">
    <w:abstractNumId w:val="3"/>
  </w:num>
  <w:num w:numId="15">
    <w:abstractNumId w:val="8"/>
  </w:num>
  <w:num w:numId="16">
    <w:abstractNumId w:val="5"/>
  </w:num>
  <w:num w:numId="17">
    <w:abstractNumId w:val="6"/>
  </w:num>
  <w:num w:numId="1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BA"/>
    <w:rsid w:val="000007BA"/>
    <w:rsid w:val="00064962"/>
    <w:rsid w:val="000732E6"/>
    <w:rsid w:val="00092F50"/>
    <w:rsid w:val="000B29EC"/>
    <w:rsid w:val="000D724A"/>
    <w:rsid w:val="00140141"/>
    <w:rsid w:val="001772F2"/>
    <w:rsid w:val="001A0A52"/>
    <w:rsid w:val="001B0A59"/>
    <w:rsid w:val="001E3C52"/>
    <w:rsid w:val="00232766"/>
    <w:rsid w:val="00291F5F"/>
    <w:rsid w:val="002A6A02"/>
    <w:rsid w:val="002D3854"/>
    <w:rsid w:val="002F0141"/>
    <w:rsid w:val="00321E80"/>
    <w:rsid w:val="003411C8"/>
    <w:rsid w:val="00390296"/>
    <w:rsid w:val="003A537F"/>
    <w:rsid w:val="003C6F58"/>
    <w:rsid w:val="003C73DB"/>
    <w:rsid w:val="003D380D"/>
    <w:rsid w:val="003F3524"/>
    <w:rsid w:val="00411ED9"/>
    <w:rsid w:val="00445D87"/>
    <w:rsid w:val="004913A6"/>
    <w:rsid w:val="004C75CD"/>
    <w:rsid w:val="0050042E"/>
    <w:rsid w:val="00505647"/>
    <w:rsid w:val="00531352"/>
    <w:rsid w:val="00532200"/>
    <w:rsid w:val="0054414D"/>
    <w:rsid w:val="005728C7"/>
    <w:rsid w:val="005A1462"/>
    <w:rsid w:val="005B1697"/>
    <w:rsid w:val="005C401D"/>
    <w:rsid w:val="005C4883"/>
    <w:rsid w:val="00603266"/>
    <w:rsid w:val="00635C4E"/>
    <w:rsid w:val="006371CE"/>
    <w:rsid w:val="0064742F"/>
    <w:rsid w:val="00652A74"/>
    <w:rsid w:val="006556CF"/>
    <w:rsid w:val="006805FC"/>
    <w:rsid w:val="006A1EB9"/>
    <w:rsid w:val="006E4642"/>
    <w:rsid w:val="00704F5A"/>
    <w:rsid w:val="00725C7B"/>
    <w:rsid w:val="00737C24"/>
    <w:rsid w:val="007629EF"/>
    <w:rsid w:val="00763C09"/>
    <w:rsid w:val="007F564E"/>
    <w:rsid w:val="008325C6"/>
    <w:rsid w:val="00841768"/>
    <w:rsid w:val="008653A6"/>
    <w:rsid w:val="00931755"/>
    <w:rsid w:val="00954FFF"/>
    <w:rsid w:val="00A34EFE"/>
    <w:rsid w:val="00A759CA"/>
    <w:rsid w:val="00AA13F4"/>
    <w:rsid w:val="00AA2551"/>
    <w:rsid w:val="00AE0C89"/>
    <w:rsid w:val="00B27F88"/>
    <w:rsid w:val="00B345F7"/>
    <w:rsid w:val="00B661AE"/>
    <w:rsid w:val="00B70C54"/>
    <w:rsid w:val="00B8005E"/>
    <w:rsid w:val="00BB7E0C"/>
    <w:rsid w:val="00C87344"/>
    <w:rsid w:val="00CA02C9"/>
    <w:rsid w:val="00CB4F8B"/>
    <w:rsid w:val="00CB7E28"/>
    <w:rsid w:val="00CC6D9C"/>
    <w:rsid w:val="00CD4D8E"/>
    <w:rsid w:val="00CE0145"/>
    <w:rsid w:val="00D35039"/>
    <w:rsid w:val="00D43CFD"/>
    <w:rsid w:val="00D75EBA"/>
    <w:rsid w:val="00D77C39"/>
    <w:rsid w:val="00DE78FF"/>
    <w:rsid w:val="00E016A5"/>
    <w:rsid w:val="00E04831"/>
    <w:rsid w:val="00E11708"/>
    <w:rsid w:val="00E24013"/>
    <w:rsid w:val="00E6684B"/>
    <w:rsid w:val="00EC09C2"/>
    <w:rsid w:val="00EC3C70"/>
    <w:rsid w:val="00ED2382"/>
    <w:rsid w:val="00ED24E6"/>
    <w:rsid w:val="00F20BD7"/>
    <w:rsid w:val="00F41BB8"/>
    <w:rsid w:val="00F52291"/>
    <w:rsid w:val="00F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561B"/>
  <w15:chartTrackingRefBased/>
  <w15:docId w15:val="{1272B174-A1C0-914C-B2CF-0D296AF2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31"/>
    <w:pPr>
      <w:spacing w:line="480" w:lineRule="auto"/>
      <w:ind w:left="720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D24E6"/>
    <w:pPr>
      <w:numPr>
        <w:numId w:val="3"/>
      </w:numPr>
      <w:spacing w:line="360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07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7BA"/>
  </w:style>
  <w:style w:type="paragraph" w:styleId="Footer">
    <w:name w:val="footer"/>
    <w:basedOn w:val="Normal"/>
    <w:link w:val="FooterChar"/>
    <w:uiPriority w:val="99"/>
    <w:unhideWhenUsed/>
    <w:rsid w:val="00000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7BA"/>
  </w:style>
  <w:style w:type="paragraph" w:styleId="ListParagraph">
    <w:name w:val="List Paragraph"/>
    <w:basedOn w:val="Normal"/>
    <w:uiPriority w:val="34"/>
    <w:qFormat/>
    <w:rsid w:val="000007BA"/>
    <w:pPr>
      <w:ind w:left="720"/>
      <w:contextualSpacing/>
    </w:pPr>
  </w:style>
  <w:style w:type="character" w:styleId="Hyperlink">
    <w:name w:val="Hyperlink"/>
    <w:uiPriority w:val="99"/>
    <w:unhideWhenUsed/>
    <w:rsid w:val="00954F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4831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24E6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D24E6"/>
    <w:pPr>
      <w:keepNext/>
      <w:keepLines/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D24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D24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sc.medcom.id/community/peran-dan-kedudukan-pancasila-dalam-pembentukan-hukum-positif-12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quityjusticia.blogspot.com/2017/11/sumber-hukum-materiil.html?m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hukumonline.com/klinik/detail/ulasan/it5cdbb9676483/kedudukan-pancasila-sebagai-sumber-hukum-negar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ukum.studenthournal.ub.ac.id/index.php/hukum/article/view/3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5533F-2C7E-4F71-B65C-4628D8F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2281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Links>
    <vt:vector size="24" baseType="variant">
      <vt:variant>
        <vt:i4>8126516</vt:i4>
      </vt:variant>
      <vt:variant>
        <vt:i4>9</vt:i4>
      </vt:variant>
      <vt:variant>
        <vt:i4>0</vt:i4>
      </vt:variant>
      <vt:variant>
        <vt:i4>5</vt:i4>
      </vt:variant>
      <vt:variant>
        <vt:lpwstr>http://hukum.studenthournal.ub.ac.id/index.php/hukum/article/view/3445</vt:lpwstr>
      </vt:variant>
      <vt:variant>
        <vt:lpwstr/>
      </vt:variant>
      <vt:variant>
        <vt:i4>4128878</vt:i4>
      </vt:variant>
      <vt:variant>
        <vt:i4>6</vt:i4>
      </vt:variant>
      <vt:variant>
        <vt:i4>0</vt:i4>
      </vt:variant>
      <vt:variant>
        <vt:i4>5</vt:i4>
      </vt:variant>
      <vt:variant>
        <vt:lpwstr>https://osc.medcom.id/community/peran-dan-kedudukan-pancasila-dalam-pembentukan-hukum-positif-1285</vt:lpwstr>
      </vt:variant>
      <vt:variant>
        <vt:lpwstr/>
      </vt:variant>
      <vt:variant>
        <vt:i4>7733362</vt:i4>
      </vt:variant>
      <vt:variant>
        <vt:i4>3</vt:i4>
      </vt:variant>
      <vt:variant>
        <vt:i4>0</vt:i4>
      </vt:variant>
      <vt:variant>
        <vt:i4>5</vt:i4>
      </vt:variant>
      <vt:variant>
        <vt:lpwstr>https://equityjusticia.blogspot.com/2017/11/sumber-hukum-materiil.html?m=1</vt:lpwstr>
      </vt:variant>
      <vt:variant>
        <vt:lpwstr/>
      </vt:variant>
      <vt:variant>
        <vt:i4>3211325</vt:i4>
      </vt:variant>
      <vt:variant>
        <vt:i4>0</vt:i4>
      </vt:variant>
      <vt:variant>
        <vt:i4>0</vt:i4>
      </vt:variant>
      <vt:variant>
        <vt:i4>5</vt:i4>
      </vt:variant>
      <vt:variant>
        <vt:lpwstr>https://m.hukumonline.com/klinik/detail/ulasan/it5cdbb9676483/kedudukan-pancasila-sebagai-sumber-hukum-negara/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ksartaj175@gmail.com</cp:lastModifiedBy>
  <cp:revision>19</cp:revision>
  <cp:lastPrinted>2022-06-27T09:53:00Z</cp:lastPrinted>
  <dcterms:created xsi:type="dcterms:W3CDTF">2022-06-24T07:03:00Z</dcterms:created>
  <dcterms:modified xsi:type="dcterms:W3CDTF">2022-06-27T09:53:00Z</dcterms:modified>
</cp:coreProperties>
</file>