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Cover Image Rick Brown Pixabay Crystal DiMiceli founder Forces Nature LLC environmental education company utilizes educational programming podcast production teach people incorporate sustainability everyday lives Learn offers www.forcesfornature.com help teachers looking incorporate sustainability education curriculum providing programming designed take students beyond learning facts figures climate change answering question “ could possibly ” new education program EcoAction Lab standards-aligned turnkey program based behavior-change psychology focuses highest-impact actions take individuals reduce carbon footprint ’ adaptable in-class after-school club activity Incorporating climate change education schools involves several key challenges require multi-faceted approach solve primary challenges potential solutions Fitting climate change education already packed curriculum difficult Schools must balance wide range subjects may struggle find time additional content Resources make suggestions frame lessons already taught lens climate change kill two birds one stone speak teachers feel confident understanding climate science therefore may hesitant teach Administrations need offer time resources teachers take advantage professional development opportunities subject improve confidence effectiveness teaching topic Climate change become politically socially charged topic Misinformation differing opinions make sensitive subject approach classroom Developing disseminating high-quality engaging scientifically accurate educational materials support teachers help captivate students includes interactive resources digital tools project-based learning opportunities Resources students use evidence draw conclusions strongest Encouraging critical thinking open discussion climate change help address misinformation controversy Teaching students analyze sources critically engage respectful debate key endless amount climate change resources available internet challenge wading find ones align standards need teach sufficient quality Climate change overwhelming distressing topic students help avoid incorporate lessons good news solutions success stories happening Teach actions take engage local environmental projects order empower students foster sense control agency Involving wider school community parents climate education reinforce learning broaden impact Community projects events education sessions build supportive network climate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