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3B0F0">
      <w:pPr>
        <w:spacing w:before="60" w:after="60" w:line="360" w:lineRule="auto"/>
        <w:rPr>
          <w:color w:val="000000" w:themeColor="text1"/>
          <w14:textFill>
            <w14:solidFill>
              <w14:schemeClr w14:val="tx1"/>
            </w14:solidFill>
          </w14:textFill>
        </w:rPr>
      </w:pPr>
      <w:r>
        <w:rPr>
          <w:lang w:val="en-US" w:eastAsia="en-US"/>
        </w:rPr>
        <w:drawing>
          <wp:anchor distT="0" distB="0" distL="114300" distR="114300" simplePos="0" relativeHeight="251660288" behindDoc="0" locked="0" layoutInCell="1" allowOverlap="1">
            <wp:simplePos x="0" y="0"/>
            <wp:positionH relativeFrom="margin">
              <wp:posOffset>-275590</wp:posOffset>
            </wp:positionH>
            <wp:positionV relativeFrom="page">
              <wp:posOffset>615315</wp:posOffset>
            </wp:positionV>
            <wp:extent cx="1584325" cy="1339215"/>
            <wp:effectExtent l="0" t="0" r="0" b="0"/>
            <wp:wrapThrough wrapText="bothSides">
              <wp:wrapPolygon>
                <wp:start x="0" y="0"/>
                <wp:lineTo x="0" y="21201"/>
                <wp:lineTo x="21297" y="21201"/>
                <wp:lineTo x="21297" y="0"/>
                <wp:lineTo x="0" y="0"/>
              </wp:wrapPolygon>
            </wp:wrapThrough>
            <wp:docPr id="248127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27843"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584325" cy="1339215"/>
                    </a:xfrm>
                    <a:prstGeom prst="rect">
                      <a:avLst/>
                    </a:prstGeom>
                    <a:noFill/>
                    <a:ln>
                      <a:noFill/>
                    </a:ln>
                  </pic:spPr>
                </pic:pic>
              </a:graphicData>
            </a:graphic>
          </wp:anchor>
        </w:drawing>
      </w:r>
    </w:p>
    <w:p w14:paraId="2F0BA6BD">
      <w:pPr>
        <w:spacing w:line="360" w:lineRule="auto"/>
        <w:jc w:val="center"/>
        <w:rPr>
          <w:b/>
          <w:bCs/>
          <w:sz w:val="28"/>
          <w:szCs w:val="28"/>
          <w:lang w:val="en-US"/>
        </w:rPr>
      </w:pPr>
      <w:r>
        <w:rPr>
          <w:lang w:val="en-US" w:eastAsia="en-US"/>
        </w:rPr>
        <w:drawing>
          <wp:anchor distT="0" distB="0" distL="114300" distR="114300" simplePos="0" relativeHeight="251661312" behindDoc="0" locked="0" layoutInCell="1" allowOverlap="1">
            <wp:simplePos x="0" y="0"/>
            <wp:positionH relativeFrom="page">
              <wp:posOffset>4740910</wp:posOffset>
            </wp:positionH>
            <wp:positionV relativeFrom="page">
              <wp:posOffset>295910</wp:posOffset>
            </wp:positionV>
            <wp:extent cx="2819400" cy="1762760"/>
            <wp:effectExtent l="0" t="0" r="635" b="8890"/>
            <wp:wrapThrough wrapText="bothSides">
              <wp:wrapPolygon>
                <wp:start x="0" y="0"/>
                <wp:lineTo x="0" y="21476"/>
                <wp:lineTo x="21459" y="21476"/>
                <wp:lineTo x="21459" y="0"/>
                <wp:lineTo x="0" y="0"/>
              </wp:wrapPolygon>
            </wp:wrapThrough>
            <wp:docPr id="1061162655" name="Picture 8" descr="Millat Tractors Ltd. – PAMA – Pakistan Automoti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62655" name="Picture 8" descr="Millat Tractors Ltd. – PAMA – Pakistan Automotiv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27565" cy="1768140"/>
                    </a:xfrm>
                    <a:prstGeom prst="rect">
                      <a:avLst/>
                    </a:prstGeom>
                    <a:noFill/>
                    <a:ln>
                      <a:noFill/>
                    </a:ln>
                  </pic:spPr>
                </pic:pic>
              </a:graphicData>
            </a:graphic>
          </wp:anchor>
        </w:drawing>
      </w:r>
    </w:p>
    <w:p w14:paraId="78E54E5F">
      <w:pPr>
        <w:jc w:val="center"/>
        <w:rPr>
          <w:b/>
          <w:bCs/>
          <w:sz w:val="32"/>
          <w:szCs w:val="32"/>
        </w:rPr>
      </w:pPr>
      <w:r>
        <w:rPr>
          <w:b/>
          <w:bCs/>
          <w:sz w:val="28"/>
          <w:szCs w:val="28"/>
          <w:lang w:val="en-US" w:eastAsia="en-US"/>
        </w:rPr>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2275205</wp:posOffset>
                </wp:positionV>
                <wp:extent cx="6000750" cy="6029960"/>
                <wp:effectExtent l="4445" t="4445" r="14605" b="10795"/>
                <wp:wrapNone/>
                <wp:docPr id="705546776" name="Text Box 10"/>
                <wp:cNvGraphicFramePr/>
                <a:graphic xmlns:a="http://schemas.openxmlformats.org/drawingml/2006/main">
                  <a:graphicData uri="http://schemas.microsoft.com/office/word/2010/wordprocessingShape">
                    <wps:wsp>
                      <wps:cNvSpPr txBox="1"/>
                      <wps:spPr>
                        <a:xfrm>
                          <a:off x="0" y="0"/>
                          <a:ext cx="6000750" cy="6029960"/>
                        </a:xfrm>
                        <a:prstGeom prst="rect">
                          <a:avLst/>
                        </a:prstGeom>
                        <a:solidFill>
                          <a:schemeClr val="lt1"/>
                        </a:solidFill>
                        <a:ln w="6350">
                          <a:solidFill>
                            <a:schemeClr val="bg1"/>
                          </a:solidFill>
                        </a:ln>
                      </wps:spPr>
                      <wps:txbx>
                        <w:txbxContent>
                          <w:p w14:paraId="76A3D78D">
                            <w:pPr>
                              <w:jc w:val="center"/>
                              <w:rPr>
                                <w:b/>
                                <w:sz w:val="28"/>
                                <w:szCs w:val="28"/>
                                <w:lang w:val="en-US"/>
                              </w:rPr>
                            </w:pPr>
                          </w:p>
                          <w:p w14:paraId="1AF075D1">
                            <w:pPr>
                              <w:jc w:val="center"/>
                              <w:rPr>
                                <w:b/>
                                <w:sz w:val="28"/>
                                <w:szCs w:val="28"/>
                                <w:lang w:val="en-US"/>
                              </w:rPr>
                            </w:pPr>
                          </w:p>
                          <w:p w14:paraId="60D59E40">
                            <w:pPr>
                              <w:jc w:val="center"/>
                              <w:rPr>
                                <w:b/>
                                <w:sz w:val="36"/>
                                <w:szCs w:val="36"/>
                                <w:lang w:val="en-US"/>
                              </w:rPr>
                            </w:pPr>
                            <w:r>
                              <w:rPr>
                                <w:b/>
                                <w:sz w:val="36"/>
                                <w:szCs w:val="36"/>
                                <w:lang w:val="en-US"/>
                              </w:rPr>
                              <w:t>Submitted to:</w:t>
                            </w:r>
                          </w:p>
                          <w:p w14:paraId="42FF9593">
                            <w:pPr>
                              <w:jc w:val="center"/>
                              <w:rPr>
                                <w:bCs/>
                                <w:sz w:val="32"/>
                                <w:szCs w:val="32"/>
                                <w:lang w:val="en-US"/>
                              </w:rPr>
                            </w:pPr>
                            <w:r>
                              <w:rPr>
                                <w:bCs/>
                                <w:sz w:val="32"/>
                                <w:szCs w:val="32"/>
                                <w:lang w:val="en-US"/>
                              </w:rPr>
                              <w:t>Prof Dr. Muhammad Fahad Javed</w:t>
                            </w:r>
                          </w:p>
                          <w:p w14:paraId="0BF56660">
                            <w:pPr>
                              <w:jc w:val="center"/>
                              <w:rPr>
                                <w:bCs/>
                                <w:sz w:val="28"/>
                                <w:szCs w:val="28"/>
                                <w:lang w:val="en-US"/>
                              </w:rPr>
                            </w:pPr>
                          </w:p>
                          <w:p w14:paraId="7CA5AD0C">
                            <w:pPr>
                              <w:jc w:val="center"/>
                              <w:rPr>
                                <w:bCs/>
                                <w:sz w:val="28"/>
                                <w:szCs w:val="28"/>
                                <w:lang w:val="en-US"/>
                              </w:rPr>
                            </w:pPr>
                          </w:p>
                          <w:p w14:paraId="4D51D23C">
                            <w:pPr>
                              <w:jc w:val="center"/>
                              <w:rPr>
                                <w:bCs/>
                                <w:sz w:val="28"/>
                                <w:szCs w:val="28"/>
                                <w:lang w:val="en-US"/>
                              </w:rPr>
                            </w:pPr>
                          </w:p>
                          <w:p w14:paraId="175716B7">
                            <w:pPr>
                              <w:jc w:val="center"/>
                              <w:rPr>
                                <w:b/>
                                <w:sz w:val="36"/>
                                <w:szCs w:val="36"/>
                                <w:lang w:val="en-US"/>
                              </w:rPr>
                            </w:pPr>
                            <w:r>
                              <w:rPr>
                                <w:b/>
                                <w:sz w:val="36"/>
                                <w:szCs w:val="36"/>
                                <w:lang w:val="en-US"/>
                              </w:rPr>
                              <w:t>Submitted by:</w:t>
                            </w:r>
                          </w:p>
                          <w:p w14:paraId="6D6F724D">
                            <w:pPr>
                              <w:ind w:left="360"/>
                              <w:jc w:val="center"/>
                              <w:rPr>
                                <w:bCs/>
                                <w:sz w:val="32"/>
                                <w:szCs w:val="32"/>
                                <w:lang w:val="en-US"/>
                              </w:rPr>
                            </w:pPr>
                            <w:r>
                              <w:rPr>
                                <w:bCs/>
                                <w:sz w:val="32"/>
                                <w:szCs w:val="32"/>
                                <w:lang w:val="en-US"/>
                              </w:rPr>
                              <w:t>Eman Rashid (FA24-BBD-025)</w:t>
                            </w:r>
                          </w:p>
                          <w:p w14:paraId="2680EC14">
                            <w:pPr>
                              <w:ind w:left="360"/>
                              <w:jc w:val="center"/>
                              <w:rPr>
                                <w:bCs/>
                                <w:sz w:val="32"/>
                                <w:szCs w:val="32"/>
                                <w:lang w:val="en-US"/>
                              </w:rPr>
                            </w:pPr>
                            <w:r>
                              <w:rPr>
                                <w:bCs/>
                                <w:sz w:val="32"/>
                                <w:szCs w:val="32"/>
                                <w:lang w:val="en-US"/>
                              </w:rPr>
                              <w:t>Hamnah Fatima Khan (FA24-BBD-031)</w:t>
                            </w:r>
                          </w:p>
                          <w:p w14:paraId="7E2D5B78">
                            <w:pPr>
                              <w:ind w:left="360"/>
                              <w:jc w:val="center"/>
                              <w:rPr>
                                <w:bCs/>
                                <w:sz w:val="32"/>
                                <w:szCs w:val="32"/>
                                <w:lang w:val="en-US"/>
                              </w:rPr>
                            </w:pPr>
                            <w:r>
                              <w:rPr>
                                <w:bCs/>
                                <w:sz w:val="32"/>
                                <w:szCs w:val="32"/>
                                <w:lang w:val="en-US"/>
                              </w:rPr>
                              <w:t>Noor ul Ain Zahid (FA24-BBD-069)</w:t>
                            </w:r>
                          </w:p>
                          <w:p w14:paraId="73C2D164">
                            <w:pPr>
                              <w:ind w:left="360"/>
                              <w:jc w:val="center"/>
                              <w:rPr>
                                <w:bCs/>
                                <w:sz w:val="32"/>
                                <w:szCs w:val="32"/>
                                <w:lang w:val="en-US"/>
                              </w:rPr>
                            </w:pPr>
                            <w:r>
                              <w:rPr>
                                <w:bCs/>
                                <w:sz w:val="32"/>
                                <w:szCs w:val="32"/>
                                <w:lang w:val="en-US"/>
                              </w:rPr>
                              <w:t>Rida Chaudhary (FA24-BBD-075)</w:t>
                            </w:r>
                          </w:p>
                          <w:p w14:paraId="6BD48B35">
                            <w:pPr>
                              <w:ind w:left="360"/>
                              <w:jc w:val="both"/>
                              <w:rPr>
                                <w:bCs/>
                                <w:sz w:val="28"/>
                                <w:szCs w:val="28"/>
                                <w:lang w:val="en-US"/>
                              </w:rPr>
                            </w:pPr>
                          </w:p>
                          <w:p w14:paraId="3D01DA20">
                            <w:pPr>
                              <w:ind w:left="360"/>
                              <w:jc w:val="both"/>
                              <w:rPr>
                                <w:bCs/>
                                <w:sz w:val="28"/>
                                <w:szCs w:val="28"/>
                                <w:lang w:val="en-US"/>
                              </w:rPr>
                            </w:pPr>
                          </w:p>
                          <w:p w14:paraId="25394531">
                            <w:pPr>
                              <w:ind w:left="360"/>
                              <w:jc w:val="both"/>
                              <w:rPr>
                                <w:bCs/>
                                <w:sz w:val="28"/>
                                <w:szCs w:val="28"/>
                                <w:lang w:val="en-US"/>
                              </w:rPr>
                            </w:pPr>
                          </w:p>
                          <w:p w14:paraId="78CC5460">
                            <w:pPr>
                              <w:jc w:val="center"/>
                              <w:rPr>
                                <w:b/>
                                <w:sz w:val="32"/>
                                <w:szCs w:val="32"/>
                                <w:lang w:val="en-US"/>
                              </w:rPr>
                            </w:pPr>
                            <w:r>
                              <w:rPr>
                                <w:b/>
                                <w:sz w:val="32"/>
                                <w:szCs w:val="32"/>
                                <w:lang w:val="en-US"/>
                              </w:rPr>
                              <w:t>Date:</w:t>
                            </w:r>
                          </w:p>
                          <w:p w14:paraId="373029D5">
                            <w:pPr>
                              <w:jc w:val="center"/>
                              <w:rPr>
                                <w:bCs/>
                                <w:sz w:val="28"/>
                                <w:szCs w:val="28"/>
                                <w:lang w:val="en-US"/>
                              </w:rPr>
                            </w:pPr>
                            <w:r>
                              <w:rPr>
                                <w:bCs/>
                                <w:sz w:val="28"/>
                                <w:szCs w:val="28"/>
                                <w:lang w:val="en-US"/>
                              </w:rPr>
                              <w:t>04</w:t>
                            </w:r>
                            <w:r>
                              <w:rPr>
                                <w:bCs/>
                                <w:sz w:val="28"/>
                                <w:szCs w:val="28"/>
                                <w:vertAlign w:val="superscript"/>
                                <w:lang w:val="en-US"/>
                              </w:rPr>
                              <w:t xml:space="preserve">th </w:t>
                            </w:r>
                            <w:r>
                              <w:rPr>
                                <w:bCs/>
                                <w:sz w:val="28"/>
                                <w:szCs w:val="28"/>
                                <w:lang w:val="en-US"/>
                              </w:rPr>
                              <w:t>May 2026</w:t>
                            </w:r>
                          </w:p>
                          <w:p w14:paraId="785AA229">
                            <w:pPr>
                              <w:rPr>
                                <w:b/>
                                <w:bCs/>
                                <w:sz w:val="32"/>
                                <w:szCs w:val="32"/>
                              </w:rPr>
                            </w:pPr>
                          </w:p>
                          <w:p w14:paraId="5D9DCBB7">
                            <w:pPr>
                              <w:jc w:val="both"/>
                              <w:rPr>
                                <w:b/>
                                <w:bCs/>
                                <w:sz w:val="32"/>
                                <w:szCs w:val="32"/>
                              </w:rPr>
                            </w:pPr>
                          </w:p>
                          <w:p w14:paraId="183F404C">
                            <w:pPr>
                              <w:jc w:val="both"/>
                              <w:rPr>
                                <w:b/>
                                <w:bCs/>
                                <w:sz w:val="32"/>
                                <w:szCs w:val="32"/>
                              </w:rPr>
                            </w:pPr>
                          </w:p>
                          <w:p w14:paraId="6C73DDD4">
                            <w:pPr>
                              <w:jc w:val="center"/>
                              <w:rPr>
                                <w:b/>
                                <w:bCs/>
                                <w:sz w:val="32"/>
                                <w:szCs w:val="32"/>
                              </w:rPr>
                            </w:pPr>
                          </w:p>
                          <w:p w14:paraId="11BE708C">
                            <w:pPr>
                              <w:jc w:val="center"/>
                              <w:rPr>
                                <w:b/>
                                <w:bCs/>
                                <w:sz w:val="28"/>
                                <w:szCs w:val="28"/>
                              </w:rPr>
                            </w:pPr>
                            <w:r>
                              <w:rPr>
                                <w:b/>
                                <w:bCs/>
                                <w:sz w:val="28"/>
                                <w:szCs w:val="28"/>
                              </w:rPr>
                              <w:t>Department of Management Sciences, Comsats University Islamabad, Lahore Campus</w:t>
                            </w:r>
                          </w:p>
                          <w:p w14:paraId="6E37D91C">
                            <w:pPr>
                              <w:rPr>
                                <w:b/>
                                <w:bCs/>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0" o:spid="_x0000_s1026" o:spt="202" type="#_x0000_t202" style="position:absolute;left:0pt;margin-top:179.15pt;height:474.8pt;width:472.5pt;mso-position-horizontal:left;mso-position-horizontal-relative:margin;z-index:251663360;mso-width-relative:page;mso-height-relative:page;" fillcolor="#FFFFFF [3201]" filled="t" stroked="t" coordsize="21600,21600" o:gfxdata="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dYgko1wAAAAkBAAAPAAAAAAAAAAEAIAAA&#10;ACIAAABkcnMvZG93bnJldi54bWxQSwECFAAUAAAACACHTuJAuRYxB0YCAADBBAAADgAAAAAAAAAB&#10;ACAAAAAmAQAAZHJzL2Uyb0RvYy54bWxQSwUGAAAAAAYABgBZAQAA3gUAAAAA&#10;">
                <v:fill on="t" focussize="0,0"/>
                <v:stroke weight="0.5pt" color="#FFFFFF [3212]" joinstyle="round"/>
                <v:imagedata o:title=""/>
                <o:lock v:ext="edit" aspectratio="f"/>
                <v:textbox>
                  <w:txbxContent>
                    <w:p w14:paraId="76A3D78D">
                      <w:pPr>
                        <w:jc w:val="center"/>
                        <w:rPr>
                          <w:b/>
                          <w:sz w:val="28"/>
                          <w:szCs w:val="28"/>
                          <w:lang w:val="en-US"/>
                        </w:rPr>
                      </w:pPr>
                    </w:p>
                    <w:p w14:paraId="1AF075D1">
                      <w:pPr>
                        <w:jc w:val="center"/>
                        <w:rPr>
                          <w:b/>
                          <w:sz w:val="28"/>
                          <w:szCs w:val="28"/>
                          <w:lang w:val="en-US"/>
                        </w:rPr>
                      </w:pPr>
                    </w:p>
                    <w:p w14:paraId="60D59E40">
                      <w:pPr>
                        <w:jc w:val="center"/>
                        <w:rPr>
                          <w:b/>
                          <w:sz w:val="36"/>
                          <w:szCs w:val="36"/>
                          <w:lang w:val="en-US"/>
                        </w:rPr>
                      </w:pPr>
                      <w:r>
                        <w:rPr>
                          <w:b/>
                          <w:sz w:val="36"/>
                          <w:szCs w:val="36"/>
                          <w:lang w:val="en-US"/>
                        </w:rPr>
                        <w:t>Submitted to:</w:t>
                      </w:r>
                    </w:p>
                    <w:p w14:paraId="42FF9593">
                      <w:pPr>
                        <w:jc w:val="center"/>
                        <w:rPr>
                          <w:bCs/>
                          <w:sz w:val="32"/>
                          <w:szCs w:val="32"/>
                          <w:lang w:val="en-US"/>
                        </w:rPr>
                      </w:pPr>
                      <w:r>
                        <w:rPr>
                          <w:bCs/>
                          <w:sz w:val="32"/>
                          <w:szCs w:val="32"/>
                          <w:lang w:val="en-US"/>
                        </w:rPr>
                        <w:t>Prof Dr. Muhammad Fahad Javed</w:t>
                      </w:r>
                    </w:p>
                    <w:p w14:paraId="0BF56660">
                      <w:pPr>
                        <w:jc w:val="center"/>
                        <w:rPr>
                          <w:bCs/>
                          <w:sz w:val="28"/>
                          <w:szCs w:val="28"/>
                          <w:lang w:val="en-US"/>
                        </w:rPr>
                      </w:pPr>
                    </w:p>
                    <w:p w14:paraId="7CA5AD0C">
                      <w:pPr>
                        <w:jc w:val="center"/>
                        <w:rPr>
                          <w:bCs/>
                          <w:sz w:val="28"/>
                          <w:szCs w:val="28"/>
                          <w:lang w:val="en-US"/>
                        </w:rPr>
                      </w:pPr>
                    </w:p>
                    <w:p w14:paraId="4D51D23C">
                      <w:pPr>
                        <w:jc w:val="center"/>
                        <w:rPr>
                          <w:bCs/>
                          <w:sz w:val="28"/>
                          <w:szCs w:val="28"/>
                          <w:lang w:val="en-US"/>
                        </w:rPr>
                      </w:pPr>
                    </w:p>
                    <w:p w14:paraId="175716B7">
                      <w:pPr>
                        <w:jc w:val="center"/>
                        <w:rPr>
                          <w:b/>
                          <w:sz w:val="36"/>
                          <w:szCs w:val="36"/>
                          <w:lang w:val="en-US"/>
                        </w:rPr>
                      </w:pPr>
                      <w:r>
                        <w:rPr>
                          <w:b/>
                          <w:sz w:val="36"/>
                          <w:szCs w:val="36"/>
                          <w:lang w:val="en-US"/>
                        </w:rPr>
                        <w:t>Submitted by:</w:t>
                      </w:r>
                    </w:p>
                    <w:p w14:paraId="6D6F724D">
                      <w:pPr>
                        <w:ind w:left="360"/>
                        <w:jc w:val="center"/>
                        <w:rPr>
                          <w:bCs/>
                          <w:sz w:val="32"/>
                          <w:szCs w:val="32"/>
                          <w:lang w:val="en-US"/>
                        </w:rPr>
                      </w:pPr>
                      <w:r>
                        <w:rPr>
                          <w:bCs/>
                          <w:sz w:val="32"/>
                          <w:szCs w:val="32"/>
                          <w:lang w:val="en-US"/>
                        </w:rPr>
                        <w:t>Eman Rashid (FA24-BBD-025)</w:t>
                      </w:r>
                    </w:p>
                    <w:p w14:paraId="2680EC14">
                      <w:pPr>
                        <w:ind w:left="360"/>
                        <w:jc w:val="center"/>
                        <w:rPr>
                          <w:bCs/>
                          <w:sz w:val="32"/>
                          <w:szCs w:val="32"/>
                          <w:lang w:val="en-US"/>
                        </w:rPr>
                      </w:pPr>
                      <w:r>
                        <w:rPr>
                          <w:bCs/>
                          <w:sz w:val="32"/>
                          <w:szCs w:val="32"/>
                          <w:lang w:val="en-US"/>
                        </w:rPr>
                        <w:t>Hamnah Fatima Khan (FA24-BBD-031)</w:t>
                      </w:r>
                    </w:p>
                    <w:p w14:paraId="7E2D5B78">
                      <w:pPr>
                        <w:ind w:left="360"/>
                        <w:jc w:val="center"/>
                        <w:rPr>
                          <w:bCs/>
                          <w:sz w:val="32"/>
                          <w:szCs w:val="32"/>
                          <w:lang w:val="en-US"/>
                        </w:rPr>
                      </w:pPr>
                      <w:r>
                        <w:rPr>
                          <w:bCs/>
                          <w:sz w:val="32"/>
                          <w:szCs w:val="32"/>
                          <w:lang w:val="en-US"/>
                        </w:rPr>
                        <w:t>Noor ul Ain Zahid (FA24-BBD-069)</w:t>
                      </w:r>
                    </w:p>
                    <w:p w14:paraId="73C2D164">
                      <w:pPr>
                        <w:ind w:left="360"/>
                        <w:jc w:val="center"/>
                        <w:rPr>
                          <w:bCs/>
                          <w:sz w:val="32"/>
                          <w:szCs w:val="32"/>
                          <w:lang w:val="en-US"/>
                        </w:rPr>
                      </w:pPr>
                      <w:r>
                        <w:rPr>
                          <w:bCs/>
                          <w:sz w:val="32"/>
                          <w:szCs w:val="32"/>
                          <w:lang w:val="en-US"/>
                        </w:rPr>
                        <w:t>Rida Chaudhary (FA24-BBD-075)</w:t>
                      </w:r>
                    </w:p>
                    <w:p w14:paraId="6BD48B35">
                      <w:pPr>
                        <w:ind w:left="360"/>
                        <w:jc w:val="both"/>
                        <w:rPr>
                          <w:bCs/>
                          <w:sz w:val="28"/>
                          <w:szCs w:val="28"/>
                          <w:lang w:val="en-US"/>
                        </w:rPr>
                      </w:pPr>
                    </w:p>
                    <w:p w14:paraId="3D01DA20">
                      <w:pPr>
                        <w:ind w:left="360"/>
                        <w:jc w:val="both"/>
                        <w:rPr>
                          <w:bCs/>
                          <w:sz w:val="28"/>
                          <w:szCs w:val="28"/>
                          <w:lang w:val="en-US"/>
                        </w:rPr>
                      </w:pPr>
                    </w:p>
                    <w:p w14:paraId="25394531">
                      <w:pPr>
                        <w:ind w:left="360"/>
                        <w:jc w:val="both"/>
                        <w:rPr>
                          <w:bCs/>
                          <w:sz w:val="28"/>
                          <w:szCs w:val="28"/>
                          <w:lang w:val="en-US"/>
                        </w:rPr>
                      </w:pPr>
                    </w:p>
                    <w:p w14:paraId="78CC5460">
                      <w:pPr>
                        <w:jc w:val="center"/>
                        <w:rPr>
                          <w:b/>
                          <w:sz w:val="32"/>
                          <w:szCs w:val="32"/>
                          <w:lang w:val="en-US"/>
                        </w:rPr>
                      </w:pPr>
                      <w:r>
                        <w:rPr>
                          <w:b/>
                          <w:sz w:val="32"/>
                          <w:szCs w:val="32"/>
                          <w:lang w:val="en-US"/>
                        </w:rPr>
                        <w:t>Date:</w:t>
                      </w:r>
                    </w:p>
                    <w:p w14:paraId="373029D5">
                      <w:pPr>
                        <w:jc w:val="center"/>
                        <w:rPr>
                          <w:bCs/>
                          <w:sz w:val="28"/>
                          <w:szCs w:val="28"/>
                          <w:lang w:val="en-US"/>
                        </w:rPr>
                      </w:pPr>
                      <w:r>
                        <w:rPr>
                          <w:bCs/>
                          <w:sz w:val="28"/>
                          <w:szCs w:val="28"/>
                          <w:lang w:val="en-US"/>
                        </w:rPr>
                        <w:t>04</w:t>
                      </w:r>
                      <w:r>
                        <w:rPr>
                          <w:bCs/>
                          <w:sz w:val="28"/>
                          <w:szCs w:val="28"/>
                          <w:vertAlign w:val="superscript"/>
                          <w:lang w:val="en-US"/>
                        </w:rPr>
                        <w:t xml:space="preserve">th </w:t>
                      </w:r>
                      <w:r>
                        <w:rPr>
                          <w:bCs/>
                          <w:sz w:val="28"/>
                          <w:szCs w:val="28"/>
                          <w:lang w:val="en-US"/>
                        </w:rPr>
                        <w:t>May 2026</w:t>
                      </w:r>
                    </w:p>
                    <w:p w14:paraId="785AA229">
                      <w:pPr>
                        <w:rPr>
                          <w:b/>
                          <w:bCs/>
                          <w:sz w:val="32"/>
                          <w:szCs w:val="32"/>
                        </w:rPr>
                      </w:pPr>
                    </w:p>
                    <w:p w14:paraId="5D9DCBB7">
                      <w:pPr>
                        <w:jc w:val="both"/>
                        <w:rPr>
                          <w:b/>
                          <w:bCs/>
                          <w:sz w:val="32"/>
                          <w:szCs w:val="32"/>
                        </w:rPr>
                      </w:pPr>
                    </w:p>
                    <w:p w14:paraId="183F404C">
                      <w:pPr>
                        <w:jc w:val="both"/>
                        <w:rPr>
                          <w:b/>
                          <w:bCs/>
                          <w:sz w:val="32"/>
                          <w:szCs w:val="32"/>
                        </w:rPr>
                      </w:pPr>
                    </w:p>
                    <w:p w14:paraId="6C73DDD4">
                      <w:pPr>
                        <w:jc w:val="center"/>
                        <w:rPr>
                          <w:b/>
                          <w:bCs/>
                          <w:sz w:val="32"/>
                          <w:szCs w:val="32"/>
                        </w:rPr>
                      </w:pPr>
                    </w:p>
                    <w:p w14:paraId="11BE708C">
                      <w:pPr>
                        <w:jc w:val="center"/>
                        <w:rPr>
                          <w:b/>
                          <w:bCs/>
                          <w:sz w:val="28"/>
                          <w:szCs w:val="28"/>
                        </w:rPr>
                      </w:pPr>
                      <w:r>
                        <w:rPr>
                          <w:b/>
                          <w:bCs/>
                          <w:sz w:val="28"/>
                          <w:szCs w:val="28"/>
                        </w:rPr>
                        <w:t>Department of Management Sciences, Comsats University Islamabad, Lahore Campus</w:t>
                      </w:r>
                    </w:p>
                    <w:p w14:paraId="6E37D91C">
                      <w:pPr>
                        <w:rPr>
                          <w:b/>
                          <w:bCs/>
                          <w:sz w:val="32"/>
                          <w:szCs w:val="32"/>
                        </w:rPr>
                      </w:pPr>
                    </w:p>
                  </w:txbxContent>
                </v:textbox>
              </v:shape>
            </w:pict>
          </mc:Fallback>
        </mc:AlternateContent>
      </w:r>
      <w:r>
        <w:rPr>
          <w:b/>
          <w:bCs/>
          <w:sz w:val="28"/>
          <w:szCs w:val="28"/>
          <w:lang w:val="en-US" w:eastAsia="en-US"/>
        </w:rPr>
        <mc:AlternateContent>
          <mc:Choice Requires="wps">
            <w:drawing>
              <wp:anchor distT="0" distB="0" distL="114300" distR="114300" simplePos="0" relativeHeight="251662336" behindDoc="0" locked="0" layoutInCell="1" allowOverlap="1">
                <wp:simplePos x="0" y="0"/>
                <wp:positionH relativeFrom="margin">
                  <wp:posOffset>929005</wp:posOffset>
                </wp:positionH>
                <wp:positionV relativeFrom="paragraph">
                  <wp:posOffset>1040130</wp:posOffset>
                </wp:positionV>
                <wp:extent cx="3902075" cy="1086485"/>
                <wp:effectExtent l="0" t="0" r="0" b="0"/>
                <wp:wrapNone/>
                <wp:docPr id="1374520705" name="Text Box 9"/>
                <wp:cNvGraphicFramePr/>
                <a:graphic xmlns:a="http://schemas.openxmlformats.org/drawingml/2006/main">
                  <a:graphicData uri="http://schemas.microsoft.com/office/word/2010/wordprocessingShape">
                    <wps:wsp>
                      <wps:cNvSpPr txBox="1"/>
                      <wps:spPr>
                        <a:xfrm>
                          <a:off x="0" y="0"/>
                          <a:ext cx="3902043" cy="1086416"/>
                        </a:xfrm>
                        <a:prstGeom prst="rect">
                          <a:avLst/>
                        </a:prstGeom>
                        <a:noFill/>
                        <a:ln w="6350">
                          <a:noFill/>
                        </a:ln>
                      </wps:spPr>
                      <wps:txbx>
                        <w:txbxContent>
                          <w:p w14:paraId="73916B1D">
                            <w:pPr>
                              <w:jc w:val="center"/>
                              <w:rPr>
                                <w:b/>
                                <w:bCs/>
                                <w:sz w:val="44"/>
                                <w:szCs w:val="44"/>
                              </w:rPr>
                            </w:pPr>
                            <w:r>
                              <w:rPr>
                                <w:b/>
                                <w:bCs/>
                                <w:sz w:val="44"/>
                                <w:szCs w:val="44"/>
                              </w:rPr>
                              <w:t>HRM Practices In</w:t>
                            </w:r>
                          </w:p>
                          <w:p w14:paraId="2C8002BF">
                            <w:pPr>
                              <w:jc w:val="center"/>
                              <w:rPr>
                                <w:b/>
                                <w:bCs/>
                                <w:sz w:val="44"/>
                                <w:szCs w:val="44"/>
                              </w:rPr>
                            </w:pPr>
                            <w:r>
                              <w:rPr>
                                <w:b/>
                                <w:bCs/>
                                <w:sz w:val="44"/>
                                <w:szCs w:val="44"/>
                              </w:rPr>
                              <w:t>Millat Tractors Limited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9" o:spid="_x0000_s1026" o:spt="202" type="#_x0000_t202" style="position:absolute;left:0pt;margin-left:73.15pt;margin-top:81.9pt;height:85.55pt;width:307.25pt;mso-position-horizontal-relative:margin;z-index:251662336;mso-width-relative:page;mso-height-relative:page;" filled="f" stroked="f" coordsize="21600,21600" o:gfxdata="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fBg7wNsAAAALAQAADwAAAAAAAAABACAAAAAiAAAAZHJzL2Rvd25y&#10;ZXYueG1sUEsBAhQAFAAAAAgAh07iQEjdpkw0AgAAbwQAAA4AAAAAAAAAAQAgAAAAKgEAAGRycy9l&#10;Mm9Eb2MueG1sUEsFBgAAAAAGAAYAWQEAANAFAAAAAA==&#10;">
                <v:fill on="f" focussize="0,0"/>
                <v:stroke on="f" weight="0.5pt"/>
                <v:imagedata o:title=""/>
                <o:lock v:ext="edit" aspectratio="f"/>
                <v:textbox>
                  <w:txbxContent>
                    <w:p w14:paraId="73916B1D">
                      <w:pPr>
                        <w:jc w:val="center"/>
                        <w:rPr>
                          <w:b/>
                          <w:bCs/>
                          <w:sz w:val="44"/>
                          <w:szCs w:val="44"/>
                        </w:rPr>
                      </w:pPr>
                      <w:r>
                        <w:rPr>
                          <w:b/>
                          <w:bCs/>
                          <w:sz w:val="44"/>
                          <w:szCs w:val="44"/>
                        </w:rPr>
                        <w:t>HRM Practices In</w:t>
                      </w:r>
                    </w:p>
                    <w:p w14:paraId="2C8002BF">
                      <w:pPr>
                        <w:jc w:val="center"/>
                        <w:rPr>
                          <w:b/>
                          <w:bCs/>
                          <w:sz w:val="44"/>
                          <w:szCs w:val="44"/>
                        </w:rPr>
                      </w:pPr>
                      <w:r>
                        <w:rPr>
                          <w:b/>
                          <w:bCs/>
                          <w:sz w:val="44"/>
                          <w:szCs w:val="44"/>
                        </w:rPr>
                        <w:t>Millat Tractors Limited</w:t>
                      </w:r>
                    </w:p>
                  </w:txbxContent>
                </v:textbox>
              </v:shape>
            </w:pict>
          </mc:Fallback>
        </mc:AlternateContent>
      </w:r>
      <w:r>
        <w:rPr>
          <w:b/>
          <w:bCs/>
          <w:sz w:val="28"/>
          <w:szCs w:val="28"/>
          <w:lang w:val="en-US"/>
        </w:rPr>
        <w:br w:type="page"/>
      </w:r>
    </w:p>
    <w:p w14:paraId="5163F509">
      <w:pPr>
        <w:pStyle w:val="2"/>
        <w:jc w:val="center"/>
        <w:rPr>
          <w:b/>
          <w:bCs/>
          <w:color w:val="000000" w:themeColor="text1"/>
          <w:sz w:val="28"/>
          <w:szCs w:val="28"/>
          <w14:textFill>
            <w14:solidFill>
              <w14:schemeClr w14:val="tx1"/>
            </w14:solidFill>
          </w14:textFill>
        </w:rPr>
        <w:sectPr>
          <w:footerReference r:id="rId3" w:type="default"/>
          <w:pgSz w:w="12240" w:h="15840"/>
          <w:pgMar w:top="1080" w:right="1080" w:bottom="1080" w:left="1260" w:header="708" w:footer="708" w:gutter="0"/>
          <w:cols w:space="720" w:num="1"/>
          <w:docGrid w:linePitch="360" w:charSpace="0"/>
        </w:sectPr>
      </w:pPr>
    </w:p>
    <w:p w14:paraId="107D5F61">
      <w:pPr>
        <w:pStyle w:val="2"/>
        <w:rPr>
          <w:b/>
          <w:bCs/>
          <w:color w:val="000000" w:themeColor="text1"/>
          <w:sz w:val="28"/>
          <w:szCs w:val="28"/>
          <w14:textFill>
            <w14:solidFill>
              <w14:schemeClr w14:val="tx1"/>
            </w14:solidFill>
          </w14:textFill>
        </w:rPr>
      </w:pPr>
      <w:bookmarkStart w:id="0" w:name="_Toc30905"/>
      <w:bookmarkStart w:id="1" w:name="_Toc19870"/>
      <w:bookmarkStart w:id="2" w:name="_Toc31002"/>
      <w:bookmarkStart w:id="3" w:name="_Toc11937"/>
      <w:r>
        <w:rPr>
          <w:b/>
          <w:bCs/>
          <w:color w:val="000000" w:themeColor="text1"/>
          <w:sz w:val="28"/>
          <w:szCs w:val="28"/>
          <w14:textFill>
            <w14:solidFill>
              <w14:schemeClr w14:val="tx1"/>
            </w14:solidFill>
          </w14:textFill>
        </w:rPr>
        <w:t>Executive Summary</w:t>
      </w:r>
      <w:bookmarkEnd w:id="0"/>
      <w:bookmarkEnd w:id="1"/>
      <w:bookmarkEnd w:id="2"/>
    </w:p>
    <w:p w14:paraId="01E28850">
      <w:pPr>
        <w:pStyle w:val="18"/>
        <w:spacing w:line="360" w:lineRule="auto"/>
      </w:pPr>
      <w:r>
        <w:t>Millat Tractors Limited is the leading agricultural machinery company in Pakistan, holding around 70% market share with a strong local production system. This report examines the company’s human resource (HR) practices and compares them with modern HRM theories and best practices. The analysis shows that MTL has a well-organized and legally compliant HR system that supports stable operations. The company uses structured hiring procedures, employee training programs, performance evaluation through KPIs, organized salary structures, and effective employee relations supported by labor unions. However, the report also identifies several areas where improvements are needed. Recruitment processes lack modern testing and structured interview methods, training programs are not properly evaluated for effectiveness, and performance management depends too much on yearly reviews instead of regular feedback. Employees also face concerns about limited transparency in compensation and benefits. In addition, the company focuses more on maintaining legal compliance than on actively improving employee engagement and satisfaction. Overall, MTL has a strong HR foundation, but by adopting more modern and strategic HR practices, such as continuous feedback, better training evaluation, fairer reward systems, and regular employee engagement surveys, the company can improve employee performance, satisfaction, and long-term competitiveness.</w:t>
      </w:r>
    </w:p>
    <w:p w14:paraId="4F491747">
      <w:pPr>
        <w:rPr>
          <w:rFonts w:eastAsia="SimSun"/>
          <w:lang w:val="en-US"/>
        </w:rPr>
      </w:pPr>
      <w:r>
        <w:br w:type="page"/>
      </w:r>
    </w:p>
    <w:sdt>
      <w:sdtPr>
        <w:id w:val="-160003691"/>
        <w:docPartObj>
          <w:docPartGallery w:val="Table of Contents"/>
          <w:docPartUnique/>
        </w:docPartObj>
      </w:sdtPr>
      <w:sdtEndPr>
        <w:rPr>
          <w:rFonts w:ascii="Times New Roman" w:hAnsi="Times New Roman" w:eastAsia="Times New Roman" w:cs="Times New Roman"/>
          <w:b/>
          <w:bCs/>
          <w:color w:val="auto"/>
          <w:sz w:val="24"/>
          <w:szCs w:val="24"/>
          <w:lang w:val="zh-CN" w:eastAsia="zh-CN"/>
        </w:rPr>
      </w:sdtEndPr>
      <w:sdtContent>
        <w:p w14:paraId="34C46BC1">
          <w:pPr>
            <w:pStyle w:val="39"/>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Table of Contents</w:t>
          </w:r>
        </w:p>
        <w:p w14:paraId="4FD4BA1A">
          <w:pPr>
            <w:pStyle w:val="21"/>
            <w:tabs>
              <w:tab w:val="right" w:leader="dot" w:pos="9900"/>
            </w:tabs>
          </w:pPr>
          <w:bookmarkStart w:id="423" w:name="_GoBack"/>
          <w:bookmarkEnd w:id="423"/>
          <w:r>
            <w:fldChar w:fldCharType="begin"/>
          </w:r>
          <w:r>
            <w:instrText xml:space="preserve">TOC \o "1-2" \h \u </w:instrText>
          </w:r>
          <w:r>
            <w:fldChar w:fldCharType="separate"/>
          </w:r>
          <w:r>
            <w:fldChar w:fldCharType="begin"/>
          </w:r>
          <w:r>
            <w:instrText xml:space="preserve"> HYPERLINK \l _Toc31002 </w:instrText>
          </w:r>
          <w:r>
            <w:fldChar w:fldCharType="separate"/>
          </w:r>
          <w:r>
            <w:rPr>
              <w:bCs/>
              <w:szCs w:val="28"/>
            </w:rPr>
            <w:t>Executive Summary</w:t>
          </w:r>
          <w:r>
            <w:tab/>
          </w:r>
          <w:r>
            <w:fldChar w:fldCharType="begin"/>
          </w:r>
          <w:r>
            <w:instrText xml:space="preserve"> PAGEREF _Toc31002 \h </w:instrText>
          </w:r>
          <w:r>
            <w:fldChar w:fldCharType="separate"/>
          </w:r>
          <w:r>
            <w:t>2</w:t>
          </w:r>
          <w:r>
            <w:fldChar w:fldCharType="end"/>
          </w:r>
          <w:r>
            <w:fldChar w:fldCharType="end"/>
          </w:r>
        </w:p>
        <w:p w14:paraId="5557BDF6">
          <w:pPr>
            <w:pStyle w:val="21"/>
            <w:tabs>
              <w:tab w:val="right" w:leader="dot" w:pos="9900"/>
            </w:tabs>
          </w:pPr>
          <w:r>
            <w:fldChar w:fldCharType="begin"/>
          </w:r>
          <w:r>
            <w:instrText xml:space="preserve"> HYPERLINK \l _Toc10370 </w:instrText>
          </w:r>
          <w:r>
            <w:fldChar w:fldCharType="separate"/>
          </w:r>
          <w:r>
            <w:rPr>
              <w:bCs/>
              <w:szCs w:val="28"/>
            </w:rPr>
            <w:t>Chapter 1</w:t>
          </w:r>
          <w:r>
            <w:tab/>
          </w:r>
          <w:r>
            <w:fldChar w:fldCharType="begin"/>
          </w:r>
          <w:r>
            <w:instrText xml:space="preserve"> PAGEREF _Toc10370 \h </w:instrText>
          </w:r>
          <w:r>
            <w:fldChar w:fldCharType="separate"/>
          </w:r>
          <w:r>
            <w:t>5</w:t>
          </w:r>
          <w:r>
            <w:fldChar w:fldCharType="end"/>
          </w:r>
          <w:r>
            <w:fldChar w:fldCharType="end"/>
          </w:r>
        </w:p>
        <w:p w14:paraId="5A99CE55">
          <w:pPr>
            <w:pStyle w:val="22"/>
            <w:tabs>
              <w:tab w:val="right" w:leader="dot" w:pos="9900"/>
            </w:tabs>
          </w:pPr>
          <w:r>
            <w:fldChar w:fldCharType="begin"/>
          </w:r>
          <w:r>
            <w:instrText xml:space="preserve"> HYPERLINK \l _Toc5343 </w:instrText>
          </w:r>
          <w:r>
            <w:fldChar w:fldCharType="separate"/>
          </w:r>
          <w:r>
            <w:rPr>
              <w:lang w:val="en-US"/>
            </w:rPr>
            <w:t>1.1</w:t>
          </w:r>
          <w:r>
            <w:t xml:space="preserve"> Introduction of Millat Tractors Limited</w:t>
          </w:r>
          <w:r>
            <w:tab/>
          </w:r>
          <w:r>
            <w:fldChar w:fldCharType="begin"/>
          </w:r>
          <w:r>
            <w:instrText xml:space="preserve"> PAGEREF _Toc5343 \h </w:instrText>
          </w:r>
          <w:r>
            <w:fldChar w:fldCharType="separate"/>
          </w:r>
          <w:r>
            <w:t>5</w:t>
          </w:r>
          <w:r>
            <w:fldChar w:fldCharType="end"/>
          </w:r>
          <w:r>
            <w:fldChar w:fldCharType="end"/>
          </w:r>
        </w:p>
        <w:p w14:paraId="4D762D33">
          <w:pPr>
            <w:pStyle w:val="22"/>
            <w:tabs>
              <w:tab w:val="right" w:leader="dot" w:pos="9900"/>
            </w:tabs>
          </w:pPr>
          <w:r>
            <w:fldChar w:fldCharType="begin"/>
          </w:r>
          <w:r>
            <w:instrText xml:space="preserve"> HYPERLINK \l _Toc24318 </w:instrText>
          </w:r>
          <w:r>
            <w:fldChar w:fldCharType="separate"/>
          </w:r>
          <w:r>
            <w:rPr>
              <w:lang w:val="en-US"/>
            </w:rPr>
            <w:t>1.</w:t>
          </w:r>
          <w:r>
            <w:t>2  Observing HR and Organizational Practices at MTL</w:t>
          </w:r>
          <w:r>
            <w:tab/>
          </w:r>
          <w:r>
            <w:fldChar w:fldCharType="begin"/>
          </w:r>
          <w:r>
            <w:instrText xml:space="preserve"> PAGEREF _Toc24318 \h </w:instrText>
          </w:r>
          <w:r>
            <w:fldChar w:fldCharType="separate"/>
          </w:r>
          <w:r>
            <w:t>6</w:t>
          </w:r>
          <w:r>
            <w:fldChar w:fldCharType="end"/>
          </w:r>
          <w:r>
            <w:fldChar w:fldCharType="end"/>
          </w:r>
        </w:p>
        <w:p w14:paraId="2AA6942D">
          <w:pPr>
            <w:pStyle w:val="22"/>
            <w:tabs>
              <w:tab w:val="right" w:leader="dot" w:pos="9900"/>
            </w:tabs>
          </w:pPr>
          <w:r>
            <w:fldChar w:fldCharType="begin"/>
          </w:r>
          <w:r>
            <w:instrText xml:space="preserve"> HYPERLINK \l _Toc5676 </w:instrText>
          </w:r>
          <w:r>
            <w:fldChar w:fldCharType="separate"/>
          </w:r>
          <w:r>
            <w:rPr>
              <w:lang w:val="en-US"/>
            </w:rPr>
            <w:t>1.</w:t>
          </w:r>
          <w:r>
            <w:t>3  When It Started, How It Started and Progress Till Now</w:t>
          </w:r>
          <w:r>
            <w:tab/>
          </w:r>
          <w:r>
            <w:fldChar w:fldCharType="begin"/>
          </w:r>
          <w:r>
            <w:instrText xml:space="preserve"> PAGEREF _Toc5676 \h </w:instrText>
          </w:r>
          <w:r>
            <w:fldChar w:fldCharType="separate"/>
          </w:r>
          <w:r>
            <w:t>7</w:t>
          </w:r>
          <w:r>
            <w:fldChar w:fldCharType="end"/>
          </w:r>
          <w:r>
            <w:fldChar w:fldCharType="end"/>
          </w:r>
        </w:p>
        <w:p w14:paraId="5DEFC27B">
          <w:pPr>
            <w:pStyle w:val="22"/>
            <w:tabs>
              <w:tab w:val="right" w:leader="dot" w:pos="9900"/>
            </w:tabs>
          </w:pPr>
          <w:r>
            <w:fldChar w:fldCharType="begin"/>
          </w:r>
          <w:r>
            <w:instrText xml:space="preserve"> HYPERLINK \l _Toc9840 </w:instrText>
          </w:r>
          <w:r>
            <w:fldChar w:fldCharType="separate"/>
          </w:r>
          <w:r>
            <w:rPr>
              <w:lang w:val="en-US"/>
            </w:rPr>
            <w:t>1.</w:t>
          </w:r>
          <w:r>
            <w:t>4</w:t>
          </w:r>
          <w:r>
            <w:rPr>
              <w:lang w:val="en-US"/>
            </w:rPr>
            <w:t xml:space="preserve"> </w:t>
          </w:r>
          <w:r>
            <w:t xml:space="preserve"> Products of MTL: Strategic Business Units and Product Lines</w:t>
          </w:r>
          <w:r>
            <w:tab/>
          </w:r>
          <w:r>
            <w:fldChar w:fldCharType="begin"/>
          </w:r>
          <w:r>
            <w:instrText xml:space="preserve"> PAGEREF _Toc9840 \h </w:instrText>
          </w:r>
          <w:r>
            <w:fldChar w:fldCharType="separate"/>
          </w:r>
          <w:r>
            <w:t>8</w:t>
          </w:r>
          <w:r>
            <w:fldChar w:fldCharType="end"/>
          </w:r>
          <w:r>
            <w:fldChar w:fldCharType="end"/>
          </w:r>
        </w:p>
        <w:p w14:paraId="388BA7C6">
          <w:pPr>
            <w:pStyle w:val="22"/>
            <w:tabs>
              <w:tab w:val="right" w:leader="dot" w:pos="9900"/>
            </w:tabs>
          </w:pPr>
          <w:r>
            <w:fldChar w:fldCharType="begin"/>
          </w:r>
          <w:r>
            <w:instrText xml:space="preserve"> HYPERLINK \l _Toc12518 </w:instrText>
          </w:r>
          <w:r>
            <w:fldChar w:fldCharType="separate"/>
          </w:r>
          <w:r>
            <w:rPr>
              <w:lang w:val="en-US"/>
            </w:rPr>
            <w:t>1.</w:t>
          </w:r>
          <w:r>
            <w:t>5  Organizational Hierarchical Structure</w:t>
          </w:r>
          <w:r>
            <w:tab/>
          </w:r>
          <w:r>
            <w:fldChar w:fldCharType="begin"/>
          </w:r>
          <w:r>
            <w:instrText xml:space="preserve"> PAGEREF _Toc12518 \h </w:instrText>
          </w:r>
          <w:r>
            <w:fldChar w:fldCharType="separate"/>
          </w:r>
          <w:r>
            <w:t>10</w:t>
          </w:r>
          <w:r>
            <w:fldChar w:fldCharType="end"/>
          </w:r>
          <w:r>
            <w:fldChar w:fldCharType="end"/>
          </w:r>
        </w:p>
        <w:p w14:paraId="7EE94D4E">
          <w:pPr>
            <w:pStyle w:val="22"/>
            <w:tabs>
              <w:tab w:val="right" w:leader="dot" w:pos="9900"/>
            </w:tabs>
          </w:pPr>
          <w:r>
            <w:fldChar w:fldCharType="begin"/>
          </w:r>
          <w:r>
            <w:instrText xml:space="preserve"> HYPERLINK \l _Toc2480 </w:instrText>
          </w:r>
          <w:r>
            <w:fldChar w:fldCharType="separate"/>
          </w:r>
          <w:r>
            <w:rPr>
              <w:lang w:val="en-US"/>
            </w:rPr>
            <w:t>1.</w:t>
          </w:r>
          <w:r>
            <w:t>6 General HRM: The Five Core Functions</w:t>
          </w:r>
          <w:r>
            <w:tab/>
          </w:r>
          <w:r>
            <w:fldChar w:fldCharType="begin"/>
          </w:r>
          <w:r>
            <w:instrText xml:space="preserve"> PAGEREF _Toc2480 \h </w:instrText>
          </w:r>
          <w:r>
            <w:fldChar w:fldCharType="separate"/>
          </w:r>
          <w:r>
            <w:t>10</w:t>
          </w:r>
          <w:r>
            <w:fldChar w:fldCharType="end"/>
          </w:r>
          <w:r>
            <w:fldChar w:fldCharType="end"/>
          </w:r>
        </w:p>
        <w:p w14:paraId="67381851">
          <w:pPr>
            <w:pStyle w:val="22"/>
            <w:tabs>
              <w:tab w:val="right" w:leader="dot" w:pos="9900"/>
            </w:tabs>
          </w:pPr>
          <w:r>
            <w:fldChar w:fldCharType="begin"/>
          </w:r>
          <w:r>
            <w:instrText xml:space="preserve"> HYPERLINK \l _Toc22785 </w:instrText>
          </w:r>
          <w:r>
            <w:fldChar w:fldCharType="separate"/>
          </w:r>
          <w:r>
            <w:rPr>
              <w:lang w:val="en-US"/>
            </w:rPr>
            <w:t>1.</w:t>
          </w:r>
          <w:r>
            <w:t>7 What Is HRM? Significance and Strategic Role</w:t>
          </w:r>
          <w:r>
            <w:tab/>
          </w:r>
          <w:r>
            <w:fldChar w:fldCharType="begin"/>
          </w:r>
          <w:r>
            <w:instrText xml:space="preserve"> PAGEREF _Toc22785 \h </w:instrText>
          </w:r>
          <w:r>
            <w:fldChar w:fldCharType="separate"/>
          </w:r>
          <w:r>
            <w:t>11</w:t>
          </w:r>
          <w:r>
            <w:fldChar w:fldCharType="end"/>
          </w:r>
          <w:r>
            <w:fldChar w:fldCharType="end"/>
          </w:r>
        </w:p>
        <w:p w14:paraId="41ADF904">
          <w:pPr>
            <w:pStyle w:val="21"/>
            <w:tabs>
              <w:tab w:val="right" w:leader="dot" w:pos="9900"/>
            </w:tabs>
          </w:pPr>
          <w:r>
            <w:fldChar w:fldCharType="begin"/>
          </w:r>
          <w:r>
            <w:instrText xml:space="preserve"> HYPERLINK \l _Toc22382 </w:instrText>
          </w:r>
          <w:r>
            <w:fldChar w:fldCharType="separate"/>
          </w:r>
          <w:r>
            <w:rPr>
              <w:bCs/>
              <w:szCs w:val="28"/>
            </w:rPr>
            <w:t>CHAPTER 2</w:t>
          </w:r>
          <w:r>
            <w:tab/>
          </w:r>
          <w:r>
            <w:fldChar w:fldCharType="begin"/>
          </w:r>
          <w:r>
            <w:instrText xml:space="preserve"> PAGEREF _Toc22382 \h </w:instrText>
          </w:r>
          <w:r>
            <w:fldChar w:fldCharType="separate"/>
          </w:r>
          <w:r>
            <w:t>13</w:t>
          </w:r>
          <w:r>
            <w:fldChar w:fldCharType="end"/>
          </w:r>
          <w:r>
            <w:fldChar w:fldCharType="end"/>
          </w:r>
        </w:p>
        <w:p w14:paraId="18E2C14F">
          <w:pPr>
            <w:pStyle w:val="22"/>
            <w:tabs>
              <w:tab w:val="right" w:leader="dot" w:pos="9900"/>
            </w:tabs>
          </w:pPr>
          <w:r>
            <w:fldChar w:fldCharType="begin"/>
          </w:r>
          <w:r>
            <w:instrText xml:space="preserve"> HYPERLINK \l _Toc27316 </w:instrText>
          </w:r>
          <w:r>
            <w:fldChar w:fldCharType="separate"/>
          </w:r>
          <w:r>
            <w:t>2.1 Introduction</w:t>
          </w:r>
          <w:r>
            <w:tab/>
          </w:r>
          <w:r>
            <w:fldChar w:fldCharType="begin"/>
          </w:r>
          <w:r>
            <w:instrText xml:space="preserve"> PAGEREF _Toc27316 \h </w:instrText>
          </w:r>
          <w:r>
            <w:fldChar w:fldCharType="separate"/>
          </w:r>
          <w:r>
            <w:t>13</w:t>
          </w:r>
          <w:r>
            <w:fldChar w:fldCharType="end"/>
          </w:r>
          <w:r>
            <w:fldChar w:fldCharType="end"/>
          </w:r>
        </w:p>
        <w:p w14:paraId="2F55E1A4">
          <w:pPr>
            <w:pStyle w:val="22"/>
            <w:tabs>
              <w:tab w:val="right" w:leader="dot" w:pos="9900"/>
            </w:tabs>
          </w:pPr>
          <w:r>
            <w:fldChar w:fldCharType="begin"/>
          </w:r>
          <w:r>
            <w:instrText xml:space="preserve"> HYPERLINK \l _Toc18989 </w:instrText>
          </w:r>
          <w:r>
            <w:fldChar w:fldCharType="separate"/>
          </w:r>
          <w:r>
            <w:t>2.2 Interview Details</w:t>
          </w:r>
          <w:r>
            <w:tab/>
          </w:r>
          <w:r>
            <w:fldChar w:fldCharType="begin"/>
          </w:r>
          <w:r>
            <w:instrText xml:space="preserve"> PAGEREF _Toc18989 \h </w:instrText>
          </w:r>
          <w:r>
            <w:fldChar w:fldCharType="separate"/>
          </w:r>
          <w:r>
            <w:t>14</w:t>
          </w:r>
          <w:r>
            <w:fldChar w:fldCharType="end"/>
          </w:r>
          <w:r>
            <w:fldChar w:fldCharType="end"/>
          </w:r>
        </w:p>
        <w:p w14:paraId="184E588C">
          <w:pPr>
            <w:pStyle w:val="22"/>
            <w:tabs>
              <w:tab w:val="right" w:leader="dot" w:pos="9900"/>
            </w:tabs>
          </w:pPr>
          <w:r>
            <w:fldChar w:fldCharType="begin"/>
          </w:r>
          <w:r>
            <w:instrText xml:space="preserve"> HYPERLINK \l _Toc20755 </w:instrText>
          </w:r>
          <w:r>
            <w:fldChar w:fldCharType="separate"/>
          </w:r>
          <w:r>
            <w:t>2.3 HR Department Structure and Hierarchy</w:t>
          </w:r>
          <w:r>
            <w:tab/>
          </w:r>
          <w:r>
            <w:fldChar w:fldCharType="begin"/>
          </w:r>
          <w:r>
            <w:instrText xml:space="preserve"> PAGEREF _Toc20755 \h </w:instrText>
          </w:r>
          <w:r>
            <w:fldChar w:fldCharType="separate"/>
          </w:r>
          <w:r>
            <w:t>14</w:t>
          </w:r>
          <w:r>
            <w:fldChar w:fldCharType="end"/>
          </w:r>
          <w:r>
            <w:fldChar w:fldCharType="end"/>
          </w:r>
        </w:p>
        <w:p w14:paraId="300881A6">
          <w:pPr>
            <w:pStyle w:val="22"/>
            <w:tabs>
              <w:tab w:val="right" w:leader="dot" w:pos="9900"/>
            </w:tabs>
          </w:pPr>
          <w:r>
            <w:fldChar w:fldCharType="begin"/>
          </w:r>
          <w:r>
            <w:instrText xml:space="preserve"> HYPERLINK \l _Toc14561 </w:instrText>
          </w:r>
          <w:r>
            <w:fldChar w:fldCharType="separate"/>
          </w:r>
          <w:r>
            <w:t>2.4 Organizational Compensation System</w:t>
          </w:r>
          <w:r>
            <w:tab/>
          </w:r>
          <w:r>
            <w:fldChar w:fldCharType="begin"/>
          </w:r>
          <w:r>
            <w:instrText xml:space="preserve"> PAGEREF _Toc14561 \h </w:instrText>
          </w:r>
          <w:r>
            <w:fldChar w:fldCharType="separate"/>
          </w:r>
          <w:r>
            <w:t>15</w:t>
          </w:r>
          <w:r>
            <w:fldChar w:fldCharType="end"/>
          </w:r>
          <w:r>
            <w:fldChar w:fldCharType="end"/>
          </w:r>
        </w:p>
        <w:p w14:paraId="355120CA">
          <w:pPr>
            <w:pStyle w:val="22"/>
            <w:tabs>
              <w:tab w:val="right" w:leader="dot" w:pos="9900"/>
            </w:tabs>
          </w:pPr>
          <w:r>
            <w:fldChar w:fldCharType="begin"/>
          </w:r>
          <w:r>
            <w:instrText xml:space="preserve"> HYPERLINK \l _Toc1704 </w:instrText>
          </w:r>
          <w:r>
            <w:fldChar w:fldCharType="separate"/>
          </w:r>
          <w:r>
            <w:t>2.5 Employee Benefits Offered</w:t>
          </w:r>
          <w:r>
            <w:tab/>
          </w:r>
          <w:r>
            <w:fldChar w:fldCharType="begin"/>
          </w:r>
          <w:r>
            <w:instrText xml:space="preserve"> PAGEREF _Toc1704 \h </w:instrText>
          </w:r>
          <w:r>
            <w:fldChar w:fldCharType="separate"/>
          </w:r>
          <w:r>
            <w:t>16</w:t>
          </w:r>
          <w:r>
            <w:fldChar w:fldCharType="end"/>
          </w:r>
          <w:r>
            <w:fldChar w:fldCharType="end"/>
          </w:r>
        </w:p>
        <w:p w14:paraId="2E971C7D">
          <w:pPr>
            <w:pStyle w:val="22"/>
            <w:tabs>
              <w:tab w:val="right" w:leader="dot" w:pos="9900"/>
            </w:tabs>
          </w:pPr>
          <w:r>
            <w:fldChar w:fldCharType="begin"/>
          </w:r>
          <w:r>
            <w:instrText xml:space="preserve"> HYPERLINK \l _Toc23978 </w:instrText>
          </w:r>
          <w:r>
            <w:fldChar w:fldCharType="separate"/>
          </w:r>
          <w:r>
            <w:t>2.6 Performance Appraisal and Compensation</w:t>
          </w:r>
          <w:r>
            <w:tab/>
          </w:r>
          <w:r>
            <w:fldChar w:fldCharType="begin"/>
          </w:r>
          <w:r>
            <w:instrText xml:space="preserve"> PAGEREF _Toc23978 \h </w:instrText>
          </w:r>
          <w:r>
            <w:fldChar w:fldCharType="separate"/>
          </w:r>
          <w:r>
            <w:t>18</w:t>
          </w:r>
          <w:r>
            <w:fldChar w:fldCharType="end"/>
          </w:r>
          <w:r>
            <w:fldChar w:fldCharType="end"/>
          </w:r>
        </w:p>
        <w:p w14:paraId="00D67D5B">
          <w:pPr>
            <w:pStyle w:val="22"/>
            <w:tabs>
              <w:tab w:val="right" w:leader="dot" w:pos="9900"/>
            </w:tabs>
          </w:pPr>
          <w:r>
            <w:fldChar w:fldCharType="begin"/>
          </w:r>
          <w:r>
            <w:instrText xml:space="preserve"> HYPERLINK \l _Toc26577 </w:instrText>
          </w:r>
          <w:r>
            <w:fldChar w:fldCharType="separate"/>
          </w:r>
          <w:r>
            <w:t>2.7 Employee Motivation and Satisfaction</w:t>
          </w:r>
          <w:r>
            <w:tab/>
          </w:r>
          <w:r>
            <w:fldChar w:fldCharType="begin"/>
          </w:r>
          <w:r>
            <w:instrText xml:space="preserve"> PAGEREF _Toc26577 \h </w:instrText>
          </w:r>
          <w:r>
            <w:fldChar w:fldCharType="separate"/>
          </w:r>
          <w:r>
            <w:t>19</w:t>
          </w:r>
          <w:r>
            <w:fldChar w:fldCharType="end"/>
          </w:r>
          <w:r>
            <w:fldChar w:fldCharType="end"/>
          </w:r>
        </w:p>
        <w:p w14:paraId="5E3A6E30">
          <w:pPr>
            <w:pStyle w:val="22"/>
            <w:tabs>
              <w:tab w:val="right" w:leader="dot" w:pos="9900"/>
            </w:tabs>
          </w:pPr>
          <w:r>
            <w:fldChar w:fldCharType="begin"/>
          </w:r>
          <w:r>
            <w:instrText xml:space="preserve"> HYPERLINK \l _Toc27463 </w:instrText>
          </w:r>
          <w:r>
            <w:fldChar w:fldCharType="separate"/>
          </w:r>
          <w:r>
            <w:t>2.8 Organizational Response Regarding Compensation Challenges</w:t>
          </w:r>
          <w:r>
            <w:tab/>
          </w:r>
          <w:r>
            <w:fldChar w:fldCharType="begin"/>
          </w:r>
          <w:r>
            <w:instrText xml:space="preserve"> PAGEREF _Toc27463 \h </w:instrText>
          </w:r>
          <w:r>
            <w:fldChar w:fldCharType="separate"/>
          </w:r>
          <w:r>
            <w:t>19</w:t>
          </w:r>
          <w:r>
            <w:fldChar w:fldCharType="end"/>
          </w:r>
          <w:r>
            <w:fldChar w:fldCharType="end"/>
          </w:r>
        </w:p>
        <w:p w14:paraId="09365853">
          <w:pPr>
            <w:pStyle w:val="22"/>
            <w:tabs>
              <w:tab w:val="right" w:leader="dot" w:pos="9900"/>
            </w:tabs>
          </w:pPr>
          <w:r>
            <w:fldChar w:fldCharType="begin"/>
          </w:r>
          <w:r>
            <w:instrText xml:space="preserve"> HYPERLINK \l _Toc19674 </w:instrText>
          </w:r>
          <w:r>
            <w:fldChar w:fldCharType="separate"/>
          </w:r>
          <w:r>
            <w:t>2.9 Analysis of Findings</w:t>
          </w:r>
          <w:r>
            <w:tab/>
          </w:r>
          <w:r>
            <w:fldChar w:fldCharType="begin"/>
          </w:r>
          <w:r>
            <w:instrText xml:space="preserve"> PAGEREF _Toc19674 \h </w:instrText>
          </w:r>
          <w:r>
            <w:fldChar w:fldCharType="separate"/>
          </w:r>
          <w:r>
            <w:t>20</w:t>
          </w:r>
          <w:r>
            <w:fldChar w:fldCharType="end"/>
          </w:r>
          <w:r>
            <w:fldChar w:fldCharType="end"/>
          </w:r>
        </w:p>
        <w:p w14:paraId="2BD3661C">
          <w:pPr>
            <w:pStyle w:val="22"/>
            <w:tabs>
              <w:tab w:val="right" w:leader="dot" w:pos="9900"/>
            </w:tabs>
          </w:pPr>
          <w:r>
            <w:fldChar w:fldCharType="begin"/>
          </w:r>
          <w:r>
            <w:instrText xml:space="preserve"> HYPERLINK \l _Toc12078 </w:instrText>
          </w:r>
          <w:r>
            <w:fldChar w:fldCharType="separate"/>
          </w:r>
          <w:r>
            <w:t>2.10 Recommendations</w:t>
          </w:r>
          <w:r>
            <w:tab/>
          </w:r>
          <w:r>
            <w:fldChar w:fldCharType="begin"/>
          </w:r>
          <w:r>
            <w:instrText xml:space="preserve"> PAGEREF _Toc12078 \h </w:instrText>
          </w:r>
          <w:r>
            <w:fldChar w:fldCharType="separate"/>
          </w:r>
          <w:r>
            <w:t>21</w:t>
          </w:r>
          <w:r>
            <w:fldChar w:fldCharType="end"/>
          </w:r>
          <w:r>
            <w:fldChar w:fldCharType="end"/>
          </w:r>
        </w:p>
        <w:p w14:paraId="7DE35428">
          <w:pPr>
            <w:pStyle w:val="22"/>
            <w:tabs>
              <w:tab w:val="right" w:leader="dot" w:pos="9900"/>
            </w:tabs>
          </w:pPr>
          <w:r>
            <w:fldChar w:fldCharType="begin"/>
          </w:r>
          <w:r>
            <w:instrText xml:space="preserve"> HYPERLINK \l _Toc21049 </w:instrText>
          </w:r>
          <w:r>
            <w:fldChar w:fldCharType="separate"/>
          </w:r>
          <w:r>
            <w:t>2.11 Conclusion</w:t>
          </w:r>
          <w:r>
            <w:tab/>
          </w:r>
          <w:r>
            <w:fldChar w:fldCharType="begin"/>
          </w:r>
          <w:r>
            <w:instrText xml:space="preserve"> PAGEREF _Toc21049 \h </w:instrText>
          </w:r>
          <w:r>
            <w:fldChar w:fldCharType="separate"/>
          </w:r>
          <w:r>
            <w:t>21</w:t>
          </w:r>
          <w:r>
            <w:fldChar w:fldCharType="end"/>
          </w:r>
          <w:r>
            <w:fldChar w:fldCharType="end"/>
          </w:r>
        </w:p>
        <w:p w14:paraId="79FABDE0">
          <w:pPr>
            <w:pStyle w:val="21"/>
            <w:tabs>
              <w:tab w:val="right" w:leader="dot" w:pos="9900"/>
            </w:tabs>
          </w:pPr>
          <w:r>
            <w:fldChar w:fldCharType="begin"/>
          </w:r>
          <w:r>
            <w:instrText xml:space="preserve"> HYPERLINK \l _Toc11639 </w:instrText>
          </w:r>
          <w:r>
            <w:fldChar w:fldCharType="separate"/>
          </w:r>
          <w:r>
            <w:rPr>
              <w:bCs/>
              <w:szCs w:val="28"/>
            </w:rPr>
            <w:t>Chapter 3</w:t>
          </w:r>
          <w:r>
            <w:tab/>
          </w:r>
          <w:r>
            <w:fldChar w:fldCharType="begin"/>
          </w:r>
          <w:r>
            <w:instrText xml:space="preserve"> PAGEREF _Toc11639 \h </w:instrText>
          </w:r>
          <w:r>
            <w:fldChar w:fldCharType="separate"/>
          </w:r>
          <w:r>
            <w:t>22</w:t>
          </w:r>
          <w:r>
            <w:fldChar w:fldCharType="end"/>
          </w:r>
          <w:r>
            <w:fldChar w:fldCharType="end"/>
          </w:r>
        </w:p>
        <w:p w14:paraId="7FAE8539">
          <w:pPr>
            <w:pStyle w:val="21"/>
            <w:tabs>
              <w:tab w:val="right" w:leader="dot" w:pos="9900"/>
            </w:tabs>
          </w:pPr>
          <w:r>
            <w:fldChar w:fldCharType="begin"/>
          </w:r>
          <w:r>
            <w:instrText xml:space="preserve"> HYPERLINK \l _Toc10065 </w:instrText>
          </w:r>
          <w:r>
            <w:fldChar w:fldCharType="separate"/>
          </w:r>
          <w:r>
            <w:rPr>
              <w:bCs/>
              <w:szCs w:val="28"/>
            </w:rPr>
            <w:t>Literature Review: Theoretical Foundations of Human Resource Management</w:t>
          </w:r>
          <w:r>
            <w:tab/>
          </w:r>
          <w:r>
            <w:fldChar w:fldCharType="begin"/>
          </w:r>
          <w:r>
            <w:instrText xml:space="preserve"> PAGEREF _Toc10065 \h </w:instrText>
          </w:r>
          <w:r>
            <w:fldChar w:fldCharType="separate"/>
          </w:r>
          <w:r>
            <w:t>22</w:t>
          </w:r>
          <w:r>
            <w:fldChar w:fldCharType="end"/>
          </w:r>
          <w:r>
            <w:fldChar w:fldCharType="end"/>
          </w:r>
        </w:p>
        <w:p w14:paraId="7296E4BE">
          <w:pPr>
            <w:pStyle w:val="22"/>
            <w:tabs>
              <w:tab w:val="right" w:leader="dot" w:pos="9900"/>
            </w:tabs>
          </w:pPr>
          <w:r>
            <w:fldChar w:fldCharType="begin"/>
          </w:r>
          <w:r>
            <w:instrText xml:space="preserve"> HYPERLINK \l _Toc19699 </w:instrText>
          </w:r>
          <w:r>
            <w:fldChar w:fldCharType="separate"/>
          </w:r>
          <w:r>
            <w:t>3.1  Introduction</w:t>
          </w:r>
          <w:r>
            <w:tab/>
          </w:r>
          <w:r>
            <w:fldChar w:fldCharType="begin"/>
          </w:r>
          <w:r>
            <w:instrText xml:space="preserve"> PAGEREF _Toc19699 \h </w:instrText>
          </w:r>
          <w:r>
            <w:fldChar w:fldCharType="separate"/>
          </w:r>
          <w:r>
            <w:t>22</w:t>
          </w:r>
          <w:r>
            <w:fldChar w:fldCharType="end"/>
          </w:r>
          <w:r>
            <w:fldChar w:fldCharType="end"/>
          </w:r>
        </w:p>
        <w:p w14:paraId="5E2F9BAB">
          <w:pPr>
            <w:pStyle w:val="22"/>
            <w:tabs>
              <w:tab w:val="right" w:leader="dot" w:pos="9900"/>
            </w:tabs>
          </w:pPr>
          <w:r>
            <w:fldChar w:fldCharType="begin"/>
          </w:r>
          <w:r>
            <w:instrText xml:space="preserve"> HYPERLINK \l _Toc16552 </w:instrText>
          </w:r>
          <w:r>
            <w:fldChar w:fldCharType="separate"/>
          </w:r>
          <w:r>
            <w:t>3.2  Recruitment and Selection</w:t>
          </w:r>
          <w:r>
            <w:tab/>
          </w:r>
          <w:r>
            <w:fldChar w:fldCharType="begin"/>
          </w:r>
          <w:r>
            <w:instrText xml:space="preserve"> PAGEREF _Toc16552 \h </w:instrText>
          </w:r>
          <w:r>
            <w:fldChar w:fldCharType="separate"/>
          </w:r>
          <w:r>
            <w:t>22</w:t>
          </w:r>
          <w:r>
            <w:fldChar w:fldCharType="end"/>
          </w:r>
          <w:r>
            <w:fldChar w:fldCharType="end"/>
          </w:r>
        </w:p>
        <w:p w14:paraId="53E83682">
          <w:pPr>
            <w:pStyle w:val="22"/>
            <w:tabs>
              <w:tab w:val="right" w:leader="dot" w:pos="9900"/>
            </w:tabs>
          </w:pPr>
          <w:r>
            <w:fldChar w:fldCharType="begin"/>
          </w:r>
          <w:r>
            <w:instrText xml:space="preserve"> HYPERLINK \l _Toc7465 </w:instrText>
          </w:r>
          <w:r>
            <w:fldChar w:fldCharType="separate"/>
          </w:r>
          <w:r>
            <w:t>3.3  Training and Development</w:t>
          </w:r>
          <w:r>
            <w:tab/>
          </w:r>
          <w:r>
            <w:fldChar w:fldCharType="begin"/>
          </w:r>
          <w:r>
            <w:instrText xml:space="preserve"> PAGEREF _Toc7465 \h </w:instrText>
          </w:r>
          <w:r>
            <w:fldChar w:fldCharType="separate"/>
          </w:r>
          <w:r>
            <w:t>25</w:t>
          </w:r>
          <w:r>
            <w:fldChar w:fldCharType="end"/>
          </w:r>
          <w:r>
            <w:fldChar w:fldCharType="end"/>
          </w:r>
        </w:p>
        <w:p w14:paraId="67194CCF">
          <w:pPr>
            <w:pStyle w:val="22"/>
            <w:tabs>
              <w:tab w:val="right" w:leader="dot" w:pos="9900"/>
            </w:tabs>
          </w:pPr>
          <w:r>
            <w:fldChar w:fldCharType="begin"/>
          </w:r>
          <w:r>
            <w:instrText xml:space="preserve"> HYPERLINK \l _Toc28791 </w:instrText>
          </w:r>
          <w:r>
            <w:fldChar w:fldCharType="separate"/>
          </w:r>
          <w:r>
            <w:t>3.4  Compensation and Benefits</w:t>
          </w:r>
          <w:r>
            <w:tab/>
          </w:r>
          <w:r>
            <w:fldChar w:fldCharType="begin"/>
          </w:r>
          <w:r>
            <w:instrText xml:space="preserve"> PAGEREF _Toc28791 \h </w:instrText>
          </w:r>
          <w:r>
            <w:fldChar w:fldCharType="separate"/>
          </w:r>
          <w:r>
            <w:t>29</w:t>
          </w:r>
          <w:r>
            <w:fldChar w:fldCharType="end"/>
          </w:r>
          <w:r>
            <w:fldChar w:fldCharType="end"/>
          </w:r>
        </w:p>
        <w:p w14:paraId="42122FFA">
          <w:pPr>
            <w:pStyle w:val="22"/>
            <w:tabs>
              <w:tab w:val="right" w:leader="dot" w:pos="9900"/>
            </w:tabs>
          </w:pPr>
          <w:r>
            <w:fldChar w:fldCharType="begin"/>
          </w:r>
          <w:r>
            <w:instrText xml:space="preserve"> HYPERLINK \l _Toc19727 </w:instrText>
          </w:r>
          <w:r>
            <w:fldChar w:fldCharType="separate"/>
          </w:r>
          <w:r>
            <w:t>3.5  Performance Management</w:t>
          </w:r>
          <w:r>
            <w:tab/>
          </w:r>
          <w:r>
            <w:fldChar w:fldCharType="begin"/>
          </w:r>
          <w:r>
            <w:instrText xml:space="preserve"> PAGEREF _Toc19727 \h </w:instrText>
          </w:r>
          <w:r>
            <w:fldChar w:fldCharType="separate"/>
          </w:r>
          <w:r>
            <w:t>32</w:t>
          </w:r>
          <w:r>
            <w:fldChar w:fldCharType="end"/>
          </w:r>
          <w:r>
            <w:fldChar w:fldCharType="end"/>
          </w:r>
        </w:p>
        <w:p w14:paraId="213D65FD">
          <w:pPr>
            <w:pStyle w:val="22"/>
            <w:tabs>
              <w:tab w:val="right" w:leader="dot" w:pos="9900"/>
            </w:tabs>
          </w:pPr>
          <w:r>
            <w:fldChar w:fldCharType="begin"/>
          </w:r>
          <w:r>
            <w:instrText xml:space="preserve"> HYPERLINK \l _Toc16625 </w:instrText>
          </w:r>
          <w:r>
            <w:fldChar w:fldCharType="separate"/>
          </w:r>
          <w:r>
            <w:t>3.6  Employee Relations</w:t>
          </w:r>
          <w:r>
            <w:tab/>
          </w:r>
          <w:r>
            <w:fldChar w:fldCharType="begin"/>
          </w:r>
          <w:r>
            <w:instrText xml:space="preserve"> PAGEREF _Toc16625 \h </w:instrText>
          </w:r>
          <w:r>
            <w:fldChar w:fldCharType="separate"/>
          </w:r>
          <w:r>
            <w:t>35</w:t>
          </w:r>
          <w:r>
            <w:fldChar w:fldCharType="end"/>
          </w:r>
          <w:r>
            <w:fldChar w:fldCharType="end"/>
          </w:r>
        </w:p>
        <w:p w14:paraId="19283FAB">
          <w:pPr>
            <w:pStyle w:val="22"/>
            <w:tabs>
              <w:tab w:val="right" w:leader="dot" w:pos="9900"/>
            </w:tabs>
          </w:pPr>
          <w:r>
            <w:fldChar w:fldCharType="begin"/>
          </w:r>
          <w:r>
            <w:instrText xml:space="preserve"> HYPERLINK \l _Toc1481 </w:instrText>
          </w:r>
          <w:r>
            <w:fldChar w:fldCharType="separate"/>
          </w:r>
          <w:r>
            <w:t>3.7  Chapter Summary</w:t>
          </w:r>
          <w:r>
            <w:tab/>
          </w:r>
          <w:r>
            <w:fldChar w:fldCharType="begin"/>
          </w:r>
          <w:r>
            <w:instrText xml:space="preserve"> PAGEREF _Toc1481 \h </w:instrText>
          </w:r>
          <w:r>
            <w:fldChar w:fldCharType="separate"/>
          </w:r>
          <w:r>
            <w:t>39</w:t>
          </w:r>
          <w:r>
            <w:fldChar w:fldCharType="end"/>
          </w:r>
          <w:r>
            <w:fldChar w:fldCharType="end"/>
          </w:r>
        </w:p>
        <w:p w14:paraId="3D629B63">
          <w:pPr>
            <w:pStyle w:val="21"/>
            <w:tabs>
              <w:tab w:val="right" w:leader="dot" w:pos="9900"/>
            </w:tabs>
          </w:pPr>
          <w:r>
            <w:fldChar w:fldCharType="begin"/>
          </w:r>
          <w:r>
            <w:instrText xml:space="preserve"> HYPERLINK \l _Toc25939 </w:instrText>
          </w:r>
          <w:r>
            <w:fldChar w:fldCharType="separate"/>
          </w:r>
          <w:r>
            <w:rPr>
              <w:bCs/>
              <w:szCs w:val="28"/>
            </w:rPr>
            <w:t>CHAPTER 4</w:t>
          </w:r>
          <w:r>
            <w:tab/>
          </w:r>
          <w:r>
            <w:fldChar w:fldCharType="begin"/>
          </w:r>
          <w:r>
            <w:instrText xml:space="preserve"> PAGEREF _Toc25939 \h </w:instrText>
          </w:r>
          <w:r>
            <w:fldChar w:fldCharType="separate"/>
          </w:r>
          <w:r>
            <w:t>40</w:t>
          </w:r>
          <w:r>
            <w:fldChar w:fldCharType="end"/>
          </w:r>
          <w:r>
            <w:fldChar w:fldCharType="end"/>
          </w:r>
        </w:p>
        <w:p w14:paraId="5C563B51">
          <w:pPr>
            <w:pStyle w:val="22"/>
            <w:tabs>
              <w:tab w:val="right" w:leader="dot" w:pos="9900"/>
            </w:tabs>
          </w:pPr>
          <w:r>
            <w:fldChar w:fldCharType="begin"/>
          </w:r>
          <w:r>
            <w:instrText xml:space="preserve"> HYPERLINK \l _Toc1709 </w:instrText>
          </w:r>
          <w:r>
            <w:fldChar w:fldCharType="separate"/>
          </w:r>
          <w:r>
            <w:t>4.1  Introduction</w:t>
          </w:r>
          <w:r>
            <w:tab/>
          </w:r>
          <w:r>
            <w:fldChar w:fldCharType="begin"/>
          </w:r>
          <w:r>
            <w:instrText xml:space="preserve"> PAGEREF _Toc1709 \h </w:instrText>
          </w:r>
          <w:r>
            <w:fldChar w:fldCharType="separate"/>
          </w:r>
          <w:r>
            <w:t>40</w:t>
          </w:r>
          <w:r>
            <w:fldChar w:fldCharType="end"/>
          </w:r>
          <w:r>
            <w:fldChar w:fldCharType="end"/>
          </w:r>
        </w:p>
        <w:p w14:paraId="34438BFA">
          <w:pPr>
            <w:pStyle w:val="22"/>
            <w:tabs>
              <w:tab w:val="right" w:leader="dot" w:pos="9900"/>
            </w:tabs>
          </w:pPr>
          <w:r>
            <w:fldChar w:fldCharType="begin"/>
          </w:r>
          <w:r>
            <w:instrText xml:space="preserve"> HYPERLINK \l _Toc7719 </w:instrText>
          </w:r>
          <w:r>
            <w:fldChar w:fldCharType="separate"/>
          </w:r>
          <w:r>
            <w:t>4.2  Comparison of Organizational HR Practices with Literature</w:t>
          </w:r>
          <w:r>
            <w:tab/>
          </w:r>
          <w:r>
            <w:fldChar w:fldCharType="begin"/>
          </w:r>
          <w:r>
            <w:instrText xml:space="preserve"> PAGEREF _Toc7719 \h </w:instrText>
          </w:r>
          <w:r>
            <w:fldChar w:fldCharType="separate"/>
          </w:r>
          <w:r>
            <w:t>41</w:t>
          </w:r>
          <w:r>
            <w:fldChar w:fldCharType="end"/>
          </w:r>
          <w:r>
            <w:fldChar w:fldCharType="end"/>
          </w:r>
        </w:p>
        <w:p w14:paraId="648112BE">
          <w:pPr>
            <w:pStyle w:val="22"/>
            <w:tabs>
              <w:tab w:val="right" w:leader="dot" w:pos="9900"/>
            </w:tabs>
          </w:pPr>
          <w:r>
            <w:fldChar w:fldCharType="begin"/>
          </w:r>
          <w:r>
            <w:instrText xml:space="preserve"> HYPERLINK \l _Toc29395 </w:instrText>
          </w:r>
          <w:r>
            <w:fldChar w:fldCharType="separate"/>
          </w:r>
          <w:r>
            <w:t>4.3  Discussion on Study Objectives</w:t>
          </w:r>
          <w:r>
            <w:tab/>
          </w:r>
          <w:r>
            <w:fldChar w:fldCharType="begin"/>
          </w:r>
          <w:r>
            <w:instrText xml:space="preserve"> PAGEREF _Toc29395 \h </w:instrText>
          </w:r>
          <w:r>
            <w:fldChar w:fldCharType="separate"/>
          </w:r>
          <w:r>
            <w:t>51</w:t>
          </w:r>
          <w:r>
            <w:fldChar w:fldCharType="end"/>
          </w:r>
          <w:r>
            <w:fldChar w:fldCharType="end"/>
          </w:r>
        </w:p>
        <w:p w14:paraId="5227C029">
          <w:pPr>
            <w:pStyle w:val="22"/>
            <w:tabs>
              <w:tab w:val="right" w:leader="dot" w:pos="9900"/>
            </w:tabs>
          </w:pPr>
          <w:r>
            <w:fldChar w:fldCharType="begin"/>
          </w:r>
          <w:r>
            <w:instrText xml:space="preserve"> HYPERLINK \l _Toc14964 </w:instrText>
          </w:r>
          <w:r>
            <w:fldChar w:fldCharType="separate"/>
          </w:r>
          <w:r>
            <w:t>4.4  Comparative Analysis of Key HR Areas</w:t>
          </w:r>
          <w:r>
            <w:tab/>
          </w:r>
          <w:r>
            <w:fldChar w:fldCharType="begin"/>
          </w:r>
          <w:r>
            <w:instrText xml:space="preserve"> PAGEREF _Toc14964 \h </w:instrText>
          </w:r>
          <w:r>
            <w:fldChar w:fldCharType="separate"/>
          </w:r>
          <w:r>
            <w:t>54</w:t>
          </w:r>
          <w:r>
            <w:fldChar w:fldCharType="end"/>
          </w:r>
          <w:r>
            <w:fldChar w:fldCharType="end"/>
          </w:r>
        </w:p>
        <w:p w14:paraId="18F652CB">
          <w:pPr>
            <w:pStyle w:val="22"/>
            <w:tabs>
              <w:tab w:val="right" w:leader="dot" w:pos="9900"/>
            </w:tabs>
          </w:pPr>
          <w:r>
            <w:fldChar w:fldCharType="begin"/>
          </w:r>
          <w:r>
            <w:instrText xml:space="preserve"> HYPERLINK \l _Toc3539 </w:instrText>
          </w:r>
          <w:r>
            <w:fldChar w:fldCharType="separate"/>
          </w:r>
          <w:r>
            <w:t>4.5  Major Findings of the Study</w:t>
          </w:r>
          <w:r>
            <w:tab/>
          </w:r>
          <w:r>
            <w:fldChar w:fldCharType="begin"/>
          </w:r>
          <w:r>
            <w:instrText xml:space="preserve"> PAGEREF _Toc3539 \h </w:instrText>
          </w:r>
          <w:r>
            <w:fldChar w:fldCharType="separate"/>
          </w:r>
          <w:r>
            <w:t>58</w:t>
          </w:r>
          <w:r>
            <w:fldChar w:fldCharType="end"/>
          </w:r>
          <w:r>
            <w:fldChar w:fldCharType="end"/>
          </w:r>
        </w:p>
        <w:p w14:paraId="21218A93">
          <w:pPr>
            <w:pStyle w:val="22"/>
            <w:tabs>
              <w:tab w:val="right" w:leader="dot" w:pos="9900"/>
            </w:tabs>
          </w:pPr>
          <w:r>
            <w:fldChar w:fldCharType="begin"/>
          </w:r>
          <w:r>
            <w:instrText xml:space="preserve"> HYPERLINK \l _Toc25443 </w:instrText>
          </w:r>
          <w:r>
            <w:fldChar w:fldCharType="separate"/>
          </w:r>
          <w:r>
            <w:t>4.6  Recommendations Based on Comparative Analysis</w:t>
          </w:r>
          <w:r>
            <w:tab/>
          </w:r>
          <w:r>
            <w:fldChar w:fldCharType="begin"/>
          </w:r>
          <w:r>
            <w:instrText xml:space="preserve"> PAGEREF _Toc25443 \h </w:instrText>
          </w:r>
          <w:r>
            <w:fldChar w:fldCharType="separate"/>
          </w:r>
          <w:r>
            <w:t>60</w:t>
          </w:r>
          <w:r>
            <w:fldChar w:fldCharType="end"/>
          </w:r>
          <w:r>
            <w:fldChar w:fldCharType="end"/>
          </w:r>
        </w:p>
        <w:p w14:paraId="3C4B7F92">
          <w:pPr>
            <w:pStyle w:val="22"/>
            <w:tabs>
              <w:tab w:val="right" w:leader="dot" w:pos="9900"/>
            </w:tabs>
          </w:pPr>
          <w:r>
            <w:fldChar w:fldCharType="begin"/>
          </w:r>
          <w:r>
            <w:instrText xml:space="preserve"> HYPERLINK \l _Toc18524 </w:instrText>
          </w:r>
          <w:r>
            <w:fldChar w:fldCharType="separate"/>
          </w:r>
          <w:r>
            <w:t>4.7  Conclusion</w:t>
          </w:r>
          <w:r>
            <w:tab/>
          </w:r>
          <w:r>
            <w:fldChar w:fldCharType="begin"/>
          </w:r>
          <w:r>
            <w:instrText xml:space="preserve"> PAGEREF _Toc18524 \h </w:instrText>
          </w:r>
          <w:r>
            <w:fldChar w:fldCharType="separate"/>
          </w:r>
          <w:r>
            <w:t>64</w:t>
          </w:r>
          <w:r>
            <w:fldChar w:fldCharType="end"/>
          </w:r>
          <w:r>
            <w:fldChar w:fldCharType="end"/>
          </w:r>
        </w:p>
        <w:p w14:paraId="302369AC">
          <w:pPr>
            <w:pStyle w:val="21"/>
            <w:tabs>
              <w:tab w:val="right" w:leader="dot" w:pos="9900"/>
            </w:tabs>
          </w:pPr>
          <w:r>
            <w:fldChar w:fldCharType="begin"/>
          </w:r>
          <w:r>
            <w:instrText xml:space="preserve"> HYPERLINK \l _Toc10856 </w:instrText>
          </w:r>
          <w:r>
            <w:fldChar w:fldCharType="separate"/>
          </w:r>
          <w:r>
            <w:rPr>
              <w:bCs/>
              <w:szCs w:val="28"/>
            </w:rPr>
            <w:t>APPENDIX</w:t>
          </w:r>
          <w:r>
            <w:tab/>
          </w:r>
          <w:r>
            <w:fldChar w:fldCharType="begin"/>
          </w:r>
          <w:r>
            <w:instrText xml:space="preserve"> PAGEREF _Toc10856 \h </w:instrText>
          </w:r>
          <w:r>
            <w:fldChar w:fldCharType="separate"/>
          </w:r>
          <w:r>
            <w:t>69</w:t>
          </w:r>
          <w:r>
            <w:fldChar w:fldCharType="end"/>
          </w:r>
          <w:r>
            <w:fldChar w:fldCharType="end"/>
          </w:r>
        </w:p>
        <w:p w14:paraId="2E25B699">
          <w:pPr>
            <w:pStyle w:val="22"/>
            <w:tabs>
              <w:tab w:val="right" w:leader="dot" w:pos="9900"/>
            </w:tabs>
          </w:pPr>
          <w:r>
            <w:fldChar w:fldCharType="begin"/>
          </w:r>
          <w:r>
            <w:instrText xml:space="preserve"> HYPERLINK \l _Toc19337 </w:instrText>
          </w:r>
          <w:r>
            <w:fldChar w:fldCharType="separate"/>
          </w:r>
          <w:r>
            <w:t>I</w:t>
          </w:r>
          <w:r>
            <w:rPr>
              <w:lang w:val="en-US"/>
            </w:rPr>
            <w:t>nterview Questionaire</w:t>
          </w:r>
          <w:r>
            <w:tab/>
          </w:r>
          <w:r>
            <w:fldChar w:fldCharType="begin"/>
          </w:r>
          <w:r>
            <w:instrText xml:space="preserve"> PAGEREF _Toc19337 \h </w:instrText>
          </w:r>
          <w:r>
            <w:fldChar w:fldCharType="separate"/>
          </w:r>
          <w:r>
            <w:t>69</w:t>
          </w:r>
          <w:r>
            <w:fldChar w:fldCharType="end"/>
          </w:r>
          <w:r>
            <w:fldChar w:fldCharType="end"/>
          </w:r>
        </w:p>
        <w:p w14:paraId="1575CF25">
          <w:pPr>
            <w:pStyle w:val="22"/>
            <w:tabs>
              <w:tab w:val="right" w:leader="dot" w:pos="9900"/>
            </w:tabs>
          </w:pPr>
          <w:r>
            <w:fldChar w:fldCharType="begin"/>
          </w:r>
          <w:r>
            <w:instrText xml:space="preserve"> HYPERLINK \l _Toc25543 </w:instrText>
          </w:r>
          <w:r>
            <w:fldChar w:fldCharType="separate"/>
          </w:r>
          <w:r>
            <w:rPr>
              <w:lang w:val="en-US"/>
            </w:rPr>
            <w:t>Visit Pictures</w:t>
          </w:r>
          <w:r>
            <w:tab/>
          </w:r>
          <w:r>
            <w:fldChar w:fldCharType="begin"/>
          </w:r>
          <w:r>
            <w:instrText xml:space="preserve"> PAGEREF _Toc25543 \h </w:instrText>
          </w:r>
          <w:r>
            <w:fldChar w:fldCharType="separate"/>
          </w:r>
          <w:r>
            <w:t>70</w:t>
          </w:r>
          <w:r>
            <w:fldChar w:fldCharType="end"/>
          </w:r>
          <w:r>
            <w:fldChar w:fldCharType="end"/>
          </w:r>
        </w:p>
        <w:p w14:paraId="008CA472">
          <w:pPr>
            <w:pStyle w:val="22"/>
            <w:tabs>
              <w:tab w:val="right" w:leader="dot" w:pos="9900"/>
            </w:tabs>
          </w:pPr>
          <w:r>
            <w:fldChar w:fldCharType="begin"/>
          </w:r>
          <w:r>
            <w:instrText xml:space="preserve"> HYPERLINK \l _Toc29662 </w:instrText>
          </w:r>
          <w:r>
            <w:fldChar w:fldCharType="separate"/>
          </w:r>
          <w:r>
            <w:rPr>
              <w:lang w:val="en-US"/>
            </w:rPr>
            <w:t>Supporting Document</w:t>
          </w:r>
          <w:r>
            <w:tab/>
          </w:r>
          <w:r>
            <w:fldChar w:fldCharType="begin"/>
          </w:r>
          <w:r>
            <w:instrText xml:space="preserve"> PAGEREF _Toc29662 \h </w:instrText>
          </w:r>
          <w:r>
            <w:fldChar w:fldCharType="separate"/>
          </w:r>
          <w:r>
            <w:t>71</w:t>
          </w:r>
          <w:r>
            <w:fldChar w:fldCharType="end"/>
          </w:r>
          <w:r>
            <w:fldChar w:fldCharType="end"/>
          </w:r>
        </w:p>
        <w:p w14:paraId="4E45EB88">
          <w:r>
            <w:fldChar w:fldCharType="end"/>
          </w:r>
        </w:p>
        <w:p w14:paraId="765B3D0B"/>
      </w:sdtContent>
    </w:sdt>
    <w:p w14:paraId="77DB3793">
      <w:pPr>
        <w:rPr>
          <w:rFonts w:hint="eastAsia" w:eastAsiaTheme="minorEastAsia"/>
          <w:lang w:val="en-US"/>
        </w:rPr>
        <w:sectPr>
          <w:pgSz w:w="12240" w:h="15840"/>
          <w:pgMar w:top="1080" w:right="1080" w:bottom="1080" w:left="1260" w:header="708" w:footer="708" w:gutter="0"/>
          <w:cols w:space="720" w:num="1"/>
          <w:docGrid w:linePitch="360" w:charSpace="0"/>
        </w:sectPr>
      </w:pPr>
    </w:p>
    <w:p w14:paraId="3CCCFDA3">
      <w:pPr>
        <w:rPr>
          <w:b/>
          <w:bCs/>
          <w:lang w:val="en-US"/>
        </w:rPr>
      </w:pPr>
      <w:r>
        <w:rPr>
          <w:b/>
          <w:bCs/>
          <w:lang w:val="en-US"/>
        </w:rPr>
        <w:t>List of Tables</w:t>
      </w:r>
    </w:p>
    <w:p w14:paraId="0CEE5772">
      <w:pPr>
        <w:rPr>
          <w:b/>
          <w:bCs/>
          <w:color w:val="000000" w:themeColor="text1"/>
          <w:sz w:val="28"/>
          <w:szCs w:val="28"/>
          <w:lang w:val="en-US"/>
          <w14:textFill>
            <w14:solidFill>
              <w14:schemeClr w14:val="tx1"/>
            </w14:solidFill>
          </w14:textFill>
        </w:rPr>
      </w:pPr>
    </w:p>
    <w:p w14:paraId="20AF0CF7">
      <w:pPr>
        <w:spacing w:line="360" w:lineRule="auto"/>
        <w:rPr>
          <w:i/>
          <w:iCs/>
        </w:rPr>
      </w:pPr>
      <w:r>
        <w:rPr>
          <w:i/>
          <w:iCs/>
        </w:rPr>
        <w:t>Table 1</w:t>
      </w:r>
      <w:r>
        <w:rPr>
          <w:i/>
          <w:iCs/>
          <w:lang w:val="en-US"/>
        </w:rPr>
        <w:t>.1</w:t>
      </w:r>
      <w:r>
        <w:rPr>
          <w:i/>
          <w:iCs/>
        </w:rPr>
        <w:t xml:space="preserve"> – Millat Tractors Limited: Company at a Glance</w:t>
      </w:r>
    </w:p>
    <w:p w14:paraId="2D2603D1">
      <w:pPr>
        <w:spacing w:line="360" w:lineRule="auto"/>
        <w:rPr>
          <w:i/>
          <w:iCs/>
        </w:rPr>
      </w:pPr>
      <w:r>
        <w:rPr>
          <w:i/>
          <w:iCs/>
        </w:rPr>
        <w:t xml:space="preserve">Table </w:t>
      </w:r>
      <w:r>
        <w:rPr>
          <w:i/>
          <w:iCs/>
          <w:lang w:val="en-US"/>
        </w:rPr>
        <w:t>1.</w:t>
      </w:r>
      <w:r>
        <w:rPr>
          <w:i/>
          <w:iCs/>
        </w:rPr>
        <w:t>2 – HR vs. Organizational Practice Comparison</w:t>
      </w:r>
    </w:p>
    <w:p w14:paraId="6DFC77FF">
      <w:pPr>
        <w:spacing w:line="360" w:lineRule="auto"/>
        <w:rPr>
          <w:i/>
          <w:iCs/>
        </w:rPr>
      </w:pPr>
      <w:r>
        <w:rPr>
          <w:i/>
          <w:iCs/>
        </w:rPr>
        <w:t xml:space="preserve">Table </w:t>
      </w:r>
      <w:r>
        <w:rPr>
          <w:i/>
          <w:iCs/>
          <w:lang w:val="en-US"/>
        </w:rPr>
        <w:t>1.</w:t>
      </w:r>
      <w:r>
        <w:rPr>
          <w:i/>
          <w:iCs/>
        </w:rPr>
        <w:t>3 – Key Milestones in MTL's History</w:t>
      </w:r>
    </w:p>
    <w:p w14:paraId="656F7D66">
      <w:pPr>
        <w:spacing w:line="360" w:lineRule="auto"/>
        <w:rPr>
          <w:i/>
          <w:iCs/>
        </w:rPr>
      </w:pPr>
      <w:r>
        <w:rPr>
          <w:i/>
          <w:iCs/>
        </w:rPr>
        <w:t xml:space="preserve">Table </w:t>
      </w:r>
      <w:r>
        <w:rPr>
          <w:i/>
          <w:iCs/>
          <w:lang w:val="en-US"/>
        </w:rPr>
        <w:t>1.</w:t>
      </w:r>
      <w:r>
        <w:rPr>
          <w:i/>
          <w:iCs/>
        </w:rPr>
        <w:t>4 – Millat Group: Strategic Business Units</w:t>
      </w:r>
    </w:p>
    <w:p w14:paraId="2AD50D4E">
      <w:pPr>
        <w:spacing w:line="360" w:lineRule="auto"/>
        <w:rPr>
          <w:i/>
          <w:iCs/>
        </w:rPr>
      </w:pPr>
      <w:r>
        <w:rPr>
          <w:i/>
          <w:iCs/>
        </w:rPr>
        <w:t xml:space="preserve">Table </w:t>
      </w:r>
      <w:r>
        <w:rPr>
          <w:i/>
          <w:iCs/>
          <w:lang w:val="en-US"/>
        </w:rPr>
        <w:t>1.</w:t>
      </w:r>
      <w:r>
        <w:rPr>
          <w:i/>
          <w:iCs/>
        </w:rPr>
        <w:t>5 – MTL Product Lines and Selected Models</w:t>
      </w:r>
    </w:p>
    <w:p w14:paraId="396F3339">
      <w:pPr>
        <w:spacing w:line="360" w:lineRule="auto"/>
        <w:rPr>
          <w:i/>
          <w:iCs/>
        </w:rPr>
      </w:pPr>
      <w:r>
        <w:rPr>
          <w:i/>
          <w:iCs/>
        </w:rPr>
        <w:t xml:space="preserve">Table </w:t>
      </w:r>
      <w:r>
        <w:rPr>
          <w:i/>
          <w:iCs/>
          <w:lang w:val="en-US"/>
        </w:rPr>
        <w:t>1.6</w:t>
      </w:r>
      <w:r>
        <w:rPr>
          <w:i/>
          <w:iCs/>
        </w:rPr>
        <w:t xml:space="preserve"> – The Five Core HRM Functions</w:t>
      </w:r>
    </w:p>
    <w:p w14:paraId="2F3E449A">
      <w:pPr>
        <w:spacing w:line="360" w:lineRule="auto"/>
        <w:rPr>
          <w:i/>
          <w:iCs/>
        </w:rPr>
      </w:pPr>
      <w:r>
        <w:rPr>
          <w:i/>
          <w:iCs/>
        </w:rPr>
        <w:t xml:space="preserve">Table </w:t>
      </w:r>
      <w:r>
        <w:rPr>
          <w:i/>
          <w:iCs/>
          <w:lang w:val="en-US"/>
        </w:rPr>
        <w:t>1.7</w:t>
      </w:r>
      <w:r>
        <w:rPr>
          <w:i/>
          <w:iCs/>
        </w:rPr>
        <w:t>– HRM's Strategic Role: The Three-Level Link</w:t>
      </w:r>
    </w:p>
    <w:p w14:paraId="57A3DA2B">
      <w:pPr>
        <w:spacing w:line="360" w:lineRule="auto"/>
        <w:rPr>
          <w:i/>
          <w:iCs/>
        </w:rPr>
      </w:pPr>
      <w:r>
        <w:rPr>
          <w:i/>
          <w:iCs/>
        </w:rPr>
        <w:t xml:space="preserve">Table </w:t>
      </w:r>
      <w:r>
        <w:rPr>
          <w:i/>
          <w:iCs/>
          <w:lang w:val="en-US"/>
        </w:rPr>
        <w:t>1.8</w:t>
      </w:r>
      <w:r>
        <w:rPr>
          <w:i/>
          <w:iCs/>
        </w:rPr>
        <w:t>– The Strategic HRM Bridge</w:t>
      </w:r>
    </w:p>
    <w:p w14:paraId="67EB1A08">
      <w:pPr>
        <w:spacing w:line="360" w:lineRule="auto"/>
        <w:rPr>
          <w:i/>
          <w:iCs/>
        </w:rPr>
      </w:pPr>
      <w:r>
        <w:rPr>
          <w:i/>
          <w:iCs/>
        </w:rPr>
        <w:t>Table 2.1: Interview Details</w:t>
      </w:r>
    </w:p>
    <w:p w14:paraId="379CE635">
      <w:pPr>
        <w:spacing w:line="360" w:lineRule="auto"/>
        <w:rPr>
          <w:i/>
          <w:iCs/>
        </w:rPr>
      </w:pPr>
      <w:r>
        <w:rPr>
          <w:i/>
          <w:iCs/>
        </w:rPr>
        <w:t>Table 2.2: Salary Structure at Millat Tractors Limited</w:t>
      </w:r>
    </w:p>
    <w:p w14:paraId="55652031">
      <w:pPr>
        <w:spacing w:line="360" w:lineRule="auto"/>
        <w:rPr>
          <w:i/>
          <w:iCs/>
        </w:rPr>
      </w:pPr>
      <w:r>
        <w:rPr>
          <w:i/>
          <w:iCs/>
        </w:rPr>
        <w:t>Table 4.1: Comparison of Recruitment and Selection Practice</w:t>
      </w:r>
    </w:p>
    <w:p w14:paraId="0B076AA7">
      <w:pPr>
        <w:spacing w:line="360" w:lineRule="auto"/>
        <w:rPr>
          <w:i/>
          <w:iCs/>
        </w:rPr>
      </w:pPr>
      <w:r>
        <w:rPr>
          <w:i/>
          <w:iCs/>
        </w:rPr>
        <w:t>Table 4.2: Comparison of Training and Development Practices</w:t>
      </w:r>
    </w:p>
    <w:p w14:paraId="483F584B">
      <w:pPr>
        <w:spacing w:line="360" w:lineRule="auto"/>
        <w:rPr>
          <w:i/>
          <w:iCs/>
        </w:rPr>
      </w:pPr>
      <w:r>
        <w:rPr>
          <w:i/>
          <w:iCs/>
        </w:rPr>
        <w:t>Table 4.3: Comparison of Performance Management Practices</w:t>
      </w:r>
    </w:p>
    <w:p w14:paraId="48985759">
      <w:pPr>
        <w:spacing w:line="360" w:lineRule="auto"/>
        <w:rPr>
          <w:i/>
          <w:iCs/>
        </w:rPr>
      </w:pPr>
      <w:r>
        <w:rPr>
          <w:i/>
          <w:iCs/>
        </w:rPr>
        <w:t>Table 4.4: Comparison of Compensation and Benefits Practices</w:t>
      </w:r>
    </w:p>
    <w:p w14:paraId="41B6AAE1">
      <w:pPr>
        <w:spacing w:line="360" w:lineRule="auto"/>
        <w:rPr>
          <w:i/>
          <w:iCs/>
        </w:rPr>
      </w:pPr>
      <w:r>
        <w:rPr>
          <w:i/>
          <w:iCs/>
        </w:rPr>
        <w:t>Table 4.5: Comparison of Employee Relations Practices</w:t>
      </w:r>
    </w:p>
    <w:p w14:paraId="31E9BFD0">
      <w:pPr>
        <w:spacing w:line="360" w:lineRule="auto"/>
        <w:rPr>
          <w:i/>
          <w:iCs/>
        </w:rPr>
      </w:pPr>
      <w:r>
        <w:rPr>
          <w:i/>
          <w:iCs/>
        </w:rPr>
        <w:t>Table 4.6: Summary of Major HR Implementation Gaps</w:t>
      </w:r>
    </w:p>
    <w:p w14:paraId="6AD1BC4E">
      <w:pPr>
        <w:rPr>
          <w:b/>
          <w:bCs/>
          <w:color w:val="000000" w:themeColor="text1"/>
          <w:sz w:val="28"/>
          <w:szCs w:val="28"/>
          <w:lang w:val="en-US"/>
          <w14:textFill>
            <w14:solidFill>
              <w14:schemeClr w14:val="tx1"/>
            </w14:solidFill>
          </w14:textFill>
        </w:rPr>
        <w:sectPr>
          <w:pgSz w:w="12240" w:h="15840"/>
          <w:pgMar w:top="1080" w:right="1080" w:bottom="1080" w:left="1260" w:header="708" w:footer="708" w:gutter="0"/>
          <w:cols w:space="720" w:num="1"/>
          <w:docGrid w:linePitch="360" w:charSpace="0"/>
        </w:sectPr>
      </w:pPr>
    </w:p>
    <w:p w14:paraId="7CF49906">
      <w:pPr>
        <w:pStyle w:val="2"/>
        <w:jc w:val="center"/>
        <w:rPr>
          <w:b/>
          <w:bCs/>
          <w:color w:val="000000" w:themeColor="text1"/>
          <w:sz w:val="28"/>
          <w:szCs w:val="28"/>
          <w14:textFill>
            <w14:solidFill>
              <w14:schemeClr w14:val="tx1"/>
            </w14:solidFill>
          </w14:textFill>
        </w:rPr>
      </w:pPr>
      <w:bookmarkStart w:id="4" w:name="_Toc11722"/>
      <w:bookmarkStart w:id="5" w:name="_Toc21373"/>
      <w:bookmarkStart w:id="6" w:name="_Toc12107"/>
      <w:bookmarkStart w:id="7" w:name="_Toc29369"/>
      <w:bookmarkStart w:id="8" w:name="_Toc10370"/>
      <w:r>
        <w:rPr>
          <w:b/>
          <w:bCs/>
          <w:color w:val="000000" w:themeColor="text1"/>
          <w:sz w:val="28"/>
          <w:szCs w:val="28"/>
          <w14:textFill>
            <w14:solidFill>
              <w14:schemeClr w14:val="tx1"/>
            </w14:solidFill>
          </w14:textFill>
        </w:rPr>
        <w:t>Chapter 1</w:t>
      </w:r>
      <w:bookmarkEnd w:id="3"/>
      <w:bookmarkEnd w:id="4"/>
      <w:bookmarkEnd w:id="5"/>
      <w:bookmarkEnd w:id="6"/>
      <w:bookmarkEnd w:id="7"/>
      <w:bookmarkEnd w:id="8"/>
    </w:p>
    <w:p w14:paraId="4572C47E"/>
    <w:p w14:paraId="277B2469">
      <w:pPr>
        <w:pStyle w:val="3"/>
        <w:jc w:val="center"/>
      </w:pPr>
      <w:bookmarkStart w:id="9" w:name="_Toc19771"/>
      <w:bookmarkStart w:id="10" w:name="_Toc12421"/>
      <w:bookmarkStart w:id="11" w:name="_Toc4753"/>
      <w:bookmarkStart w:id="12" w:name="_Toc1894"/>
      <w:bookmarkStart w:id="13" w:name="_Toc5343"/>
      <w:r>
        <w:rPr>
          <w:lang w:val="en-US"/>
        </w:rPr>
        <w:t>1.1</w:t>
      </w:r>
      <w:r>
        <w:t xml:space="preserve"> </w:t>
      </w:r>
      <w:bookmarkStart w:id="14" w:name="_Toc3682"/>
      <w:r>
        <w:t>Introduction of Millat Tractors Limited</w:t>
      </w:r>
      <w:bookmarkEnd w:id="9"/>
      <w:bookmarkEnd w:id="10"/>
      <w:bookmarkEnd w:id="11"/>
      <w:bookmarkEnd w:id="12"/>
      <w:bookmarkEnd w:id="13"/>
      <w:bookmarkEnd w:id="14"/>
    </w:p>
    <w:p w14:paraId="0481D2B8">
      <w:pPr>
        <w:spacing w:before="80" w:after="8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Millat Tractors Limited (MTL) is Pakistan’s biggest manufacturer of agricultural and industrial machinery, with about 70 percent of the country’s tractor market. The company was established in 1964 and is based in Lahore. It manufactures and markets the world-famous Massey Ferguson (MF) tractor brand under a licensing agreement with AGCO Limited, UK. MTL is a diversified engineering group, not a single product company. The company makes tractors, diesel generators, forklift trucks, agricultural implements, and spare parts.</w:t>
      </w:r>
    </w:p>
    <w:p w14:paraId="27E22C87">
      <w:pPr>
        <w:spacing w:before="80" w:after="8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MTL is listed on the Pakistan Stock Exchange (PSX: MTL) and currently has a direct workforce of about 464 employees. The company is a symbol of industrial self-reliance, with a localization rate of 94%, which means out of 100 components, 94 are sourced or built within Pakistan. It has a wide dealer and after-sales network across the country, ensuring that even farmers in the remote parts of the country can access its products and services.</w:t>
      </w:r>
    </w:p>
    <w:p w14:paraId="0D64D6B6">
      <w:pPr>
        <w:spacing w:before="60" w:after="80" w:line="360" w:lineRule="auto"/>
        <w:jc w:val="center"/>
        <w:rPr>
          <w:color w:val="000000" w:themeColor="text1"/>
          <w14:textFill>
            <w14:solidFill>
              <w14:schemeClr w14:val="tx1"/>
            </w14:solidFill>
          </w14:textFill>
        </w:rPr>
      </w:pPr>
      <w:r>
        <w:rPr>
          <w:i/>
          <w:iCs/>
          <w:color w:val="000000" w:themeColor="text1"/>
          <w14:textFill>
            <w14:solidFill>
              <w14:schemeClr w14:val="tx1"/>
            </w14:solidFill>
          </w14:textFill>
        </w:rPr>
        <w:t>Table 1</w:t>
      </w:r>
      <w:r>
        <w:rPr>
          <w:i/>
          <w:iCs/>
          <w:color w:val="000000" w:themeColor="text1"/>
          <w:lang w:val="en-US"/>
          <w14:textFill>
            <w14:solidFill>
              <w14:schemeClr w14:val="tx1"/>
            </w14:solidFill>
          </w14:textFill>
        </w:rPr>
        <w:t>.1</w:t>
      </w:r>
      <w:r>
        <w:rPr>
          <w:i/>
          <w:iCs/>
          <w:color w:val="000000" w:themeColor="text1"/>
          <w14:textFill>
            <w14:solidFill>
              <w14:schemeClr w14:val="tx1"/>
            </w14:solidFill>
          </w14:textFill>
        </w:rPr>
        <w:t xml:space="preserve"> – Millat Tractors Limited: Company at a Glance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7B82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9" w:hRule="atLeast"/>
          <w:tblHeader/>
        </w:trPr>
        <w:tc>
          <w:tcPr>
            <w:tcW w:w="32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54244781">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Detail</w:t>
            </w:r>
          </w:p>
        </w:tc>
        <w:tc>
          <w:tcPr>
            <w:tcW w:w="616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7C60FD60">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Information</w:t>
            </w:r>
          </w:p>
        </w:tc>
      </w:tr>
      <w:tr w14:paraId="0E318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2FBF2B38">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Founded</w:t>
            </w:r>
          </w:p>
        </w:tc>
        <w:tc>
          <w:tcPr>
            <w:tcW w:w="61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66784A4F">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1964</w:t>
            </w:r>
          </w:p>
        </w:tc>
      </w:tr>
      <w:tr w14:paraId="765A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673AECD8">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Original Name</w:t>
            </w:r>
          </w:p>
        </w:tc>
        <w:tc>
          <w:tcPr>
            <w:tcW w:w="61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68AE82AF">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Rana Tractors and Equipment Limited</w:t>
            </w:r>
          </w:p>
        </w:tc>
      </w:tr>
      <w:tr w14:paraId="7415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5D7B743C">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Headquarters</w:t>
            </w:r>
          </w:p>
        </w:tc>
        <w:tc>
          <w:tcPr>
            <w:tcW w:w="61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3F7CC617">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Lahore, Pakistan (Sheikhupura Road &amp; Raiwind Road)</w:t>
            </w:r>
          </w:p>
        </w:tc>
      </w:tr>
      <w:tr w14:paraId="008DF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06ED6675">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Listing</w:t>
            </w:r>
          </w:p>
        </w:tc>
        <w:tc>
          <w:tcPr>
            <w:tcW w:w="61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568B3257">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Pakistan Stock Exchange (PSX: MTL)</w:t>
            </w:r>
          </w:p>
        </w:tc>
      </w:tr>
      <w:tr w14:paraId="67A2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11569000">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CEO (2026)</w:t>
            </w:r>
          </w:p>
        </w:tc>
        <w:tc>
          <w:tcPr>
            <w:tcW w:w="61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4BFE9CEB">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Raheel Asghar</w:t>
            </w:r>
          </w:p>
        </w:tc>
      </w:tr>
      <w:tr w14:paraId="144C4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488ABA0B">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Key Product</w:t>
            </w:r>
          </w:p>
        </w:tc>
        <w:tc>
          <w:tcPr>
            <w:tcW w:w="61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1A9A3DAE">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Massey Ferguson Tractors (License: AGCO Ltd., UK)</w:t>
            </w:r>
          </w:p>
        </w:tc>
      </w:tr>
      <w:tr w14:paraId="13E0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086F5319">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Market Share</w:t>
            </w:r>
          </w:p>
        </w:tc>
        <w:tc>
          <w:tcPr>
            <w:tcW w:w="61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0A1B0F7E">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70% of Pakistan's tractor market</w:t>
            </w:r>
          </w:p>
        </w:tc>
      </w:tr>
      <w:tr w14:paraId="557F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45032472">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Localization Rate</w:t>
            </w:r>
          </w:p>
        </w:tc>
        <w:tc>
          <w:tcPr>
            <w:tcW w:w="61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52A14EDA">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94% locally manufactured components</w:t>
            </w:r>
          </w:p>
        </w:tc>
      </w:tr>
      <w:tr w14:paraId="5A9C6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02E85C54">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Employees (2025)</w:t>
            </w:r>
          </w:p>
        </w:tc>
        <w:tc>
          <w:tcPr>
            <w:tcW w:w="61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13F51F09">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464 direct employees</w:t>
            </w:r>
          </w:p>
        </w:tc>
      </w:tr>
      <w:tr w14:paraId="2F6E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27C875E6">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Subsidiaries</w:t>
            </w:r>
          </w:p>
        </w:tc>
        <w:tc>
          <w:tcPr>
            <w:tcW w:w="61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634E948D">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Bolan Castings Ltd · Millat Equipment Ltd · Millat Industrial Products Ltd</w:t>
            </w:r>
          </w:p>
        </w:tc>
      </w:tr>
    </w:tbl>
    <w:p w14:paraId="45CD136B">
      <w:pPr>
        <w:spacing w:before="60" w:after="60" w:line="360" w:lineRule="auto"/>
        <w:rPr>
          <w:color w:val="000000" w:themeColor="text1"/>
          <w14:textFill>
            <w14:solidFill>
              <w14:schemeClr w14:val="tx1"/>
            </w14:solidFill>
          </w14:textFill>
        </w:rPr>
      </w:pPr>
    </w:p>
    <w:p w14:paraId="46B7D2DA">
      <w:pPr>
        <w:pStyle w:val="3"/>
        <w:jc w:val="center"/>
      </w:pPr>
      <w:bookmarkStart w:id="15" w:name="_Toc21858"/>
      <w:bookmarkStart w:id="16" w:name="_Toc28752"/>
      <w:bookmarkStart w:id="17" w:name="_Toc181"/>
      <w:bookmarkStart w:id="18" w:name="_Toc22867"/>
      <w:bookmarkStart w:id="19" w:name="_Toc13134"/>
      <w:bookmarkStart w:id="20" w:name="_Toc24318"/>
      <w:r>
        <w:rPr>
          <w:lang w:val="en-US"/>
        </w:rPr>
        <w:t>1.</w:t>
      </w:r>
      <w:r>
        <w:t>2  Observing HR and Organizational Practices at MTL</w:t>
      </w:r>
      <w:bookmarkEnd w:id="15"/>
      <w:bookmarkEnd w:id="16"/>
      <w:bookmarkEnd w:id="17"/>
      <w:bookmarkEnd w:id="18"/>
      <w:bookmarkEnd w:id="19"/>
      <w:bookmarkEnd w:id="20"/>
    </w:p>
    <w:p w14:paraId="062B0B91">
      <w:pPr>
        <w:spacing w:before="60" w:after="60" w:line="360" w:lineRule="auto"/>
        <w:rPr>
          <w:color w:val="000000" w:themeColor="text1"/>
          <w14:textFill>
            <w14:solidFill>
              <w14:schemeClr w14:val="tx1"/>
            </w14:solidFill>
          </w14:textFill>
        </w:rPr>
      </w:pPr>
      <w:r>
        <w:rPr>
          <w:color w:val="000000" w:themeColor="text1"/>
          <w14:textFill>
            <w14:solidFill>
              <w14:schemeClr w14:val="tx1"/>
            </w14:solidFill>
          </w14:textFill>
        </w:rPr>
        <w:t>Millat Tractors Limited’s HR and organizational practices reflect a distinctive combination of stability of a traditional manufacturing concern and contemporary corporate governance. What makes MTL unique is not just the paper record of the HR department, but the culture behind those practices, built on decades of collective ownership, technical pride, and long-term loyalty.</w:t>
      </w:r>
    </w:p>
    <w:p w14:paraId="41B5AC0A">
      <w:pPr>
        <w:pStyle w:val="4"/>
      </w:pPr>
      <w:bookmarkStart w:id="21" w:name="_Toc21265"/>
      <w:bookmarkStart w:id="22" w:name="_Toc7573"/>
      <w:bookmarkStart w:id="23" w:name="_Toc24885"/>
      <w:r>
        <w:rPr>
          <w:lang w:val="en-US"/>
        </w:rPr>
        <w:t xml:space="preserve">1.2.1 </w:t>
      </w:r>
      <w:r>
        <w:t>Human Resource Practices</w:t>
      </w:r>
      <w:bookmarkEnd w:id="21"/>
      <w:bookmarkEnd w:id="22"/>
      <w:bookmarkEnd w:id="23"/>
    </w:p>
    <w:p w14:paraId="1171DC20">
      <w:pPr>
        <w:spacing w:before="140" w:after="60" w:line="360" w:lineRule="auto"/>
        <w:rPr>
          <w:color w:val="000000" w:themeColor="text1"/>
          <w14:textFill>
            <w14:solidFill>
              <w14:schemeClr w14:val="tx1"/>
            </w14:solidFill>
          </w14:textFill>
        </w:rPr>
      </w:pPr>
      <w:r>
        <w:rPr>
          <w:color w:val="000000" w:themeColor="text1"/>
          <w14:textFill>
            <w14:solidFill>
              <w14:schemeClr w14:val="tx1"/>
            </w14:solidFill>
          </w14:textFill>
        </w:rPr>
        <w:t>MTL’s HR function is involved in all aspects of workforce management: structured recruitment for technical and managerial positions, on-the-job training in line with AGCO UK’s quality standards, regular performance appraisal with KPI-linked reviews, competitive salaries with benefits such as medical cover, provident fund, and education awards for employees’ children. Always ensure compliance with Pakistani labour law (EOBI, Social Security, health, and safety).</w:t>
      </w:r>
    </w:p>
    <w:p w14:paraId="5D31B574">
      <w:pPr>
        <w:pStyle w:val="4"/>
      </w:pPr>
      <w:bookmarkStart w:id="24" w:name="_Toc19088"/>
      <w:bookmarkStart w:id="25" w:name="_Toc17176"/>
      <w:bookmarkStart w:id="26" w:name="_Toc15344"/>
      <w:r>
        <w:rPr>
          <w:lang w:val="en-US"/>
        </w:rPr>
        <w:t xml:space="preserve">1.2.2 </w:t>
      </w:r>
      <w:r>
        <w:t>Organizational Practices</w:t>
      </w:r>
      <w:bookmarkEnd w:id="24"/>
      <w:bookmarkEnd w:id="25"/>
      <w:bookmarkEnd w:id="26"/>
    </w:p>
    <w:p w14:paraId="07FEA6BC">
      <w:pPr>
        <w:spacing w:before="60" w:after="60" w:line="360" w:lineRule="auto"/>
        <w:rPr>
          <w:color w:val="000000" w:themeColor="text1"/>
          <w14:textFill>
            <w14:solidFill>
              <w14:schemeClr w14:val="tx1"/>
            </w14:solidFill>
          </w14:textFill>
        </w:rPr>
      </w:pPr>
      <w:r>
        <w:rPr>
          <w:color w:val="000000" w:themeColor="text1"/>
          <w14:textFill>
            <w14:solidFill>
              <w14:schemeClr w14:val="tx1"/>
            </w14:solidFill>
          </w14:textFill>
        </w:rPr>
        <w:t>MTL’s culture is shaped by a strong sense of ownership, which goes back to when employees bought the company in 1992. Because of this, people tend to stay for a long time, and management has a somewhat protective, family-like approach. Skills and loyalty are highly respected across the organization. This mindset is supported by the Kaizen Excellence program, where every quarter, employees at all levels share ideas to improve productivity and safety. It keeps everyone involved and encourages constant improvement rather than one-time fixes. As a publicly listed company, MTL follows strict governance standards and has received several awards for its corporate management practices. It also uses an IFS ERP system across all its operations, helping leaders make decisions based on accurate, real-time data. Beyond business, MTL is active in social responsibility. It generates around 800,000 kWh of solar energy each year, runs tree plantation drives, provides flood relief in 2025, and offers scholarships for employees’ children.</w:t>
      </w:r>
    </w:p>
    <w:p w14:paraId="7A2A2858">
      <w:pPr>
        <w:spacing w:before="60" w:after="60" w:line="360" w:lineRule="auto"/>
        <w:rPr>
          <w:color w:val="000000" w:themeColor="text1"/>
          <w14:textFill>
            <w14:solidFill>
              <w14:schemeClr w14:val="tx1"/>
            </w14:solidFill>
          </w14:textFill>
        </w:rPr>
      </w:pPr>
    </w:p>
    <w:p w14:paraId="73E44536">
      <w:pPr>
        <w:spacing w:before="60" w:after="80" w:line="360" w:lineRule="auto"/>
        <w:jc w:val="center"/>
        <w:rPr>
          <w:color w:val="000000" w:themeColor="text1"/>
          <w14:textFill>
            <w14:solidFill>
              <w14:schemeClr w14:val="tx1"/>
            </w14:solidFill>
          </w14:textFill>
        </w:rPr>
      </w:pPr>
      <w:r>
        <w:rPr>
          <w:i/>
          <w:iCs/>
          <w:color w:val="000000" w:themeColor="text1"/>
          <w14:textFill>
            <w14:solidFill>
              <w14:schemeClr w14:val="tx1"/>
            </w14:solidFill>
          </w14:textFill>
        </w:rPr>
        <w:t xml:space="preserve">Table </w:t>
      </w:r>
      <w:r>
        <w:rPr>
          <w:i/>
          <w:iCs/>
          <w:color w:val="000000" w:themeColor="text1"/>
          <w:lang w:val="en-US"/>
          <w14:textFill>
            <w14:solidFill>
              <w14:schemeClr w14:val="tx1"/>
            </w14:solidFill>
          </w14:textFill>
        </w:rPr>
        <w:t>1.</w:t>
      </w:r>
      <w:r>
        <w:rPr>
          <w:i/>
          <w:iCs/>
          <w:color w:val="000000" w:themeColor="text1"/>
          <w14:textFill>
            <w14:solidFill>
              <w14:schemeClr w14:val="tx1"/>
            </w14:solidFill>
          </w14:textFill>
        </w:rPr>
        <w:t>2 – HR vs. Organizational Practice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50F7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9" w:hRule="atLeast"/>
          <w:tblHeader/>
        </w:trPr>
        <w:tc>
          <w:tcPr>
            <w:tcW w:w="18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538DB705">
            <w:pPr>
              <w:spacing w:line="360" w:lineRule="auto"/>
              <w:jc w:val="center"/>
            </w:pPr>
            <w:r>
              <w:rPr>
                <w:b/>
                <w:bCs/>
              </w:rPr>
              <w:t>Dimension</w:t>
            </w:r>
          </w:p>
        </w:tc>
        <w:tc>
          <w:tcPr>
            <w:tcW w:w="378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088A1093">
            <w:pPr>
              <w:spacing w:line="360" w:lineRule="auto"/>
              <w:jc w:val="center"/>
            </w:pPr>
            <w:r>
              <w:rPr>
                <w:b/>
                <w:bCs/>
              </w:rPr>
              <w:t>HR Practices</w:t>
            </w:r>
          </w:p>
        </w:tc>
        <w:tc>
          <w:tcPr>
            <w:tcW w:w="378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7B52A590">
            <w:pPr>
              <w:spacing w:line="360" w:lineRule="auto"/>
              <w:jc w:val="center"/>
            </w:pPr>
            <w:r>
              <w:rPr>
                <w:b/>
                <w:bCs/>
              </w:rPr>
              <w:t>Organizational Practices</w:t>
            </w:r>
          </w:p>
        </w:tc>
      </w:tr>
      <w:tr w14:paraId="1031A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00ECC408">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Focus</w:t>
            </w:r>
          </w:p>
        </w:tc>
        <w:tc>
          <w:tcPr>
            <w:tcW w:w="378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730BF288">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Managing people, hiring, training, pay, and compliance</w:t>
            </w:r>
          </w:p>
        </w:tc>
        <w:tc>
          <w:tcPr>
            <w:tcW w:w="378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6E60F814">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Culture, governance, CSR, and strategic direction</w:t>
            </w:r>
          </w:p>
        </w:tc>
      </w:tr>
      <w:tr w14:paraId="6DA1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4B8C466D">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Key Example</w:t>
            </w:r>
          </w:p>
        </w:tc>
        <w:tc>
          <w:tcPr>
            <w:tcW w:w="378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2521E381">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Structured recruitment &amp; KPI-based appraisals</w:t>
            </w:r>
          </w:p>
        </w:tc>
        <w:tc>
          <w:tcPr>
            <w:tcW w:w="378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3FB0C5FC">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Kaizen Excellence program &amp; employee ownership culture</w:t>
            </w:r>
          </w:p>
        </w:tc>
      </w:tr>
      <w:tr w14:paraId="5509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7CFEC9F3">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Outcome</w:t>
            </w:r>
          </w:p>
        </w:tc>
        <w:tc>
          <w:tcPr>
            <w:tcW w:w="378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2AC50550">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Skilled, motivated, legally compliant workforce</w:t>
            </w:r>
          </w:p>
        </w:tc>
        <w:tc>
          <w:tcPr>
            <w:tcW w:w="378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29042D48">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High retention, innovation, and market leadership</w:t>
            </w:r>
          </w:p>
        </w:tc>
      </w:tr>
    </w:tbl>
    <w:p w14:paraId="770291B8">
      <w:pPr>
        <w:spacing w:before="60" w:after="60" w:line="360" w:lineRule="auto"/>
        <w:rPr>
          <w:color w:val="000000" w:themeColor="text1"/>
          <w14:textFill>
            <w14:solidFill>
              <w14:schemeClr w14:val="tx1"/>
            </w14:solidFill>
          </w14:textFill>
        </w:rPr>
      </w:pPr>
    </w:p>
    <w:p w14:paraId="69ACF5E9">
      <w:pPr>
        <w:pStyle w:val="3"/>
        <w:jc w:val="center"/>
      </w:pPr>
      <w:bookmarkStart w:id="27" w:name="_Toc30394"/>
      <w:bookmarkStart w:id="28" w:name="_Toc6298"/>
      <w:bookmarkStart w:id="29" w:name="_Toc9784"/>
      <w:bookmarkStart w:id="30" w:name="_Toc5069"/>
      <w:bookmarkStart w:id="31" w:name="_Toc29620"/>
      <w:bookmarkStart w:id="32" w:name="_Toc5676"/>
      <w:r>
        <w:rPr>
          <w:lang w:val="en-US"/>
        </w:rPr>
        <w:t>1.</w:t>
      </w:r>
      <w:r>
        <w:t>3  When It Started, How It Started and Progress Till Now</w:t>
      </w:r>
      <w:bookmarkEnd w:id="27"/>
      <w:bookmarkEnd w:id="28"/>
      <w:bookmarkEnd w:id="29"/>
      <w:bookmarkEnd w:id="30"/>
      <w:bookmarkEnd w:id="31"/>
      <w:bookmarkEnd w:id="32"/>
    </w:p>
    <w:p w14:paraId="03A953A0">
      <w:pPr>
        <w:spacing w:before="80" w:after="8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Millat Tractors Limited was established in 1964 as Rana Tractors and Equipment Limited by brothers Rana Khudadad Khan and Rana Allahdad Khan. The company was originally set up as a commercial importer of Massey Ferguson tractors from the UK, importing them as Completely Built Units (CBU). its first real move to manufacturing in 1967, it moved towards local assembly of tractors from Semi Knocked-Down (SKD) kits at its Lahore plant in order to cut costs. The company was listed in 1965 on the Karachi Stock Exchange.</w:t>
      </w:r>
    </w:p>
    <w:p w14:paraId="7507C835">
      <w:pPr>
        <w:spacing w:before="60" w:after="60" w:line="360" w:lineRule="auto"/>
        <w:rPr>
          <w:color w:val="000000" w:themeColor="text1"/>
          <w14:textFill>
            <w14:solidFill>
              <w14:schemeClr w14:val="tx1"/>
            </w14:solidFill>
          </w14:textFill>
        </w:rPr>
      </w:pPr>
      <w:r>
        <w:rPr>
          <w:color w:val="000000" w:themeColor="text1"/>
          <w14:textFill>
            <w14:solidFill>
              <w14:schemeClr w14:val="tx1"/>
            </w14:solidFill>
          </w14:textFill>
        </w:rPr>
        <w:t>Millat Tractors Limited was renamed by Zulfikar Ali Bhutto’s government after it took over the company in 1972. Even under state control, MTL achieved a historic technical milestone in 1982 when it established the first tractor engine assembly line in Pakistan. In 1985, the company was taken over by Sikandar Mustafa Khan, widely regarded as the architect of the modern Millat era, who led the company towards privatization. In 1992, the government privatised the company to the employees for PKR 305.97 million, which is considered one of the celebrated privatisations in Pakistan’s corporate history. Today the company’s CEO is Raheel Asghar and it continues to dominate the tractor industry of Pakistan.</w:t>
      </w:r>
    </w:p>
    <w:p w14:paraId="0E7AC2FB">
      <w:pPr>
        <w:spacing w:before="60" w:after="80" w:line="360" w:lineRule="auto"/>
        <w:jc w:val="center"/>
        <w:rPr>
          <w:color w:val="000000" w:themeColor="text1"/>
          <w14:textFill>
            <w14:solidFill>
              <w14:schemeClr w14:val="tx1"/>
            </w14:solidFill>
          </w14:textFill>
        </w:rPr>
      </w:pPr>
      <w:r>
        <w:rPr>
          <w:i/>
          <w:iCs/>
          <w:color w:val="000000" w:themeColor="text1"/>
          <w14:textFill>
            <w14:solidFill>
              <w14:schemeClr w14:val="tx1"/>
            </w14:solidFill>
          </w14:textFill>
        </w:rPr>
        <w:t xml:space="preserve">Table </w:t>
      </w:r>
      <w:r>
        <w:rPr>
          <w:i/>
          <w:iCs/>
          <w:color w:val="000000" w:themeColor="text1"/>
          <w:lang w:val="en-US"/>
          <w14:textFill>
            <w14:solidFill>
              <w14:schemeClr w14:val="tx1"/>
            </w14:solidFill>
          </w14:textFill>
        </w:rPr>
        <w:t>1.</w:t>
      </w:r>
      <w:r>
        <w:rPr>
          <w:i/>
          <w:iCs/>
          <w:color w:val="000000" w:themeColor="text1"/>
          <w14:textFill>
            <w14:solidFill>
              <w14:schemeClr w14:val="tx1"/>
            </w14:solidFill>
          </w14:textFill>
        </w:rPr>
        <w:t>3 – Key Milestones in MTL's 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5860"/>
      </w:tblGrid>
      <w:tr w14:paraId="37F4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1FFFB173">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Era</w:t>
            </w:r>
          </w:p>
        </w:tc>
        <w:tc>
          <w:tcPr>
            <w:tcW w:w="20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116C15F9">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Milestone</w:t>
            </w:r>
          </w:p>
        </w:tc>
        <w:tc>
          <w:tcPr>
            <w:tcW w:w="586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60D1F995">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Description</w:t>
            </w:r>
          </w:p>
        </w:tc>
      </w:tr>
      <w:tr w14:paraId="5DF2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4DEF0409">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1964</w:t>
            </w:r>
          </w:p>
        </w:tc>
        <w:tc>
          <w:tcPr>
            <w:tcW w:w="20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50F26ED9">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Founded</w:t>
            </w:r>
          </w:p>
        </w:tc>
        <w:tc>
          <w:tcPr>
            <w:tcW w:w="58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701CB580">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Established as Rana Tractors; imported MF tractors as CBU; listed on KSE in 1965.</w:t>
            </w:r>
          </w:p>
        </w:tc>
      </w:tr>
      <w:tr w14:paraId="550B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412885BF">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1967</w:t>
            </w:r>
          </w:p>
        </w:tc>
        <w:tc>
          <w:tcPr>
            <w:tcW w:w="20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4F2DCB1E">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Local Assembly</w:t>
            </w:r>
          </w:p>
        </w:tc>
        <w:tc>
          <w:tcPr>
            <w:tcW w:w="58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27668135">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Shifted to SKD kit assembly at Lahore, the first step toward manufacturing.</w:t>
            </w:r>
          </w:p>
        </w:tc>
      </w:tr>
      <w:tr w14:paraId="048A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64352499">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1972</w:t>
            </w:r>
          </w:p>
        </w:tc>
        <w:tc>
          <w:tcPr>
            <w:tcW w:w="20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19B989FB">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Nationalization</w:t>
            </w:r>
          </w:p>
        </w:tc>
        <w:tc>
          <w:tcPr>
            <w:tcW w:w="58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57B7B0CE">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Renamed Millat Tractors Limited under Bhutto's nationalization policy.</w:t>
            </w:r>
          </w:p>
        </w:tc>
      </w:tr>
      <w:tr w14:paraId="66B7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4B36B74B">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1982</w:t>
            </w:r>
          </w:p>
        </w:tc>
        <w:tc>
          <w:tcPr>
            <w:tcW w:w="20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505064C1">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Engine Assembly</w:t>
            </w:r>
          </w:p>
        </w:tc>
        <w:tc>
          <w:tcPr>
            <w:tcW w:w="58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28B96211">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The first tractor engine assembly line was established in Pakistan.</w:t>
            </w:r>
          </w:p>
        </w:tc>
      </w:tr>
      <w:tr w14:paraId="0DC5C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0F7A7AFE">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1992</w:t>
            </w:r>
          </w:p>
        </w:tc>
        <w:tc>
          <w:tcPr>
            <w:tcW w:w="20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05BDBE66">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Employee Buyout</w:t>
            </w:r>
          </w:p>
        </w:tc>
        <w:tc>
          <w:tcPr>
            <w:tcW w:w="58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54C2AE79">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Employees purchased MTL for PKR 305.97 million, a landmark privatization.</w:t>
            </w:r>
          </w:p>
        </w:tc>
      </w:tr>
      <w:tr w14:paraId="670A3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78F23226">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1993–2001</w:t>
            </w:r>
          </w:p>
        </w:tc>
        <w:tc>
          <w:tcPr>
            <w:tcW w:w="20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33B4DE6D">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Vertical Integration</w:t>
            </w:r>
          </w:p>
        </w:tc>
        <w:tc>
          <w:tcPr>
            <w:tcW w:w="58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0D4AEAF8">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Acquired Bolan Castings; established Millat Equipment Ltd and Millat Industrial Products Ltd.</w:t>
            </w:r>
          </w:p>
        </w:tc>
      </w:tr>
      <w:tr w14:paraId="057C6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2973E5BC">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2011–2015</w:t>
            </w:r>
          </w:p>
        </w:tc>
        <w:tc>
          <w:tcPr>
            <w:tcW w:w="20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67D979B2">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Production Peak</w:t>
            </w:r>
          </w:p>
        </w:tc>
        <w:tc>
          <w:tcPr>
            <w:tcW w:w="58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612074B6">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Record output of 40,000+ tractors in a single year.</w:t>
            </w:r>
          </w:p>
        </w:tc>
      </w:tr>
      <w:tr w14:paraId="017B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197782F4">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2016–2024</w:t>
            </w:r>
          </w:p>
        </w:tc>
        <w:tc>
          <w:tcPr>
            <w:tcW w:w="20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7349C97F">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Global Expansion</w:t>
            </w:r>
          </w:p>
        </w:tc>
        <w:tc>
          <w:tcPr>
            <w:tcW w:w="58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7F554A84">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Aggressively exported to Africa; secured trade deals in Mexico; 2021 export record: 2,000 units.</w:t>
            </w:r>
          </w:p>
        </w:tc>
      </w:tr>
      <w:tr w14:paraId="292E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37821E14">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2025–2026</w:t>
            </w:r>
          </w:p>
        </w:tc>
        <w:tc>
          <w:tcPr>
            <w:tcW w:w="20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4840747B">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Modern Resilience</w:t>
            </w:r>
          </w:p>
        </w:tc>
        <w:tc>
          <w:tcPr>
            <w:tcW w:w="58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32DAAB50">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70% market share; 94% localization; solar energy (800,000 kWh/yr); IFS ERP integration.</w:t>
            </w:r>
          </w:p>
        </w:tc>
      </w:tr>
    </w:tbl>
    <w:p w14:paraId="545E767F">
      <w:pPr>
        <w:spacing w:before="60" w:after="60" w:line="360" w:lineRule="auto"/>
        <w:rPr>
          <w:color w:val="000000" w:themeColor="text1"/>
          <w14:textFill>
            <w14:solidFill>
              <w14:schemeClr w14:val="tx1"/>
            </w14:solidFill>
          </w14:textFill>
        </w:rPr>
      </w:pPr>
    </w:p>
    <w:p w14:paraId="6D8F16B2">
      <w:pPr>
        <w:pStyle w:val="3"/>
        <w:jc w:val="center"/>
      </w:pPr>
      <w:bookmarkStart w:id="33" w:name="_Toc17174"/>
      <w:bookmarkStart w:id="34" w:name="_Toc10461"/>
      <w:bookmarkStart w:id="35" w:name="_Toc26023"/>
      <w:bookmarkStart w:id="36" w:name="_Toc18203"/>
      <w:bookmarkStart w:id="37" w:name="_Toc7772"/>
      <w:bookmarkStart w:id="38" w:name="_Toc9840"/>
      <w:r>
        <w:rPr>
          <w:lang w:val="en-US"/>
        </w:rPr>
        <w:t>1.</w:t>
      </w:r>
      <w:r>
        <w:t>4</w:t>
      </w:r>
      <w:r>
        <w:rPr>
          <w:lang w:val="en-US"/>
        </w:rPr>
        <w:t xml:space="preserve"> </w:t>
      </w:r>
      <w:r>
        <w:t xml:space="preserve"> Products of MTL: Strategic Business Units and Product Lines</w:t>
      </w:r>
      <w:bookmarkEnd w:id="33"/>
      <w:bookmarkEnd w:id="34"/>
      <w:bookmarkEnd w:id="35"/>
      <w:bookmarkEnd w:id="36"/>
      <w:bookmarkEnd w:id="37"/>
      <w:bookmarkEnd w:id="38"/>
    </w:p>
    <w:p w14:paraId="6FB9C5B5">
      <w:pPr>
        <w:spacing w:before="60" w:after="60" w:line="360" w:lineRule="auto"/>
        <w:rPr>
          <w:color w:val="000000" w:themeColor="text1"/>
          <w14:textFill>
            <w14:solidFill>
              <w14:schemeClr w14:val="tx1"/>
            </w14:solidFill>
          </w14:textFill>
        </w:rPr>
      </w:pPr>
      <w:r>
        <w:rPr>
          <w:color w:val="000000" w:themeColor="text1"/>
          <w14:textFill>
            <w14:solidFill>
              <w14:schemeClr w14:val="tx1"/>
            </w14:solidFill>
          </w14:textFill>
        </w:rPr>
        <w:t>Millat Tractors Limited is a conglomerate of four Strategic Business Units (SBUs). This structure allows the group to control its own supply chain, maintain quality across the board, and diversify its revenue. The parent company, MTL, does the assembly and the marketing and there are three subsidiaries that do specialized manufacturing.</w:t>
      </w:r>
    </w:p>
    <w:p w14:paraId="1A614233">
      <w:pPr>
        <w:spacing w:before="60" w:after="80" w:line="360" w:lineRule="auto"/>
        <w:jc w:val="center"/>
        <w:rPr>
          <w:color w:val="000000" w:themeColor="text1"/>
          <w14:textFill>
            <w14:solidFill>
              <w14:schemeClr w14:val="tx1"/>
            </w14:solidFill>
          </w14:textFill>
        </w:rPr>
      </w:pPr>
      <w:r>
        <w:rPr>
          <w:i/>
          <w:iCs/>
          <w:color w:val="000000" w:themeColor="text1"/>
          <w14:textFill>
            <w14:solidFill>
              <w14:schemeClr w14:val="tx1"/>
            </w14:solidFill>
          </w14:textFill>
        </w:rPr>
        <w:t xml:space="preserve">Table </w:t>
      </w:r>
      <w:r>
        <w:rPr>
          <w:i/>
          <w:iCs/>
          <w:color w:val="000000" w:themeColor="text1"/>
          <w:lang w:val="en-US"/>
          <w14:textFill>
            <w14:solidFill>
              <w14:schemeClr w14:val="tx1"/>
            </w14:solidFill>
          </w14:textFill>
        </w:rPr>
        <w:t>1.</w:t>
      </w:r>
      <w:r>
        <w:rPr>
          <w:i/>
          <w:iCs/>
          <w:color w:val="000000" w:themeColor="text1"/>
          <w14:textFill>
            <w14:solidFill>
              <w14:schemeClr w14:val="tx1"/>
            </w14:solidFill>
          </w14:textFill>
        </w:rPr>
        <w:t>4 – Millat Group: Strategic Business Units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600"/>
        <w:gridCol w:w="4460"/>
      </w:tblGrid>
      <w:tr w14:paraId="5A96F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1BABAC8E">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SBU</w:t>
            </w:r>
          </w:p>
        </w:tc>
        <w:tc>
          <w:tcPr>
            <w:tcW w:w="26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0B95B072">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Core Focus</w:t>
            </w:r>
          </w:p>
        </w:tc>
        <w:tc>
          <w:tcPr>
            <w:tcW w:w="446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19E46986">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Key Products / Services</w:t>
            </w:r>
          </w:p>
        </w:tc>
      </w:tr>
      <w:tr w14:paraId="27974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5F1E1A1E">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Millat Tractors Limited (MTL)</w:t>
            </w:r>
          </w:p>
        </w:tc>
        <w:tc>
          <w:tcPr>
            <w:tcW w:w="26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2F948273">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Assembly &amp; marketing, agricultural and industrial machinery</w:t>
            </w:r>
          </w:p>
        </w:tc>
        <w:tc>
          <w:tcPr>
            <w:tcW w:w="44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68C50197">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MF Tractors · Diesel Generators · Forklifts · Agricultural Implements · IFS Applications</w:t>
            </w:r>
          </w:p>
        </w:tc>
      </w:tr>
      <w:tr w14:paraId="2DF5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44A3CB56">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Bolan Castings Limited</w:t>
            </w:r>
          </w:p>
        </w:tc>
        <w:tc>
          <w:tcPr>
            <w:tcW w:w="26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74589F77">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Foundry operations, automotive castings</w:t>
            </w:r>
          </w:p>
        </w:tc>
        <w:tc>
          <w:tcPr>
            <w:tcW w:w="44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35E8A923">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Cast components for tractors, automotive, and industrial parts</w:t>
            </w:r>
          </w:p>
        </w:tc>
      </w:tr>
      <w:tr w14:paraId="12EB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6A04F6E6">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Millat Equipment Limited (MEL)</w:t>
            </w:r>
          </w:p>
        </w:tc>
        <w:tc>
          <w:tcPr>
            <w:tcW w:w="26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04C25C31">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Precision gears and transmission components</w:t>
            </w:r>
          </w:p>
        </w:tc>
        <w:tc>
          <w:tcPr>
            <w:tcW w:w="44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3C05E7EE">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Spur/helical/spiral bevel gears · Hydraulic lift pumps · Transaxles · Balancer units</w:t>
            </w:r>
          </w:p>
        </w:tc>
      </w:tr>
      <w:tr w14:paraId="789EF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16E8E7EA">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Millat Industrial Products Limited</w:t>
            </w:r>
          </w:p>
        </w:tc>
        <w:tc>
          <w:tcPr>
            <w:tcW w:w="26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67F6F39F">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Battery manufacturing</w:t>
            </w:r>
          </w:p>
        </w:tc>
        <w:tc>
          <w:tcPr>
            <w:tcW w:w="44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6CE4D31A">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Vehicular and industrial batteries</w:t>
            </w:r>
          </w:p>
        </w:tc>
      </w:tr>
    </w:tbl>
    <w:p w14:paraId="17CCCDEB">
      <w:pPr>
        <w:spacing w:before="60" w:after="60" w:line="360" w:lineRule="auto"/>
        <w:rPr>
          <w:color w:val="000000" w:themeColor="text1"/>
          <w14:textFill>
            <w14:solidFill>
              <w14:schemeClr w14:val="tx1"/>
            </w14:solidFill>
          </w14:textFill>
        </w:rPr>
      </w:pPr>
    </w:p>
    <w:p w14:paraId="10F3E36F">
      <w:pPr>
        <w:pStyle w:val="4"/>
      </w:pPr>
      <w:bookmarkStart w:id="39" w:name="_Toc24973"/>
      <w:bookmarkStart w:id="40" w:name="_Toc290"/>
      <w:bookmarkStart w:id="41" w:name="_Toc31319"/>
      <w:r>
        <w:rPr>
          <w:lang w:val="en-US"/>
        </w:rPr>
        <w:t xml:space="preserve">1.4.1 </w:t>
      </w:r>
      <w:r>
        <w:t>MTL Product Lines (Core SBU)</w:t>
      </w:r>
      <w:bookmarkEnd w:id="39"/>
      <w:bookmarkEnd w:id="40"/>
      <w:bookmarkEnd w:id="41"/>
    </w:p>
    <w:p w14:paraId="6B9A8C26">
      <w:pPr>
        <w:spacing w:before="80" w:after="8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Within the MTL parent company, the product portfolio is organized into three product lines:</w:t>
      </w:r>
    </w:p>
    <w:p w14:paraId="71B42BFE">
      <w:pPr>
        <w:spacing w:before="60" w:after="80" w:line="360" w:lineRule="auto"/>
        <w:jc w:val="center"/>
        <w:rPr>
          <w:color w:val="000000" w:themeColor="text1"/>
          <w14:textFill>
            <w14:solidFill>
              <w14:schemeClr w14:val="tx1"/>
            </w14:solidFill>
          </w14:textFill>
        </w:rPr>
      </w:pPr>
      <w:r>
        <w:rPr>
          <w:i/>
          <w:iCs/>
          <w:color w:val="000000" w:themeColor="text1"/>
          <w14:textFill>
            <w14:solidFill>
              <w14:schemeClr w14:val="tx1"/>
            </w14:solidFill>
          </w14:textFill>
        </w:rPr>
        <w:t xml:space="preserve">Table </w:t>
      </w:r>
      <w:r>
        <w:rPr>
          <w:i/>
          <w:iCs/>
          <w:color w:val="000000" w:themeColor="text1"/>
          <w:lang w:val="en-US"/>
          <w14:textFill>
            <w14:solidFill>
              <w14:schemeClr w14:val="tx1"/>
            </w14:solidFill>
          </w14:textFill>
        </w:rPr>
        <w:t>1.</w:t>
      </w:r>
      <w:r>
        <w:rPr>
          <w:i/>
          <w:iCs/>
          <w:color w:val="000000" w:themeColor="text1"/>
          <w14:textFill>
            <w14:solidFill>
              <w14:schemeClr w14:val="tx1"/>
            </w14:solidFill>
          </w14:textFill>
        </w:rPr>
        <w:t>5 – MTL Product Lines and Selected Models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00"/>
        <w:gridCol w:w="3660"/>
      </w:tblGrid>
      <w:tr w14:paraId="785E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6DD2611D">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Product Line</w:t>
            </w:r>
          </w:p>
        </w:tc>
        <w:tc>
          <w:tcPr>
            <w:tcW w:w="33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0EB64603">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Key Models / Range</w:t>
            </w:r>
          </w:p>
        </w:tc>
        <w:tc>
          <w:tcPr>
            <w:tcW w:w="366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4B0B80B4">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Details</w:t>
            </w:r>
          </w:p>
        </w:tc>
      </w:tr>
      <w:tr w14:paraId="1915A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560F4B16">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Agricultural Tractors</w:t>
            </w:r>
          </w:p>
        </w:tc>
        <w:tc>
          <w:tcPr>
            <w:tcW w:w="33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5DC63123">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MF 240 (50 HP) to MF 385 (85 HP)</w:t>
            </w:r>
          </w:p>
        </w:tc>
        <w:tc>
          <w:tcPr>
            <w:tcW w:w="36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05D17E5E">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Flagship line; 2WD and 4WD options; licensed from AGCO UK; most popular in Pakistan</w:t>
            </w:r>
          </w:p>
        </w:tc>
      </w:tr>
      <w:tr w14:paraId="5CEF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41B958D3">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Industrial &amp; Commercial</w:t>
            </w:r>
          </w:p>
        </w:tc>
        <w:tc>
          <w:tcPr>
            <w:tcW w:w="33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44F33AF1">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Generators: 12.5 kVA–500 kVA; Forklifts: 3–3.5 ton</w:t>
            </w:r>
          </w:p>
        </w:tc>
        <w:tc>
          <w:tcPr>
            <w:tcW w:w="36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5C8E2007">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Diesel generating sets and forklift trucks (licensed from Anhui, China)</w:t>
            </w:r>
          </w:p>
        </w:tc>
      </w:tr>
      <w:tr w14:paraId="69F27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7D1C6548">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Agricultural Implements</w:t>
            </w:r>
          </w:p>
        </w:tc>
        <w:tc>
          <w:tcPr>
            <w:tcW w:w="33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2B847F25">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25+ implement types</w:t>
            </w:r>
          </w:p>
        </w:tc>
        <w:tc>
          <w:tcPr>
            <w:tcW w:w="36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3159C822">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Disc Ploughs, Tine Tillers, Rotavators, Tipping Trailers — complete farm mechanization</w:t>
            </w:r>
          </w:p>
        </w:tc>
      </w:tr>
    </w:tbl>
    <w:p w14:paraId="667EB4D3">
      <w:pPr>
        <w:spacing w:before="60" w:after="60" w:line="360" w:lineRule="auto"/>
        <w:rPr>
          <w:color w:val="000000" w:themeColor="text1"/>
          <w:lang w:val="en-US"/>
          <w14:textFill>
            <w14:solidFill>
              <w14:schemeClr w14:val="tx1"/>
            </w14:solidFill>
          </w14:textFill>
        </w:rPr>
      </w:pPr>
      <w:r>
        <w:rPr>
          <w:color w:val="000000" w:themeColor="text1"/>
          <w:lang w:val="en-US" w:eastAsia="en-US"/>
          <w14:textFill>
            <w14:solidFill>
              <w14:schemeClr w14:val="tx1"/>
            </w14:solidFill>
          </w14:textFill>
        </w:rPr>
        <w:drawing>
          <wp:inline distT="0" distB="0" distL="114300" distR="114300">
            <wp:extent cx="6059805" cy="3096260"/>
            <wp:effectExtent l="0" t="0" r="10795" b="2540"/>
            <wp:docPr id="3" name="Picture 3" descr="Millat_Group_SBU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illat_Group_SBU_Map"/>
                    <pic:cNvPicPr>
                      <a:picLocks noChangeAspect="1"/>
                    </pic:cNvPicPr>
                  </pic:nvPicPr>
                  <pic:blipFill>
                    <a:blip r:embed="rId7"/>
                    <a:stretch>
                      <a:fillRect/>
                    </a:stretch>
                  </pic:blipFill>
                  <pic:spPr>
                    <a:xfrm>
                      <a:off x="0" y="0"/>
                      <a:ext cx="6059805" cy="3096260"/>
                    </a:xfrm>
                    <a:prstGeom prst="rect">
                      <a:avLst/>
                    </a:prstGeom>
                  </pic:spPr>
                </pic:pic>
              </a:graphicData>
            </a:graphic>
          </wp:inline>
        </w:drawing>
      </w:r>
    </w:p>
    <w:p w14:paraId="673060FC">
      <w:pPr>
        <w:pStyle w:val="3"/>
        <w:jc w:val="center"/>
      </w:pPr>
      <w:bookmarkStart w:id="42" w:name="_Toc8121"/>
      <w:bookmarkStart w:id="43" w:name="_Toc13462"/>
      <w:bookmarkStart w:id="44" w:name="_Toc23313"/>
      <w:bookmarkStart w:id="45" w:name="_Toc30007"/>
      <w:bookmarkStart w:id="46" w:name="_Toc20068"/>
      <w:bookmarkStart w:id="47" w:name="_Toc12518"/>
      <w:r>
        <w:rPr>
          <w:lang w:val="en-US"/>
        </w:rPr>
        <w:t>1.</w:t>
      </w:r>
      <w:r>
        <w:t>5  Organizational Hierarchical Structure</w:t>
      </w:r>
      <w:bookmarkEnd w:id="42"/>
      <w:bookmarkEnd w:id="43"/>
      <w:bookmarkEnd w:id="44"/>
      <w:bookmarkEnd w:id="45"/>
      <w:bookmarkEnd w:id="46"/>
      <w:bookmarkEnd w:id="47"/>
    </w:p>
    <w:p w14:paraId="0A44D11D">
      <w:pPr>
        <w:spacing w:before="80" w:after="8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MTL is organized with a traditional tall hierarchy</w:t>
      </w:r>
      <w:r>
        <w:rPr>
          <w:color w:val="000000" w:themeColor="text1"/>
          <w:lang w:val="en-US"/>
          <w14:textFill>
            <w14:solidFill>
              <w14:schemeClr w14:val="tx1"/>
            </w14:solidFill>
          </w14:textFill>
        </w:rPr>
        <w:t>,</w:t>
      </w:r>
      <w:r>
        <w:rPr>
          <w:color w:val="000000" w:themeColor="text1"/>
          <w14:textFill>
            <w14:solidFill>
              <w14:schemeClr w14:val="tx1"/>
            </w14:solidFill>
          </w14:textFill>
        </w:rPr>
        <w:t xml:space="preserve"> multiple levels of authority with a clear chain of command. This structure is well-suited to large-scale manufacturing where coordination, quality control, and accountability across complex processes are important. The hierarchy has four main levels:</w:t>
      </w:r>
    </w:p>
    <w:p w14:paraId="72216A6E">
      <w:pPr>
        <w:spacing w:before="60" w:after="60" w:line="360" w:lineRule="auto"/>
        <w:rPr>
          <w:color w:val="000000" w:themeColor="text1"/>
          <w14:textFill>
            <w14:solidFill>
              <w14:schemeClr w14:val="tx1"/>
            </w14:solidFill>
          </w14:textFill>
        </w:rPr>
      </w:pPr>
    </w:p>
    <w:p w14:paraId="3258C498">
      <w:pPr>
        <w:spacing w:before="60" w:after="60" w:line="360" w:lineRule="auto"/>
        <w:jc w:val="center"/>
        <w:rPr>
          <w:color w:val="000000" w:themeColor="text1"/>
          <w:lang w:val="en-US"/>
          <w14:textFill>
            <w14:solidFill>
              <w14:schemeClr w14:val="tx1"/>
            </w14:solidFill>
          </w14:textFill>
        </w:rPr>
      </w:pPr>
      <w:r>
        <w:rPr>
          <w:color w:val="000000" w:themeColor="text1"/>
          <w:lang w:val="en-US" w:eastAsia="en-US"/>
          <w14:textFill>
            <w14:solidFill>
              <w14:schemeClr w14:val="tx1"/>
            </w14:solidFill>
          </w14:textFill>
        </w:rPr>
        <w:drawing>
          <wp:inline distT="0" distB="0" distL="114300" distR="114300">
            <wp:extent cx="2524125" cy="3705225"/>
            <wp:effectExtent l="0" t="0" r="3175" b="3175"/>
            <wp:docPr id="2" name="Picture 2" descr="MTL_Corporate_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TL_Corporate_Hierarchy"/>
                    <pic:cNvPicPr>
                      <a:picLocks noChangeAspect="1"/>
                    </pic:cNvPicPr>
                  </pic:nvPicPr>
                  <pic:blipFill>
                    <a:blip r:embed="rId8"/>
                    <a:stretch>
                      <a:fillRect/>
                    </a:stretch>
                  </pic:blipFill>
                  <pic:spPr>
                    <a:xfrm>
                      <a:off x="0" y="0"/>
                      <a:ext cx="2524125" cy="3705225"/>
                    </a:xfrm>
                    <a:prstGeom prst="rect">
                      <a:avLst/>
                    </a:prstGeom>
                  </pic:spPr>
                </pic:pic>
              </a:graphicData>
            </a:graphic>
          </wp:inline>
        </w:drawing>
      </w:r>
    </w:p>
    <w:p w14:paraId="45C695B7">
      <w:pPr>
        <w:spacing w:before="200" w:after="80" w:line="360" w:lineRule="auto"/>
        <w:rPr>
          <w:color w:val="000000" w:themeColor="text1"/>
          <w14:textFill>
            <w14:solidFill>
              <w14:schemeClr w14:val="tx1"/>
            </w14:solidFill>
          </w14:textFill>
        </w:rPr>
      </w:pPr>
      <w:r>
        <w:rPr>
          <w:color w:val="000000" w:themeColor="text1"/>
          <w14:textFill>
            <w14:solidFill>
              <w14:schemeClr w14:val="tx1"/>
            </w14:solidFill>
          </w14:textFill>
        </w:rPr>
        <w:t>Special mention should be made of the board committees. The Committee for Financial Reporting (the “Audit Committee”) is responsible for financial reporting; the HR &amp; Remuneration (HR&amp;R) Committee reviews executive pay and workforce policy; and the ESG Committee monitors environmental and social commitments. The Board’s Committee for Group Supervision (BCGS) is unique to MTL and oversees the alignment and performance of all subsidiary companies within the Millat Group.</w:t>
      </w:r>
    </w:p>
    <w:p w14:paraId="6DF10A0E">
      <w:pPr>
        <w:pStyle w:val="3"/>
        <w:jc w:val="center"/>
      </w:pPr>
      <w:bookmarkStart w:id="48" w:name="_Toc21233"/>
      <w:bookmarkStart w:id="49" w:name="_Toc7970"/>
      <w:bookmarkStart w:id="50" w:name="_Toc8472"/>
      <w:bookmarkStart w:id="51" w:name="_Toc1948"/>
      <w:bookmarkStart w:id="52" w:name="_Toc32645"/>
      <w:bookmarkStart w:id="53" w:name="_Toc2480"/>
      <w:r>
        <w:rPr>
          <w:lang w:val="en-US"/>
        </w:rPr>
        <w:t>1.</w:t>
      </w:r>
      <w:r>
        <w:t>6 General HRM: The Five Core Functions</w:t>
      </w:r>
      <w:bookmarkEnd w:id="48"/>
      <w:bookmarkEnd w:id="49"/>
      <w:bookmarkEnd w:id="50"/>
      <w:bookmarkEnd w:id="51"/>
      <w:bookmarkEnd w:id="52"/>
      <w:bookmarkEnd w:id="53"/>
    </w:p>
    <w:p w14:paraId="4107010F">
      <w:pPr>
        <w:spacing w:before="60" w:after="60" w:line="360" w:lineRule="auto"/>
        <w:rPr>
          <w:color w:val="000000" w:themeColor="text1"/>
          <w14:textFill>
            <w14:solidFill>
              <w14:schemeClr w14:val="tx1"/>
            </w14:solidFill>
          </w14:textFill>
        </w:rPr>
      </w:pPr>
      <w:r>
        <w:rPr>
          <w:color w:val="000000" w:themeColor="text1"/>
          <w14:textFill>
            <w14:solidFill>
              <w14:schemeClr w14:val="tx1"/>
            </w14:solidFill>
          </w14:textFill>
        </w:rPr>
        <w:t>The management of human resources (HRM) is founded on five principal functions, which together efficiently manage an organization's workforce. For each of these functions at MTL, a complex engineering manufacturer, there is a direct and visible role.</w:t>
      </w:r>
    </w:p>
    <w:p w14:paraId="5F1C57B0">
      <w:pPr>
        <w:spacing w:before="60" w:after="80" w:line="360" w:lineRule="auto"/>
        <w:jc w:val="center"/>
        <w:rPr>
          <w:color w:val="000000" w:themeColor="text1"/>
          <w14:textFill>
            <w14:solidFill>
              <w14:schemeClr w14:val="tx1"/>
            </w14:solidFill>
          </w14:textFill>
        </w:rPr>
      </w:pPr>
      <w:r>
        <w:rPr>
          <w:i/>
          <w:iCs/>
          <w:color w:val="000000" w:themeColor="text1"/>
          <w14:textFill>
            <w14:solidFill>
              <w14:schemeClr w14:val="tx1"/>
            </w14:solidFill>
          </w14:textFill>
        </w:rPr>
        <w:t xml:space="preserve">Table </w:t>
      </w:r>
      <w:r>
        <w:rPr>
          <w:i/>
          <w:iCs/>
          <w:color w:val="000000" w:themeColor="text1"/>
          <w:lang w:val="en-US"/>
          <w14:textFill>
            <w14:solidFill>
              <w14:schemeClr w14:val="tx1"/>
            </w14:solidFill>
          </w14:textFill>
        </w:rPr>
        <w:t>1.6</w:t>
      </w:r>
      <w:r>
        <w:rPr>
          <w:i/>
          <w:iCs/>
          <w:color w:val="000000" w:themeColor="text1"/>
          <w14:textFill>
            <w14:solidFill>
              <w14:schemeClr w14:val="tx1"/>
            </w14:solidFill>
          </w14:textFill>
        </w:rPr>
        <w:t xml:space="preserve"> – The Five Core HRM Functions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1700"/>
        <w:gridCol w:w="3100"/>
        <w:gridCol w:w="4160"/>
      </w:tblGrid>
      <w:tr w14:paraId="61F55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292F6BE0">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w:t>
            </w:r>
          </w:p>
        </w:tc>
        <w:tc>
          <w:tcPr>
            <w:tcW w:w="17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7C77D92A">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Function</w:t>
            </w:r>
          </w:p>
        </w:tc>
        <w:tc>
          <w:tcPr>
            <w:tcW w:w="31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3CF1F80B">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What It Involves</w:t>
            </w:r>
          </w:p>
        </w:tc>
        <w:tc>
          <w:tcPr>
            <w:tcW w:w="416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16545263">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At MTL</w:t>
            </w:r>
          </w:p>
        </w:tc>
      </w:tr>
      <w:tr w14:paraId="40C5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37093684">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1</w:t>
            </w:r>
          </w:p>
        </w:tc>
        <w:tc>
          <w:tcPr>
            <w:tcW w:w="17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25EFF53B">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Recruitment &amp; Selection</w:t>
            </w:r>
          </w:p>
        </w:tc>
        <w:tc>
          <w:tcPr>
            <w:tcW w:w="31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0087A1F4">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Attracting, screening, and hiring the right people for the right roles through job ads, interviews, and assessments.</w:t>
            </w:r>
          </w:p>
        </w:tc>
        <w:tc>
          <w:tcPr>
            <w:tcW w:w="41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405B2005">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Technical engineers are recruited via universities and industry networks; shop-floor roles are filled through internal promotion, rewarding long-term loyalty.</w:t>
            </w:r>
          </w:p>
        </w:tc>
      </w:tr>
      <w:tr w14:paraId="0D8A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3151EACA">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2</w:t>
            </w:r>
          </w:p>
        </w:tc>
        <w:tc>
          <w:tcPr>
            <w:tcW w:w="17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0762A621">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Training &amp; Development</w:t>
            </w:r>
          </w:p>
        </w:tc>
        <w:tc>
          <w:tcPr>
            <w:tcW w:w="31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43098355">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Building employee skills through onboarding, on-the-job learning, workshops, and continuous development programs.</w:t>
            </w:r>
          </w:p>
        </w:tc>
        <w:tc>
          <w:tcPr>
            <w:tcW w:w="41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77A8CD77">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Structured on-the-job training aligned to AGCO UK standards; quarterly Kaizen events; IFS ERP training for all relevant staff.</w:t>
            </w:r>
          </w:p>
        </w:tc>
      </w:tr>
      <w:tr w14:paraId="7810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79E2D7D9">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3</w:t>
            </w:r>
          </w:p>
        </w:tc>
        <w:tc>
          <w:tcPr>
            <w:tcW w:w="17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48AE20A2">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Performance Management</w:t>
            </w:r>
          </w:p>
        </w:tc>
        <w:tc>
          <w:tcPr>
            <w:tcW w:w="31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1CB45AD1">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Setting KPIs, conducting periodic reviews, giving feedback, and linking results to promotions, pay, and development needs.</w:t>
            </w:r>
          </w:p>
        </w:tc>
        <w:tc>
          <w:tcPr>
            <w:tcW w:w="41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39134742">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Annual appraisals with KPIs; production supervisors reviewed quarterly against output and defect targets; data used to identify future leaders.</w:t>
            </w:r>
          </w:p>
        </w:tc>
      </w:tr>
      <w:tr w14:paraId="42C7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7AA9E638">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4</w:t>
            </w:r>
          </w:p>
        </w:tc>
        <w:tc>
          <w:tcPr>
            <w:tcW w:w="17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6A8A236C">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Compensation &amp; Benefits</w:t>
            </w:r>
          </w:p>
        </w:tc>
        <w:tc>
          <w:tcPr>
            <w:tcW w:w="31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5F3F2BA4">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Setting competitive salaries, bonuses, and managing non-monetary benefits such as health insurance, leave, and retirement plans.</w:t>
            </w:r>
          </w:p>
        </w:tc>
        <w:tc>
          <w:tcPr>
            <w:tcW w:w="41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0CC1B854">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Market-benchmarked salaries; annual bonuses; medical coverage; provident fund; children's education awards; transport and food allowances.</w:t>
            </w:r>
          </w:p>
        </w:tc>
      </w:tr>
      <w:tr w14:paraId="6B8C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0FDB691D">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5</w:t>
            </w:r>
          </w:p>
        </w:tc>
        <w:tc>
          <w:tcPr>
            <w:tcW w:w="17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3C8738C6">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Employee Relations &amp; Compliance</w:t>
            </w:r>
          </w:p>
        </w:tc>
        <w:tc>
          <w:tcPr>
            <w:tcW w:w="31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52AF520E">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Maintaining healthy employer-employee relationships, resolving conflicts, enforcing policies, and complying with labor laws.</w:t>
            </w:r>
          </w:p>
        </w:tc>
        <w:tc>
          <w:tcPr>
            <w:tcW w:w="41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74DA0A27">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Compliance with EOBI, Social Security, and Pakistan Labour Laws; documented workplace policies; safety standards aligned to manufacturing requirements.</w:t>
            </w:r>
          </w:p>
        </w:tc>
      </w:tr>
    </w:tbl>
    <w:p w14:paraId="631C66EC">
      <w:pPr>
        <w:spacing w:before="60" w:after="60" w:line="360" w:lineRule="auto"/>
        <w:rPr>
          <w:color w:val="000000" w:themeColor="text1"/>
          <w14:textFill>
            <w14:solidFill>
              <w14:schemeClr w14:val="tx1"/>
            </w14:solidFill>
          </w14:textFill>
        </w:rPr>
      </w:pPr>
    </w:p>
    <w:p w14:paraId="6E2B60FC">
      <w:pPr>
        <w:pStyle w:val="3"/>
        <w:jc w:val="center"/>
      </w:pPr>
      <w:bookmarkStart w:id="54" w:name="_Toc12363"/>
      <w:bookmarkStart w:id="55" w:name="_Toc3560"/>
      <w:bookmarkStart w:id="56" w:name="_Toc4969"/>
      <w:bookmarkStart w:id="57" w:name="_Toc25524"/>
      <w:bookmarkStart w:id="58" w:name="_Toc31187"/>
      <w:bookmarkStart w:id="59" w:name="_Toc22785"/>
      <w:r>
        <w:rPr>
          <w:lang w:val="en-US"/>
        </w:rPr>
        <w:t>1.</w:t>
      </w:r>
      <w:r>
        <w:t>7 What Is HRM? Significance and Strategic Role</w:t>
      </w:r>
      <w:bookmarkEnd w:id="54"/>
      <w:bookmarkEnd w:id="55"/>
      <w:bookmarkEnd w:id="56"/>
      <w:bookmarkEnd w:id="57"/>
      <w:bookmarkEnd w:id="58"/>
      <w:bookmarkEnd w:id="59"/>
    </w:p>
    <w:p w14:paraId="5CAB3D84">
      <w:pPr>
        <w:spacing w:before="140" w:after="60" w:line="360" w:lineRule="auto"/>
        <w:rPr>
          <w:color w:val="000000" w:themeColor="text1"/>
          <w14:textFill>
            <w14:solidFill>
              <w14:schemeClr w14:val="tx1"/>
            </w14:solidFill>
          </w14:textFill>
        </w:rPr>
      </w:pPr>
      <w:r>
        <w:rPr>
          <w:b/>
          <w:bCs/>
          <w:color w:val="000000" w:themeColor="text1"/>
          <w:lang w:val="en-US"/>
          <w14:textFill>
            <w14:solidFill>
              <w14:schemeClr w14:val="tx1"/>
            </w14:solidFill>
          </w14:textFill>
        </w:rPr>
        <w:t xml:space="preserve">1.7.1 </w:t>
      </w:r>
      <w:r>
        <w:rPr>
          <w:b/>
          <w:bCs/>
          <w:color w:val="000000" w:themeColor="text1"/>
          <w14:textFill>
            <w14:solidFill>
              <w14:schemeClr w14:val="tx1"/>
            </w14:solidFill>
          </w14:textFill>
        </w:rPr>
        <w:t>Definition and Significance</w:t>
      </w:r>
    </w:p>
    <w:p w14:paraId="021D92E7">
      <w:pPr>
        <w:spacing w:before="140" w:after="60" w:line="360" w:lineRule="auto"/>
        <w:rPr>
          <w:color w:val="000000" w:themeColor="text1"/>
          <w14:textFill>
            <w14:solidFill>
              <w14:schemeClr w14:val="tx1"/>
            </w14:solidFill>
          </w14:textFill>
        </w:rPr>
      </w:pPr>
      <w:r>
        <w:rPr>
          <w:color w:val="000000" w:themeColor="text1"/>
          <w14:textFill>
            <w14:solidFill>
              <w14:schemeClr w14:val="tx1"/>
            </w14:solidFill>
          </w14:textFill>
        </w:rPr>
        <w:t xml:space="preserve">Human Resource Management (HRM) is the strategic and coherent approach to the management of an organization’s most valued assets, its people. A highly skilled, motivated, and aligned workforce is very difficult to replicate, unlike machinery or capital that any competitor can buy. For most organizations, that means human capital is the only truly sustainable competitive advantage. </w:t>
      </w:r>
      <w:r>
        <w:rPr>
          <w:color w:val="000000" w:themeColor="text1"/>
          <w14:textFill>
            <w14:solidFill>
              <w14:schemeClr w14:val="tx1"/>
            </w14:solidFill>
          </w14:textFill>
        </w:rPr>
        <w:br w:type="textWrapping"/>
      </w:r>
      <w:r>
        <w:rPr>
          <w:color w:val="000000" w:themeColor="text1"/>
          <w14:textFill>
            <w14:solidFill>
              <w14:schemeClr w14:val="tx1"/>
            </w14:solidFill>
          </w14:textFill>
        </w:rPr>
        <w:t>HRM is important because it ensures that the right people are hired, trained, motivated, fairly paid, and retained over time. It also legally protects the organization through compliance with labor law, and it protects employees through fair policies, safe working conditions, and clearly defined career paths. If HRM is ineffective, even the best-endowed organization will have difficulty in translating resources into consistent performance.</w:t>
      </w:r>
    </w:p>
    <w:p w14:paraId="4BD64BA7">
      <w:pPr>
        <w:pStyle w:val="4"/>
      </w:pPr>
      <w:bookmarkStart w:id="60" w:name="_Toc4231"/>
      <w:bookmarkStart w:id="61" w:name="_Toc26001"/>
      <w:bookmarkStart w:id="62" w:name="_Toc920"/>
      <w:r>
        <w:rPr>
          <w:lang w:val="en-US"/>
        </w:rPr>
        <w:t xml:space="preserve">1.7.2 </w:t>
      </w:r>
      <w:r>
        <w:t>The Strategic Role: Linking Individual to Organizational Performance</w:t>
      </w:r>
      <w:bookmarkEnd w:id="60"/>
      <w:bookmarkEnd w:id="61"/>
      <w:bookmarkEnd w:id="62"/>
    </w:p>
    <w:p w14:paraId="2016EE06">
      <w:pPr>
        <w:spacing w:before="80" w:after="8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most important thing to know about modern HRM is that it is not just about running things; it is also about planning. It acts as a link between what each employee does every day and what the organization as a whole does. This strategic linkage works through three interconnected mechanisms:</w:t>
      </w:r>
    </w:p>
    <w:p w14:paraId="36496F15">
      <w:pPr>
        <w:spacing w:before="60" w:after="80" w:line="360" w:lineRule="auto"/>
        <w:jc w:val="center"/>
        <w:rPr>
          <w:color w:val="000000" w:themeColor="text1"/>
          <w14:textFill>
            <w14:solidFill>
              <w14:schemeClr w14:val="tx1"/>
            </w14:solidFill>
          </w14:textFill>
        </w:rPr>
      </w:pPr>
      <w:r>
        <w:rPr>
          <w:i/>
          <w:iCs/>
          <w:color w:val="000000" w:themeColor="text1"/>
          <w14:textFill>
            <w14:solidFill>
              <w14:schemeClr w14:val="tx1"/>
            </w14:solidFill>
          </w14:textFill>
        </w:rPr>
        <w:t xml:space="preserve">Table </w:t>
      </w:r>
      <w:r>
        <w:rPr>
          <w:i/>
          <w:iCs/>
          <w:color w:val="000000" w:themeColor="text1"/>
          <w:lang w:val="en-US"/>
          <w14:textFill>
            <w14:solidFill>
              <w14:schemeClr w14:val="tx1"/>
            </w14:solidFill>
          </w14:textFill>
        </w:rPr>
        <w:t>1.7</w:t>
      </w:r>
      <w:r>
        <w:rPr>
          <w:i/>
          <w:iCs/>
          <w:color w:val="000000" w:themeColor="text1"/>
          <w14:textFill>
            <w14:solidFill>
              <w14:schemeClr w14:val="tx1"/>
            </w14:solidFill>
          </w14:textFill>
        </w:rPr>
        <w:t xml:space="preserve"> – HRM's Strategic Role: The Three-Level Link</w:t>
      </w:r>
    </w:p>
    <w:tbl>
      <w:tblPr>
        <w:tblStyle w:val="9"/>
        <w:tblpPr w:leftFromText="180" w:rightFromText="180" w:vertAnchor="text" w:tblpY="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560"/>
      </w:tblGrid>
      <w:tr w14:paraId="08EE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0FD774D3">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Mechanism</w:t>
            </w:r>
          </w:p>
        </w:tc>
        <w:tc>
          <w:tcPr>
            <w:tcW w:w="38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06AAB207">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What It Means</w:t>
            </w:r>
          </w:p>
        </w:tc>
        <w:tc>
          <w:tcPr>
            <w:tcW w:w="356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1E8ACB88">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Effect on Performance</w:t>
            </w:r>
          </w:p>
        </w:tc>
      </w:tr>
      <w:tr w14:paraId="16BE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24392AE9">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Goal Congruence</w:t>
            </w:r>
          </w:p>
        </w:tc>
        <w:tc>
          <w:tcPr>
            <w:tcW w:w="38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2CB146B5">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HRM translates the organization's mission into specific, measurable KPIs for each employee, so that every person's daily work directly supports the company's strategy.</w:t>
            </w:r>
          </w:p>
        </w:tc>
        <w:tc>
          <w:tcPr>
            <w:tcW w:w="35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75A89579">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Individual effort multiplies into collective output — a 'multiplier effect' that accelerates organizational performance.</w:t>
            </w:r>
          </w:p>
        </w:tc>
      </w:tr>
      <w:tr w14:paraId="60113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46C922B4">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Capability Building</w:t>
            </w:r>
          </w:p>
        </w:tc>
        <w:tc>
          <w:tcPr>
            <w:tcW w:w="38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47825A7B">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HRM identifies skill gaps between what employees can do today and what the organization needs them to do tomorrow, then fills those gaps through targeted training.</w:t>
            </w:r>
          </w:p>
        </w:tc>
        <w:tc>
          <w:tcPr>
            <w:tcW w:w="35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07ECE1A3">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The organization grows its internal capacity for innovation, quality, and adaptation — without relying purely on external hires.</w:t>
            </w:r>
          </w:p>
        </w:tc>
      </w:tr>
      <w:tr w14:paraId="36EB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3E9B3DA4">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Psychological Contract</w:t>
            </w:r>
          </w:p>
        </w:tc>
        <w:tc>
          <w:tcPr>
            <w:tcW w:w="38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3080A86D">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HRM manages the unwritten expectations between employer and employee — fair pay, recognition, safety, and career growth. When this contract is honored, trust and engagement rise sharply.</w:t>
            </w:r>
          </w:p>
        </w:tc>
        <w:tc>
          <w:tcPr>
            <w:tcW w:w="35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7399BCA6">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Higher engagement leads to lower turnover, better quality of work, and employees who go beyond the minimum because they feel genuinely invested.</w:t>
            </w:r>
          </w:p>
        </w:tc>
      </w:tr>
    </w:tbl>
    <w:p w14:paraId="1B91687A">
      <w:pPr>
        <w:spacing w:before="60" w:after="60" w:line="360" w:lineRule="auto"/>
        <w:rPr>
          <w:color w:val="000000" w:themeColor="text1"/>
          <w14:textFill>
            <w14:solidFill>
              <w14:schemeClr w14:val="tx1"/>
            </w14:solidFill>
          </w14:textFill>
        </w:rPr>
      </w:pPr>
    </w:p>
    <w:p w14:paraId="66839169">
      <w:pPr>
        <w:spacing w:before="60" w:after="80" w:line="360" w:lineRule="auto"/>
        <w:jc w:val="center"/>
        <w:rPr>
          <w:color w:val="000000" w:themeColor="text1"/>
          <w14:textFill>
            <w14:solidFill>
              <w14:schemeClr w14:val="tx1"/>
            </w14:solidFill>
          </w14:textFill>
        </w:rPr>
      </w:pPr>
      <w:r>
        <w:rPr>
          <w:i/>
          <w:iCs/>
          <w:color w:val="000000" w:themeColor="text1"/>
          <w14:textFill>
            <w14:solidFill>
              <w14:schemeClr w14:val="tx1"/>
            </w14:solidFill>
          </w14:textFill>
        </w:rPr>
        <w:t xml:space="preserve">Table </w:t>
      </w:r>
      <w:r>
        <w:rPr>
          <w:i/>
          <w:iCs/>
          <w:color w:val="000000" w:themeColor="text1"/>
          <w:lang w:val="en-US"/>
          <w14:textFill>
            <w14:solidFill>
              <w14:schemeClr w14:val="tx1"/>
            </w14:solidFill>
          </w14:textFill>
        </w:rPr>
        <w:t>1.8</w:t>
      </w:r>
      <w:r>
        <w:rPr>
          <w:i/>
          <w:iCs/>
          <w:color w:val="000000" w:themeColor="text1"/>
          <w14:textFill>
            <w14:solidFill>
              <w14:schemeClr w14:val="tx1"/>
            </w14:solidFill>
          </w14:textFill>
        </w:rPr>
        <w:t xml:space="preserve"> – The Strategic HRM Bridge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160"/>
        <w:gridCol w:w="3200"/>
      </w:tblGrid>
      <w:tr w14:paraId="678C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4FC28B93">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Level</w:t>
            </w:r>
          </w:p>
        </w:tc>
        <w:tc>
          <w:tcPr>
            <w:tcW w:w="416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68A56A3C">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Focus</w:t>
            </w:r>
          </w:p>
        </w:tc>
        <w:tc>
          <w:tcPr>
            <w:tcW w:w="3200" w:type="dxa"/>
            <w:tcBorders>
              <w:top w:val="single" w:color="1F3864" w:sz="0" w:space="0"/>
              <w:left w:val="single" w:color="1F3864" w:sz="0" w:space="0"/>
              <w:bottom w:val="single" w:color="1F3864" w:sz="0" w:space="0"/>
              <w:right w:val="single" w:color="1F3864" w:sz="0" w:space="0"/>
            </w:tcBorders>
            <w:shd w:val="clear" w:color="auto" w:fill="1F3864"/>
            <w:tcMar>
              <w:top w:w="90" w:type="dxa"/>
              <w:left w:w="120" w:type="dxa"/>
              <w:bottom w:w="90" w:type="dxa"/>
              <w:right w:w="120" w:type="dxa"/>
            </w:tcMar>
            <w:vAlign w:val="center"/>
          </w:tcPr>
          <w:p w14:paraId="07DDF188">
            <w:pPr>
              <w:spacing w:line="360" w:lineRule="auto"/>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Result</w:t>
            </w:r>
          </w:p>
        </w:tc>
      </w:tr>
      <w:tr w14:paraId="13840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104AB9A4">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Individual</w:t>
            </w:r>
          </w:p>
        </w:tc>
        <w:tc>
          <w:tcPr>
            <w:tcW w:w="41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4821A18E">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Skills, motivation, and role clarity</w:t>
            </w:r>
          </w:p>
        </w:tc>
        <w:tc>
          <w:tcPr>
            <w:tcW w:w="32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420F93E8">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High personal productivity and job satisfaction</w:t>
            </w:r>
          </w:p>
        </w:tc>
      </w:tr>
      <w:tr w14:paraId="44FF0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66FEF7DB">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Strategic HRM</w:t>
            </w:r>
          </w:p>
        </w:tc>
        <w:tc>
          <w:tcPr>
            <w:tcW w:w="416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699370B2">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Goal congruence · Capability building · Psychological contract</w:t>
            </w:r>
          </w:p>
        </w:tc>
        <w:tc>
          <w:tcPr>
            <w:tcW w:w="3200" w:type="dxa"/>
            <w:tcBorders>
              <w:top w:val="single" w:color="A0B4C8" w:sz="0" w:space="0"/>
              <w:left w:val="single" w:color="A0B4C8" w:sz="0" w:space="0"/>
              <w:bottom w:val="single" w:color="A0B4C8" w:sz="0" w:space="0"/>
              <w:right w:val="single" w:color="A0B4C8" w:sz="0" w:space="0"/>
            </w:tcBorders>
            <w:shd w:val="clear" w:color="auto" w:fill="FFFFFF"/>
            <w:tcMar>
              <w:top w:w="70" w:type="dxa"/>
              <w:left w:w="120" w:type="dxa"/>
              <w:bottom w:w="70" w:type="dxa"/>
              <w:right w:w="120" w:type="dxa"/>
            </w:tcMar>
            <w:vAlign w:val="center"/>
          </w:tcPr>
          <w:p w14:paraId="23D30B00">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Engagement, alignment, and low turnover</w:t>
            </w:r>
          </w:p>
        </w:tc>
      </w:tr>
      <w:tr w14:paraId="6F26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147DC1E8">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Organizational</w:t>
            </w:r>
          </w:p>
        </w:tc>
        <w:tc>
          <w:tcPr>
            <w:tcW w:w="416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4B4A5A9B">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Market share, profitability, innovation</w:t>
            </w:r>
          </w:p>
        </w:tc>
        <w:tc>
          <w:tcPr>
            <w:tcW w:w="3200" w:type="dxa"/>
            <w:tcBorders>
              <w:top w:val="single" w:color="A0B4C8" w:sz="0" w:space="0"/>
              <w:left w:val="single" w:color="A0B4C8" w:sz="0" w:space="0"/>
              <w:bottom w:val="single" w:color="A0B4C8" w:sz="0" w:space="0"/>
              <w:right w:val="single" w:color="A0B4C8" w:sz="0" w:space="0"/>
            </w:tcBorders>
            <w:shd w:val="clear" w:color="auto" w:fill="EBF3FB"/>
            <w:tcMar>
              <w:top w:w="70" w:type="dxa"/>
              <w:left w:w="120" w:type="dxa"/>
              <w:bottom w:w="70" w:type="dxa"/>
              <w:right w:w="120" w:type="dxa"/>
            </w:tcMar>
            <w:vAlign w:val="center"/>
          </w:tcPr>
          <w:p w14:paraId="48EF0519">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Sustainable competitive advantage</w:t>
            </w:r>
          </w:p>
        </w:tc>
      </w:tr>
    </w:tbl>
    <w:p w14:paraId="412B384F">
      <w:pPr>
        <w:spacing w:before="60" w:after="60" w:line="360" w:lineRule="auto"/>
        <w:rPr>
          <w:color w:val="000000" w:themeColor="text1"/>
          <w14:textFill>
            <w14:solidFill>
              <w14:schemeClr w14:val="tx1"/>
            </w14:solidFill>
          </w14:textFill>
        </w:rPr>
      </w:pPr>
    </w:p>
    <w:p w14:paraId="59809BD1">
      <w:pPr>
        <w:spacing w:before="200" w:after="80" w:line="360" w:lineRule="auto"/>
        <w:rPr>
          <w:color w:val="000000" w:themeColor="text1"/>
          <w14:textFill>
            <w14:solidFill>
              <w14:schemeClr w14:val="tx1"/>
            </w14:solidFill>
          </w14:textFill>
        </w:rPr>
      </w:pPr>
      <w:r>
        <w:rPr>
          <w:color w:val="000000" w:themeColor="text1"/>
          <w14:textFill>
            <w14:solidFill>
              <w14:schemeClr w14:val="tx1"/>
            </w14:solidFill>
          </w14:textFill>
        </w:rPr>
        <w:t>The clearest real-world example of this strategic linkage at work is the 1992 employee buyout of Millat Tractors. By giving employees real ownership, MTL fulfilled the psychological contract at the deepest possible level, and the result has been decades of unusually high loyalty, a Kaizen-driven culture of improvement, and a workforce that treats the company’s success as its own. This is Strategic HRM, not as a textbook idea, but as a lived organizational reality.</w:t>
      </w:r>
    </w:p>
    <w:p w14:paraId="3562F0C0">
      <w:pPr>
        <w:pStyle w:val="2"/>
        <w:jc w:val="center"/>
      </w:pPr>
      <w:bookmarkStart w:id="63" w:name="_Toc7601"/>
      <w:bookmarkStart w:id="64" w:name="_Toc11578"/>
      <w:bookmarkStart w:id="65" w:name="_Toc22856"/>
      <w:bookmarkStart w:id="66" w:name="_Toc31394"/>
      <w:bookmarkStart w:id="67" w:name="_Toc22382"/>
      <w:r>
        <w:rPr>
          <w:b/>
          <w:bCs/>
          <w:color w:val="auto"/>
          <w:sz w:val="28"/>
          <w:szCs w:val="28"/>
        </w:rPr>
        <w:t>CHAPTER 2</w:t>
      </w:r>
      <w:bookmarkEnd w:id="63"/>
      <w:bookmarkEnd w:id="64"/>
      <w:bookmarkEnd w:id="65"/>
      <w:bookmarkEnd w:id="66"/>
      <w:bookmarkEnd w:id="67"/>
    </w:p>
    <w:p w14:paraId="0B194154">
      <w:pPr>
        <w:jc w:val="center"/>
        <w:rPr>
          <w:b/>
          <w:bCs/>
          <w:sz w:val="28"/>
          <w:szCs w:val="28"/>
          <w:lang w:val="en-US"/>
        </w:rPr>
      </w:pPr>
      <w:r>
        <w:rPr>
          <w:b/>
          <w:bCs/>
          <w:sz w:val="28"/>
          <w:szCs w:val="28"/>
          <w:lang w:val="en-US"/>
        </w:rPr>
        <w:t>Organizational responses and Findings After Interview</w:t>
      </w:r>
    </w:p>
    <w:p w14:paraId="498BC870">
      <w:pPr>
        <w:jc w:val="center"/>
        <w:rPr>
          <w:b/>
          <w:bCs/>
          <w:sz w:val="28"/>
          <w:szCs w:val="28"/>
          <w:lang w:val="en-US"/>
        </w:rPr>
      </w:pPr>
    </w:p>
    <w:p w14:paraId="011CF754">
      <w:pPr>
        <w:pStyle w:val="3"/>
        <w:spacing w:line="360" w:lineRule="auto"/>
        <w:jc w:val="center"/>
      </w:pPr>
      <w:bookmarkStart w:id="68" w:name="_Toc5190"/>
      <w:bookmarkStart w:id="69" w:name="_Toc22589"/>
      <w:bookmarkStart w:id="70" w:name="_Toc17842"/>
      <w:bookmarkStart w:id="71" w:name="_Toc21748"/>
      <w:bookmarkStart w:id="72" w:name="_Toc27316"/>
      <w:r>
        <w:t>2.1 Introduction</w:t>
      </w:r>
      <w:bookmarkEnd w:id="68"/>
      <w:bookmarkEnd w:id="69"/>
      <w:bookmarkEnd w:id="70"/>
      <w:bookmarkEnd w:id="71"/>
      <w:bookmarkEnd w:id="72"/>
    </w:p>
    <w:p w14:paraId="0B4D4F6E">
      <w:pPr>
        <w:spacing w:before="160" w:after="160" w:line="360" w:lineRule="auto"/>
        <w:jc w:val="both"/>
      </w:pPr>
      <w:r>
        <w:t>This chapter presents a detailed account of the findings gathered from a structured interview conducted with a representative of the Human Resources Department at Millat Tractors Limited. The purpose of this interview was to collect firsthand, practical information about how the organization manages its compensation system, including salary structure, employee benefits, performance appraisal linkage, employee relations, and compliance with prevailing labour laws.</w:t>
      </w:r>
    </w:p>
    <w:p w14:paraId="6F654D0D">
      <w:pPr>
        <w:spacing w:before="160" w:after="160" w:line="360" w:lineRule="auto"/>
        <w:jc w:val="both"/>
      </w:pPr>
      <w:r>
        <w:t>The interview was designed to provide a comprehensive organizational perspective on compensation management from the strategic decisions made at the board level to the day-to-day implementation carried out by the HR team. The responses have been organized thematically across the sections of this chapter to present a coherent and well-structured account of Millat Tractors Limited's approach to compensating its workforce.</w:t>
      </w:r>
    </w:p>
    <w:p w14:paraId="57E16455">
      <w:pPr>
        <w:pStyle w:val="3"/>
        <w:spacing w:line="360" w:lineRule="auto"/>
        <w:jc w:val="center"/>
      </w:pPr>
      <w:bookmarkStart w:id="73" w:name="_Toc31106"/>
      <w:bookmarkStart w:id="74" w:name="_Toc10769"/>
      <w:bookmarkStart w:id="75" w:name="_Toc2690"/>
      <w:bookmarkStart w:id="76" w:name="_Toc17299"/>
      <w:bookmarkStart w:id="77" w:name="_Toc18989"/>
      <w:r>
        <w:t>2.2 Interview Details</w:t>
      </w:r>
      <w:bookmarkEnd w:id="73"/>
      <w:bookmarkEnd w:id="74"/>
      <w:bookmarkEnd w:id="75"/>
      <w:bookmarkEnd w:id="76"/>
      <w:bookmarkEnd w:id="77"/>
    </w:p>
    <w:p w14:paraId="497B69A1">
      <w:pPr>
        <w:spacing w:before="160" w:after="160" w:line="360" w:lineRule="auto"/>
        <w:jc w:val="both"/>
      </w:pPr>
      <w:r>
        <w:t>The interview was conducted with Mr. Irfan Shabbir, a representative of the Human Resources Department at Millat Tractors Limited. Mr. Shabbir provided comprehensive and detailed responses to the structured questionnaire, covering all key dimensions of compensation management practiced within the organization. The interview was conducted in a semi-formal setting and the respondent engaged openly with questions spanning HR structure, recruitment, training, compensation, performance management, and employee relations.</w:t>
      </w:r>
    </w:p>
    <w:p w14:paraId="30F8A366">
      <w:pPr>
        <w:spacing w:before="80" w:after="240" w:line="360" w:lineRule="auto"/>
        <w:jc w:val="center"/>
      </w:pPr>
      <w:r>
        <w:rPr>
          <w:i/>
          <w:iCs/>
        </w:rPr>
        <w:t>Table 2.1: Interview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0C28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2C3E50" w:sz="6" w:space="0"/>
              <w:left w:val="single" w:color="2C3E50" w:sz="6" w:space="0"/>
              <w:bottom w:val="single" w:color="2C3E50" w:sz="6" w:space="0"/>
              <w:right w:val="single" w:color="2C3E50" w:sz="6" w:space="0"/>
            </w:tcBorders>
            <w:shd w:val="clear" w:color="auto" w:fill="2C3E50"/>
            <w:tcMar>
              <w:top w:w="100" w:type="dxa"/>
              <w:left w:w="160" w:type="dxa"/>
              <w:bottom w:w="100" w:type="dxa"/>
              <w:right w:w="160" w:type="dxa"/>
            </w:tcMar>
            <w:vAlign w:val="center"/>
          </w:tcPr>
          <w:p w14:paraId="328AA5B6">
            <w:pPr>
              <w:spacing w:before="40" w:after="40" w:line="360" w:lineRule="auto"/>
              <w:jc w:val="center"/>
            </w:pPr>
            <w:r>
              <w:rPr>
                <w:b/>
                <w:bCs/>
                <w:color w:val="FFFFFF"/>
              </w:rPr>
              <w:t>Interview Details</w:t>
            </w:r>
          </w:p>
        </w:tc>
        <w:tc>
          <w:tcPr>
            <w:tcW w:w="6240" w:type="dxa"/>
            <w:tcBorders>
              <w:top w:val="single" w:color="2C3E50" w:sz="6" w:space="0"/>
              <w:left w:val="single" w:color="2C3E50" w:sz="6" w:space="0"/>
              <w:bottom w:val="single" w:color="2C3E50" w:sz="6" w:space="0"/>
              <w:right w:val="single" w:color="2C3E50" w:sz="6" w:space="0"/>
            </w:tcBorders>
            <w:shd w:val="clear" w:color="auto" w:fill="2C3E50"/>
            <w:tcMar>
              <w:top w:w="100" w:type="dxa"/>
              <w:left w:w="160" w:type="dxa"/>
              <w:bottom w:w="100" w:type="dxa"/>
              <w:right w:w="160" w:type="dxa"/>
            </w:tcMar>
            <w:vAlign w:val="center"/>
          </w:tcPr>
          <w:p w14:paraId="2E01ECF4">
            <w:pPr>
              <w:spacing w:before="40" w:after="40" w:line="360" w:lineRule="auto"/>
              <w:jc w:val="center"/>
            </w:pPr>
            <w:r>
              <w:rPr>
                <w:b/>
                <w:bCs/>
                <w:color w:val="FFFFFF"/>
              </w:rPr>
              <w:t>Information</w:t>
            </w:r>
          </w:p>
        </w:tc>
      </w:tr>
      <w:tr w14:paraId="1528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571F7939">
            <w:pPr>
              <w:spacing w:before="40" w:after="40" w:line="360" w:lineRule="auto"/>
              <w:jc w:val="both"/>
            </w:pPr>
            <w:r>
              <w:t>Respondent Name</w:t>
            </w:r>
          </w:p>
        </w:tc>
        <w:tc>
          <w:tcPr>
            <w:tcW w:w="624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020B27CA">
            <w:pPr>
              <w:spacing w:before="40" w:after="40" w:line="360" w:lineRule="auto"/>
              <w:jc w:val="both"/>
            </w:pPr>
            <w:r>
              <w:t>Mr. Irfan Shabbir</w:t>
            </w:r>
          </w:p>
        </w:tc>
      </w:tr>
      <w:tr w14:paraId="6148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596026ED">
            <w:pPr>
              <w:spacing w:before="40" w:after="40" w:line="360" w:lineRule="auto"/>
              <w:jc w:val="both"/>
            </w:pPr>
            <w:r>
              <w:t>Designation</w:t>
            </w:r>
          </w:p>
        </w:tc>
        <w:tc>
          <w:tcPr>
            <w:tcW w:w="624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7AB1BD38">
            <w:pPr>
              <w:spacing w:before="40" w:after="40" w:line="360" w:lineRule="auto"/>
              <w:jc w:val="both"/>
            </w:pPr>
            <w:r>
              <w:t>HR Department Head</w:t>
            </w:r>
          </w:p>
        </w:tc>
      </w:tr>
      <w:tr w14:paraId="4D62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1683907C">
            <w:pPr>
              <w:spacing w:before="40" w:after="40" w:line="360" w:lineRule="auto"/>
              <w:jc w:val="both"/>
            </w:pPr>
            <w:r>
              <w:t>Organization</w:t>
            </w:r>
          </w:p>
        </w:tc>
        <w:tc>
          <w:tcPr>
            <w:tcW w:w="624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559E2A3A">
            <w:pPr>
              <w:spacing w:before="40" w:after="40" w:line="360" w:lineRule="auto"/>
              <w:jc w:val="both"/>
            </w:pPr>
            <w:r>
              <w:t>Millat Tractors Limited</w:t>
            </w:r>
          </w:p>
        </w:tc>
      </w:tr>
      <w:tr w14:paraId="6E3D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3D9612A5">
            <w:pPr>
              <w:spacing w:before="40" w:after="40" w:line="360" w:lineRule="auto"/>
              <w:jc w:val="both"/>
            </w:pPr>
            <w:r>
              <w:t>Department Interviewed</w:t>
            </w:r>
          </w:p>
        </w:tc>
        <w:tc>
          <w:tcPr>
            <w:tcW w:w="624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66BCDA16">
            <w:pPr>
              <w:spacing w:before="40" w:after="40" w:line="360" w:lineRule="auto"/>
              <w:jc w:val="both"/>
            </w:pPr>
            <w:r>
              <w:t>Human Resources Department</w:t>
            </w:r>
          </w:p>
        </w:tc>
      </w:tr>
      <w:tr w14:paraId="336EC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2E7CA43F">
            <w:pPr>
              <w:spacing w:before="40" w:after="40" w:line="360" w:lineRule="auto"/>
              <w:jc w:val="both"/>
            </w:pPr>
            <w:r>
              <w:t>Interview Type</w:t>
            </w:r>
          </w:p>
        </w:tc>
        <w:tc>
          <w:tcPr>
            <w:tcW w:w="624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31601C3D">
            <w:pPr>
              <w:spacing w:before="40" w:after="40" w:line="360" w:lineRule="auto"/>
              <w:jc w:val="both"/>
            </w:pPr>
            <w:r>
              <w:t>Structured Questionnaire Interview</w:t>
            </w:r>
          </w:p>
        </w:tc>
      </w:tr>
    </w:tbl>
    <w:p w14:paraId="676416CF">
      <w:pPr>
        <w:pStyle w:val="3"/>
        <w:spacing w:line="360" w:lineRule="auto"/>
      </w:pPr>
    </w:p>
    <w:p w14:paraId="027B4565">
      <w:pPr>
        <w:pStyle w:val="3"/>
        <w:spacing w:line="360" w:lineRule="auto"/>
        <w:jc w:val="center"/>
      </w:pPr>
      <w:bookmarkStart w:id="78" w:name="_Toc12968"/>
      <w:bookmarkStart w:id="79" w:name="_Toc13635"/>
      <w:bookmarkStart w:id="80" w:name="_Toc9546"/>
      <w:bookmarkStart w:id="81" w:name="_Toc2880"/>
      <w:bookmarkStart w:id="82" w:name="_Toc20755"/>
      <w:r>
        <w:t>2.3 HR Department Structure and Hierarchy</w:t>
      </w:r>
      <w:bookmarkEnd w:id="78"/>
      <w:bookmarkEnd w:id="79"/>
      <w:bookmarkEnd w:id="80"/>
      <w:bookmarkEnd w:id="81"/>
      <w:bookmarkEnd w:id="82"/>
    </w:p>
    <w:p w14:paraId="6F2599BA">
      <w:pPr>
        <w:spacing w:before="160" w:after="160" w:line="360" w:lineRule="auto"/>
        <w:ind w:firstLine="720"/>
        <w:jc w:val="both"/>
      </w:pPr>
      <w:r>
        <w:t>The first set of interview questions explored the overall structure and functioning of the HR department at Millat Tractors Limited.</w:t>
      </w:r>
    </w:p>
    <w:p w14:paraId="516EC2BB">
      <w:pPr>
        <w:spacing w:before="160" w:after="160" w:line="360" w:lineRule="auto"/>
        <w:jc w:val="both"/>
      </w:pPr>
      <w:r>
        <w:rPr>
          <w:b/>
          <w:bCs/>
          <w:i/>
          <w:iCs/>
        </w:rPr>
        <w:t>Question 1: Can you briefly explain the structure and hierarchy of the HR department at Millat Tractors Limited?</w:t>
      </w:r>
    </w:p>
    <w:p w14:paraId="521A4A02">
      <w:pPr>
        <w:spacing w:before="160" w:after="160" w:line="360" w:lineRule="auto"/>
        <w:ind w:firstLine="720"/>
        <w:jc w:val="both"/>
      </w:pPr>
      <w:r>
        <w:t>According to Mr. Irfan Shabbir, the HR department at Millat Tractors Limited is organized into two primary sub-functions: Recruitment and Selection, and the Administration Department. The department operates within a clearly defined hierarchical framework, with the Head of HR — Sir Azeem</w:t>
      </w:r>
      <w:r>
        <w:rPr>
          <w:lang w:val="en-US"/>
        </w:rPr>
        <w:t>,</w:t>
      </w:r>
      <w:r>
        <w:t xml:space="preserve"> sitting at the top of the departmental structure, followed by the HR Manager, and then the Board Level. Any new position within the organization requires board approval through the official organogram. This means that before a new role is advertised or filled, it must first be formally sanctioned by the board of directors via the Head of Department (HOD). This structured approach ensures that workforce planning remains systematic and controlled at the highest level of governance.</w:t>
      </w:r>
    </w:p>
    <w:p w14:paraId="7D41F817">
      <w:pPr>
        <w:spacing w:before="160" w:after="160" w:line="360" w:lineRule="auto"/>
        <w:jc w:val="both"/>
      </w:pPr>
      <w:r>
        <w:rPr>
          <w:b/>
          <w:bCs/>
          <w:i/>
          <w:iCs/>
        </w:rPr>
        <w:t>Question 2: What are the main functions of the HR department, such as recruitment, training, and compensation, and who is responsible for HR-related decisions?</w:t>
      </w:r>
    </w:p>
    <w:p w14:paraId="559B6DCB">
      <w:pPr>
        <w:spacing w:before="160" w:after="160" w:line="360" w:lineRule="auto"/>
        <w:ind w:firstLine="720"/>
        <w:jc w:val="both"/>
      </w:pPr>
      <w:r>
        <w:t>The respondent explained that while the HR department carries out essential functions including recruitment, training, and compensation management, the major HR-related decisions are not made independently by the HR team. Instead, decisions of significance are made at the board level, with the HR department's primary role being implemented these board-approved policies. Sir Azeem, as Head of HR, oversees implementation, supported by the HR Manager. The HR department's role in policy implementation is central</w:t>
      </w:r>
      <w:r>
        <w:rPr>
          <w:lang w:val="en-US"/>
        </w:rPr>
        <w:t>,</w:t>
      </w:r>
      <w:r>
        <w:t xml:space="preserve"> it translates strategic board-level directives into operational HR practices that affect the entire workforce.</w:t>
      </w:r>
    </w:p>
    <w:p w14:paraId="09248E06">
      <w:pPr>
        <w:pStyle w:val="3"/>
        <w:spacing w:line="360" w:lineRule="auto"/>
        <w:jc w:val="center"/>
      </w:pPr>
      <w:bookmarkStart w:id="83" w:name="_Toc18384"/>
      <w:bookmarkStart w:id="84" w:name="_Toc27339"/>
      <w:bookmarkStart w:id="85" w:name="_Toc8224"/>
      <w:bookmarkStart w:id="86" w:name="_Toc11323"/>
      <w:bookmarkStart w:id="87" w:name="_Toc14561"/>
      <w:r>
        <w:t>2.4 Organizational Compensation System</w:t>
      </w:r>
      <w:bookmarkEnd w:id="83"/>
      <w:bookmarkEnd w:id="84"/>
      <w:bookmarkEnd w:id="85"/>
      <w:bookmarkEnd w:id="86"/>
      <w:bookmarkEnd w:id="87"/>
    </w:p>
    <w:p w14:paraId="2C302A63">
      <w:pPr>
        <w:spacing w:before="160" w:after="160" w:line="360" w:lineRule="auto"/>
        <w:jc w:val="both"/>
      </w:pPr>
      <w:r>
        <w:t>This section covers the questions related to recruitment processes and job analysis, which provide context for understanding how the organization identifies and fulfils its workforce needs before compensation packages are finalized.</w:t>
      </w:r>
    </w:p>
    <w:p w14:paraId="2052F24A">
      <w:pPr>
        <w:spacing w:before="160" w:after="160" w:line="360" w:lineRule="auto"/>
        <w:jc w:val="both"/>
      </w:pPr>
      <w:r>
        <w:rPr>
          <w:b/>
          <w:bCs/>
          <w:i/>
          <w:iCs/>
        </w:rPr>
        <w:t>Question 3: How do you recruit candidates at Millat Tractors Limited, and what recruitment sources or methods do you use?</w:t>
      </w:r>
    </w:p>
    <w:p w14:paraId="71C215BF">
      <w:pPr>
        <w:spacing w:before="160" w:after="160" w:line="360" w:lineRule="auto"/>
        <w:jc w:val="both"/>
      </w:pPr>
      <w:r>
        <w:t>Mr. Irfan Shabbir shared that Millat Tractors Limited uses multiple recruitment channels to source candidates depending on the nature and level of the position. Social media platforms are used actively to reach a wider talent pool. LinkedIn and newspaper advertisements are used for formal and professional postings. Employee referrals are also considered a key sourcing method, as existing employees often recommend qualified individuals from their professional networks. References from trusted contacts within the industry also play a role in the recruitment process, particularly for positions where specific industry knowledge and relationships matter.</w:t>
      </w:r>
    </w:p>
    <w:p w14:paraId="595740EE">
      <w:pPr>
        <w:spacing w:before="160" w:after="160" w:line="360" w:lineRule="auto"/>
        <w:jc w:val="both"/>
      </w:pPr>
      <w:r>
        <w:rPr>
          <w:b/>
          <w:bCs/>
          <w:i/>
          <w:iCs/>
        </w:rPr>
        <w:t>Question 4: How is the job analysis process conducted in your organization?</w:t>
      </w:r>
    </w:p>
    <w:p w14:paraId="795DCC7F">
      <w:pPr>
        <w:spacing w:before="160" w:after="160" w:line="360" w:lineRule="auto"/>
        <w:jc w:val="both"/>
        <w:rPr>
          <w:lang w:val="en-US"/>
        </w:rPr>
      </w:pPr>
      <w:r>
        <w:t>The job analysis process at Millat Tractors Limited follows a structured, top-down flow. The Head of Department initiates the process by identifying the need for a new hire within their department. The HOD then prepares the Job Description and Job Specification for the role, detailing the responsibilities, qualifications, and competencies required. Feedback is collected from within the department to ensure the JD and JS accurately reflect the actual requirements of the position. Once finalized, the Job Description and Job Specification are forwarded to the HR department, which then proceeds with the recruitment process</w:t>
      </w:r>
      <w:r>
        <w:rPr>
          <w:lang w:val="en-US"/>
        </w:rPr>
        <w:t>.</w:t>
      </w:r>
    </w:p>
    <w:p w14:paraId="56C54A03">
      <w:pPr>
        <w:spacing w:before="160" w:after="160" w:line="360" w:lineRule="auto"/>
        <w:jc w:val="both"/>
      </w:pPr>
      <w:r>
        <w:rPr>
          <w:b/>
          <w:bCs/>
          <w:i/>
          <w:iCs/>
        </w:rPr>
        <w:t>Question 5: What is the employee selection process at Millat Tractors Limited?</w:t>
      </w:r>
    </w:p>
    <w:p w14:paraId="14A461F2">
      <w:pPr>
        <w:spacing w:before="160" w:after="160" w:line="360" w:lineRule="auto"/>
        <w:jc w:val="both"/>
      </w:pPr>
      <w:r>
        <w:t>The respondent clarified that the selection process at Millat Tractors Limited is not uniform — it depends significantly on the seniority level of the position being filled. For junior-level positions, interviews are conducted by HR in coordination with the relevant Head of Department. For senior-level positions, the process is more formal and rigorous: a dedicated interview panel is constituted, comprising multiple HODs and the Chief Operating Officer. This panel-based approach ensures that senior hiring decisions benefit from diverse organizational perspectives and are made with appropriate seniority and authority.</w:t>
      </w:r>
    </w:p>
    <w:p w14:paraId="061179A5">
      <w:pPr>
        <w:pStyle w:val="3"/>
        <w:spacing w:line="360" w:lineRule="auto"/>
        <w:jc w:val="center"/>
      </w:pPr>
      <w:bookmarkStart w:id="88" w:name="_Toc5352"/>
      <w:bookmarkStart w:id="89" w:name="_Toc6330"/>
      <w:bookmarkStart w:id="90" w:name="_Toc32182"/>
      <w:bookmarkStart w:id="91" w:name="_Toc26152"/>
      <w:bookmarkStart w:id="92" w:name="_Toc1704"/>
      <w:r>
        <w:t>2.5 Employee Benefits Offered</w:t>
      </w:r>
      <w:bookmarkEnd w:id="88"/>
      <w:bookmarkEnd w:id="89"/>
      <w:bookmarkEnd w:id="90"/>
      <w:bookmarkEnd w:id="91"/>
      <w:bookmarkEnd w:id="92"/>
    </w:p>
    <w:p w14:paraId="1EBAF314">
      <w:pPr>
        <w:spacing w:before="160" w:after="160" w:line="360" w:lineRule="auto"/>
        <w:jc w:val="both"/>
      </w:pPr>
      <w:r>
        <w:t>This section presents the interview responses related to training, development, and the overall compensation and benefits structure of the organization.</w:t>
      </w:r>
    </w:p>
    <w:p w14:paraId="7CF05E9A">
      <w:pPr>
        <w:spacing w:before="160" w:after="160" w:line="360" w:lineRule="auto"/>
        <w:jc w:val="both"/>
      </w:pPr>
      <w:r>
        <w:rPr>
          <w:b/>
          <w:bCs/>
          <w:i/>
          <w:iCs/>
        </w:rPr>
        <w:t>Question 6: How is training and development managed at Millat Tractors Limited?</w:t>
      </w:r>
    </w:p>
    <w:p w14:paraId="108A6725">
      <w:pPr>
        <w:spacing w:before="160" w:after="160" w:line="360" w:lineRule="auto"/>
        <w:jc w:val="both"/>
      </w:pPr>
      <w:r>
        <w:t>Training and development at Millat Tractors Limited is managed centrally, with the training budget controlled at the Head Office level. The organization follows a training reinforcement plan based on a learning curve model. Under this approach, employees undergo training sessions and subsequently receive reinforcement to bridge identified skill gaps and ensure the learning translates into improved workplace performance. Both internal and external training resources are utilized depending on the subject matter and the specific needs of the department.</w:t>
      </w:r>
    </w:p>
    <w:p w14:paraId="6848EF74">
      <w:pPr>
        <w:spacing w:before="160" w:after="160" w:line="360" w:lineRule="auto"/>
        <w:jc w:val="both"/>
      </w:pPr>
      <w:r>
        <w:rPr>
          <w:b/>
          <w:bCs/>
          <w:i/>
          <w:iCs/>
        </w:rPr>
        <w:t>Question 7: How do you conduct Training Needs Assessment (TNA) in your organization?</w:t>
      </w:r>
    </w:p>
    <w:p w14:paraId="2E7E4A32">
      <w:pPr>
        <w:spacing w:before="160" w:after="160" w:line="360" w:lineRule="auto"/>
        <w:jc w:val="both"/>
      </w:pPr>
      <w:r>
        <w:t>The Training Needs Assessment at Millat Tractors Limited is conducted primarily through two channels. First, feedback is collected from department managers and employees, which helps identify areas where performance is falling short of expectations and where skill development is required. Second, gaps in soft skills</w:t>
      </w:r>
      <w:r>
        <w:rPr>
          <w:lang w:val="en-US"/>
        </w:rPr>
        <w:t>,</w:t>
      </w:r>
      <w:r>
        <w:t xml:space="preserve"> such as communication, leadership, and interpersonal effectiveness — are identified and incorporated into the training plan. This dual approach ensures that both technical and behavioral training needs are addressed.</w:t>
      </w:r>
    </w:p>
    <w:p w14:paraId="232B987B">
      <w:pPr>
        <w:spacing w:before="160" w:after="160" w:line="360" w:lineRule="auto"/>
        <w:jc w:val="both"/>
        <w:rPr>
          <w:b/>
          <w:bCs/>
          <w:i/>
          <w:iCs/>
        </w:rPr>
      </w:pPr>
      <w:r>
        <w:rPr>
          <w:b/>
          <w:bCs/>
          <w:i/>
          <w:iCs/>
        </w:rPr>
        <w:t>Question 8: What types of pay structures do you offer, and how are they designed?</w:t>
      </w:r>
    </w:p>
    <w:p w14:paraId="5065B77F">
      <w:pPr>
        <w:spacing w:before="160" w:after="160" w:line="360" w:lineRule="auto"/>
        <w:jc w:val="both"/>
      </w:pPr>
      <w:r>
        <w:t>Millat Tractors Limited operates a hierarchical, grade-based pay structure. The structure progresses from Junior Executive through Assistant Manager, Deputy Manager, Manager, and up to Deputy General Manager. For each grade, a defined salary slab is established that sets the range within which the starting salary for that level falls. The primary determinants of where an individual's salary is placed within the slab are their skills and experience at the time of appointment. This structured approach ensures internal consistency and fairness in pay differentiation across levels.</w:t>
      </w:r>
    </w:p>
    <w:p w14:paraId="72FEFAC1">
      <w:pPr>
        <w:spacing w:before="80" w:after="240" w:line="360" w:lineRule="auto"/>
        <w:jc w:val="center"/>
      </w:pPr>
      <w:r>
        <w:rPr>
          <w:i/>
          <w:iCs/>
        </w:rPr>
        <w:t>Table 2.2: Salary Structure at Millat Tractors Limited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4"/>
        <w:gridCol w:w="3013"/>
        <w:gridCol w:w="2681"/>
        <w:gridCol w:w="2692"/>
      </w:tblGrid>
      <w:tr w14:paraId="0976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2C3E50" w:sz="6" w:space="0"/>
              <w:left w:val="single" w:color="2C3E50" w:sz="6" w:space="0"/>
              <w:bottom w:val="single" w:color="2C3E50" w:sz="6" w:space="0"/>
              <w:right w:val="single" w:color="2C3E50" w:sz="6" w:space="0"/>
            </w:tcBorders>
            <w:shd w:val="clear" w:color="auto" w:fill="2C3E50"/>
            <w:tcMar>
              <w:top w:w="100" w:type="dxa"/>
              <w:left w:w="160" w:type="dxa"/>
              <w:bottom w:w="100" w:type="dxa"/>
              <w:right w:w="160" w:type="dxa"/>
            </w:tcMar>
            <w:vAlign w:val="center"/>
          </w:tcPr>
          <w:p w14:paraId="4B6F78C7">
            <w:pPr>
              <w:spacing w:before="40" w:after="40" w:line="360" w:lineRule="auto"/>
              <w:jc w:val="center"/>
            </w:pPr>
            <w:r>
              <w:rPr>
                <w:b/>
                <w:bCs/>
                <w:color w:val="FFFFFF"/>
              </w:rPr>
              <w:t>Grade</w:t>
            </w:r>
          </w:p>
        </w:tc>
        <w:tc>
          <w:tcPr>
            <w:tcW w:w="3120" w:type="dxa"/>
            <w:tcBorders>
              <w:top w:val="single" w:color="2C3E50" w:sz="6" w:space="0"/>
              <w:left w:val="single" w:color="2C3E50" w:sz="6" w:space="0"/>
              <w:bottom w:val="single" w:color="2C3E50" w:sz="6" w:space="0"/>
              <w:right w:val="single" w:color="2C3E50" w:sz="6" w:space="0"/>
            </w:tcBorders>
            <w:shd w:val="clear" w:color="auto" w:fill="2C3E50"/>
            <w:tcMar>
              <w:top w:w="100" w:type="dxa"/>
              <w:left w:w="160" w:type="dxa"/>
              <w:bottom w:w="100" w:type="dxa"/>
              <w:right w:w="160" w:type="dxa"/>
            </w:tcMar>
            <w:vAlign w:val="center"/>
          </w:tcPr>
          <w:p w14:paraId="4ECF60BA">
            <w:pPr>
              <w:spacing w:before="40" w:after="40" w:line="360" w:lineRule="auto"/>
              <w:jc w:val="center"/>
            </w:pPr>
            <w:r>
              <w:rPr>
                <w:b/>
                <w:bCs/>
                <w:color w:val="FFFFFF"/>
              </w:rPr>
              <w:t>Position Level</w:t>
            </w:r>
          </w:p>
        </w:tc>
        <w:tc>
          <w:tcPr>
            <w:tcW w:w="2760" w:type="dxa"/>
            <w:tcBorders>
              <w:top w:val="single" w:color="2C3E50" w:sz="6" w:space="0"/>
              <w:left w:val="single" w:color="2C3E50" w:sz="6" w:space="0"/>
              <w:bottom w:val="single" w:color="2C3E50" w:sz="6" w:space="0"/>
              <w:right w:val="single" w:color="2C3E50" w:sz="6" w:space="0"/>
            </w:tcBorders>
            <w:shd w:val="clear" w:color="auto" w:fill="2C3E50"/>
            <w:tcMar>
              <w:top w:w="100" w:type="dxa"/>
              <w:left w:w="160" w:type="dxa"/>
              <w:bottom w:w="100" w:type="dxa"/>
              <w:right w:w="160" w:type="dxa"/>
            </w:tcMar>
            <w:vAlign w:val="center"/>
          </w:tcPr>
          <w:p w14:paraId="078936A4">
            <w:pPr>
              <w:spacing w:before="40" w:after="40" w:line="360" w:lineRule="auto"/>
              <w:jc w:val="center"/>
            </w:pPr>
            <w:r>
              <w:rPr>
                <w:b/>
                <w:bCs/>
                <w:color w:val="FFFFFF"/>
              </w:rPr>
              <w:t>Pay Basis</w:t>
            </w:r>
          </w:p>
        </w:tc>
        <w:tc>
          <w:tcPr>
            <w:tcW w:w="2760" w:type="dxa"/>
            <w:tcBorders>
              <w:top w:val="single" w:color="2C3E50" w:sz="6" w:space="0"/>
              <w:left w:val="single" w:color="2C3E50" w:sz="6" w:space="0"/>
              <w:bottom w:val="single" w:color="2C3E50" w:sz="6" w:space="0"/>
              <w:right w:val="single" w:color="2C3E50" w:sz="6" w:space="0"/>
            </w:tcBorders>
            <w:shd w:val="clear" w:color="auto" w:fill="2C3E50"/>
            <w:tcMar>
              <w:top w:w="100" w:type="dxa"/>
              <w:left w:w="160" w:type="dxa"/>
              <w:bottom w:w="100" w:type="dxa"/>
              <w:right w:w="160" w:type="dxa"/>
            </w:tcMar>
            <w:vAlign w:val="center"/>
          </w:tcPr>
          <w:p w14:paraId="6DE6F173">
            <w:pPr>
              <w:spacing w:before="40" w:after="40" w:line="360" w:lineRule="auto"/>
              <w:jc w:val="center"/>
            </w:pPr>
            <w:r>
              <w:rPr>
                <w:b/>
                <w:bCs/>
                <w:color w:val="FFFFFF"/>
              </w:rPr>
              <w:t>Level</w:t>
            </w:r>
          </w:p>
        </w:tc>
      </w:tr>
      <w:tr w14:paraId="580F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27CA198B">
            <w:pPr>
              <w:spacing w:before="40" w:after="40" w:line="360" w:lineRule="auto"/>
              <w:jc w:val="both"/>
            </w:pPr>
            <w:r>
              <w:t>1</w:t>
            </w:r>
          </w:p>
        </w:tc>
        <w:tc>
          <w:tcPr>
            <w:tcW w:w="312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46DB655B">
            <w:pPr>
              <w:spacing w:before="40" w:after="40" w:line="360" w:lineRule="auto"/>
              <w:jc w:val="both"/>
            </w:pPr>
            <w:r>
              <w:t>Junior Executive</w:t>
            </w:r>
          </w:p>
        </w:tc>
        <w:tc>
          <w:tcPr>
            <w:tcW w:w="276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4F311EC7">
            <w:pPr>
              <w:spacing w:before="40" w:after="40" w:line="360" w:lineRule="auto"/>
              <w:jc w:val="both"/>
            </w:pPr>
            <w:r>
              <w:t>Skills &amp; Experience</w:t>
            </w:r>
          </w:p>
        </w:tc>
        <w:tc>
          <w:tcPr>
            <w:tcW w:w="276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56C64058">
            <w:pPr>
              <w:spacing w:before="40" w:after="40" w:line="360" w:lineRule="auto"/>
              <w:jc w:val="both"/>
            </w:pPr>
            <w:r>
              <w:t>Entry</w:t>
            </w:r>
          </w:p>
        </w:tc>
      </w:tr>
      <w:tr w14:paraId="77A37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376505BF">
            <w:pPr>
              <w:spacing w:before="40" w:after="40" w:line="360" w:lineRule="auto"/>
              <w:jc w:val="both"/>
            </w:pPr>
            <w:r>
              <w:t>2</w:t>
            </w:r>
          </w:p>
        </w:tc>
        <w:tc>
          <w:tcPr>
            <w:tcW w:w="312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3588C9C5">
            <w:pPr>
              <w:spacing w:before="40" w:after="40" w:line="360" w:lineRule="auto"/>
              <w:jc w:val="both"/>
            </w:pPr>
            <w:r>
              <w:t>Assistant Manager (AM)</w:t>
            </w:r>
          </w:p>
        </w:tc>
        <w:tc>
          <w:tcPr>
            <w:tcW w:w="276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28888407">
            <w:pPr>
              <w:spacing w:before="40" w:after="40" w:line="360" w:lineRule="auto"/>
              <w:jc w:val="both"/>
            </w:pPr>
            <w:r>
              <w:t>Skills &amp; Experience</w:t>
            </w:r>
          </w:p>
        </w:tc>
        <w:tc>
          <w:tcPr>
            <w:tcW w:w="276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042E0D5C">
            <w:pPr>
              <w:spacing w:before="40" w:after="40" w:line="360" w:lineRule="auto"/>
              <w:jc w:val="both"/>
            </w:pPr>
            <w:r>
              <w:t>Mid</w:t>
            </w:r>
          </w:p>
        </w:tc>
      </w:tr>
      <w:tr w14:paraId="74DA5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091851B3">
            <w:pPr>
              <w:spacing w:before="40" w:after="40" w:line="360" w:lineRule="auto"/>
              <w:jc w:val="both"/>
            </w:pPr>
            <w:r>
              <w:t>3</w:t>
            </w:r>
          </w:p>
        </w:tc>
        <w:tc>
          <w:tcPr>
            <w:tcW w:w="312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0649C702">
            <w:pPr>
              <w:spacing w:before="40" w:after="40" w:line="360" w:lineRule="auto"/>
              <w:jc w:val="both"/>
            </w:pPr>
            <w:r>
              <w:t>Deputy Manager</w:t>
            </w:r>
          </w:p>
        </w:tc>
        <w:tc>
          <w:tcPr>
            <w:tcW w:w="276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4EF7B046">
            <w:pPr>
              <w:spacing w:before="40" w:after="40" w:line="360" w:lineRule="auto"/>
              <w:jc w:val="both"/>
            </w:pPr>
            <w:r>
              <w:t>Skills &amp; Experience</w:t>
            </w:r>
          </w:p>
        </w:tc>
        <w:tc>
          <w:tcPr>
            <w:tcW w:w="276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0D38F3A6">
            <w:pPr>
              <w:spacing w:before="40" w:after="40" w:line="360" w:lineRule="auto"/>
              <w:jc w:val="both"/>
            </w:pPr>
            <w:r>
              <w:t>Mid-Senior</w:t>
            </w:r>
          </w:p>
        </w:tc>
      </w:tr>
      <w:tr w14:paraId="0766A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0168F0CC">
            <w:pPr>
              <w:spacing w:before="40" w:after="40" w:line="360" w:lineRule="auto"/>
              <w:jc w:val="both"/>
            </w:pPr>
            <w:r>
              <w:t>4</w:t>
            </w:r>
          </w:p>
        </w:tc>
        <w:tc>
          <w:tcPr>
            <w:tcW w:w="312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03EE9A2D">
            <w:pPr>
              <w:spacing w:before="40" w:after="40" w:line="360" w:lineRule="auto"/>
              <w:jc w:val="both"/>
            </w:pPr>
            <w:r>
              <w:t>Manager</w:t>
            </w:r>
          </w:p>
        </w:tc>
        <w:tc>
          <w:tcPr>
            <w:tcW w:w="276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59FDC1D3">
            <w:pPr>
              <w:spacing w:before="40" w:after="40" w:line="360" w:lineRule="auto"/>
              <w:jc w:val="both"/>
            </w:pPr>
            <w:r>
              <w:t>Skills &amp; Experience</w:t>
            </w:r>
          </w:p>
        </w:tc>
        <w:tc>
          <w:tcPr>
            <w:tcW w:w="2760" w:type="dxa"/>
            <w:tcBorders>
              <w:top w:val="single" w:color="2C3E50" w:sz="6" w:space="0"/>
              <w:left w:val="single" w:color="2C3E50" w:sz="6" w:space="0"/>
              <w:bottom w:val="single" w:color="2C3E50" w:sz="6" w:space="0"/>
              <w:right w:val="single" w:color="2C3E50" w:sz="6" w:space="0"/>
            </w:tcBorders>
            <w:shd w:val="clear" w:color="auto" w:fill="EAF0FB"/>
            <w:tcMar>
              <w:top w:w="100" w:type="dxa"/>
              <w:left w:w="160" w:type="dxa"/>
              <w:bottom w:w="100" w:type="dxa"/>
              <w:right w:w="160" w:type="dxa"/>
            </w:tcMar>
          </w:tcPr>
          <w:p w14:paraId="26E972A6">
            <w:pPr>
              <w:spacing w:before="40" w:after="40" w:line="360" w:lineRule="auto"/>
              <w:jc w:val="both"/>
            </w:pPr>
            <w:r>
              <w:t>Senior</w:t>
            </w:r>
          </w:p>
        </w:tc>
      </w:tr>
      <w:tr w14:paraId="05434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11AB6392">
            <w:pPr>
              <w:spacing w:before="40" w:after="40" w:line="360" w:lineRule="auto"/>
              <w:jc w:val="both"/>
            </w:pPr>
            <w:r>
              <w:t>5</w:t>
            </w:r>
          </w:p>
        </w:tc>
        <w:tc>
          <w:tcPr>
            <w:tcW w:w="312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18CC4907">
            <w:pPr>
              <w:spacing w:before="40" w:after="40" w:line="360" w:lineRule="auto"/>
              <w:jc w:val="both"/>
            </w:pPr>
            <w:r>
              <w:t>Deputy General Manager</w:t>
            </w:r>
          </w:p>
        </w:tc>
        <w:tc>
          <w:tcPr>
            <w:tcW w:w="276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07536379">
            <w:pPr>
              <w:spacing w:before="40" w:after="40" w:line="360" w:lineRule="auto"/>
              <w:jc w:val="both"/>
            </w:pPr>
            <w:r>
              <w:t>Skills &amp; Experience</w:t>
            </w:r>
          </w:p>
        </w:tc>
        <w:tc>
          <w:tcPr>
            <w:tcW w:w="2760" w:type="dxa"/>
            <w:tcBorders>
              <w:top w:val="single" w:color="2C3E50" w:sz="6" w:space="0"/>
              <w:left w:val="single" w:color="2C3E50" w:sz="6" w:space="0"/>
              <w:bottom w:val="single" w:color="2C3E50" w:sz="6" w:space="0"/>
              <w:right w:val="single" w:color="2C3E50" w:sz="6" w:space="0"/>
            </w:tcBorders>
            <w:shd w:val="clear" w:color="auto" w:fill="FFFFFF"/>
            <w:tcMar>
              <w:top w:w="100" w:type="dxa"/>
              <w:left w:w="160" w:type="dxa"/>
              <w:bottom w:w="100" w:type="dxa"/>
              <w:right w:w="160" w:type="dxa"/>
            </w:tcMar>
          </w:tcPr>
          <w:p w14:paraId="2609D9FE">
            <w:pPr>
              <w:spacing w:before="40" w:after="40" w:line="360" w:lineRule="auto"/>
              <w:jc w:val="both"/>
            </w:pPr>
            <w:r>
              <w:t>Top Management</w:t>
            </w:r>
          </w:p>
        </w:tc>
      </w:tr>
    </w:tbl>
    <w:p w14:paraId="4466262E">
      <w:pPr>
        <w:spacing w:before="160" w:after="160" w:line="360" w:lineRule="auto"/>
        <w:jc w:val="both"/>
      </w:pPr>
      <w:r>
        <w:rPr>
          <w:b/>
          <w:bCs/>
          <w:i/>
          <w:iCs/>
        </w:rPr>
        <w:t>Question 9: How is your pay structure competitive compared to your competitors?</w:t>
      </w:r>
    </w:p>
    <w:p w14:paraId="1A4FE0A2">
      <w:pPr>
        <w:spacing w:before="160" w:after="160" w:line="360" w:lineRule="auto"/>
        <w:jc w:val="both"/>
      </w:pPr>
      <w:r>
        <w:t>To ensure that its pay structure remains competitive in the market, Millat Tractors Limited conducts salary surveys comparing its compensation levels against those of more than ten per organizations operating in the same industry and market. These surveys provide market intelligence that informs periodic adjustments to the pay structure. This benchmarking practice allows the HR department to assess where the organization stands relative to competitors and make data-informed decisions about salary revisions.</w:t>
      </w:r>
    </w:p>
    <w:p w14:paraId="6F57E7DE">
      <w:pPr>
        <w:spacing w:before="160" w:after="160" w:line="360" w:lineRule="auto"/>
        <w:jc w:val="both"/>
      </w:pPr>
      <w:r>
        <w:rPr>
          <w:b/>
          <w:bCs/>
          <w:i/>
          <w:iCs/>
        </w:rPr>
        <w:t>Question 10: How is the salary system developed in your organization?</w:t>
      </w:r>
    </w:p>
    <w:p w14:paraId="55C58F29">
      <w:pPr>
        <w:spacing w:before="160" w:after="160" w:line="360" w:lineRule="auto"/>
        <w:jc w:val="both"/>
      </w:pPr>
      <w:r>
        <w:t>The salary system at Millat Tractors Limited is developed and maintained by the HR department. The HR team is responsible for designing the pay structure, establishing salary slabs for each grade, and ensuring that the system remains aligned with market rates and organizational financial capacity. Since major compensation decisions are made at the board level, the HR department works within the policy framework set by the board while managing the operational details of salary administration.</w:t>
      </w:r>
    </w:p>
    <w:p w14:paraId="58288806">
      <w:pPr>
        <w:spacing w:before="160" w:after="160" w:line="360" w:lineRule="auto"/>
        <w:jc w:val="both"/>
      </w:pPr>
      <w:r>
        <w:rPr>
          <w:b/>
          <w:bCs/>
          <w:i/>
          <w:iCs/>
        </w:rPr>
        <w:t>Question 11: Do you provide legislative pay and benefits? If yes, what is the mechanism?</w:t>
      </w:r>
    </w:p>
    <w:p w14:paraId="68E068E5">
      <w:pPr>
        <w:spacing w:before="160" w:after="160" w:line="360" w:lineRule="auto"/>
        <w:jc w:val="both"/>
      </w:pPr>
      <w:r>
        <w:t>The respondent confirmed that Millat Tractors Limited provides a comprehensive package of legislative and supplementary benefits. With regard to bonuses, employees receive both a production-linked bonus and a salary-based bonus, the amounts of which depend on organizational production levels and individual performance. The organization additionally provides annual insurance coverage and travel allowances to executive-level employees. Repair assistance is also available, and employees receive sick leave entitlements along with a fuel incentive. Following the organization's recent merger, the same benefit policies and pay structure have been standardized and applied uniformly across all merged entities, ensuring consistency and equity across the workforce.</w:t>
      </w:r>
    </w:p>
    <w:p w14:paraId="223513DD">
      <w:pPr>
        <w:pStyle w:val="3"/>
        <w:spacing w:line="360" w:lineRule="auto"/>
        <w:jc w:val="center"/>
      </w:pPr>
      <w:bookmarkStart w:id="93" w:name="_Toc32744"/>
      <w:bookmarkStart w:id="94" w:name="_Toc11960"/>
      <w:bookmarkStart w:id="95" w:name="_Toc7641"/>
      <w:bookmarkStart w:id="96" w:name="_Toc14085"/>
      <w:bookmarkStart w:id="97" w:name="_Toc23978"/>
      <w:r>
        <w:t>2.6 Performance Appraisal and Compensation</w:t>
      </w:r>
      <w:bookmarkEnd w:id="93"/>
      <w:bookmarkEnd w:id="94"/>
      <w:bookmarkEnd w:id="95"/>
      <w:bookmarkEnd w:id="96"/>
      <w:bookmarkEnd w:id="97"/>
    </w:p>
    <w:p w14:paraId="79D989D7">
      <w:pPr>
        <w:spacing w:before="160" w:after="160" w:line="360" w:lineRule="auto"/>
        <w:jc w:val="both"/>
      </w:pPr>
      <w:r>
        <w:rPr>
          <w:b/>
          <w:bCs/>
          <w:i/>
          <w:iCs/>
        </w:rPr>
        <w:t>Question 12: How do you appraise your employees, and how is their performance evaluated?</w:t>
      </w:r>
    </w:p>
    <w:p w14:paraId="3EFB660E">
      <w:pPr>
        <w:spacing w:before="160" w:after="160" w:line="360" w:lineRule="auto"/>
        <w:jc w:val="both"/>
      </w:pPr>
      <w:r>
        <w:t>Performance appraisal at Millat Tractors Limited is conducted through an annual review cycle — once per year. The appraisal process is closely tied to the organization's training and development framework, meaning that training outcomes feed into the overall performance evaluation. Appraisal results directly influence compensation decisions, particularly annual salary increments. Employees must typically have a minimum of four years of service to be eligible for certain performance-linked benefits, although this requirement may vary depending on the organizational level. The organization also makes use of non-monetary recognition mechanisms, such as employee appreciation events, to complement its financial reward structure. However, at the time of the interview, there was no formal long-service recognition award program in place.</w:t>
      </w:r>
    </w:p>
    <w:p w14:paraId="17055F82">
      <w:pPr>
        <w:spacing w:before="160" w:after="160" w:line="360" w:lineRule="auto"/>
        <w:jc w:val="both"/>
      </w:pPr>
      <w:r>
        <w:rPr>
          <w:b/>
          <w:bCs/>
          <w:i/>
          <w:iCs/>
        </w:rPr>
        <w:t>Question 13: How do you compare standard performance with actual performance? What methods or mechanisms do you use?</w:t>
      </w:r>
    </w:p>
    <w:p w14:paraId="5363359E">
      <w:pPr>
        <w:spacing w:before="160" w:after="160" w:line="360" w:lineRule="auto"/>
        <w:jc w:val="both"/>
      </w:pPr>
      <w:r>
        <w:t>The primary performance measurement tool used by Millat Tractors Limited is the Key Performance Indicator framework, which covers both role-specific technical KPIs and behavioral soft skill KPIs. This balanced approach ensures that performance is evaluated not only on quantitative outputs but also on interpersonal effectiveness, communication, and other qualitative dimensions. The organization has a strong performance orientation and benchmarks against global high-performance standards. Retaining high performers is identified as a key challenge</w:t>
      </w:r>
      <w:r>
        <w:rPr>
          <w:lang w:val="en-US"/>
        </w:rPr>
        <w:t>,</w:t>
      </w:r>
      <w:r>
        <w:t xml:space="preserve"> while benefits are disbursed on time, the competitive nature of the labour market means that talented employees are frequently approached with attractive offers from other organizations, making retention an ongoing concern.</w:t>
      </w:r>
    </w:p>
    <w:p w14:paraId="40414C5A">
      <w:pPr>
        <w:pStyle w:val="3"/>
        <w:spacing w:line="360" w:lineRule="auto"/>
        <w:jc w:val="center"/>
      </w:pPr>
      <w:bookmarkStart w:id="98" w:name="_Toc16526"/>
      <w:bookmarkStart w:id="99" w:name="_Toc16196"/>
      <w:bookmarkStart w:id="100" w:name="_Toc31736"/>
      <w:bookmarkStart w:id="101" w:name="_Toc16805"/>
      <w:bookmarkStart w:id="102" w:name="_Toc26577"/>
      <w:r>
        <w:t>2.7 Employee Motivation and Satisfaction</w:t>
      </w:r>
      <w:bookmarkEnd w:id="98"/>
      <w:bookmarkEnd w:id="99"/>
      <w:bookmarkEnd w:id="100"/>
      <w:bookmarkEnd w:id="101"/>
      <w:bookmarkEnd w:id="102"/>
    </w:p>
    <w:p w14:paraId="7C665B37">
      <w:pPr>
        <w:spacing w:before="160" w:after="160" w:line="360" w:lineRule="auto"/>
        <w:jc w:val="both"/>
      </w:pPr>
      <w:r>
        <w:rPr>
          <w:b/>
          <w:bCs/>
          <w:i/>
          <w:iCs/>
        </w:rPr>
        <w:t>Question 14: How does your organization maintain good relations between management and employees, and promote a healthy work environment?</w:t>
      </w:r>
    </w:p>
    <w:p w14:paraId="1A039567">
      <w:pPr>
        <w:spacing w:before="160" w:after="160" w:line="360" w:lineRule="auto"/>
        <w:jc w:val="both"/>
      </w:pPr>
      <w:r>
        <w:t>Employee relations at Millat Tractors Limited are managed through a structured communication and grievance framework. Heads of Department serve as the first point of contact for employee concerns, discussing issues directly with their teams before escalating matters to the HR department if necessary. The Industrial Relations (IR) department handles formal complaints and union-related matters. In terms of tangible employee welfare, the organization provides health insurance cards to all executive-level employees under the East/West Adam GT insurance plan. Executive employees are entitled to five paid leaves, while labour-grade employees receive two, in accordance with legal requirements. Casual and annual leave entitlements are provided, and employees are also eligible for Hajj leave once per year.</w:t>
      </w:r>
    </w:p>
    <w:p w14:paraId="316C9C8A">
      <w:pPr>
        <w:spacing w:before="160" w:after="160" w:line="360" w:lineRule="auto"/>
        <w:jc w:val="both"/>
      </w:pPr>
      <w:r>
        <w:rPr>
          <w:b/>
          <w:bCs/>
          <w:i/>
          <w:iCs/>
        </w:rPr>
        <w:t>Question 15: Does your organization provide social security and other employee welfare benefits?</w:t>
      </w:r>
    </w:p>
    <w:p w14:paraId="04C6DB56">
      <w:pPr>
        <w:spacing w:before="160" w:after="160" w:line="360" w:lineRule="auto"/>
        <w:jc w:val="both"/>
      </w:pPr>
      <w:r>
        <w:t>Mr. Irfan Shabbir confirmed that Millat Tractors Limited provides a broad range of social security and welfare benefits to its employees. These include contributions to social security and the Employees' Old-Age Benefits Institution, as well as the payment of bonuses. Beyond these statutory provisions, the organization also offers welfare grants that reflect its commitment to employee wellbeing beyond the workplace. These include workers' children education assistance, which helps employees with the educational expenses of their children, a marriage grant provided to employees at the time of their marriage, and a death grant offered to the family of a deceased employee. These benefits collectively demonstrate a holistic approach to employee welfare that extends well beyond conventional salary and bonus structures.</w:t>
      </w:r>
    </w:p>
    <w:p w14:paraId="4EDE8ACA">
      <w:pPr>
        <w:pStyle w:val="3"/>
        <w:spacing w:line="360" w:lineRule="auto"/>
        <w:jc w:val="center"/>
      </w:pPr>
      <w:bookmarkStart w:id="103" w:name="_Toc13637"/>
      <w:bookmarkStart w:id="104" w:name="_Toc6119"/>
      <w:bookmarkStart w:id="105" w:name="_Toc10997"/>
      <w:bookmarkStart w:id="106" w:name="_Toc16764"/>
      <w:bookmarkStart w:id="107" w:name="_Toc27463"/>
      <w:r>
        <w:t>2.8 Organizational Response Regarding Compensation Challenges</w:t>
      </w:r>
      <w:bookmarkEnd w:id="103"/>
      <w:bookmarkEnd w:id="104"/>
      <w:bookmarkEnd w:id="105"/>
      <w:bookmarkEnd w:id="106"/>
      <w:bookmarkEnd w:id="107"/>
    </w:p>
    <w:p w14:paraId="4715A359">
      <w:pPr>
        <w:spacing w:before="160" w:after="160" w:line="360" w:lineRule="auto"/>
        <w:jc w:val="both"/>
      </w:pPr>
      <w:r>
        <w:rPr>
          <w:b/>
          <w:bCs/>
          <w:i/>
          <w:iCs/>
        </w:rPr>
        <w:t>Question 16: How does your organization ensure compliance with labour laws, and are there any labour unions or employee associations in the organization?</w:t>
      </w:r>
    </w:p>
    <w:p w14:paraId="609C99AA">
      <w:pPr>
        <w:spacing w:before="160" w:after="160" w:line="360" w:lineRule="auto"/>
        <w:jc w:val="both"/>
      </w:pPr>
      <w:r>
        <w:t>The IR department is the primary body responsible for ensuring compliance with all applicable labour laws at Millat Tractors Limited. The department uses compliance checklists to systematically monitor adherence to legal requirements across the organization. Labour unions are present within the organization, and the IR department manages collective bargaining with union representatives. All applicable labour laws are followed, and department heads along with immediate supervisors at the unit level are responsible for day-to-day compliance. It is important to note that labour laws apply specifically to labour-grade employees and are not applicable to executive-level staff.</w:t>
      </w:r>
    </w:p>
    <w:p w14:paraId="2F067359">
      <w:pPr>
        <w:spacing w:before="160" w:after="160" w:line="360" w:lineRule="auto"/>
        <w:jc w:val="both"/>
      </w:pPr>
      <w:r>
        <w:t>Regarding compensation-related compliance and adjustments, the organization applies a government-mandated minimum wage increase of approximately three percent annually. House rent allowances are revised twice per year in response to inflationary pressures. The production-linked bonus system provides workers with three salary bonuses annually, with two-thirds distributed per year based on production performance. A profit-sharing mechanism allocates five percent of profits to working employees. Salary increments for executive staff are determined based on a combination of performance results, KPI achievement, soft skill assessments, and market conditions. The organization also addresses inflation by incorporating it into base pay adjustments. Following a compensation survey, approximately sixty to seventy percent of employees were found to be satisfied with their overall compensation package, indicating a generally positive reception to the organization's pay practices, though acknowledging room for improvement.</w:t>
      </w:r>
    </w:p>
    <w:p w14:paraId="23F27EA0">
      <w:pPr>
        <w:pStyle w:val="3"/>
        <w:spacing w:line="360" w:lineRule="auto"/>
        <w:jc w:val="center"/>
      </w:pPr>
      <w:bookmarkStart w:id="108" w:name="_Toc6234"/>
      <w:bookmarkStart w:id="109" w:name="_Toc9573"/>
      <w:bookmarkStart w:id="110" w:name="_Toc10762"/>
      <w:bookmarkStart w:id="111" w:name="_Toc21005"/>
      <w:bookmarkStart w:id="112" w:name="_Toc19674"/>
      <w:r>
        <w:t>2.9 Analysis of Findings</w:t>
      </w:r>
      <w:bookmarkEnd w:id="108"/>
      <w:bookmarkEnd w:id="109"/>
      <w:bookmarkEnd w:id="110"/>
      <w:bookmarkEnd w:id="111"/>
      <w:bookmarkEnd w:id="112"/>
    </w:p>
    <w:p w14:paraId="407D6090">
      <w:pPr>
        <w:spacing w:before="160" w:after="160" w:line="360" w:lineRule="auto"/>
        <w:jc w:val="both"/>
      </w:pPr>
      <w:r>
        <w:t>A review of the interview responses reveals that Millat Tractors Limited has developed a well-structured and systematically administered compensation framework. The organization's grade-based salary structure reflects the principles of internal equity, while the regular market salary surveys demonstrate a conscious effort to maintain external competitiveness. The direct linkage of annual appraisal results to salary increments represents a meaningful application of pay-for-performance principles, supported by a KPI framework that encompasses both technical and behavioral dimensions of performance.</w:t>
      </w:r>
    </w:p>
    <w:p w14:paraId="2C840413">
      <w:pPr>
        <w:spacing w:before="160" w:after="160" w:line="360" w:lineRule="auto"/>
        <w:jc w:val="both"/>
      </w:pPr>
      <w:r>
        <w:t>The comprehensive benefits package, encompassing statutory welfare provisions such as EOBI and social security, supplementary benefits such as health insurance and travel allowances, and welfare grants including education, marriage, and death grants, reflects a holistic approach to employee wellbeing that goes beyond basic monetary compensation. The post-merger standardization of pay policies is a significant organizational strength, as it ensures consistency and perceived fairness across the workforce.</w:t>
      </w:r>
    </w:p>
    <w:p w14:paraId="0D9F7EEC">
      <w:pPr>
        <w:spacing w:before="160" w:after="160" w:line="360" w:lineRule="auto"/>
        <w:jc w:val="both"/>
      </w:pPr>
      <w:r>
        <w:t>However, certain gaps are also apparent. The absence of a formal, professionally conducted compensation survey limits the precision of the organization's market benchmarking. The reported employee satisfaction rate of sixty to seventy percent, while acceptable, signals that a meaningful proportion of employees have unmet compensation expectations. The identified retention challenge, particularly for high-performing employees, suggests that the current compensation structure may not be sufficiently differentiated or flexible to address the diverse motivational needs of the workforce.</w:t>
      </w:r>
    </w:p>
    <w:p w14:paraId="46798759">
      <w:pPr>
        <w:pStyle w:val="3"/>
        <w:spacing w:line="360" w:lineRule="auto"/>
        <w:jc w:val="center"/>
      </w:pPr>
      <w:bookmarkStart w:id="113" w:name="_Toc25612"/>
      <w:bookmarkStart w:id="114" w:name="_Toc14337"/>
      <w:bookmarkStart w:id="115" w:name="_Toc20465"/>
      <w:bookmarkStart w:id="116" w:name="_Toc5784"/>
      <w:bookmarkStart w:id="117" w:name="_Toc12078"/>
      <w:r>
        <w:t>2.10 Recommendations</w:t>
      </w:r>
      <w:bookmarkEnd w:id="113"/>
      <w:bookmarkEnd w:id="114"/>
      <w:bookmarkEnd w:id="115"/>
      <w:bookmarkEnd w:id="116"/>
      <w:bookmarkEnd w:id="117"/>
    </w:p>
    <w:p w14:paraId="5B776699">
      <w:pPr>
        <w:spacing w:before="160" w:after="160" w:line="360" w:lineRule="auto"/>
        <w:jc w:val="both"/>
      </w:pPr>
      <w:r>
        <w:t>Based on the analysis of the interview findings, it is recommended that Millat Tractors Limited invest in formal compensation surveys conducted through professional HR consulting firms. Such surveys would provide more precise and statistically reliable market benchmarking data, enabling more informed compensation decisions. Furthermore, the organization should explore the development of a flexible benefits program that allows employees to select benefits according to their individual preferences and life circumstances. This would enhance compensation satisfaction, particularly among younger employees who may prioritize different benefits than their senior counterparts.</w:t>
      </w:r>
    </w:p>
    <w:p w14:paraId="175128D5">
      <w:pPr>
        <w:spacing w:before="160" w:after="160" w:line="360" w:lineRule="auto"/>
        <w:jc w:val="both"/>
      </w:pPr>
      <w:r>
        <w:t>The introduction of a formal long-service recognition program, offering tangible rewards at defined service milestones, would strengthen employee loyalty and reduce voluntary turnover. Implementing mid-year performance reviews in addition to the annual appraisal cycle would also strengthen the motivational effectiveness of the performance-pay linkage by providing more timely feedback and recognition. Lastly, targeted retention strategies for high performers</w:t>
      </w:r>
      <w:r>
        <w:rPr>
          <w:lang w:val="en-US"/>
        </w:rPr>
        <w:t>,</w:t>
      </w:r>
      <w:r>
        <w:t xml:space="preserve"> such as accelerated pay progression, enhanced incentive plans, or career development investment</w:t>
      </w:r>
      <w:r>
        <w:rPr>
          <w:lang w:val="en-US"/>
        </w:rPr>
        <w:t xml:space="preserve">, </w:t>
      </w:r>
      <w:r>
        <w:t>should be considered to address the identified retention challenge.</w:t>
      </w:r>
    </w:p>
    <w:p w14:paraId="5718B2D8">
      <w:pPr>
        <w:pStyle w:val="3"/>
        <w:spacing w:line="360" w:lineRule="auto"/>
        <w:jc w:val="center"/>
      </w:pPr>
      <w:bookmarkStart w:id="118" w:name="_Toc7494"/>
      <w:bookmarkStart w:id="119" w:name="_Toc5441"/>
      <w:bookmarkStart w:id="120" w:name="_Toc14186"/>
      <w:bookmarkStart w:id="121" w:name="_Toc27366"/>
      <w:bookmarkStart w:id="122" w:name="_Toc21049"/>
      <w:r>
        <w:t>2.11 Conclusion</w:t>
      </w:r>
      <w:bookmarkEnd w:id="118"/>
      <w:bookmarkEnd w:id="119"/>
      <w:bookmarkEnd w:id="120"/>
      <w:bookmarkEnd w:id="121"/>
      <w:bookmarkEnd w:id="122"/>
    </w:p>
    <w:p w14:paraId="492EDF5D">
      <w:pPr>
        <w:spacing w:before="160" w:after="160" w:line="360" w:lineRule="auto"/>
        <w:jc w:val="both"/>
      </w:pPr>
      <w:r>
        <w:t>The findings presented in this chapter provide a detailed and substantive picture of compensation management as practiced at Millat Tractors Limited. The organization demonstrates a mature and deliberate approach to compensation, underpinned by a structured pay hierarchy, market-responsive salary management, a comprehensive benefits package, and a performance-linked appraisal system. These practices reflect the work of an HR function that is well-integrated into the organization's governance and strategic decision-making processes.</w:t>
      </w:r>
    </w:p>
    <w:p w14:paraId="5396E8E9">
      <w:pPr>
        <w:spacing w:before="160" w:after="160" w:line="360" w:lineRule="auto"/>
        <w:jc w:val="both"/>
        <w:rPr>
          <w:lang w:val="en-US"/>
        </w:rPr>
      </w:pPr>
      <w:r>
        <w:t>At the same time, the analysis has identified clear opportunities for enhancement, particularly in the areas of formal compensation benchmarking, flexible benefits design, long-service recognition, and retention strategies for high performers. Addressing these areas would enable Millat Tractors Limited to further strengthen its position as an employer of choice in Pakistan's manufacturing sector and ensure that its compensation framework continues to effectively attract, motivate, and retain a high-performing and committed workforce.</w:t>
      </w:r>
    </w:p>
    <w:p w14:paraId="229C1C1A">
      <w:pPr>
        <w:pStyle w:val="2"/>
        <w:spacing w:line="360" w:lineRule="auto"/>
        <w:jc w:val="center"/>
        <w:rPr>
          <w:sz w:val="28"/>
          <w:szCs w:val="28"/>
        </w:rPr>
      </w:pPr>
      <w:bookmarkStart w:id="123" w:name="_Toc7580"/>
      <w:bookmarkStart w:id="124" w:name="_Toc7915"/>
      <w:bookmarkStart w:id="125" w:name="_Toc7285"/>
      <w:bookmarkStart w:id="126" w:name="_Toc25945"/>
      <w:bookmarkStart w:id="127" w:name="_Toc11639"/>
      <w:r>
        <w:rPr>
          <w:b/>
          <w:bCs/>
          <w:color w:val="auto"/>
          <w:sz w:val="28"/>
          <w:szCs w:val="28"/>
        </w:rPr>
        <w:t>Chapter 3</w:t>
      </w:r>
      <w:bookmarkEnd w:id="123"/>
      <w:bookmarkEnd w:id="124"/>
      <w:bookmarkEnd w:id="125"/>
      <w:bookmarkEnd w:id="126"/>
      <w:bookmarkEnd w:id="127"/>
    </w:p>
    <w:p w14:paraId="16065C81">
      <w:pPr>
        <w:pStyle w:val="2"/>
        <w:spacing w:line="360" w:lineRule="auto"/>
        <w:jc w:val="center"/>
        <w:rPr>
          <w:b/>
          <w:bCs/>
          <w:color w:val="auto"/>
          <w:sz w:val="24"/>
          <w:szCs w:val="24"/>
        </w:rPr>
      </w:pPr>
      <w:bookmarkStart w:id="128" w:name="_Toc26099"/>
      <w:bookmarkStart w:id="129" w:name="_Toc681"/>
      <w:bookmarkStart w:id="130" w:name="_Toc19260"/>
      <w:bookmarkStart w:id="131" w:name="_Toc31735"/>
      <w:bookmarkStart w:id="132" w:name="_Toc10065"/>
      <w:r>
        <w:rPr>
          <w:b/>
          <w:bCs/>
          <w:color w:val="auto"/>
          <w:sz w:val="28"/>
          <w:szCs w:val="28"/>
        </w:rPr>
        <w:t>Literature Review: Theoretical Foundations of Human Resource Management</w:t>
      </w:r>
      <w:bookmarkEnd w:id="128"/>
      <w:bookmarkEnd w:id="129"/>
      <w:bookmarkEnd w:id="130"/>
      <w:bookmarkEnd w:id="131"/>
      <w:bookmarkEnd w:id="132"/>
    </w:p>
    <w:p w14:paraId="0B76D1A7">
      <w:pPr>
        <w:spacing w:line="360" w:lineRule="auto"/>
      </w:pPr>
    </w:p>
    <w:p w14:paraId="3C8AF39B">
      <w:pPr>
        <w:pStyle w:val="3"/>
        <w:spacing w:line="360" w:lineRule="auto"/>
        <w:jc w:val="center"/>
      </w:pPr>
      <w:bookmarkStart w:id="133" w:name="_Toc6065"/>
      <w:bookmarkStart w:id="134" w:name="_Toc10238"/>
      <w:bookmarkStart w:id="135" w:name="_Toc30798"/>
      <w:bookmarkStart w:id="136" w:name="_Toc11599"/>
      <w:bookmarkStart w:id="137" w:name="_Toc19699"/>
      <w:r>
        <w:t>3.1  Introduction</w:t>
      </w:r>
      <w:bookmarkEnd w:id="133"/>
      <w:bookmarkEnd w:id="134"/>
      <w:bookmarkEnd w:id="135"/>
      <w:bookmarkEnd w:id="136"/>
      <w:bookmarkEnd w:id="137"/>
    </w:p>
    <w:p w14:paraId="40E68D95">
      <w:pPr>
        <w:spacing w:after="160" w:line="360" w:lineRule="auto"/>
        <w:jc w:val="both"/>
      </w:pPr>
      <w:r>
        <w:t>Human Resource Management (HRM) has evolved considerably over the past several decades, transitioning from a primarily administrative personnel function into a strategically central organizational discipline. Contemporary scholarship broadly defines HRM as the strategic and coherent approach to managing an organization's most valued assets</w:t>
      </w:r>
      <w:r>
        <w:rPr>
          <w:lang w:val="en-US"/>
        </w:rPr>
        <w:t xml:space="preserve">, </w:t>
      </w:r>
      <w:r>
        <w:t>its people</w:t>
      </w:r>
      <w:r>
        <w:rPr>
          <w:lang w:val="en-US"/>
        </w:rPr>
        <w:t>,</w:t>
      </w:r>
      <w:r>
        <w:t xml:space="preserve"> in a manner that individually and collectively contributes to the achievement of organizational objectives (Armstrong &amp; Taylor, 2020). This evolution from administrative support to strategic partnership reflects a growing recognition that workforce management is not merely a functional requirement but a source of sustainable competitive advantage, particularly in knowledge-intensive and technically demanding industries.</w:t>
      </w:r>
    </w:p>
    <w:p w14:paraId="1D86EFB4">
      <w:pPr>
        <w:spacing w:after="160" w:line="360" w:lineRule="auto"/>
        <w:jc w:val="both"/>
      </w:pPr>
      <w:r>
        <w:t>The purpose of this literature review is to examine the five core functions of HRM</w:t>
      </w:r>
      <w:r>
        <w:rPr>
          <w:lang w:val="en-US"/>
        </w:rPr>
        <w:t>,</w:t>
      </w:r>
      <w:r>
        <w:t xml:space="preserve"> recruitment and selection, training and development, compensation and benefits, performance management, and employee relations — through the lens of established academic scholarship and recent empirical research. Each function is analyzed in terms of its theoretical foundations, the consensus emerging from the research literature, findings from recent empirical studies, and its demonstrated relationship with employee and organizational performance. Real-world organizational examples are incorporated throughout to illustrate how leading firms have translated theoretical principles into effective practice.</w:t>
      </w:r>
    </w:p>
    <w:p w14:paraId="0C6792D2">
      <w:pPr>
        <w:spacing w:after="160" w:line="360" w:lineRule="auto"/>
        <w:jc w:val="both"/>
      </w:pPr>
      <w:r>
        <w:t>The review draws principally upon the landmark contributions of Dessler (2020), Armstrong and Taylor (2020), Noe, Hollenbeck, Gerhart, and Wright (2021), Mathis and Jackson (2019), and Milkovich, Newman, and Gerhart (2020), supplemented by peer-reviewed journal articles published predominantly between 2019 and 2024. This synthesis aims not merely to catalogue what the literature says, but to critically evaluate the relative weight of evidence, highlight areas of scholarly consensus and debate, and identify the emerging trends that are reshaping HRM practice in the contemporary organizational environment.</w:t>
      </w:r>
    </w:p>
    <w:p w14:paraId="540AB080">
      <w:pPr>
        <w:pStyle w:val="3"/>
        <w:spacing w:line="360" w:lineRule="auto"/>
        <w:jc w:val="center"/>
      </w:pPr>
      <w:bookmarkStart w:id="138" w:name="_Toc6368"/>
      <w:bookmarkStart w:id="139" w:name="_Toc10926"/>
      <w:bookmarkStart w:id="140" w:name="_Toc23548"/>
      <w:bookmarkStart w:id="141" w:name="_Toc19531"/>
      <w:bookmarkStart w:id="142" w:name="_Toc16552"/>
      <w:r>
        <w:t>3.2  Recruitment and Selection</w:t>
      </w:r>
      <w:bookmarkEnd w:id="138"/>
      <w:bookmarkEnd w:id="139"/>
      <w:bookmarkEnd w:id="140"/>
      <w:bookmarkEnd w:id="141"/>
      <w:bookmarkEnd w:id="142"/>
    </w:p>
    <w:p w14:paraId="730C7743">
      <w:pPr>
        <w:pStyle w:val="4"/>
        <w:spacing w:line="360" w:lineRule="auto"/>
      </w:pPr>
      <w:bookmarkStart w:id="143" w:name="_Toc30056"/>
      <w:bookmarkStart w:id="144" w:name="_Toc20487"/>
      <w:r>
        <w:t>3.2.1  Definition and Literature Perspective</w:t>
      </w:r>
      <w:bookmarkEnd w:id="143"/>
      <w:bookmarkEnd w:id="144"/>
    </w:p>
    <w:p w14:paraId="347157C8">
      <w:pPr>
        <w:spacing w:after="160" w:line="360" w:lineRule="auto"/>
        <w:jc w:val="both"/>
      </w:pPr>
      <w:r>
        <w:t>Recruitment and selection constitute the foundational gateway through which organizations build their human capital. Dessler (2020) defines recruitment as the process of finding and attracting a pool of qualified candidates from which the organization may select the most suitable individual for a vacant position, while selection refers to the systematic evaluation of that candidate pool to identify the person most likely to perform effectively in the role and align with the organization's culture. Armstrong and Taylor (2020) extend this definition by framing recruitment and selection not merely as an operational process but as a strategic activity, one that shapes the quality of an organization's human capital for years ahead. The distinction is significant: a transactional view of recruitment focuses on filling vacancies efficiently, whereas a strategic view focuses on building organizational capability through deliberate talent acquisition.</w:t>
      </w:r>
    </w:p>
    <w:p w14:paraId="3DC00311">
      <w:pPr>
        <w:spacing w:after="160" w:line="360" w:lineRule="auto"/>
        <w:jc w:val="both"/>
      </w:pPr>
      <w:r>
        <w:t>The theoretical underpinning of effective selection rests on two principal constructs: predictive validity and decision utility. Schmidt and Hunter's (1998) seminal meta-analysis</w:t>
      </w:r>
      <w:r>
        <w:rPr>
          <w:lang w:val="en-US"/>
        </w:rPr>
        <w:t>,</w:t>
      </w:r>
      <w:r>
        <w:t xml:space="preserve"> while published prior to the review period, it remains foundational</w:t>
      </w:r>
      <w:r>
        <w:rPr>
          <w:lang w:val="en-US"/>
        </w:rPr>
        <w:t>,</w:t>
      </w:r>
      <w:r>
        <w:t xml:space="preserve"> established that structured interviews, cognitive ability tests, and work samples are among the highest-validity predictors of job performance. More recent scholarship has reinforced and extended these findings. Sackett et al. (2022) conducted a comprehensive re-analysis of selection method validity and confirmed that structured interviews yield substantially higher predictive validity than unstructured equivalents, while also demonstrating that combining multiple assessment methods yields superior prediction compared to relying on any single method alone. This evidence for multi-method selection is now firmly embedded in best practice guidance across the major HRM texts.</w:t>
      </w:r>
    </w:p>
    <w:p w14:paraId="30FDDA94">
      <w:pPr>
        <w:pStyle w:val="4"/>
        <w:spacing w:line="360" w:lineRule="auto"/>
      </w:pPr>
      <w:bookmarkStart w:id="145" w:name="_Toc23325"/>
      <w:bookmarkStart w:id="146" w:name="_Toc21786"/>
      <w:r>
        <w:t>3.2.2  Importance and Role in Organizations</w:t>
      </w:r>
      <w:bookmarkEnd w:id="145"/>
      <w:bookmarkEnd w:id="146"/>
    </w:p>
    <w:p w14:paraId="71B9BDB1">
      <w:pPr>
        <w:spacing w:after="160" w:line="360" w:lineRule="auto"/>
        <w:jc w:val="both"/>
      </w:pPr>
      <w:r>
        <w:t>The strategic importance of effective recruitment and selection is difficult to overstate. A wrong hire is not merely a personnel problem</w:t>
      </w:r>
      <w:r>
        <w:rPr>
          <w:lang w:val="en-US"/>
        </w:rPr>
        <w:t>,</w:t>
      </w:r>
      <w:r>
        <w:t xml:space="preserve"> it represents a measurable organizational cost. Noe et al. (2021) estimate that the total cost of a poor hiring decision can range from one to five times the annual salary of the affected position, once accounting for recruitment costs, lost productivity during the vacancy and onboarding periods, the downstream impact on team morale, and in some cases the legal and reputational risks of a disciplinary termination. For technically complex roles in manufacturing, engineering, or professional services</w:t>
      </w:r>
      <w:r>
        <w:rPr>
          <w:lang w:val="en-US"/>
        </w:rPr>
        <w:t>,</w:t>
      </w:r>
      <w:r>
        <w:t xml:space="preserve"> where the learning curve is steep and the cost of quality failures is high</w:t>
      </w:r>
      <w:r>
        <w:rPr>
          <w:lang w:val="en-US"/>
        </w:rPr>
        <w:t>,</w:t>
      </w:r>
      <w:r>
        <w:t xml:space="preserve"> these costs are amplified further.</w:t>
      </w:r>
    </w:p>
    <w:p w14:paraId="328C6DAF">
      <w:pPr>
        <w:spacing w:after="160" w:line="360" w:lineRule="auto"/>
        <w:jc w:val="both"/>
      </w:pPr>
      <w:r>
        <w:t>Beyond the financial dimension, recruitment and selection play a critical role in shaping organizational culture. Schneider's (1987) Attraction-Selection-Attrition (ASA) framework, widely cited in the contemporary literature, argues that organizations develop distinctive cultures not through deliberate cultural programming but through the cumulative effect of selection decisions: organizations attract, select, and retain individuals who are similar to those already present, gradually reinforcing a dominant cultural profile. This theoretical lens suggests that every hiring decision is simultaneously a cultural decision, and it underscores why alignment between selection criteria and organizational values is a strategic imperative rather than a secondary consideration.</w:t>
      </w:r>
    </w:p>
    <w:p w14:paraId="0A91A7A7">
      <w:pPr>
        <w:pStyle w:val="4"/>
        <w:spacing w:line="360" w:lineRule="auto"/>
      </w:pPr>
      <w:bookmarkStart w:id="147" w:name="_Toc1557"/>
      <w:bookmarkStart w:id="148" w:name="_Toc3561"/>
      <w:r>
        <w:t>3.2.3  Research Findings</w:t>
      </w:r>
      <w:bookmarkEnd w:id="147"/>
      <w:bookmarkEnd w:id="148"/>
    </w:p>
    <w:p w14:paraId="77960200">
      <w:pPr>
        <w:spacing w:after="160" w:line="360" w:lineRule="auto"/>
        <w:jc w:val="both"/>
      </w:pPr>
      <w:r>
        <w:t>The research literature of the past five years has converged on several important findings regarding recruitment and selection effectiveness. First, there is strong consensus that structured, multi-stage selection processes</w:t>
      </w:r>
      <w:r>
        <w:rPr>
          <w:lang w:val="en-US"/>
        </w:rPr>
        <w:t>,</w:t>
      </w:r>
      <w:r>
        <w:t xml:space="preserve"> encompassing cognitive ability assessment, structured behavioral or situational interviews, and technical skill testing</w:t>
      </w:r>
      <w:r>
        <w:rPr>
          <w:lang w:val="en-US"/>
        </w:rPr>
        <w:t>,</w:t>
      </w:r>
      <w:r>
        <w:t xml:space="preserve"> significantly outperform unstructured processes in predicting job performance (Sackett et al., 2022; Landers et al., 2023). Second, the literature has increasingly highlighted the adverse impact risks associated with certain traditional selection instruments, prompting renewed interest in alternative assessments such as gamified cognitive tests, video-based situational judgement tests, and AI-augmented screening tools that can maintain validity while improving candidate experience and reducing demographic bias (Landers et al., 2023).</w:t>
      </w:r>
    </w:p>
    <w:p w14:paraId="048ABE2A">
      <w:pPr>
        <w:spacing w:after="160" w:line="360" w:lineRule="auto"/>
        <w:jc w:val="both"/>
      </w:pPr>
      <w:r>
        <w:t>Third, a growing body of research has examined the relationship between employer branding — an organization's reputation as an employer</w:t>
      </w:r>
      <w:r>
        <w:rPr>
          <w:lang w:val="en-US"/>
        </w:rPr>
        <w:t>,</w:t>
      </w:r>
      <w:r>
        <w:t xml:space="preserve"> and recruitment outcomes. Backhaus and Tikoo (2004) introduced the employer brand concept into the HRM literature, and subsequent research by Mosley (2015) and more recently by Jiang and Ployhart (2023) has demonstrated that a strong employer brand is associated with larger and higher-quality candidate pools, shorter time-to-fill, and lower offer rejection rates. In a competitive talent market, particularly for technical and engineering roles, employer branding has emerged as a strategic recruitment lever comparable in importance to compensation.</w:t>
      </w:r>
    </w:p>
    <w:p w14:paraId="00E73862">
      <w:pPr>
        <w:pStyle w:val="4"/>
        <w:spacing w:line="360" w:lineRule="auto"/>
      </w:pPr>
      <w:bookmarkStart w:id="149" w:name="_Toc5092"/>
      <w:bookmarkStart w:id="150" w:name="_Toc7248"/>
      <w:r>
        <w:t>3.2.4  Case Study: Google's Data-Driven Recruitment</w:t>
      </w:r>
      <w:bookmarkEnd w:id="149"/>
      <w:bookmarkEnd w:id="150"/>
    </w:p>
    <w:p w14:paraId="4E764907">
      <w:pPr>
        <w:spacing w:after="160" w:line="360" w:lineRule="auto"/>
        <w:jc w:val="both"/>
      </w:pPr>
      <w:r>
        <w:t>Google's approach to recruitment and selection provides one of the most frequently cited examples of evidence-based HR practice. Described extensively in Bock's (2015) Work Rules! and referenced in subsequent HR scholarship (Noe et al., 2021; Dessler, 2020), Google systematically analyzed the predictive validity of its own selection instruments over several years and arrived at a counter-intuitive conclusion: brain-teaser interview questions</w:t>
      </w:r>
      <w:r>
        <w:rPr>
          <w:lang w:val="en-US"/>
        </w:rPr>
        <w:t>,</w:t>
      </w:r>
      <w:r>
        <w:t xml:space="preserve"> a signature element of its reputation</w:t>
      </w:r>
      <w:r>
        <w:rPr>
          <w:lang w:val="en-US"/>
        </w:rPr>
        <w:t>,</w:t>
      </w:r>
      <w:r>
        <w:t xml:space="preserve"> had near-zero predictive validity, while structured behavioral interviews, general cognitive ability assessments, and structured work samples were significantly more predictive of performance. On the basis of this internal research, Google redesigned its selection process to emphasize structured interviews with standardized scoring rubrics, reducing from an average of twelve interviews per candidate to four. This data-driven approach to selection is now widely cited in the HRM literature as a model for evidence-based talent acquisition (Landers et al., 2023).</w:t>
      </w:r>
    </w:p>
    <w:p w14:paraId="363884C8">
      <w:pPr>
        <w:pStyle w:val="4"/>
        <w:spacing w:line="360" w:lineRule="auto"/>
      </w:pPr>
      <w:bookmarkStart w:id="151" w:name="_Toc5473"/>
      <w:bookmarkStart w:id="152" w:name="_Toc21478"/>
      <w:r>
        <w:t>3.2.5  Best Practices, Emerging Trends, and Critical Analysis</w:t>
      </w:r>
      <w:bookmarkEnd w:id="151"/>
      <w:bookmarkEnd w:id="152"/>
    </w:p>
    <w:p w14:paraId="3AB54789">
      <w:pPr>
        <w:spacing w:after="160" w:line="360" w:lineRule="auto"/>
        <w:jc w:val="both"/>
      </w:pPr>
      <w:r>
        <w:t>Among the emerging trends reshaping recruitment and selection practice, artificial intelligence and algorithmic screening represent perhaps the most significant development of the current decade. AI-powered applicant tracking systems are now capable of screening thousands of applications against defined competency criteria in a fraction of the time required for human review, and machine learning models are being deployed to predict candidate success from resume patterns, video interview micro-expressions, and online assessment data (Landers et al., 2023). While the efficiency gains are substantial, the literature has also raised important critical concerns: algorithmic bias</w:t>
      </w:r>
      <w:r>
        <w:rPr>
          <w:lang w:val="en-US"/>
        </w:rPr>
        <w:t>,</w:t>
      </w:r>
      <w:r>
        <w:t xml:space="preserve"> where AI models encode and amplify the demographic patterns of historical hiring decisions</w:t>
      </w:r>
      <w:r>
        <w:rPr>
          <w:lang w:val="en-US"/>
        </w:rPr>
        <w:t>,</w:t>
      </w:r>
      <w:r>
        <w:t xml:space="preserve"> poses serious legal and ethical risks, and several high-profile organizational failures have prompted regulatory scrutiny in multiple jurisdictions (Dastin, 2022).</w:t>
      </w:r>
    </w:p>
    <w:p w14:paraId="15FD45AA">
      <w:pPr>
        <w:spacing w:after="160" w:line="360" w:lineRule="auto"/>
        <w:jc w:val="both"/>
      </w:pPr>
      <w:r>
        <w:t>A critical reading of the recruitment and selection literature also reveals a persistent gap between what the research evidence recommends and what organizations actually practice. Despite decades of evidence on the superiority of structured interviews, unstructured interviews remain the most commonly used selection instrument in practice (Highhouse, 2008; Sackett et al., 2022). This implementation gap suggests that HR practitioners are often constrained not by a lack of knowledge but by organizational cultures that prioritize managerial autonomy and intuition over evidence-based process</w:t>
      </w:r>
      <w:r>
        <w:rPr>
          <w:lang w:val="en-US"/>
        </w:rPr>
        <w:t xml:space="preserve">, </w:t>
      </w:r>
      <w:r>
        <w:t>a tension that the literature has yet to fully resolve.</w:t>
      </w:r>
    </w:p>
    <w:p w14:paraId="6165626C">
      <w:pPr>
        <w:spacing w:after="160" w:line="360" w:lineRule="auto"/>
        <w:jc w:val="both"/>
      </w:pPr>
      <w:r>
        <w:t>In summary, the literature strongly supports a structured, multi-method selection approach grounded in predictive validity evidence. The integration of digital and AI-enabled tools offers significant efficiency potential but requires careful governance to prevent algorithmic bias. Organizations that invest in employer branding alongside robust selection process design are most likely to build the quality and diversity of talent pipelines required for sustained organizational performance.</w:t>
      </w:r>
    </w:p>
    <w:p w14:paraId="08C637AE">
      <w:pPr>
        <w:pStyle w:val="3"/>
        <w:spacing w:line="360" w:lineRule="auto"/>
        <w:jc w:val="center"/>
      </w:pPr>
      <w:bookmarkStart w:id="153" w:name="_Toc32492"/>
      <w:bookmarkStart w:id="154" w:name="_Toc20634"/>
      <w:bookmarkStart w:id="155" w:name="_Toc16176"/>
      <w:bookmarkStart w:id="156" w:name="_Toc10394"/>
      <w:bookmarkStart w:id="157" w:name="_Toc7465"/>
      <w:r>
        <w:t>3.3  Training and Development</w:t>
      </w:r>
      <w:bookmarkEnd w:id="153"/>
      <w:bookmarkEnd w:id="154"/>
      <w:bookmarkEnd w:id="155"/>
      <w:bookmarkEnd w:id="156"/>
      <w:bookmarkEnd w:id="157"/>
    </w:p>
    <w:p w14:paraId="20D20F26">
      <w:pPr>
        <w:pStyle w:val="4"/>
        <w:spacing w:line="360" w:lineRule="auto"/>
      </w:pPr>
      <w:bookmarkStart w:id="158" w:name="_Toc7829"/>
      <w:bookmarkStart w:id="159" w:name="_Toc22495"/>
      <w:r>
        <w:t>3.3.1  Definition and Literature Perspective</w:t>
      </w:r>
      <w:bookmarkEnd w:id="158"/>
      <w:bookmarkEnd w:id="159"/>
    </w:p>
    <w:p w14:paraId="23E78113">
      <w:pPr>
        <w:spacing w:after="160" w:line="360" w:lineRule="auto"/>
        <w:jc w:val="both"/>
      </w:pPr>
      <w:r>
        <w:t>Training and development (T&amp;D) represents one of the most consistently high-return investments available to organizations seeking to enhance workforce capability and sustain competitive advantage. Armstrong and Taylor (2020, p. 247) define training as "a planned and systematic effort to modify or develop the knowledge, skills, and attitudes of an individual through learning experiences, with the objective of achieving effective performance in a given activity or range of activities." This definition is notable for encompassing all three domains of learning</w:t>
      </w:r>
      <w:r>
        <w:rPr>
          <w:lang w:val="en-US"/>
        </w:rPr>
        <w:t>,</w:t>
      </w:r>
      <w:r>
        <w:t xml:space="preserve"> cognitive (knowledge), psychomotor (skills), and affective (attitudes)</w:t>
      </w:r>
      <w:r>
        <w:rPr>
          <w:lang w:val="en-US"/>
        </w:rPr>
        <w:t xml:space="preserve">, </w:t>
      </w:r>
      <w:r>
        <w:t>a breadth that is often lost in narrow, task-focused interpretations of workplace training. Development, by contrast, refers to the longer-term growth of an individual's capabilities beyond the immediate requirements of their current role, preparing them for future responsibilities, career transitions, and leadership challenges (Dessler, 2020).</w:t>
      </w:r>
    </w:p>
    <w:p w14:paraId="404448F9">
      <w:pPr>
        <w:spacing w:after="160" w:line="360" w:lineRule="auto"/>
        <w:jc w:val="both"/>
      </w:pPr>
      <w:r>
        <w:t>The theoretical foundations of T&amp;D are diverse and draw from multiple disciplines. Learning theory — particularly Kolb's (1984) Experiential Learning Cycle, Bandura's (1977) Social Learning Theory, and more recently the andragogical principles articulated by Knowles (1984)</w:t>
      </w:r>
      <w:r>
        <w:rPr>
          <w:lang w:val="en-US"/>
        </w:rPr>
        <w:t>,</w:t>
      </w:r>
      <w:r>
        <w:t xml:space="preserve"> provides the pedagogical basis for understanding how adults learn in organizational contexts. Kolb's model, which posits that learning occurs through a cyclical process of concrete experience, reflective observation, abstract conceptualization, and active experimentation, remains influential in the design of management development programs and has been applied in organizational training research through the early 2020s (Morris, 2020). Noe et al. (2021) synthesize this theoretical landscape into a practical training design framework that moves through needs assessment, learning objective specification, training method selection, delivery, and evaluation</w:t>
      </w:r>
      <w:r>
        <w:rPr>
          <w:lang w:val="en-US"/>
        </w:rPr>
        <w:t>,</w:t>
      </w:r>
      <w:r>
        <w:t xml:space="preserve"> a structure that has become the dominant model in both academic and practitioner T&amp;D literature.</w:t>
      </w:r>
    </w:p>
    <w:p w14:paraId="71F1A859">
      <w:pPr>
        <w:pStyle w:val="4"/>
        <w:spacing w:line="360" w:lineRule="auto"/>
      </w:pPr>
      <w:bookmarkStart w:id="160" w:name="_Toc2464"/>
      <w:bookmarkStart w:id="161" w:name="_Toc3106"/>
      <w:r>
        <w:t>3.3.2  The Role of Training Need Assessment</w:t>
      </w:r>
      <w:bookmarkEnd w:id="160"/>
      <w:bookmarkEnd w:id="161"/>
    </w:p>
    <w:p w14:paraId="561D6C24">
      <w:pPr>
        <w:spacing w:after="160" w:line="360" w:lineRule="auto"/>
        <w:jc w:val="both"/>
      </w:pPr>
      <w:r>
        <w:t>Central to effective training design is the Training Need Assessment (TNA), a diagnostic process that identifies the gap between current employee performance and the performance required by the role or organizational strategy. Noe et al. (2021) describe TNA as operating across three analytical levels: organizational analysis, which examines strategic goals and resource constraints; task analysis, which identifies the knowledge, skills, and behaviors required for effective performance in each role; and person analysis, which determines which individuals have gaps against those requirements. The three-level model is important precisely because training designed without all three inputs risks being misaligned: organizationally irrelevant training may be individually effective yet fail to move organizational performance indicators, while individually targeted training that ignores task-level requirements may address the wrong competencies entirely.</w:t>
      </w:r>
    </w:p>
    <w:p w14:paraId="3AA94787">
      <w:pPr>
        <w:spacing w:after="160" w:line="360" w:lineRule="auto"/>
        <w:jc w:val="both"/>
      </w:pPr>
      <w:r>
        <w:t>Recent research has added a fourth consideration to the TNA agenda: organizational readiness for training transfer. Blume et al. (2019) conducted a meta-analysis of 201 studies on training transfer and found that the organizational work environment</w:t>
      </w:r>
      <w:r>
        <w:rPr>
          <w:lang w:val="en-US"/>
        </w:rPr>
        <w:t>,</w:t>
      </w:r>
      <w:r>
        <w:t xml:space="preserve"> including supervisory support, peer support, and opportunities to apply newly acquired skills</w:t>
      </w:r>
      <w:r>
        <w:rPr>
          <w:lang w:val="en-US"/>
        </w:rPr>
        <w:t>,</w:t>
      </w:r>
      <w:r>
        <w:t xml:space="preserve"> was a stronger predictor of training transfer than the quality of the training program itself. This finding has significant practical implications: it suggests that investment in training delivery, however well-designed, will yield limited returns if it is not accompanied by deliberate management of the post-training organizational context.</w:t>
      </w:r>
    </w:p>
    <w:p w14:paraId="780AE29E">
      <w:pPr>
        <w:pStyle w:val="4"/>
        <w:spacing w:line="360" w:lineRule="auto"/>
        <w:rPr>
          <w:lang w:val="en-US"/>
        </w:rPr>
      </w:pPr>
      <w:bookmarkStart w:id="162" w:name="_Toc2713"/>
      <w:bookmarkStart w:id="163" w:name="_Toc3513"/>
      <w:r>
        <w:t>3.3.3  Research Findin</w:t>
      </w:r>
      <w:r>
        <w:rPr>
          <w:lang w:val="en-US"/>
        </w:rPr>
        <w:t>gs</w:t>
      </w:r>
      <w:bookmarkEnd w:id="162"/>
      <w:bookmarkEnd w:id="163"/>
    </w:p>
    <w:p w14:paraId="52C98EB1">
      <w:pPr>
        <w:spacing w:after="160" w:line="360" w:lineRule="auto"/>
        <w:jc w:val="both"/>
      </w:pPr>
      <w:r>
        <w:t>The empirical literature on training and development consistently supports a positive relationship between training investment and both individual and organizational performance outcomes. Aguinis and Kraiger (2009) conducted a comprehensive review of T&amp;D research and found robust evidence that training enhances declarative knowledge, procedural knowledge, and skill acquisition across a wide range of occupational contexts. More recently, Salas et al. (2020) updated this evidence base and confirmed that well-designed training programs</w:t>
      </w:r>
      <w:r>
        <w:rPr>
          <w:lang w:val="en-US"/>
        </w:rPr>
        <w:t>,</w:t>
      </w:r>
      <w:r>
        <w:t xml:space="preserve"> characterized by clear learning objectives, behavioral modeling, practice with feedback, and transfer-supportive conditions</w:t>
      </w:r>
      <w:r>
        <w:rPr>
          <w:lang w:val="en-US"/>
        </w:rPr>
        <w:t>,</w:t>
      </w:r>
      <w:r>
        <w:t xml:space="preserve"> reliably improve job performance. The effect sizes are meaningful: studies reviewed by Noe et al. (2021) report average performance improvements of 20 to 30 percent following structured training interventions.</w:t>
      </w:r>
    </w:p>
    <w:p w14:paraId="74C9461A">
      <w:pPr>
        <w:spacing w:after="160" w:line="360" w:lineRule="auto"/>
        <w:jc w:val="both"/>
      </w:pPr>
      <w:r>
        <w:t>Alongside the positive performance effects, the literature also highlights important moderators of training effectiveness. Training method choice emerges as significant: on-the-job training, while cost-effective and contextually relevant, is highly dependent on the coaching capability of the supervising trainer and is vulnerable to perpetuating poor practices if not accompanied by structured feedback (Armstrong &amp; Taylor, 2020). E-learning and digital training platforms offer scalability and accessibility advantages but typically require supplementary social learning components to sustain engagement and facilitate complex skill development (Noe et al., 2021). The consensus in the literature is that blended learning approaches</w:t>
      </w:r>
      <w:r>
        <w:rPr>
          <w:lang w:val="en-US"/>
        </w:rPr>
        <w:t>,</w:t>
      </w:r>
      <w:r>
        <w:t xml:space="preserve"> combining digital delivery with face-to-face coaching and on-the-job application</w:t>
      </w:r>
      <w:r>
        <w:rPr>
          <w:lang w:val="en-US"/>
        </w:rPr>
        <w:t xml:space="preserve">, </w:t>
      </w:r>
      <w:r>
        <w:t>consistently outperform single-mode training in terms of both knowledge retention and behavioral transfer (Salas et al., 2020).</w:t>
      </w:r>
    </w:p>
    <w:p w14:paraId="5A7DD477">
      <w:pPr>
        <w:pStyle w:val="4"/>
        <w:spacing w:line="360" w:lineRule="auto"/>
      </w:pPr>
      <w:bookmarkStart w:id="164" w:name="_Toc15074"/>
      <w:bookmarkStart w:id="165" w:name="_Toc27957"/>
      <w:r>
        <w:t>3.3.4  Case Study: IBM's Personalized Learning Ecosystem</w:t>
      </w:r>
      <w:bookmarkEnd w:id="164"/>
      <w:bookmarkEnd w:id="165"/>
    </w:p>
    <w:p w14:paraId="05AE6FD3">
      <w:pPr>
        <w:spacing w:after="160" w:line="360" w:lineRule="auto"/>
        <w:jc w:val="both"/>
      </w:pPr>
      <w:r>
        <w:t>IBM's transformation of its corporate learning function provides a compelling illustration of how leading organizations are applying the insights from T&amp;D research at scale. Faced with the need to rapidly reskill a global workforce of over 350,000 employees in response to the shift toward cloud computing and artificial intelligence, IBM developed a personalized learning platform called Your Learning, powered by AI recommendation algorithms that analyze individual skills profiles, role requirements, and performance data to generate tailored learning pathways (IBM Institute for Business Value, 2021). The platform draws directly on the TNA principles articulated by Noe et al. (2021): it operates at the organizational level by aligning learning recommendations with IBM's strategic capability priorities, at the task level by mapping content to specific role competency frameworks, and at the person level by tracking individual skill gaps in real time. IBM reported that employees using the personalized learning platform completed significantly more training hours annually and demonstrated measurably higher skill acquisition rates than those using the legacy catalogue-based system</w:t>
      </w:r>
      <w:r>
        <w:rPr>
          <w:lang w:val="en-US"/>
        </w:rPr>
        <w:t xml:space="preserve">, </w:t>
      </w:r>
      <w:r>
        <w:t>a finding consistent with the broader literature on the effectiveness of individualized learning approaches (Salas et al., 2020).</w:t>
      </w:r>
    </w:p>
    <w:p w14:paraId="496D1634">
      <w:pPr>
        <w:pStyle w:val="4"/>
        <w:spacing w:line="360" w:lineRule="auto"/>
      </w:pPr>
      <w:bookmarkStart w:id="166" w:name="_Toc6425"/>
      <w:bookmarkStart w:id="167" w:name="_Toc28331"/>
      <w:r>
        <w:t>3.3.5  Critical Analysis and Emerging Trends</w:t>
      </w:r>
      <w:bookmarkEnd w:id="166"/>
      <w:bookmarkEnd w:id="167"/>
    </w:p>
    <w:p w14:paraId="44C28B2F">
      <w:pPr>
        <w:spacing w:after="160" w:line="360" w:lineRule="auto"/>
        <w:jc w:val="both"/>
      </w:pPr>
      <w:r>
        <w:t>Despite the strong evidence base supporting structured T&amp;D investment, the literature also reveals important critical tensions. First, the measurement of training effectiveness remains an unresolved challenge in both research and practice. Kirkpatrick's (1959) four-level evaluation model — reaction, learning, behavior, and results</w:t>
      </w:r>
      <w:r>
        <w:rPr>
          <w:lang w:val="en-US"/>
        </w:rPr>
        <w:t>,</w:t>
      </w:r>
      <w:r>
        <w:t xml:space="preserve"> has been the dominant evaluation framework for over six decades, yet research consistently shows that organizations typically measure only the first level (participant satisfaction) while largely neglecting the higher levels that are more organizationally meaningful (Noe et al., 2021). This measurement gap means that the business case for training investment remains difficult to articulate convincingly to finance-oriented leadership, making T&amp;D budgets perennially vulnerable during periods of economic pressure.</w:t>
      </w:r>
    </w:p>
    <w:p w14:paraId="79264C93">
      <w:pPr>
        <w:spacing w:after="160" w:line="360" w:lineRule="auto"/>
        <w:jc w:val="both"/>
      </w:pPr>
      <w:r>
        <w:t>Second, the rapid proliferation of artificial intelligence and automation in the workplace is fundamentally reshaping the nature of training needs. Skills that were stable over career horizons of ten to fifteen years now become obsolete in three to five, creating what the World Economic Forum (2023) has described as a global reskilling emergency. This acceleration of skill obsolescence places unprecedented demands on both the frequency and agility of organizational T&amp;D systems, and it has catalyzed significant interest in the concept of the learning organization</w:t>
      </w:r>
      <w:r>
        <w:rPr>
          <w:lang w:val="en-US"/>
        </w:rPr>
        <w:t xml:space="preserve">, </w:t>
      </w:r>
      <w:r>
        <w:t>an organization that builds adaptive capacity through continuous learning and knowledge sharing as a core institutional capability (Senge, 1990; Noe et al., 2021).</w:t>
      </w:r>
    </w:p>
    <w:p w14:paraId="3F9382EF">
      <w:pPr>
        <w:spacing w:after="160" w:line="360" w:lineRule="auto"/>
        <w:jc w:val="both"/>
      </w:pPr>
      <w:r>
        <w:t>The weight of evidence in the T&amp;D literature supports a clear conclusion: organizations that invest systematically in well-designed, needs-assessed, and transfer-supportive training programs achieve meaningful improvements in both individual performance and organizational capability. However, the full return on this investment is contingent on rigorous evaluation, management of the post-training environment, and a learning infrastructure capable of adapting continuously to shifting organizational and technological demands.</w:t>
      </w:r>
    </w:p>
    <w:p w14:paraId="3C636F00">
      <w:pPr>
        <w:pStyle w:val="3"/>
        <w:spacing w:line="360" w:lineRule="auto"/>
        <w:jc w:val="center"/>
      </w:pPr>
      <w:bookmarkStart w:id="168" w:name="_Toc19795"/>
      <w:bookmarkStart w:id="169" w:name="_Toc28240"/>
      <w:bookmarkStart w:id="170" w:name="_Toc19772"/>
      <w:bookmarkStart w:id="171" w:name="_Toc20655"/>
      <w:bookmarkStart w:id="172" w:name="_Toc28791"/>
      <w:r>
        <w:t>3.4  Compensation and Benefits</w:t>
      </w:r>
      <w:bookmarkEnd w:id="168"/>
      <w:bookmarkEnd w:id="169"/>
      <w:bookmarkEnd w:id="170"/>
      <w:bookmarkEnd w:id="171"/>
      <w:bookmarkEnd w:id="172"/>
    </w:p>
    <w:p w14:paraId="72978B01">
      <w:pPr>
        <w:pStyle w:val="4"/>
        <w:spacing w:line="360" w:lineRule="auto"/>
      </w:pPr>
      <w:bookmarkStart w:id="173" w:name="_Toc9106"/>
      <w:bookmarkStart w:id="174" w:name="_Toc1062"/>
      <w:r>
        <w:t>3.4.1  Definition and Literature Perspective</w:t>
      </w:r>
      <w:bookmarkEnd w:id="173"/>
      <w:bookmarkEnd w:id="174"/>
    </w:p>
    <w:p w14:paraId="705AD421">
      <w:pPr>
        <w:spacing w:after="160" w:line="360" w:lineRule="auto"/>
        <w:jc w:val="both"/>
      </w:pPr>
      <w:r>
        <w:t>Compensation and benefits represent the most tangible and financially consequential dimension of the employment relationship. Milkovich, Newman, and Gerhart (2020, p. 6) define compensation as "all forms of financial returns and tangible services and benefits employees receive as part of an employment relationship." This definition is deliberately broad, encompassing direct monetary payments</w:t>
      </w:r>
      <w:r>
        <w:rPr>
          <w:lang w:val="en-US"/>
        </w:rPr>
        <w:t>,</w:t>
      </w:r>
      <w:r>
        <w:t xml:space="preserve"> base salary, variable pay, and overtime</w:t>
      </w:r>
      <w:r>
        <w:rPr>
          <w:lang w:val="en-US"/>
        </w:rPr>
        <w:t>,</w:t>
      </w:r>
      <w:r>
        <w:t xml:space="preserve"> as well as indirect financial benefits such as health insurance, retirement contributions, and paid leave. The breadth of this definition is important because it correctly frames compensation strategy as a multidimensional total rewards architecture rather than a simple salary-setting exercise. Armstrong and Taylor (2020) further distinguish between extrinsic rewards (financial and tangible) and intrinsic rewards (non-financial, such as recognition, career development, and work quality), arguing that a complete compensation strategy must address both dimensions to sustain motivation across a diverse workforce.</w:t>
      </w:r>
    </w:p>
    <w:p w14:paraId="4CAB04A2">
      <w:pPr>
        <w:spacing w:after="160" w:line="360" w:lineRule="auto"/>
        <w:jc w:val="both"/>
      </w:pPr>
      <w:r>
        <w:t>The theoretical foundations of compensation strategy draw from multiple motivation theories. Vroom's (1964) Expectancy Theory provides the motivational rationale for variable pay: employees will exert greater effort if they believe that effort will lead to performance, that performance will be recognized, and that the reward offered is valued. Adams' (1965) Equity Theory underpins the importance of pay fairness, arguing that employees assess their compensation not in absolute terms but relative to what comparable others receive</w:t>
      </w:r>
      <w:r>
        <w:rPr>
          <w:lang w:val="en-US"/>
        </w:rPr>
        <w:t xml:space="preserve">, </w:t>
      </w:r>
      <w:r>
        <w:t>both within the organization (internal equity) and in the external labor market (external competitiveness). Both of these theoretical frameworks are directly cited in the compensation chapters of Noe et al. (2021) and Milkovich et al. (2020) as the intellectual foundations for pay structure design and incentive system development.</w:t>
      </w:r>
    </w:p>
    <w:p w14:paraId="1D63B68E">
      <w:pPr>
        <w:pStyle w:val="4"/>
        <w:spacing w:line="360" w:lineRule="auto"/>
      </w:pPr>
      <w:bookmarkStart w:id="175" w:name="_Toc6057"/>
      <w:bookmarkStart w:id="176" w:name="_Toc13209"/>
      <w:r>
        <w:t>3.4.2  Pay Structure Design and Strategic Alignment</w:t>
      </w:r>
      <w:bookmarkEnd w:id="175"/>
      <w:bookmarkEnd w:id="176"/>
    </w:p>
    <w:p w14:paraId="68382F4D">
      <w:pPr>
        <w:spacing w:after="160" w:line="360" w:lineRule="auto"/>
        <w:jc w:val="both"/>
      </w:pPr>
      <w:r>
        <w:t>The design of a compensation structure that simultaneously achieves internal equity, external competitiveness, and performance alignment is one of the most technically complex challenges in HRM practice. Milkovich et al. (2020) outline a systematic approach that begins with job evaluation — a structured method for determining the relative internal worth of each position based on factors such as skill, effort, responsibility, and working conditions — and proceeds through market benchmarking, pay grade establishment, and the development of pay ranges that define minimum, midpoint, and maximum compensation for each grade level. This architecture serves multiple organizational purposes: it provides employees with a transparent understanding of how pay is determined; it enables managers to make consistent and defensible compensation decisions; and it allows HR leadership to track market alignment and adjust pay structures proactively.</w:t>
      </w:r>
    </w:p>
    <w:p w14:paraId="566DA934">
      <w:pPr>
        <w:spacing w:after="160" w:line="360" w:lineRule="auto"/>
        <w:jc w:val="both"/>
      </w:pPr>
      <w:r>
        <w:t>The relationship between compensation design and strategic organizational outcomes is well-established in the literature. Gerhart and Fang (2014) conducted a comprehensive review of pay-for-performance research and found consistent evidence that performance-contingent pay</w:t>
      </w:r>
      <w:r>
        <w:rPr>
          <w:lang w:val="en-US"/>
        </w:rPr>
        <w:t>,</w:t>
      </w:r>
      <w:r>
        <w:t xml:space="preserve"> including individual bonuses, team incentives, and profit-sharing arrangements</w:t>
      </w:r>
      <w:r>
        <w:rPr>
          <w:lang w:val="en-US"/>
        </w:rPr>
        <w:t xml:space="preserve">, </w:t>
      </w:r>
      <w:r>
        <w:t>is associated with higher individual effort and organizational productivity when three conditions are met: performance measures are clear and within the employee's control, the performance-pay link is credible, and the incentive magnitude is sufficient to motivate additional effort. Where these conditions are absent, performance-based pay can generate unintended consequences including excessive risk-taking, short-term orientation, and deterioration of intrinsic motivation</w:t>
      </w:r>
      <w:r>
        <w:rPr>
          <w:lang w:val="en-US"/>
        </w:rPr>
        <w:t>,</w:t>
      </w:r>
      <w:r>
        <w:t xml:space="preserve"> findings that are particularly relevant for roles requiring creativity, collaboration, and long-term relationship management.</w:t>
      </w:r>
    </w:p>
    <w:p w14:paraId="2EB7227F">
      <w:pPr>
        <w:pStyle w:val="4"/>
        <w:spacing w:line="360" w:lineRule="auto"/>
      </w:pPr>
      <w:bookmarkStart w:id="177" w:name="_Toc11904"/>
      <w:bookmarkStart w:id="178" w:name="_Toc32295"/>
      <w:r>
        <w:t>3.4.3  Research Findings</w:t>
      </w:r>
      <w:bookmarkEnd w:id="177"/>
      <w:bookmarkEnd w:id="178"/>
      <w:r>
        <w:t xml:space="preserve"> </w:t>
      </w:r>
    </w:p>
    <w:p w14:paraId="25408175">
      <w:pPr>
        <w:spacing w:after="160" w:line="360" w:lineRule="auto"/>
        <w:jc w:val="both"/>
      </w:pPr>
      <w:r>
        <w:t>Recent empirical research has reinforced several important conclusions about compensation effectiveness. First, the relationship between pay level and employee retention is more nuanced than a simple linear relationship might suggest. Hausknecht, Rodda, and Howard (2009) identified pay satisfaction — an employee's subjective evaluation of whether their compensation is fair and appropriate — as a stronger predictor of turnover intention than absolute pay level, a finding replicated in more recent studies by Pitts, Marvel, and Fernandez (2023). This distinction matters for practice: organizations may achieve better retention outcomes by investing in pay transparency and procedural fairness than by uniformly increasing salary levels, particularly in contexts where base salaries are already market-competitive.</w:t>
      </w:r>
    </w:p>
    <w:p w14:paraId="3BF52875">
      <w:pPr>
        <w:spacing w:after="160" w:line="360" w:lineRule="auto"/>
        <w:jc w:val="both"/>
      </w:pPr>
      <w:r>
        <w:t>Second, the benefits component of the total rewards package has emerged as an increasingly significant factor in attraction and retention, particularly in the post-pandemic labor market. Research by the Society for Human Resource Management (SHRM, 2023) found that flexible work arrangements, mental health support, and comprehensive healthcare coverage now rank among the top factors influencing candidates' employment decisions</w:t>
      </w:r>
      <w:r>
        <w:rPr>
          <w:lang w:val="en-US"/>
        </w:rPr>
        <w:t>,</w:t>
      </w:r>
      <w:r>
        <w:t xml:space="preserve"> in some demographic segments, outranking base salary. This shift reflects a broader evolution in employee expectations, one that has significant implications for benefits strategy design and the relative weighting of financial versus non-financial rewards within the total compensation architecture.</w:t>
      </w:r>
    </w:p>
    <w:p w14:paraId="56C8C34B">
      <w:pPr>
        <w:pStyle w:val="4"/>
        <w:spacing w:line="360" w:lineRule="auto"/>
      </w:pPr>
      <w:bookmarkStart w:id="179" w:name="_Toc17560"/>
      <w:bookmarkStart w:id="180" w:name="_Toc21942"/>
      <w:r>
        <w:t>3.4.4  Case Study: Unilever's Total Rewards Strategy</w:t>
      </w:r>
      <w:bookmarkEnd w:id="179"/>
      <w:bookmarkEnd w:id="180"/>
    </w:p>
    <w:p w14:paraId="176253C2">
      <w:pPr>
        <w:spacing w:after="160" w:line="360" w:lineRule="auto"/>
        <w:jc w:val="both"/>
      </w:pPr>
      <w:r>
        <w:t>Unilever's globally implemented total rewards framework provides an instructive example of how a large multinational organization can manage compensation complexity across diverse labor markets while maintaining strategic coherence. As documented in Unilever's Sustainable Living Plan reports and discussed in the academic HR literature (Armstrong &amp; Taylor, 2020), Unilever employs a global grading framework that classifies all positions within a unified grade structure, enabling consistent internal equity assessment across markets. Pay levels within each grade are then localized based on market benchmarking data specific to each country, ensuring external competitiveness without imposing a rigid global pay scale that would be inappropriate given the significant variation in labor market conditions across Unilever's operating geographies. Alongside financial compensation, Unilever's total rewards architecture places substantial emphasis on non-financial rewards</w:t>
      </w:r>
      <w:r>
        <w:rPr>
          <w:lang w:val="en-US"/>
        </w:rPr>
        <w:t xml:space="preserve">, </w:t>
      </w:r>
      <w:r>
        <w:t>career development, flexible working arrangements, and wellbeing programs</w:t>
      </w:r>
      <w:r>
        <w:rPr>
          <w:lang w:val="en-US"/>
        </w:rPr>
        <w:t>,</w:t>
      </w:r>
      <w:r>
        <w:t xml:space="preserve"> reflecting the organization's recognition that sustainable employee engagement requires a multidimensional rewards strategy extending beyond base salary. This approach is consistent with the theoretical guidance of both Milkovich et al. (2020) and Armstrong and Taylor (2020) on the design of comprehensive total rewards systems.</w:t>
      </w:r>
    </w:p>
    <w:p w14:paraId="7926DD76">
      <w:pPr>
        <w:pStyle w:val="4"/>
        <w:spacing w:line="360" w:lineRule="auto"/>
      </w:pPr>
      <w:bookmarkStart w:id="181" w:name="_Toc5806"/>
      <w:bookmarkStart w:id="182" w:name="_Toc9103"/>
      <w:r>
        <w:t>3.4.5  Critical Analysis and Emerging Trends</w:t>
      </w:r>
      <w:bookmarkEnd w:id="181"/>
      <w:bookmarkEnd w:id="182"/>
    </w:p>
    <w:p w14:paraId="51939EB9">
      <w:pPr>
        <w:spacing w:after="160" w:line="360" w:lineRule="auto"/>
        <w:jc w:val="both"/>
      </w:pPr>
      <w:r>
        <w:t>Despite the sophistication of modern compensation theory, the literature also reveals persistent practical challenges. Pay equity</w:t>
      </w:r>
      <w:r>
        <w:rPr>
          <w:lang w:val="en-US"/>
        </w:rPr>
        <w:t>,</w:t>
      </w:r>
      <w:r>
        <w:t xml:space="preserve"> the elimination of unjustified pay differentials associated with gender, ethnicity, and other protected characteristics</w:t>
      </w:r>
      <w:r>
        <w:rPr>
          <w:lang w:val="en-US"/>
        </w:rPr>
        <w:t>,</w:t>
      </w:r>
      <w:r>
        <w:t xml:space="preserve"> remains one of the most significant unresolved issues in compensation practice. Research by Blau and Kahn (2017) demonstrated that while the raw gender pay gap has narrowed considerably over recent decades, a meaningful adjusted gap attributable to discriminatory factors persists across most developed economies. Subsequent research has found similar patterns for racial and ethnic pay gaps (Mincy et al., 2021). The legal and reputational risks associated with pay equity failures have prompted growing regulatory pressure for pay transparency</w:t>
      </w:r>
      <w:r>
        <w:rPr>
          <w:lang w:val="en-US"/>
        </w:rPr>
        <w:t>,</w:t>
      </w:r>
      <w:r>
        <w:t xml:space="preserve"> mandated pay range disclosure in job advertisements and annual gender pay gap reporting</w:t>
      </w:r>
      <w:r>
        <w:rPr>
          <w:lang w:val="en-US"/>
        </w:rPr>
        <w:t>,</w:t>
      </w:r>
      <w:r>
        <w:t xml:space="preserve"> which is reshaping compensation strategy design in numerous jurisdictions.</w:t>
      </w:r>
    </w:p>
    <w:p w14:paraId="41561A07">
      <w:pPr>
        <w:spacing w:after="160" w:line="360" w:lineRule="auto"/>
        <w:jc w:val="both"/>
      </w:pPr>
      <w:r>
        <w:t>The compensation and benefits literature collectively supports a multidimensional total rewards approach that balances financial competitiveness with non-financial motivation. However, the evidence also cautions that the design of pay-for-performance systems requires careful attention to unintended behavioral consequences, and that pay equity and transparency are non-negotiable ethical and reputational imperatives for organizations seeking to sustain workforce trust and organizational legitimacy.</w:t>
      </w:r>
    </w:p>
    <w:p w14:paraId="106824D8">
      <w:pPr>
        <w:pStyle w:val="3"/>
        <w:spacing w:line="360" w:lineRule="auto"/>
        <w:jc w:val="center"/>
      </w:pPr>
      <w:bookmarkStart w:id="183" w:name="_Toc19874"/>
      <w:bookmarkStart w:id="184" w:name="_Toc14016"/>
      <w:bookmarkStart w:id="185" w:name="_Toc25367"/>
      <w:bookmarkStart w:id="186" w:name="_Toc3555"/>
      <w:bookmarkStart w:id="187" w:name="_Toc19727"/>
      <w:r>
        <w:t>3.5  Performance Management</w:t>
      </w:r>
      <w:bookmarkEnd w:id="183"/>
      <w:bookmarkEnd w:id="184"/>
      <w:bookmarkEnd w:id="185"/>
      <w:bookmarkEnd w:id="186"/>
      <w:bookmarkEnd w:id="187"/>
    </w:p>
    <w:p w14:paraId="7D089AF6">
      <w:pPr>
        <w:pStyle w:val="4"/>
        <w:spacing w:line="360" w:lineRule="auto"/>
      </w:pPr>
      <w:bookmarkStart w:id="188" w:name="_Toc7931"/>
      <w:bookmarkStart w:id="189" w:name="_Toc22840"/>
      <w:r>
        <w:t>3.5.1  Definition and Literature Perspective</w:t>
      </w:r>
      <w:bookmarkEnd w:id="188"/>
      <w:bookmarkEnd w:id="189"/>
    </w:p>
    <w:p w14:paraId="0B8CC77C">
      <w:pPr>
        <w:spacing w:after="160" w:line="360" w:lineRule="auto"/>
        <w:jc w:val="both"/>
      </w:pPr>
      <w:r>
        <w:t>Performance management has undergone more fundamental reconceptualization over the past decade than perhaps any other HRM function. Armstrong and Taylor (2020, p. 391) define performance management as "a continuous process that involves managers and the people they manage acting as partners within a framework that sets out how they can best work together to achieve the required results." This definition represents a significant departure from the older, narrower conception of performance appraisal — a periodic, documentation-focused exercise conducted primarily to support administrative HR decisions — toward a broader understanding of performance management as an ongoing developmental conversation between manager and employee. Aguinis (2023, p. 2) extends this definition, characterizing performance management as "a continuous process of identifying, measuring, and developing the performance of individuals and teams and aligning performance with the strategic goals of the organization." The alignment dimension in Aguinis' definition is particularly important: it positions performance management not merely as a tool for evaluating past performance, but as a forward-looking mechanism for translating organizational strategy into individual behavioral priorities.</w:t>
      </w:r>
    </w:p>
    <w:p w14:paraId="74AF4AF9">
      <w:pPr>
        <w:spacing w:after="160" w:line="360" w:lineRule="auto"/>
        <w:jc w:val="both"/>
      </w:pPr>
      <w:r>
        <w:t>Mathis and Jackson (2019) trace the evolution of performance management through three historical phases. The first phase, dominant until the 1980s, was primarily administrative: appraisal systems existed chiefly to support pay and promotion decisions. The second phase, emerging through the 1990s, introduced the developmental agenda</w:t>
      </w:r>
      <w:r>
        <w:rPr>
          <w:lang w:val="en-US"/>
        </w:rPr>
        <w:t>,</w:t>
      </w:r>
      <w:r>
        <w:t xml:space="preserve"> the recognition that appraisal data could be used to identify training needs and career development priorities. The third phase, which the authors argue began in the 2010s and continues to evolve, is characterized by a shift toward continuous feedback, real-time performance data, and agile goal-setting in response to evidence that annual appraisal cycles are too slow to support performance improvement in dynamic organizational environments.</w:t>
      </w:r>
    </w:p>
    <w:p w14:paraId="2069D0B8">
      <w:pPr>
        <w:pStyle w:val="4"/>
        <w:spacing w:line="360" w:lineRule="auto"/>
      </w:pPr>
      <w:bookmarkStart w:id="190" w:name="_Toc22636"/>
      <w:bookmarkStart w:id="191" w:name="_Toc22709"/>
      <w:r>
        <w:t>3.5.2  Key Elements and Appraisal Methods</w:t>
      </w:r>
      <w:bookmarkEnd w:id="190"/>
      <w:bookmarkEnd w:id="191"/>
    </w:p>
    <w:p w14:paraId="1239A6EF">
      <w:pPr>
        <w:spacing w:after="160" w:line="360" w:lineRule="auto"/>
        <w:jc w:val="both"/>
      </w:pPr>
      <w:r>
        <w:t>The academic literature identifies several non-negotiable elements of an effective performance management system. Clear goal-setting</w:t>
      </w:r>
      <w:r>
        <w:rPr>
          <w:lang w:val="en-US"/>
        </w:rPr>
        <w:t xml:space="preserve">, </w:t>
      </w:r>
      <w:r>
        <w:t>the mutual agreement between manager and employee on specific, measurable, achievable, relevant, and time-bound (SMART) performance targets at the beginning of the performance cycle</w:t>
      </w:r>
      <w:r>
        <w:rPr>
          <w:lang w:val="en-US"/>
        </w:rPr>
        <w:t>,</w:t>
      </w:r>
      <w:r>
        <w:t xml:space="preserve"> is universally identified as the foundation of an effective PMS, drawing directly on Locke and Latham's (2002) Goal-Setting Theory, which remains one of the most replicated findings in organizational psychology. Regular performance monitoring and feedback throughout the year, rather than at a single year-end point, is identified by Armstrong and Taylor (2020) and Noe et al. (2021) as a critical differentiator between effective and ineffective performance management systems: monitoring enables early identification of performance problems, timely coaching, and adjustment of goals in response to changed circumstances.</w:t>
      </w:r>
    </w:p>
    <w:p w14:paraId="54324751">
      <w:pPr>
        <w:spacing w:after="160" w:line="360" w:lineRule="auto"/>
        <w:jc w:val="both"/>
      </w:pPr>
      <w:r>
        <w:t>Regarding appraisal methods, the literature presents a range of tools with different validity and applicability profiles. KPI-based appraisal, where performance is evaluated against specific quantitative targets agreed at the start of the cycle, offers high objectivity and direct linkage to organizational goals, making it well-suited to managerial and professional roles. Management by Objectives (MBO), introduced by Drucker (1954) and extensively elaborated in the HRM literature, involves joint goal-setting between manager and employee, creating a sense of ownership and commitment to targets. For leadership roles, 360-degree feedback</w:t>
      </w:r>
      <w:r>
        <w:rPr>
          <w:lang w:val="en-US"/>
        </w:rPr>
        <w:t>,</w:t>
      </w:r>
      <w:r>
        <w:t xml:space="preserve"> the collection of performance assessments from multiple sources including peers, direct reports, and sometimes external customers</w:t>
      </w:r>
      <w:r>
        <w:rPr>
          <w:lang w:val="en-US"/>
        </w:rPr>
        <w:t>,</w:t>
      </w:r>
      <w:r>
        <w:t xml:space="preserve"> provides a more comprehensive picture of behavioral effectiveness than supervisor assessment alone (Dessler, 2020). Behaviorally Anchored Rating Scales (BARS) represent a methodological attempt to reduce the subjectivity of rating-scale appraisals by anchoring each rating point to specific observable behavioral examples, improving rater consistency and reducing common appraisal biases such as halo effects and leniency error.</w:t>
      </w:r>
    </w:p>
    <w:p w14:paraId="426D3505">
      <w:pPr>
        <w:pStyle w:val="4"/>
        <w:spacing w:line="360" w:lineRule="auto"/>
      </w:pPr>
      <w:bookmarkStart w:id="192" w:name="_Toc3871"/>
      <w:bookmarkStart w:id="193" w:name="_Toc6341"/>
      <w:r>
        <w:t>3.5.3  Research Findings</w:t>
      </w:r>
      <w:bookmarkEnd w:id="192"/>
      <w:bookmarkEnd w:id="193"/>
    </w:p>
    <w:p w14:paraId="27C30705">
      <w:pPr>
        <w:spacing w:after="160" w:line="360" w:lineRule="auto"/>
        <w:jc w:val="both"/>
      </w:pPr>
      <w:r>
        <w:t>The empirical literature on performance management has grown substantially in the past decade, generating several important findings. First, there is strong evidence that the quality of the manager-employee performance conversation</w:t>
      </w:r>
      <w:r>
        <w:rPr>
          <w:lang w:val="en-US"/>
        </w:rPr>
        <w:t>,</w:t>
      </w:r>
      <w:r>
        <w:t xml:space="preserve"> specifically the degree to which feedback is specific, behavioral, and developmentally oriented rather than evaluative and judgmental — is a more powerful determinant of performance improvement than the formal structure of the appraisal system itself (Aguinis, 2023; Noe et al., 2021). This finding has significant implications: it suggests that investment in manager capability training managers to deliver effective feedback, coach for performance, and have difficult developmental conversations</w:t>
      </w:r>
      <w:r>
        <w:rPr>
          <w:lang w:val="en-US"/>
        </w:rPr>
        <w:t>,</w:t>
      </w:r>
      <w:r>
        <w:t xml:space="preserve"> may yield higher returns than investment in elaborate appraisal system redesign.</w:t>
      </w:r>
    </w:p>
    <w:p w14:paraId="1BF886FE">
      <w:pPr>
        <w:spacing w:after="160" w:line="360" w:lineRule="auto"/>
        <w:jc w:val="both"/>
      </w:pPr>
      <w:r>
        <w:t>Second, a wave of high-profile organizational announcements from companies including Adobe, Deloitte, Accenture, and General Electric</w:t>
      </w:r>
      <w:r>
        <w:rPr>
          <w:lang w:val="en-US"/>
        </w:rPr>
        <w:t xml:space="preserve">, </w:t>
      </w:r>
      <w:r>
        <w:t>which famously eliminated its forced-ranking system in 2016 — generated significant scholarly debate about the future of traditional annual appraisals. Research by Cappelli and Tavis (2016), published in Harvard Business Review and subsequently cited extensively in the academic literature, argued that the shift toward continuous feedback and frequent check-ins was driven not by ideological preference but by evidence that annual cycles were too slow to support performance improvement in organizations operating on quarterly and monthly business rhythms. More recent research by Pulakos and O'Leary (2019) has provided a more nuanced perspective, arguing that the abandonment of formal appraisals often leaves organizations without the documented performance data needed to defend employment decisions and that the failure of many continuous feedback initiatives reflects implementation deficiencies rather than inherent methodological limitations.</w:t>
      </w:r>
    </w:p>
    <w:p w14:paraId="17BE3E01">
      <w:pPr>
        <w:pStyle w:val="4"/>
        <w:spacing w:line="360" w:lineRule="auto"/>
      </w:pPr>
      <w:bookmarkStart w:id="194" w:name="_Toc880"/>
      <w:bookmarkStart w:id="195" w:name="_Toc1634"/>
      <w:r>
        <w:t>3.5.4  Case Study: Adobe's Check-In System</w:t>
      </w:r>
      <w:bookmarkEnd w:id="194"/>
      <w:bookmarkEnd w:id="195"/>
    </w:p>
    <w:p w14:paraId="78573BE1">
      <w:pPr>
        <w:spacing w:after="160" w:line="360" w:lineRule="auto"/>
        <w:jc w:val="both"/>
      </w:pPr>
      <w:r>
        <w:t>Adobe's discontinuation of its traditional annual performance review in 2012 and its replacement with a structured but flexible "Check-in" system is one of the most widely discussed organizational performance management transformations in the recent HRM literature (Cappelli &amp; Tavis, 2016; Noe et al., 2021). The Check-in model replaced the annual appraisal with frequent, manager-initiated conversations covering three topics: expectations and goal progress, feedback on recent performance, and development and career growth. Critically, Adobe also eliminated the forced-ranking distribution that had accompanied its annual review, removing the competitive tension it created among colleagues. Adobe reported a measurable reduction in voluntary turnover in the years following the transition and attributed the change in part to improved employee engagement scores linked to the more frequent and developmental nature of performance conversations. The Adobe case is frequently cited in the literature as evidence that the form of performance management matters less than its quality and frequency, and that organizations capable of developing managers who conduct genuinely effective developmental conversations gain a meaningful performance management advantage.</w:t>
      </w:r>
    </w:p>
    <w:p w14:paraId="7628C163">
      <w:pPr>
        <w:pStyle w:val="4"/>
        <w:spacing w:line="360" w:lineRule="auto"/>
      </w:pPr>
      <w:bookmarkStart w:id="196" w:name="_Toc20366"/>
      <w:bookmarkStart w:id="197" w:name="_Toc16692"/>
      <w:r>
        <w:t>3.5.5  Critical Analysis and Emerging Trends</w:t>
      </w:r>
      <w:bookmarkEnd w:id="196"/>
      <w:bookmarkEnd w:id="197"/>
    </w:p>
    <w:p w14:paraId="03395565">
      <w:pPr>
        <w:spacing w:after="160" w:line="360" w:lineRule="auto"/>
        <w:jc w:val="both"/>
      </w:pPr>
      <w:r>
        <w:t>The most significant emerging trend in performance management is the application of people analytics</w:t>
      </w:r>
      <w:r>
        <w:rPr>
          <w:lang w:val="en-US"/>
        </w:rPr>
        <w:t xml:space="preserve">, </w:t>
      </w:r>
      <w:r>
        <w:t>the use of workforce data and statistical analysis to generate evidence-based insights about performance drivers and patterns. Organizations including Google, Microsoft, and Amazon have invested substantially in people analytics capabilities, deploying machine learning models to identify the behavioral and contextual factors most predictive of high performance in specific roles (Tursunbayeva et al., 2021). While the potential for analytics to improve the objectivity and granularity of performance assessment is significant, the literature also raises important ethical concerns about employee surveillance, privacy, and the algorithmic governance of employment decisions that have yet to be fully resolved in either scholarly or policy discourse.</w:t>
      </w:r>
    </w:p>
    <w:p w14:paraId="798F9F59">
      <w:pPr>
        <w:spacing w:after="160" w:line="360" w:lineRule="auto"/>
        <w:jc w:val="both"/>
      </w:pPr>
      <w:r>
        <w:t>The performance management literature collectively reflects a field in productive tension: between administrative accountability and developmental empowerment, between formal structure and continuous feedback agility, and between human judgment and data-driven objectivity. The evidence suggests that the most effective performance management systems are those that resolve these tensions through thoughtful design, sustained manager capability development, and a cultural commitment to performance conversations as a core leadership responsibility rather than an HR compliance requirement.</w:t>
      </w:r>
    </w:p>
    <w:p w14:paraId="6403BCB0">
      <w:pPr>
        <w:spacing w:after="120" w:line="360" w:lineRule="auto"/>
      </w:pPr>
    </w:p>
    <w:p w14:paraId="27270E13">
      <w:pPr>
        <w:pStyle w:val="3"/>
        <w:spacing w:line="360" w:lineRule="auto"/>
        <w:jc w:val="center"/>
      </w:pPr>
      <w:bookmarkStart w:id="198" w:name="_Toc5859"/>
      <w:bookmarkStart w:id="199" w:name="_Toc17648"/>
      <w:bookmarkStart w:id="200" w:name="_Toc24778"/>
      <w:bookmarkStart w:id="201" w:name="_Toc17989"/>
      <w:bookmarkStart w:id="202" w:name="_Toc16625"/>
      <w:r>
        <w:t>3.6  Employee Relations</w:t>
      </w:r>
      <w:bookmarkEnd w:id="198"/>
      <w:bookmarkEnd w:id="199"/>
      <w:bookmarkEnd w:id="200"/>
      <w:bookmarkEnd w:id="201"/>
      <w:bookmarkEnd w:id="202"/>
    </w:p>
    <w:p w14:paraId="42A584FA">
      <w:pPr>
        <w:pStyle w:val="4"/>
        <w:spacing w:line="360" w:lineRule="auto"/>
      </w:pPr>
      <w:bookmarkStart w:id="203" w:name="_Toc16000"/>
      <w:bookmarkStart w:id="204" w:name="_Toc2969"/>
      <w:r>
        <w:t>3.6.1  Definition and Literature Perspective</w:t>
      </w:r>
      <w:bookmarkEnd w:id="203"/>
      <w:bookmarkEnd w:id="204"/>
    </w:p>
    <w:p w14:paraId="20DD9F12">
      <w:pPr>
        <w:spacing w:after="160" w:line="360" w:lineRule="auto"/>
        <w:jc w:val="both"/>
      </w:pPr>
      <w:r>
        <w:t>Employee relations (ER)</w:t>
      </w:r>
      <w:r>
        <w:rPr>
          <w:lang w:val="en-US"/>
        </w:rPr>
        <w:t>,</w:t>
      </w:r>
      <w:r>
        <w:t xml:space="preserve"> sometimes referred to as industrial relations or labor relations in contexts with strong trade union traditions</w:t>
      </w:r>
      <w:r>
        <w:rPr>
          <w:lang w:val="en-US"/>
        </w:rPr>
        <w:t>,</w:t>
      </w:r>
      <w:r>
        <w:t xml:space="preserve"> encompasses the management of the employment relationship in all its dimensions: the legal, contractual, procedural, and psychological dimensions of how organizations engage with their workforces, both individually and collectively. Armstrong and Taylor (2020, p. 621) define employee relations as "the management of the employment relationship and the psychological contract between the organization and its employees." The reference to the psychological contract</w:t>
      </w:r>
      <w:r>
        <w:rPr>
          <w:lang w:val="en-US"/>
        </w:rPr>
        <w:t>,</w:t>
      </w:r>
      <w:r>
        <w:t xml:space="preserve"> Rousseau's (1989) concept of the implicit, unwritten set of reciprocal expectations and obligations between employer and employee</w:t>
      </w:r>
      <w:r>
        <w:rPr>
          <w:lang w:val="en-US"/>
        </w:rPr>
        <w:t>,</w:t>
      </w:r>
      <w:r>
        <w:t xml:space="preserve"> is theoretically significant: it positions ER as extending far beyond formal policies and contractual terms to encompass the subjective experience of fairness, trust, and organizational support that employees carry in their day-to-day working lives.</w:t>
      </w:r>
    </w:p>
    <w:p w14:paraId="0333DE62">
      <w:pPr>
        <w:spacing w:after="160" w:line="360" w:lineRule="auto"/>
        <w:jc w:val="both"/>
      </w:pPr>
      <w:r>
        <w:t>Historically, employee relations theory was dominated by three competing perspectives articulated by Fox (1974): the unitary perspective, which views the organization as a harmonious team sharing common goals; the pluralist perspective, which recognizes that management and labor have legitimate but distinct interests that must be managed through negotiation and compromise; and the radical or Marxist perspective, which frames the employment relationship as inherently conflictual, rooted in the structural inequality of capital and labor. Contemporary HR scholarship has broadly adopted a neo-pluralist stance — acknowledging both the legitimacy of employee interests and the strategic imperative of cooperative employment relationships — and this theoretical orientation is reflected throughout the major HRM textbooks (Mathis &amp; Jackson, 2019; Dessler, 2020; Armstrong &amp; Taylor, 2020).</w:t>
      </w:r>
    </w:p>
    <w:p w14:paraId="26C7D850">
      <w:pPr>
        <w:pStyle w:val="4"/>
        <w:spacing w:line="360" w:lineRule="auto"/>
      </w:pPr>
      <w:bookmarkStart w:id="205" w:name="_Toc29597"/>
      <w:bookmarkStart w:id="206" w:name="_Toc23181"/>
      <w:r>
        <w:t>3.6.2  The Three Pillars: Communication, Conflict Resolution, and Engagement</w:t>
      </w:r>
      <w:bookmarkEnd w:id="205"/>
      <w:bookmarkEnd w:id="206"/>
    </w:p>
    <w:p w14:paraId="74E3E131">
      <w:pPr>
        <w:spacing w:after="160" w:line="360" w:lineRule="auto"/>
        <w:jc w:val="both"/>
      </w:pPr>
      <w:r>
        <w:t>The literature consistently identifies three functional pillars that together constitute effective employee relations management. The first is organizational communication — the systematic, multi-directional flow of information between management and employees that sustains transparency, reduces uncertainty, and builds the organizational trust that underpins the psychological contract. Katz and Khan's (1966) foundational work on organizational communication distinguished between downward communication (policy transmission, direction, and performance feedback), upward communication (employee voice, grievance expression, and idea generation), and lateral communication (peer coordination and knowledge sharing), and subsequent research has confirmed that deficiencies in any of these channels are associated with reduced employee engagement, increased grievance activity, and higher voluntary turnover (Mathis &amp; Jackson, 2019).</w:t>
      </w:r>
    </w:p>
    <w:p w14:paraId="50AFBF54">
      <w:pPr>
        <w:spacing w:after="160" w:line="360" w:lineRule="auto"/>
        <w:jc w:val="both"/>
      </w:pPr>
      <w:r>
        <w:t>The second pillar is conflict resolution</w:t>
      </w:r>
      <w:r>
        <w:rPr>
          <w:lang w:val="en-US"/>
        </w:rPr>
        <w:t xml:space="preserve">, </w:t>
      </w:r>
      <w:r>
        <w:t>the provision of fair, accessible, and structured processes through which workplace disputes can be raised, investigated, and resolved before they escalate into formal legal proceedings or industrial action. Ury, Brett, and Goldberg's (1988) interests-rights-power framework for dispute resolution</w:t>
      </w:r>
      <w:r>
        <w:rPr>
          <w:lang w:val="en-US"/>
        </w:rPr>
        <w:t>,</w:t>
      </w:r>
      <w:r>
        <w:t xml:space="preserve"> while originally developed outside the HR context</w:t>
      </w:r>
      <w:r>
        <w:rPr>
          <w:lang w:val="en-US"/>
        </w:rPr>
        <w:t>,</w:t>
      </w:r>
      <w:r>
        <w:t xml:space="preserve"> has been widely adopted in the employee relations literature as a model for designing grievance procedures that resolve conflicts at the lowest possible cost and the earliest possible stage. The third pillar is employee engagement</w:t>
      </w:r>
      <w:r>
        <w:rPr>
          <w:lang w:val="en-US"/>
        </w:rPr>
        <w:t xml:space="preserve">, </w:t>
      </w:r>
      <w:r>
        <w:t xml:space="preserve"> defined by Schaufeli and Bakker (2004) as a positive, fulfilling work-related state characterized by vigor, dedication, and absorption</w:t>
      </w:r>
      <w:r>
        <w:rPr>
          <w:lang w:val="en-US"/>
        </w:rPr>
        <w:t>,</w:t>
      </w:r>
      <w:r>
        <w:t xml:space="preserve"> which has emerged as the most actively researched construct in organizational psychology over the past two decades. Gallup's annual State of the Global Workplace surveys (most recently Gallup, 2023) consistently demonstrate that organizations in the top quartile of employee engagement achieve significantly superior outcomes on productivity, customer satisfaction, safety, and voluntary turnover compared to those in the bottom quartile.</w:t>
      </w:r>
    </w:p>
    <w:p w14:paraId="3ABBCB06">
      <w:pPr>
        <w:pStyle w:val="4"/>
        <w:spacing w:line="360" w:lineRule="auto"/>
      </w:pPr>
      <w:bookmarkStart w:id="207" w:name="_Toc27277"/>
      <w:bookmarkStart w:id="208" w:name="_Toc13004"/>
      <w:r>
        <w:t>3.6.3  Research Findings</w:t>
      </w:r>
      <w:bookmarkEnd w:id="207"/>
      <w:bookmarkEnd w:id="208"/>
    </w:p>
    <w:p w14:paraId="45BC161E">
      <w:pPr>
        <w:spacing w:after="160" w:line="360" w:lineRule="auto"/>
        <w:jc w:val="both"/>
      </w:pPr>
      <w:r>
        <w:t>The empirical research on employee relations effectiveness has generated a robust evidence base over the past decade. Studies examining the antecedents of employee engagement have identified several consistently significant predictors: quality of the relationship with one's immediate manager, clarity of role expectations, perceived organizational support, meaningful work, and opportunities for growth and development (Bakker &amp; Schaufeli, 2020). These findings are highly consistent with the theoretical predictions of Herzberg's (1959) Two-Factor Theory</w:t>
      </w:r>
      <w:r>
        <w:rPr>
          <w:lang w:val="en-US"/>
        </w:rPr>
        <w:t>,</w:t>
      </w:r>
      <w:r>
        <w:t xml:space="preserve"> which distinguished between hygiene factors (conditions whose absence causes dissatisfaction) and motivators (factors that generate genuine positive engagement)</w:t>
      </w:r>
      <w:r>
        <w:rPr>
          <w:lang w:val="en-US"/>
        </w:rPr>
        <w:t xml:space="preserve">, </w:t>
      </w:r>
      <w:r>
        <w:t>suggesting that the theoretical framework developed over sixty years ago retains substantial empirical validity in the contemporary organizational context.</w:t>
      </w:r>
    </w:p>
    <w:p w14:paraId="379984C1">
      <w:pPr>
        <w:spacing w:after="160" w:line="360" w:lineRule="auto"/>
        <w:jc w:val="both"/>
      </w:pPr>
      <w:r>
        <w:t>Research on collective employee relations</w:t>
      </w:r>
      <w:r>
        <w:rPr>
          <w:lang w:val="en-US"/>
        </w:rPr>
        <w:t>,</w:t>
      </w:r>
      <w:r>
        <w:t xml:space="preserve"> specifically the relationship between trade union presence and organizational performance</w:t>
      </w:r>
      <w:r>
        <w:rPr>
          <w:lang w:val="en-US"/>
        </w:rPr>
        <w:t>,</w:t>
      </w:r>
      <w:r>
        <w:t xml:space="preserve"> presents a more complex and contested picture. The traditional industrial relations literature associated strong union presence with productivity losses attributable to restrictive work practices, strike disruption, and adversarial management relationships. However, more recent research by Acemoglu et al. (2022) and Doucouliagos and Laroche (2023) has provided evidence for a more nuanced relationship: in organizations characterized by cooperative, partnership-based union-management relationships, union presence is associated with reduced voluntary turnover, higher workforce stability, and in some cases superior productivity outcomes compared to non-unionized comparators. The key moderating variable appears to be the quality of the union-management relationship and the degree to which collective bargaining is conducted in good faith rather than as a zero-sum adversarial contest.</w:t>
      </w:r>
    </w:p>
    <w:p w14:paraId="3AE2921C">
      <w:pPr>
        <w:pStyle w:val="4"/>
        <w:spacing w:line="360" w:lineRule="auto"/>
      </w:pPr>
      <w:bookmarkStart w:id="209" w:name="_Toc17156"/>
      <w:bookmarkStart w:id="210" w:name="_Toc29307"/>
      <w:r>
        <w:t>3.6.4  Case Study: Microsoft's Employee Listening Strategy</w:t>
      </w:r>
      <w:bookmarkEnd w:id="209"/>
      <w:bookmarkEnd w:id="210"/>
    </w:p>
    <w:p w14:paraId="08CFF4E4">
      <w:pPr>
        <w:spacing w:after="160" w:line="360" w:lineRule="auto"/>
        <w:jc w:val="both"/>
      </w:pPr>
      <w:r>
        <w:t>Microsoft's transformation of its employee relations approach following Satya Nadella's appointment as CEO in 2014 provides a well-documented example of how ER strategy can be deployed as a vehicle for broader cultural transformation. As described in Nadella's (2017) account Hit Refresh and subsequently analyzed in the HR literature (Noe et al., 2021), Microsoft implemented a comprehensive employee listening strategy anchored around a regular Employee Signals survey</w:t>
      </w:r>
      <w:r>
        <w:rPr>
          <w:lang w:val="en-US"/>
        </w:rPr>
        <w:t xml:space="preserve">, </w:t>
      </w:r>
      <w:r>
        <w:t xml:space="preserve"> a short-cycle, high-frequency alternative to the traditional annual engagement survey</w:t>
      </w:r>
      <w:r>
        <w:rPr>
          <w:lang w:val="en-US"/>
        </w:rPr>
        <w:t>,</w:t>
      </w:r>
      <w:r>
        <w:t xml:space="preserve"> supplemented by structured manager-team listening sessions, an internal social platform for idea generation and feedback, and a rigorous process for closing the loop on survey findings with visible management action. The shift from a culture of performance pressure and internal competition (characterized by the notorious "stack ranking" forced distribution appraisal system) toward one of psychological safety and growth mindset was attributed in significant part to the employee listening infrastructure that made employee voice a regular, normalized organizational practice rather than an annual data-collection event. Gallup (2023) subsequently cited Microsoft as an example of an organization that achieved measurable engagement score improvements through sustained investment in employee listening and management capability development.</w:t>
      </w:r>
    </w:p>
    <w:p w14:paraId="70AE8C99">
      <w:pPr>
        <w:pStyle w:val="4"/>
        <w:spacing w:line="360" w:lineRule="auto"/>
      </w:pPr>
      <w:bookmarkStart w:id="211" w:name="_Toc21227"/>
      <w:bookmarkStart w:id="212" w:name="_Toc16746"/>
      <w:r>
        <w:t>3.6.5  Critical Analysis and Emerging Trends</w:t>
      </w:r>
      <w:bookmarkEnd w:id="211"/>
      <w:bookmarkEnd w:id="212"/>
    </w:p>
    <w:p w14:paraId="75623BB0">
      <w:pPr>
        <w:spacing w:after="160" w:line="360" w:lineRule="auto"/>
        <w:jc w:val="both"/>
      </w:pPr>
      <w:r>
        <w:t>The most significant contemporary challenge in employee relations management is the management of the distributed, hybrid, and gig workforce</w:t>
      </w:r>
      <w:r>
        <w:rPr>
          <w:lang w:val="en-US"/>
        </w:rPr>
        <w:t xml:space="preserve">, </w:t>
      </w:r>
      <w:r>
        <w:t>organizational configurations that substantially complicate the traditional employer-employee relationship and the psychological contract assumptions on which conventional ER theory rests. Research by Spreitzer and Bacevice (2021) found that remote and hybrid workers report lower levels of organizational identification and informal social connection than their office-based counterparts, raising concerns about the long-term sustainability of psychological contract obligations in geographically dispersed workforce configurations. The gig economy presents an even more fundamental challenge: the growing proportion of economically dependent contractors who lack the employment status protections that formal employees enjoy is creating a two-tier labor market whose employee relations implications</w:t>
      </w:r>
      <w:r>
        <w:rPr>
          <w:lang w:val="en-US"/>
        </w:rPr>
        <w:t xml:space="preserve">, </w:t>
      </w:r>
      <w:r>
        <w:t>in terms of engagement, loyalty, and organizational commitment — are still being worked out in the research literature.</w:t>
      </w:r>
    </w:p>
    <w:p w14:paraId="578306AB">
      <w:pPr>
        <w:spacing w:after="160" w:line="360" w:lineRule="auto"/>
        <w:jc w:val="both"/>
      </w:pPr>
      <w:r>
        <w:t>A further critical tension in the contemporary ER literature concerns the relationship between data-driven people management and employee autonomy. The same people analytics capabilities that enable sophisticated performance monitoring also create conditions for what Brown, Setren, and Topa (2021) describe as algorithmic management</w:t>
      </w:r>
      <w:r>
        <w:rPr>
          <w:lang w:val="en-US"/>
        </w:rPr>
        <w:t xml:space="preserve">, </w:t>
      </w:r>
      <w:r>
        <w:t>the use of automated systems to monitor, direct, and evaluate employee behavior at a granularity and frequency that would be impractical for human managers. While algorithmic management may improve operational efficiency in certain contexts, the evidence suggests that it is associated with reduced employee autonomy, increased stress, and deterioration of the organizational trust that is foundational to effective employee relations (Brown et al., 2021).</w:t>
      </w:r>
    </w:p>
    <w:p w14:paraId="392440E7">
      <w:pPr>
        <w:spacing w:after="160" w:line="360" w:lineRule="auto"/>
        <w:jc w:val="both"/>
      </w:pPr>
      <w:r>
        <w:t>The employee relations literature collectively supports the view that organizational effectiveness is substantially dependent on the quality of the employment relationship</w:t>
      </w:r>
      <w:r>
        <w:rPr>
          <w:lang w:val="en-US"/>
        </w:rPr>
        <w:t>,</w:t>
      </w:r>
      <w:r>
        <w:t xml:space="preserve"> and that investments in communication, conflict resolution infrastructure, and employee engagement generate measurable returns in the form of lower turnover, higher productivity, and reduced legal and reputational risk. However, the field is grappling with fundamental challenges posed by workforce disaggregation, digital monitoring, and the erosion of the stable, long-term employment relationship that underpinned classic ER theory.</w:t>
      </w:r>
    </w:p>
    <w:p w14:paraId="1AEF2D8C">
      <w:pPr>
        <w:pStyle w:val="3"/>
        <w:spacing w:line="360" w:lineRule="auto"/>
        <w:jc w:val="center"/>
      </w:pPr>
      <w:bookmarkStart w:id="213" w:name="_Toc2883"/>
      <w:bookmarkStart w:id="214" w:name="_Toc19863"/>
      <w:bookmarkStart w:id="215" w:name="_Toc8470"/>
      <w:bookmarkStart w:id="216" w:name="_Toc31574"/>
      <w:bookmarkStart w:id="217" w:name="_Toc1481"/>
      <w:r>
        <w:t>3.7  Chapter Summary</w:t>
      </w:r>
      <w:bookmarkEnd w:id="213"/>
      <w:bookmarkEnd w:id="214"/>
      <w:bookmarkEnd w:id="215"/>
      <w:bookmarkEnd w:id="216"/>
      <w:bookmarkEnd w:id="217"/>
    </w:p>
    <w:p w14:paraId="489BFAE1">
      <w:pPr>
        <w:spacing w:after="160" w:line="360" w:lineRule="auto"/>
        <w:jc w:val="both"/>
      </w:pPr>
      <w:r>
        <w:t>This literature review has systematically examined the five core functions of Human Resource Management</w:t>
      </w:r>
      <w:r>
        <w:rPr>
          <w:lang w:val="en-US"/>
        </w:rPr>
        <w:t>,</w:t>
      </w:r>
      <w:r>
        <w:t xml:space="preserve"> recruitment and selection, training and development, compensation and benefits, performance management, and employee relations</w:t>
      </w:r>
      <w:r>
        <w:rPr>
          <w:lang w:val="en-US"/>
        </w:rPr>
        <w:t>,</w:t>
      </w:r>
      <w:r>
        <w:t xml:space="preserve"> through the dual lens of established theoretical scholarship and contemporary empirical research. Across all five functions, the literature converges on a common and important theme: HRM effectiveness is not merely a matter of operational compliance with procedural best practices, but a function of how well each HRM activity is strategically aligned with organizational goals, evidence-based in its design, and culturally embedded in the day-to-day practices of line managers and organizational leaders.</w:t>
      </w:r>
    </w:p>
    <w:p w14:paraId="5B557202">
      <w:pPr>
        <w:spacing w:after="160" w:line="360" w:lineRule="auto"/>
        <w:jc w:val="both"/>
      </w:pPr>
      <w:r>
        <w:t>In recruitment and selection, the evidence strongly favors structured, multi-method processes that combine cognitive assessment, behavioral interviewing, and technical skill evaluation, while emerging digital and AI-enabled tools offer efficiency gains that must be carefully governed to prevent algorithmic bias. In training and development, the literature supports systematic needs assessment, blended learning design, and deliberate management of the post-training transfer environment, with the rapid acceleration of skill obsolescence creating urgent demands for organizational learning agility. In compensation and benefits, the evidence endorses a comprehensive total rewards architecture that balances pay competitiveness with performance alignment and non-financial motivation, while pay equity and transparency are identified as non-negotiable ethical imperatives. In performance management, the shift from annual appraisal cycles toward continuous feedback and development conversations is supported by strong evidence, with manager capability development emerging as the most critical success factor. In employee relations, the literature underscores the strategic importance of employee engagement, psychological contract management, and union partnership approaches, while identifying workforce disaggregation and algorithmic management as the most significant emerging challenges.</w:t>
      </w:r>
    </w:p>
    <w:p w14:paraId="00C60A86">
      <w:pPr>
        <w:spacing w:after="160" w:line="360" w:lineRule="auto"/>
        <w:jc w:val="both"/>
      </w:pPr>
      <w:r>
        <w:t>Taken together, this literature review provides the theoretical framework and empirical benchmarks against which the HRM practices of Millat Tractors Limited will be evaluated in Chapter 4. The synthesis presented here establishes not merely what individual HRM functions involve in principle, but what the weight of research evidence suggests they should look like in an organizationally effective, ethically sound, and strategically coherent HR system.</w:t>
      </w:r>
    </w:p>
    <w:p w14:paraId="028488F7">
      <w:pPr>
        <w:pStyle w:val="2"/>
        <w:spacing w:line="360" w:lineRule="auto"/>
        <w:jc w:val="center"/>
        <w:rPr>
          <w:b/>
          <w:bCs/>
          <w:color w:val="auto"/>
          <w:sz w:val="28"/>
          <w:szCs w:val="28"/>
        </w:rPr>
      </w:pPr>
      <w:bookmarkStart w:id="218" w:name="_Toc23117"/>
      <w:bookmarkStart w:id="219" w:name="_Toc2376"/>
      <w:bookmarkStart w:id="220" w:name="_Toc30438"/>
      <w:bookmarkStart w:id="221" w:name="_Toc961"/>
      <w:bookmarkStart w:id="222" w:name="_Toc25939"/>
      <w:r>
        <w:rPr>
          <w:b/>
          <w:bCs/>
          <w:color w:val="auto"/>
          <w:sz w:val="28"/>
          <w:szCs w:val="28"/>
        </w:rPr>
        <w:t>CHAPTER 4</w:t>
      </w:r>
      <w:bookmarkEnd w:id="218"/>
      <w:bookmarkEnd w:id="219"/>
      <w:bookmarkEnd w:id="220"/>
      <w:bookmarkEnd w:id="221"/>
      <w:bookmarkEnd w:id="222"/>
    </w:p>
    <w:p w14:paraId="4D40B727">
      <w:pPr>
        <w:spacing w:before="80" w:after="80" w:line="360" w:lineRule="auto"/>
        <w:jc w:val="center"/>
        <w:rPr>
          <w:sz w:val="28"/>
          <w:szCs w:val="28"/>
        </w:rPr>
      </w:pPr>
      <w:r>
        <w:rPr>
          <w:rFonts w:eastAsia="Arial"/>
          <w:b/>
          <w:bCs/>
          <w:sz w:val="28"/>
          <w:szCs w:val="28"/>
        </w:rPr>
        <w:t>Discussion and Comparative Analysis</w:t>
      </w:r>
    </w:p>
    <w:p w14:paraId="4C0CD1F4">
      <w:pPr>
        <w:spacing w:before="40" w:line="360" w:lineRule="auto"/>
        <w:rPr>
          <w:sz w:val="28"/>
          <w:szCs w:val="28"/>
        </w:rPr>
      </w:pPr>
    </w:p>
    <w:p w14:paraId="48C9869C">
      <w:pPr>
        <w:pStyle w:val="3"/>
        <w:spacing w:line="360" w:lineRule="auto"/>
        <w:jc w:val="center"/>
      </w:pPr>
      <w:bookmarkStart w:id="223" w:name="_Toc16858"/>
      <w:bookmarkStart w:id="224" w:name="_Toc15483"/>
      <w:bookmarkStart w:id="225" w:name="_Toc3050"/>
      <w:bookmarkStart w:id="226" w:name="_Toc3297"/>
      <w:bookmarkStart w:id="227" w:name="_Toc1709"/>
      <w:r>
        <w:t>4.1  Introduction</w:t>
      </w:r>
      <w:bookmarkEnd w:id="223"/>
      <w:bookmarkEnd w:id="224"/>
      <w:bookmarkEnd w:id="225"/>
      <w:bookmarkEnd w:id="226"/>
      <w:bookmarkEnd w:id="227"/>
    </w:p>
    <w:p w14:paraId="594F6A1A">
      <w:pPr>
        <w:spacing w:before="80" w:after="120" w:line="360" w:lineRule="auto"/>
        <w:jc w:val="both"/>
      </w:pPr>
      <w:r>
        <w:rPr>
          <w:rFonts w:eastAsia="Arial"/>
        </w:rPr>
        <w:t>Chapter 4 is the heart of this study. In Chapter 2, we looked at how the HR department at Millat Tractors Limited actually works</w:t>
      </w:r>
      <w:r>
        <w:rPr>
          <w:rFonts w:eastAsia="Arial"/>
          <w:lang w:val="en-US"/>
        </w:rPr>
        <w:t>,</w:t>
      </w:r>
      <w:r>
        <w:rPr>
          <w:rFonts w:eastAsia="Arial"/>
        </w:rPr>
        <w:t xml:space="preserve"> what they do, how they hire people, how they train them, how they pay them, and how they manage relationships with employees. In Chapter 3, we looked at what the HRM (Human Resource Management) textbooks and researchers say is the best way to do all of these things. Now, in this chapter, we bring both of those together and compare them side by side.</w:t>
      </w:r>
    </w:p>
    <w:p w14:paraId="7971614A">
      <w:pPr>
        <w:spacing w:before="80" w:after="120" w:line="360" w:lineRule="auto"/>
        <w:jc w:val="both"/>
      </w:pPr>
      <w:r>
        <w:rPr>
          <w:rFonts w:eastAsia="Arial"/>
        </w:rPr>
        <w:t>The main purpose of this comparison is to answer three questions. First, in what areas is Millat Tractors Limited already doing things the right way</w:t>
      </w:r>
      <w:r>
        <w:rPr>
          <w:rFonts w:eastAsia="Arial"/>
          <w:lang w:val="en-US"/>
        </w:rPr>
        <w:t>,</w:t>
      </w:r>
      <w:r>
        <w:rPr>
          <w:rFonts w:eastAsia="Arial"/>
        </w:rPr>
        <w:t xml:space="preserve"> that is, in line with what the HRM literature recommends? Second, where are the gaps</w:t>
      </w:r>
      <w:r>
        <w:rPr>
          <w:rFonts w:eastAsia="Arial"/>
          <w:lang w:val="en-US"/>
        </w:rPr>
        <w:t>,</w:t>
      </w:r>
      <w:r>
        <w:rPr>
          <w:rFonts w:eastAsia="Arial"/>
        </w:rPr>
        <w:t xml:space="preserve"> the areas where the company's HR practices fall short of best practice? And third, why do those gaps exist, and what can be done about them?</w:t>
      </w:r>
    </w:p>
    <w:p w14:paraId="32351FB8">
      <w:pPr>
        <w:spacing w:before="80" w:after="120" w:line="360" w:lineRule="auto"/>
        <w:jc w:val="both"/>
      </w:pPr>
      <w:r>
        <w:rPr>
          <w:rFonts w:eastAsia="Arial"/>
        </w:rPr>
        <w:t>This chapter is organized around the five core functions of HRM that form the backbone of both the interview and the literature review: Recruitment and Selection (how the company finds and hires people), Training and Development (how it builds employee skills), Compensation and Benefits (how it pays and rewards employees), Performance Management (how it evaluates and motivates employees), and Employee Relations (how it maintains a healthy working relationship between management and staff). For each of these five areas, we look at three things</w:t>
      </w:r>
      <w:r>
        <w:rPr>
          <w:rFonts w:eastAsia="Arial"/>
          <w:lang w:val="en-US"/>
        </w:rPr>
        <w:t>,</w:t>
      </w:r>
      <w:r>
        <w:rPr>
          <w:rFonts w:eastAsia="Arial"/>
        </w:rPr>
        <w:t xml:space="preserve"> what the literature says, what Millat Tractors Limited does, and what the comparison tells us.</w:t>
      </w:r>
    </w:p>
    <w:p w14:paraId="09FB0B35">
      <w:pPr>
        <w:spacing w:before="80" w:after="120" w:line="360" w:lineRule="auto"/>
        <w:jc w:val="both"/>
      </w:pPr>
      <w:r>
        <w:rPr>
          <w:rFonts w:eastAsia="Arial"/>
        </w:rPr>
        <w:t>It is also important to note that Millat Tractors Limited is a large manufacturing company operating in Pakistan. The HR practices that work perfectly in a large Western multinational may not always be directly applicable here. So while we compare the company against academic standards, we also take into account the real-world constraints the organization faces</w:t>
      </w:r>
      <w:r>
        <w:rPr>
          <w:rFonts w:eastAsia="Arial"/>
          <w:lang w:val="en-US"/>
        </w:rPr>
        <w:t>,</w:t>
      </w:r>
      <w:r>
        <w:rPr>
          <w:rFonts w:eastAsia="Arial"/>
        </w:rPr>
        <w:t xml:space="preserve"> including budget limitations, industry culture, and the management structure of a Pakistani manufacturing firm.</w:t>
      </w:r>
    </w:p>
    <w:p w14:paraId="7DA68337">
      <w:pPr>
        <w:pStyle w:val="3"/>
        <w:spacing w:line="360" w:lineRule="auto"/>
        <w:jc w:val="center"/>
      </w:pPr>
      <w:bookmarkStart w:id="228" w:name="_Toc26142"/>
      <w:bookmarkStart w:id="229" w:name="_Toc6986"/>
      <w:bookmarkStart w:id="230" w:name="_Toc13037"/>
      <w:bookmarkStart w:id="231" w:name="_Toc17925"/>
      <w:bookmarkStart w:id="232" w:name="_Toc7719"/>
      <w:r>
        <w:t>4.2  Comparison of Organizational HR Practices with Literature</w:t>
      </w:r>
      <w:bookmarkEnd w:id="228"/>
      <w:bookmarkEnd w:id="229"/>
      <w:bookmarkEnd w:id="230"/>
      <w:bookmarkEnd w:id="231"/>
      <w:bookmarkEnd w:id="232"/>
    </w:p>
    <w:p w14:paraId="229F9BF3">
      <w:pPr>
        <w:pStyle w:val="4"/>
        <w:spacing w:line="360" w:lineRule="auto"/>
      </w:pPr>
      <w:bookmarkStart w:id="233" w:name="_Toc21779"/>
      <w:bookmarkStart w:id="234" w:name="_Toc26705"/>
      <w:r>
        <w:t>4.2.1  Comparison of Recruitment and Selection Practices</w:t>
      </w:r>
      <w:bookmarkEnd w:id="233"/>
      <w:bookmarkEnd w:id="234"/>
    </w:p>
    <w:p w14:paraId="1A37CC82">
      <w:pPr>
        <w:pStyle w:val="4"/>
        <w:spacing w:before="200" w:after="100" w:line="360" w:lineRule="auto"/>
        <w:rPr>
          <w:color w:val="auto"/>
        </w:rPr>
      </w:pPr>
      <w:bookmarkStart w:id="235" w:name="_Toc9932"/>
      <w:bookmarkStart w:id="236" w:name="_Toc5954"/>
      <w:r>
        <w:rPr>
          <w:rFonts w:eastAsia="Arial"/>
          <w:color w:val="auto"/>
        </w:rPr>
        <w:t>How Millat Tractors Limited Recruits Employees</w:t>
      </w:r>
      <w:bookmarkEnd w:id="235"/>
      <w:bookmarkEnd w:id="236"/>
    </w:p>
    <w:p w14:paraId="7C502FB8">
      <w:pPr>
        <w:spacing w:before="80" w:after="120" w:line="360" w:lineRule="auto"/>
        <w:jc w:val="both"/>
      </w:pPr>
      <w:r>
        <w:rPr>
          <w:rFonts w:eastAsia="Arial"/>
        </w:rPr>
        <w:t>Based on our interview with Mr. Irfan Shabbir (HR Department Head), Millat Tractors Limited uses several channels to find candidates. These include LinkedIn, social media platforms, newspaper advertisements, employee referrals (where current employees recommend someone they know), and industry references (contacts from within the tractor and manufacturing industry). Before any recruitment even begins, the relevant Head of Department (HOD) has to prepare a Job Description (JD) and Job Specification (JS) — a document that explains what the role involves and what qualifications and skills the candidate needs. This Job Analysis process makes sure the company knows exactly who it is looking for before it starts searching.</w:t>
      </w:r>
    </w:p>
    <w:p w14:paraId="5849D4D1">
      <w:pPr>
        <w:spacing w:before="80" w:after="120" w:line="360" w:lineRule="auto"/>
        <w:jc w:val="both"/>
      </w:pPr>
      <w:r>
        <w:rPr>
          <w:rFonts w:eastAsia="Arial"/>
        </w:rPr>
        <w:t>When it comes to selecting the right candidate, the process is different depending on the seniority of the position. For junior-level jobs, the HR team works with the HOD to interview candidates. For senior-level positions, a full interview panel is set up</w:t>
      </w:r>
      <w:r>
        <w:rPr>
          <w:rFonts w:eastAsia="Arial"/>
          <w:lang w:val="en-US"/>
        </w:rPr>
        <w:t>,</w:t>
      </w:r>
      <w:r>
        <w:rPr>
          <w:rFonts w:eastAsia="Arial"/>
        </w:rPr>
        <w:t xml:space="preserve"> including multiple department heads and even the Chief Operating Officer (COO). This ensures that senior hiring decisions are made carefully and with input from different parts of the company.</w:t>
      </w:r>
    </w:p>
    <w:p w14:paraId="5C9DC091">
      <w:pPr>
        <w:pStyle w:val="4"/>
        <w:spacing w:before="200" w:after="100" w:line="360" w:lineRule="auto"/>
        <w:rPr>
          <w:color w:val="auto"/>
        </w:rPr>
      </w:pPr>
      <w:bookmarkStart w:id="237" w:name="_Toc28506"/>
      <w:bookmarkStart w:id="238" w:name="_Toc29151"/>
      <w:r>
        <w:rPr>
          <w:rFonts w:eastAsia="Arial"/>
          <w:color w:val="auto"/>
        </w:rPr>
        <w:t>What the HRM Literature Recommends</w:t>
      </w:r>
      <w:bookmarkEnd w:id="237"/>
      <w:bookmarkEnd w:id="238"/>
    </w:p>
    <w:p w14:paraId="779229F5">
      <w:pPr>
        <w:spacing w:before="80" w:after="120" w:line="360" w:lineRule="auto"/>
        <w:jc w:val="both"/>
      </w:pPr>
      <w:r>
        <w:rPr>
          <w:rFonts w:eastAsia="Arial"/>
        </w:rPr>
        <w:t>According to leading HRM authors like Dessler (2020) and Armstrong and Taylor (2020), recruitment should not just be about filling an empty seat</w:t>
      </w:r>
      <w:r>
        <w:rPr>
          <w:rFonts w:eastAsia="Arial"/>
          <w:lang w:val="en-US"/>
        </w:rPr>
        <w:t xml:space="preserve">, </w:t>
      </w:r>
      <w:r>
        <w:rPr>
          <w:rFonts w:eastAsia="Arial"/>
        </w:rPr>
        <w:t>it should be treated as a strategic activity that builds the long-term capability of the organization. This means bringing in people who not only have the right skills but also fit the company's culture and values.</w:t>
      </w:r>
    </w:p>
    <w:p w14:paraId="155F1987">
      <w:pPr>
        <w:spacing w:before="80" w:after="120" w:line="360" w:lineRule="auto"/>
        <w:jc w:val="both"/>
      </w:pPr>
      <w:r>
        <w:rPr>
          <w:rFonts w:eastAsia="Arial"/>
        </w:rPr>
        <w:t>The literature strongly recommends using structured selection methods</w:t>
      </w:r>
      <w:r>
        <w:rPr>
          <w:rFonts w:eastAsia="Arial"/>
          <w:lang w:val="en-US"/>
        </w:rPr>
        <w:t xml:space="preserve">, </w:t>
      </w:r>
      <w:r>
        <w:rPr>
          <w:rFonts w:eastAsia="Arial"/>
        </w:rPr>
        <w:t>meaning interviews that follow a fixed set of questions with a scoring system, so that all candidates are judged on the same criteria. Research by Sackett et al. (2022) shows that structured interviews, combined with aptitude tests and practical work samples, are the best predictors of how well someone will actually perform on the job. The concept here is called predictive validity</w:t>
      </w:r>
      <w:r>
        <w:rPr>
          <w:rFonts w:eastAsia="Arial"/>
          <w:lang w:val="en-US"/>
        </w:rPr>
        <w:t>,</w:t>
      </w:r>
      <w:r>
        <w:rPr>
          <w:rFonts w:eastAsia="Arial"/>
        </w:rPr>
        <w:t xml:space="preserve"> the ability of a selection tool to accurately predict future job performance. The literature also highlights the importance of employer branding, which means building a positive reputation as a good place to work, so that the best candidates are attracted to apply in the first place.</w:t>
      </w:r>
    </w:p>
    <w:p w14:paraId="4496FB18">
      <w:pPr>
        <w:pStyle w:val="4"/>
        <w:spacing w:before="200" w:after="100" w:line="360" w:lineRule="auto"/>
        <w:rPr>
          <w:color w:val="auto"/>
        </w:rPr>
      </w:pPr>
      <w:bookmarkStart w:id="239" w:name="_Toc28907"/>
      <w:bookmarkStart w:id="240" w:name="_Toc27569"/>
      <w:r>
        <w:rPr>
          <w:rFonts w:eastAsia="Arial"/>
          <w:color w:val="auto"/>
        </w:rPr>
        <w:t>What the Comparison Tells Us</w:t>
      </w:r>
      <w:bookmarkEnd w:id="239"/>
      <w:bookmarkEnd w:id="240"/>
    </w:p>
    <w:p w14:paraId="445D81F7">
      <w:pPr>
        <w:spacing w:before="80" w:after="120" w:line="360" w:lineRule="auto"/>
        <w:jc w:val="both"/>
      </w:pPr>
      <w:r>
        <w:rPr>
          <w:rFonts w:eastAsia="Arial"/>
        </w:rPr>
        <w:t>Millat Tractors Limited is doing several things well. Using multiple sourcing channels is good practice it casts a wide net and improves the chances of finding strong candidates. The board-approval requirement before creating a new position shows a disciplined approach to workforce planning (making sure new hires are actually needed). The panel interview for senior roles is also a strength, as it brings in multiple perspectives and reduces the risk of biased hiring decisions.</w:t>
      </w:r>
    </w:p>
    <w:p w14:paraId="6F51A3DB">
      <w:pPr>
        <w:spacing w:before="80" w:after="120" w:line="360" w:lineRule="auto"/>
        <w:jc w:val="both"/>
        <w:rPr>
          <w:rFonts w:eastAsia="Arial"/>
        </w:rPr>
      </w:pPr>
      <w:r>
        <w:rPr>
          <w:rFonts w:eastAsia="Arial"/>
        </w:rPr>
        <w:t>However, there are clear gaps. The company does not appear to use structured interview frameworks meaning interviewers can ask whatever questions they like, which can lead to inconsistent and subjective decisions. There is no evidence of psychometric tests or cognitive ability assessments being used at any level. According to the literature, these tools significantly improve the quality of hiring decisions. The heavy reliance on personal references in some cases is also a concern, since this can introduce personal bias into what should be an objective process. Finally, there is no formal employer branding strategy</w:t>
      </w:r>
      <w:r>
        <w:rPr>
          <w:rFonts w:eastAsia="Arial"/>
          <w:lang w:val="en-US"/>
        </w:rPr>
        <w:t>,</w:t>
      </w:r>
      <w:r>
        <w:rPr>
          <w:rFonts w:eastAsia="Arial"/>
        </w:rPr>
        <w:t xml:space="preserve"> the company relies on its existing reputation rather than actively marketing itself as an employer of choice.</w:t>
      </w:r>
    </w:p>
    <w:p w14:paraId="47685759">
      <w:pPr>
        <w:spacing w:before="80" w:after="80" w:line="360" w:lineRule="auto"/>
        <w:jc w:val="center"/>
      </w:pPr>
      <w:r>
        <w:rPr>
          <w:rFonts w:eastAsia="Arial"/>
          <w:i/>
          <w:iCs/>
          <w:color w:val="555555"/>
        </w:rPr>
        <w:t>Table 4.1: Comparison of Recruitment and Selection Practice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0100F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BA4DF0C">
            <w:pPr>
              <w:spacing w:line="360" w:lineRule="auto"/>
              <w:jc w:val="center"/>
            </w:pPr>
            <w:r>
              <w:rPr>
                <w:rFonts w:eastAsia="Arial"/>
                <w:b/>
                <w:bCs/>
                <w:color w:val="FFFFFF"/>
              </w:rPr>
              <w:t>Area</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544F3A1">
            <w:pPr>
              <w:spacing w:line="360" w:lineRule="auto"/>
              <w:jc w:val="center"/>
            </w:pPr>
            <w:r>
              <w:rPr>
                <w:rFonts w:eastAsia="Arial"/>
                <w:b/>
                <w:bCs/>
                <w:color w:val="FFFFFF"/>
              </w:rPr>
              <w:t>What the Literature Recommends</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4A2D276">
            <w:pPr>
              <w:spacing w:line="360" w:lineRule="auto"/>
              <w:jc w:val="center"/>
            </w:pPr>
            <w:r>
              <w:rPr>
                <w:rFonts w:eastAsia="Arial"/>
                <w:b/>
                <w:bCs/>
                <w:color w:val="FFFFFF"/>
              </w:rPr>
              <w:t>What Millat Tractors Does</w:t>
            </w:r>
          </w:p>
        </w:tc>
      </w:tr>
      <w:tr w14:paraId="17B2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41940554">
            <w:pPr>
              <w:spacing w:line="360" w:lineRule="auto"/>
              <w:jc w:val="center"/>
            </w:pPr>
            <w:r>
              <w:rPr>
                <w:rFonts w:eastAsia="Arial"/>
                <w:b/>
                <w:bCs/>
              </w:rPr>
              <w:t>Sourcing Channels</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7CBE1748">
            <w:pPr>
              <w:spacing w:line="360" w:lineRule="auto"/>
              <w:jc w:val="both"/>
            </w:pPr>
            <w:r>
              <w:rPr>
                <w:rFonts w:eastAsia="Arial"/>
              </w:rPr>
              <w:t>Multiple channels including digital platforms, social media, employer brand campaigns</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73ECB8BE">
            <w:pPr>
              <w:spacing w:line="360" w:lineRule="auto"/>
              <w:jc w:val="both"/>
            </w:pPr>
            <w:r>
              <w:rPr>
                <w:rFonts w:eastAsia="Arial"/>
              </w:rPr>
              <w:t>LinkedIn, social media, newspapers, employee referrals, industry references</w:t>
            </w:r>
          </w:p>
        </w:tc>
      </w:tr>
      <w:tr w14:paraId="1F84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EEA0A0">
            <w:pPr>
              <w:spacing w:line="360" w:lineRule="auto"/>
              <w:jc w:val="center"/>
            </w:pPr>
            <w:r>
              <w:rPr>
                <w:rFonts w:eastAsia="Arial"/>
                <w:b/>
                <w:bCs/>
              </w:rPr>
              <w:t>Interview Method</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6CE5238">
            <w:pPr>
              <w:spacing w:line="360" w:lineRule="auto"/>
              <w:jc w:val="both"/>
            </w:pPr>
            <w:r>
              <w:rPr>
                <w:rFonts w:eastAsia="Arial"/>
              </w:rPr>
              <w:t>Structured behavioral interviews with fixed questions and scoring rubrics</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976C97">
            <w:pPr>
              <w:spacing w:line="360" w:lineRule="auto"/>
              <w:jc w:val="both"/>
            </w:pPr>
            <w:r>
              <w:rPr>
                <w:rFonts w:eastAsia="Arial"/>
              </w:rPr>
              <w:t>Interviews without standard structure; panel at senior level</w:t>
            </w:r>
          </w:p>
        </w:tc>
      </w:tr>
      <w:tr w14:paraId="502C2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7194F44A">
            <w:pPr>
              <w:spacing w:line="360" w:lineRule="auto"/>
              <w:jc w:val="center"/>
            </w:pPr>
            <w:r>
              <w:rPr>
                <w:rFonts w:eastAsia="Arial"/>
                <w:b/>
                <w:bCs/>
              </w:rPr>
              <w:t>Assessment Tools</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7042445C">
            <w:pPr>
              <w:spacing w:line="360" w:lineRule="auto"/>
              <w:jc w:val="both"/>
            </w:pPr>
            <w:r>
              <w:rPr>
                <w:rFonts w:eastAsia="Arial"/>
              </w:rPr>
              <w:t>Aptitude tests, psychometric tools, and work samples to predict performance</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54FC6DD6">
            <w:pPr>
              <w:spacing w:line="360" w:lineRule="auto"/>
              <w:jc w:val="both"/>
            </w:pPr>
            <w:r>
              <w:rPr>
                <w:rFonts w:eastAsia="Arial"/>
              </w:rPr>
              <w:t>No evidence of formal tests or assessments</w:t>
            </w:r>
          </w:p>
        </w:tc>
      </w:tr>
      <w:tr w14:paraId="7FCA1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69B345B">
            <w:pPr>
              <w:spacing w:line="360" w:lineRule="auto"/>
              <w:jc w:val="center"/>
            </w:pPr>
            <w:r>
              <w:rPr>
                <w:rFonts w:eastAsia="Arial"/>
                <w:b/>
                <w:bCs/>
              </w:rPr>
              <w:t>Job Analysis</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14979BE">
            <w:pPr>
              <w:spacing w:line="360" w:lineRule="auto"/>
              <w:jc w:val="both"/>
            </w:pPr>
            <w:r>
              <w:rPr>
                <w:rFonts w:eastAsia="Arial"/>
              </w:rPr>
              <w:t>Competency-based frameworks aligned to strategy</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5CD55EE">
            <w:pPr>
              <w:spacing w:line="360" w:lineRule="auto"/>
              <w:jc w:val="both"/>
            </w:pPr>
            <w:r>
              <w:rPr>
                <w:rFonts w:eastAsia="Arial"/>
              </w:rPr>
              <w:t>HOD prepares JD/JS based on departmental need; validated by team</w:t>
            </w:r>
          </w:p>
        </w:tc>
      </w:tr>
      <w:tr w14:paraId="7654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6AFBDAE5">
            <w:pPr>
              <w:spacing w:line="360" w:lineRule="auto"/>
              <w:jc w:val="center"/>
            </w:pPr>
            <w:r>
              <w:rPr>
                <w:rFonts w:eastAsia="Arial"/>
                <w:b/>
                <w:bCs/>
              </w:rPr>
              <w:t>Selection Panel</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3CEE4360">
            <w:pPr>
              <w:spacing w:line="360" w:lineRule="auto"/>
              <w:jc w:val="both"/>
            </w:pPr>
            <w:r>
              <w:rPr>
                <w:rFonts w:eastAsia="Arial"/>
              </w:rPr>
              <w:t>Multiple assessors for senior hiring decisions</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05FBDC3E">
            <w:pPr>
              <w:spacing w:line="360" w:lineRule="auto"/>
              <w:jc w:val="both"/>
            </w:pPr>
            <w:r>
              <w:rPr>
                <w:rFonts w:eastAsia="Arial"/>
              </w:rPr>
              <w:t>Multi-HOD and COO panel for senior roles</w:t>
            </w:r>
          </w:p>
        </w:tc>
      </w:tr>
      <w:tr w14:paraId="29D42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EF093A">
            <w:pPr>
              <w:spacing w:line="360" w:lineRule="auto"/>
              <w:jc w:val="center"/>
            </w:pPr>
            <w:r>
              <w:rPr>
                <w:rFonts w:eastAsia="Arial"/>
                <w:b/>
                <w:bCs/>
              </w:rPr>
              <w:t>Employer Branding</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A1DA9B">
            <w:pPr>
              <w:spacing w:line="360" w:lineRule="auto"/>
              <w:jc w:val="both"/>
            </w:pPr>
            <w:r>
              <w:rPr>
                <w:rFonts w:eastAsia="Arial"/>
              </w:rPr>
              <w:t>Invest in building a strong reputation as an employer</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17BA73A">
            <w:pPr>
              <w:spacing w:line="360" w:lineRule="auto"/>
              <w:jc w:val="both"/>
            </w:pPr>
            <w:r>
              <w:rPr>
                <w:rFonts w:eastAsia="Arial"/>
              </w:rPr>
              <w:t>No formal employer branding strategy observed</w:t>
            </w:r>
          </w:p>
        </w:tc>
      </w:tr>
    </w:tbl>
    <w:p w14:paraId="2E42D629">
      <w:pPr>
        <w:pStyle w:val="4"/>
        <w:spacing w:line="360" w:lineRule="auto"/>
      </w:pPr>
      <w:bookmarkStart w:id="241" w:name="_Toc14225"/>
      <w:bookmarkStart w:id="242" w:name="_Toc1816"/>
      <w:r>
        <w:t>4.2.2  Comparison of Training and Development Practices</w:t>
      </w:r>
      <w:bookmarkEnd w:id="241"/>
      <w:bookmarkEnd w:id="242"/>
    </w:p>
    <w:p w14:paraId="1A390E6A">
      <w:pPr>
        <w:pStyle w:val="4"/>
        <w:spacing w:before="200" w:after="100" w:line="360" w:lineRule="auto"/>
        <w:rPr>
          <w:color w:val="auto"/>
        </w:rPr>
      </w:pPr>
      <w:bookmarkStart w:id="243" w:name="_Toc1772"/>
      <w:bookmarkStart w:id="244" w:name="_Toc3155"/>
      <w:r>
        <w:rPr>
          <w:rFonts w:eastAsia="Arial"/>
          <w:color w:val="auto"/>
        </w:rPr>
        <w:t>How Millat Tractors Limited Trains Its Employees</w:t>
      </w:r>
      <w:bookmarkEnd w:id="243"/>
      <w:bookmarkEnd w:id="244"/>
    </w:p>
    <w:p w14:paraId="78A14CCD">
      <w:pPr>
        <w:spacing w:before="80" w:after="120" w:line="360" w:lineRule="auto"/>
        <w:jc w:val="both"/>
      </w:pPr>
      <w:r>
        <w:rPr>
          <w:rFonts w:eastAsia="Arial"/>
        </w:rPr>
        <w:t>At Millat Tractors Limited, training and development (T&amp;D) is managed centrally</w:t>
      </w:r>
      <w:r>
        <w:rPr>
          <w:rFonts w:eastAsia="Arial"/>
          <w:lang w:val="en-US"/>
        </w:rPr>
        <w:t>,</w:t>
      </w:r>
      <w:r>
        <w:rPr>
          <w:rFonts w:eastAsia="Arial"/>
        </w:rPr>
        <w:t xml:space="preserve"> meaning the Head Office controls the training budget and decides on training priorities. The company uses a learning curve reinforcement model, which means employees are trained and then given follow-up support to make sure they actually apply what they learned on the job. Both internal trainers (company employees who deliver training) and external trainers (outside experts) are used depending on the topic.</w:t>
      </w:r>
    </w:p>
    <w:p w14:paraId="62A8FEF4">
      <w:pPr>
        <w:spacing w:before="80" w:after="120" w:line="360" w:lineRule="auto"/>
        <w:jc w:val="both"/>
      </w:pPr>
      <w:r>
        <w:rPr>
          <w:rFonts w:eastAsia="Arial"/>
        </w:rPr>
        <w:t>To figure out who needs training and what kind, the company conducts a Training Needs Assessment (TNA). This is done in two ways: first, managers and employees give feedback about where performance is falling short; and second, the HR team identifies gaps in soft skills things like communication, leadership, and teamwork</w:t>
      </w:r>
      <w:r>
        <w:rPr>
          <w:rFonts w:eastAsia="Arial"/>
          <w:lang w:val="en-US"/>
        </w:rPr>
        <w:t xml:space="preserve"> </w:t>
      </w:r>
      <w:r>
        <w:rPr>
          <w:rFonts w:eastAsia="Arial"/>
        </w:rPr>
        <w:t>that are important for the organization's overall effectiveness.</w:t>
      </w:r>
    </w:p>
    <w:p w14:paraId="6428B1E2">
      <w:pPr>
        <w:pStyle w:val="4"/>
        <w:spacing w:line="360" w:lineRule="auto"/>
      </w:pPr>
      <w:bookmarkStart w:id="245" w:name="_Toc8933"/>
      <w:bookmarkStart w:id="246" w:name="_Toc7232"/>
      <w:r>
        <w:t>What the HRM Literature Recommends</w:t>
      </w:r>
      <w:bookmarkEnd w:id="245"/>
      <w:bookmarkEnd w:id="246"/>
    </w:p>
    <w:p w14:paraId="16846B7C">
      <w:pPr>
        <w:spacing w:before="80" w:after="120" w:line="360" w:lineRule="auto"/>
        <w:jc w:val="both"/>
      </w:pPr>
      <w:r>
        <w:rPr>
          <w:rFonts w:eastAsia="Arial"/>
        </w:rPr>
        <w:t>The HRM literature defines Training and Development as a planned effort to improve employees' knowledge, skills, and attitudes in order to help them perform better (Armstrong &amp; Taylor, 2020). According to Noe et al. (2021), a proper TNA should work at three levels: the organizational level (what skills does the company need to achieve its strategy?), the task level (what specific knowledge and skills are needed for each role?), and the person level (which individual employees have gaps that need to be filled?). Using all three levels ensures that training is relevant, targeted, and aligned with business goals.</w:t>
      </w:r>
    </w:p>
    <w:p w14:paraId="3AF2D714">
      <w:pPr>
        <w:spacing w:before="80" w:after="120" w:line="360" w:lineRule="auto"/>
        <w:jc w:val="both"/>
      </w:pPr>
      <w:r>
        <w:rPr>
          <w:rFonts w:eastAsia="Arial"/>
        </w:rPr>
        <w:t>Research by Blume et al. (2019) found that one of the biggest predictors of whether training actually works is not the quality of the training program itself it is what happens after the training. If employees go back to work and their managers don't support them in applying new skills, the training is largely wasted. This is called training transfer, and creating the right conditions for it is just as important as the training itself. The literature also recommends blended learning</w:t>
      </w:r>
      <w:r>
        <w:rPr>
          <w:rFonts w:eastAsia="Arial"/>
          <w:lang w:val="en-US"/>
        </w:rPr>
        <w:t>,</w:t>
      </w:r>
      <w:r>
        <w:rPr>
          <w:rFonts w:eastAsia="Arial"/>
        </w:rPr>
        <w:t xml:space="preserve"> combining online or classroom learning with hands-on practice</w:t>
      </w:r>
      <w:r>
        <w:rPr>
          <w:rFonts w:eastAsia="Arial"/>
          <w:lang w:val="en-US"/>
        </w:rPr>
        <w:t xml:space="preserve">, </w:t>
      </w:r>
      <w:r>
        <w:rPr>
          <w:rFonts w:eastAsia="Arial"/>
        </w:rPr>
        <w:t>and using Kirkpatrick's four-level evaluation model to measure whether training is actually making a difference.</w:t>
      </w:r>
    </w:p>
    <w:p w14:paraId="2159CDE1">
      <w:pPr>
        <w:pStyle w:val="4"/>
        <w:spacing w:before="200" w:after="100" w:line="360" w:lineRule="auto"/>
        <w:rPr>
          <w:color w:val="auto"/>
        </w:rPr>
      </w:pPr>
      <w:bookmarkStart w:id="247" w:name="_Toc23503"/>
      <w:bookmarkStart w:id="248" w:name="_Toc5385"/>
      <w:r>
        <w:rPr>
          <w:rFonts w:eastAsia="Arial"/>
          <w:color w:val="auto"/>
        </w:rPr>
        <w:t>What the Comparison Tells Us</w:t>
      </w:r>
      <w:bookmarkEnd w:id="247"/>
      <w:bookmarkEnd w:id="248"/>
    </w:p>
    <w:p w14:paraId="7EDA1EE9">
      <w:pPr>
        <w:spacing w:before="80" w:after="120" w:line="360" w:lineRule="auto"/>
        <w:jc w:val="both"/>
      </w:pPr>
      <w:r>
        <w:rPr>
          <w:rFonts w:eastAsia="Arial"/>
        </w:rPr>
        <w:t>Millat Tractors Limited's training approach shows some good foundations. The reinforcement model they use is consistent with the literature's emphasis on training transfer</w:t>
      </w:r>
      <w:r>
        <w:rPr>
          <w:rFonts w:eastAsia="Arial"/>
          <w:lang w:val="en-US"/>
        </w:rPr>
        <w:t>,</w:t>
      </w:r>
      <w:r>
        <w:rPr>
          <w:rFonts w:eastAsia="Arial"/>
        </w:rPr>
        <w:t xml:space="preserve"> the company at least tries to ensure that employees apply what they have learned. Using both internal and external trainers is also a practical and cost-effective approach.</w:t>
      </w:r>
    </w:p>
    <w:p w14:paraId="0F1DFBDC">
      <w:pPr>
        <w:spacing w:before="80" w:after="120" w:line="360" w:lineRule="auto"/>
        <w:jc w:val="both"/>
      </w:pPr>
      <w:r>
        <w:rPr>
          <w:rFonts w:eastAsia="Arial"/>
        </w:rPr>
        <w:t>However, the company's TNA process only covers two of the three levels recommended in the literature. There is no evidence of a formal organizational-level TNA</w:t>
      </w:r>
      <w:r>
        <w:rPr>
          <w:rFonts w:eastAsia="Arial"/>
          <w:lang w:val="en-US"/>
        </w:rPr>
        <w:t>,</w:t>
      </w:r>
      <w:r>
        <w:rPr>
          <w:rFonts w:eastAsia="Arial"/>
        </w:rPr>
        <w:t xml:space="preserve"> meaning the company does not formally check whether its training priorities are aligned with its overall business strategy. This is a significant gap. Even more importantly, there is no evidence of any formal training evaluation. This means the company cannot easily answer the question: is our training actually making employees better at their jobs? Without measuring training outcomes, it is very hard to know whether the training budget is being spent wisely.</w:t>
      </w:r>
    </w:p>
    <w:p w14:paraId="5726DA57">
      <w:pPr>
        <w:spacing w:before="80" w:after="80" w:line="360" w:lineRule="auto"/>
        <w:jc w:val="center"/>
      </w:pPr>
      <w:r>
        <w:rPr>
          <w:rFonts w:eastAsia="Arial"/>
          <w:i/>
          <w:iCs/>
          <w:color w:val="555555"/>
        </w:rPr>
        <w:t>Table 4.2: Comparison of Training and Development Practices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4EEC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850744A">
            <w:pPr>
              <w:spacing w:line="360" w:lineRule="auto"/>
              <w:jc w:val="center"/>
            </w:pPr>
            <w:r>
              <w:rPr>
                <w:rFonts w:eastAsia="Arial"/>
                <w:b/>
                <w:bCs/>
                <w:color w:val="FFFFFF"/>
              </w:rPr>
              <w:t>Area</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F0501E5">
            <w:pPr>
              <w:spacing w:line="360" w:lineRule="auto"/>
              <w:jc w:val="center"/>
            </w:pPr>
            <w:r>
              <w:rPr>
                <w:rFonts w:eastAsia="Arial"/>
                <w:b/>
                <w:bCs/>
                <w:color w:val="FFFFFF"/>
              </w:rPr>
              <w:t>What the Literature Recommends</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F0FA252">
            <w:pPr>
              <w:spacing w:line="360" w:lineRule="auto"/>
              <w:jc w:val="center"/>
            </w:pPr>
            <w:r>
              <w:rPr>
                <w:rFonts w:eastAsia="Arial"/>
                <w:b/>
                <w:bCs/>
                <w:color w:val="FFFFFF"/>
              </w:rPr>
              <w:t>What Millat Tractors Does</w:t>
            </w:r>
          </w:p>
        </w:tc>
      </w:tr>
      <w:tr w14:paraId="551F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1DE79E59">
            <w:pPr>
              <w:spacing w:line="360" w:lineRule="auto"/>
              <w:jc w:val="center"/>
            </w:pPr>
            <w:r>
              <w:rPr>
                <w:rFonts w:eastAsia="Arial"/>
                <w:b/>
                <w:bCs/>
              </w:rPr>
              <w:t>TNA Process</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09A97D0C">
            <w:pPr>
              <w:spacing w:line="360" w:lineRule="auto"/>
              <w:jc w:val="both"/>
            </w:pPr>
            <w:r>
              <w:rPr>
                <w:rFonts w:eastAsia="Arial"/>
              </w:rPr>
              <w:t>Three levels: organizational, task, and person analysis</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1ADDBEFB">
            <w:pPr>
              <w:spacing w:line="360" w:lineRule="auto"/>
              <w:jc w:val="both"/>
            </w:pPr>
            <w:r>
              <w:rPr>
                <w:rFonts w:eastAsia="Arial"/>
              </w:rPr>
              <w:t>Two channels: manager feedback and soft skill gap identification</w:t>
            </w:r>
          </w:p>
        </w:tc>
      </w:tr>
      <w:tr w14:paraId="37AEE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0DAEC2">
            <w:pPr>
              <w:spacing w:line="360" w:lineRule="auto"/>
              <w:jc w:val="center"/>
            </w:pPr>
            <w:r>
              <w:rPr>
                <w:rFonts w:eastAsia="Arial"/>
                <w:b/>
                <w:bCs/>
              </w:rPr>
              <w:t>Training Design</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0B67912">
            <w:pPr>
              <w:spacing w:line="360" w:lineRule="auto"/>
              <w:jc w:val="both"/>
            </w:pPr>
            <w:r>
              <w:rPr>
                <w:rFonts w:eastAsia="Arial"/>
              </w:rPr>
              <w:t>Blended learning combining digital and face-to-face methods</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55534B">
            <w:pPr>
              <w:spacing w:line="360" w:lineRule="auto"/>
              <w:jc w:val="both"/>
            </w:pPr>
            <w:r>
              <w:rPr>
                <w:rFonts w:eastAsia="Arial"/>
              </w:rPr>
              <w:t>Learning curve reinforcement; internal and external trainers</w:t>
            </w:r>
          </w:p>
        </w:tc>
      </w:tr>
      <w:tr w14:paraId="45AD6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1903D2D2">
            <w:pPr>
              <w:spacing w:line="360" w:lineRule="auto"/>
              <w:jc w:val="center"/>
            </w:pPr>
            <w:r>
              <w:rPr>
                <w:rFonts w:eastAsia="Arial"/>
                <w:b/>
                <w:bCs/>
              </w:rPr>
              <w:t>Post-Training Support</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2CA9C6AF">
            <w:pPr>
              <w:spacing w:line="360" w:lineRule="auto"/>
              <w:jc w:val="both"/>
            </w:pPr>
            <w:r>
              <w:rPr>
                <w:rFonts w:eastAsia="Arial"/>
              </w:rPr>
              <w:t>Supervisor support and on-the-job application opportunities are critical</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5E0921A6">
            <w:pPr>
              <w:spacing w:line="360" w:lineRule="auto"/>
              <w:jc w:val="both"/>
            </w:pPr>
            <w:r>
              <w:rPr>
                <w:rFonts w:eastAsia="Arial"/>
              </w:rPr>
              <w:t>Reinforcement plan in place; degree of manager coaching is unclear</w:t>
            </w:r>
          </w:p>
        </w:tc>
      </w:tr>
      <w:tr w14:paraId="36BA1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E83C69">
            <w:pPr>
              <w:spacing w:line="360" w:lineRule="auto"/>
              <w:jc w:val="center"/>
            </w:pPr>
            <w:r>
              <w:rPr>
                <w:rFonts w:eastAsia="Arial"/>
                <w:b/>
                <w:bCs/>
              </w:rPr>
              <w:t>Training Evaluation</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0F1597C">
            <w:pPr>
              <w:spacing w:line="360" w:lineRule="auto"/>
              <w:jc w:val="both"/>
            </w:pPr>
            <w:r>
              <w:rPr>
                <w:rFonts w:eastAsia="Arial"/>
              </w:rPr>
              <w:t>Kirkpatrick's 4 levels: reaction, learning, behavior, results</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A10782B">
            <w:pPr>
              <w:spacing w:line="360" w:lineRule="auto"/>
              <w:jc w:val="both"/>
            </w:pPr>
            <w:r>
              <w:rPr>
                <w:rFonts w:eastAsia="Arial"/>
              </w:rPr>
              <w:t>No formal evaluation framework found</w:t>
            </w:r>
          </w:p>
        </w:tc>
      </w:tr>
      <w:tr w14:paraId="4369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20B8C9C6">
            <w:pPr>
              <w:spacing w:line="360" w:lineRule="auto"/>
              <w:jc w:val="center"/>
            </w:pPr>
            <w:r>
              <w:rPr>
                <w:rFonts w:eastAsia="Arial"/>
                <w:b/>
                <w:bCs/>
              </w:rPr>
              <w:t>Budget Alignment</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5426437C">
            <w:pPr>
              <w:spacing w:line="360" w:lineRule="auto"/>
              <w:jc w:val="both"/>
            </w:pPr>
            <w:r>
              <w:rPr>
                <w:rFonts w:eastAsia="Arial"/>
              </w:rPr>
              <w:t>Training budget should be tied to strategic priorities</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60F11978">
            <w:pPr>
              <w:spacing w:line="360" w:lineRule="auto"/>
              <w:jc w:val="both"/>
            </w:pPr>
            <w:r>
              <w:rPr>
                <w:rFonts w:eastAsia="Arial"/>
              </w:rPr>
              <w:t>Budget controlled centrally at Head Office level</w:t>
            </w:r>
          </w:p>
        </w:tc>
      </w:tr>
    </w:tbl>
    <w:p w14:paraId="5D3EAA8B">
      <w:pPr>
        <w:pStyle w:val="4"/>
        <w:spacing w:line="360" w:lineRule="auto"/>
      </w:pPr>
      <w:bookmarkStart w:id="249" w:name="_Toc9359"/>
      <w:bookmarkStart w:id="250" w:name="_Toc32738"/>
      <w:r>
        <w:t>4.2.3  Comparison of Performance Management Practices</w:t>
      </w:r>
      <w:bookmarkEnd w:id="249"/>
      <w:bookmarkEnd w:id="250"/>
    </w:p>
    <w:p w14:paraId="45DA67B7">
      <w:pPr>
        <w:pStyle w:val="4"/>
        <w:spacing w:before="200" w:after="100" w:line="360" w:lineRule="auto"/>
        <w:rPr>
          <w:color w:val="auto"/>
        </w:rPr>
      </w:pPr>
      <w:bookmarkStart w:id="251" w:name="_Toc311"/>
      <w:bookmarkStart w:id="252" w:name="_Toc29626"/>
      <w:r>
        <w:rPr>
          <w:rFonts w:eastAsia="Arial"/>
          <w:color w:val="auto"/>
        </w:rPr>
        <w:t>How Millat Tractors Limited Evaluates Employee Performance</w:t>
      </w:r>
      <w:bookmarkEnd w:id="251"/>
      <w:bookmarkEnd w:id="252"/>
    </w:p>
    <w:p w14:paraId="3C8EC906">
      <w:pPr>
        <w:spacing w:before="80" w:after="120" w:line="360" w:lineRule="auto"/>
        <w:jc w:val="both"/>
      </w:pPr>
      <w:r>
        <w:rPr>
          <w:rFonts w:eastAsia="Arial"/>
        </w:rPr>
        <w:t>At Millat Tractors Limited, employee performance is reviewed once a year through an annual performance appraisal. The main tool used is a KPI (Key Performance Indicator) framework</w:t>
      </w:r>
      <w:r>
        <w:rPr>
          <w:rFonts w:eastAsia="Arial"/>
          <w:lang w:val="en-US"/>
        </w:rPr>
        <w:t>,</w:t>
      </w:r>
      <w:r>
        <w:rPr>
          <w:rFonts w:eastAsia="Arial"/>
        </w:rPr>
        <w:t xml:space="preserve"> a set of measurable targets that each employee is expected to meet. These KPIs cover both technical job-related tasks and behavioral soft skills, such as communication and teamwork. The appraisal results are directly connected to salary increments</w:t>
      </w:r>
      <w:r>
        <w:rPr>
          <w:rFonts w:eastAsia="Arial"/>
          <w:lang w:val="en-US"/>
        </w:rPr>
        <w:t xml:space="preserve">, </w:t>
      </w:r>
      <w:r>
        <w:rPr>
          <w:rFonts w:eastAsia="Arial"/>
        </w:rPr>
        <w:t>meaning employees who perform well receive higher pay increases. The company also holds employee appreciation events as a form of non-monetary recognition (a way of saying thank you without a financial reward). However, there is no formal long-service award program in place.</w:t>
      </w:r>
    </w:p>
    <w:p w14:paraId="09FCCBD8">
      <w:pPr>
        <w:pStyle w:val="4"/>
        <w:spacing w:before="200" w:after="100" w:line="360" w:lineRule="auto"/>
        <w:rPr>
          <w:color w:val="auto"/>
        </w:rPr>
      </w:pPr>
      <w:bookmarkStart w:id="253" w:name="_Toc26250"/>
      <w:bookmarkStart w:id="254" w:name="_Toc2790"/>
      <w:r>
        <w:rPr>
          <w:rFonts w:eastAsia="Arial"/>
          <w:color w:val="auto"/>
        </w:rPr>
        <w:t>What the HRM Literature Recommends</w:t>
      </w:r>
      <w:bookmarkEnd w:id="253"/>
      <w:bookmarkEnd w:id="254"/>
    </w:p>
    <w:p w14:paraId="25C2F4E8">
      <w:pPr>
        <w:spacing w:before="80" w:after="120" w:line="360" w:lineRule="auto"/>
        <w:jc w:val="both"/>
      </w:pPr>
      <w:r>
        <w:rPr>
          <w:rFonts w:eastAsia="Arial"/>
        </w:rPr>
        <w:t>The HRM literature has gone through a major shift in thinking about performance management in recent years. Traditional performance management simply meant doing an annual appraisal once a year, a manager fills in a form and gives the employee a rating. But modern HRM scholars like Armstrong and Taylor (2020) and Aguinis (2023) define performance management as a continuous process</w:t>
      </w:r>
      <w:r>
        <w:rPr>
          <w:rFonts w:eastAsia="Arial"/>
          <w:lang w:val="en-US"/>
        </w:rPr>
        <w:t>,</w:t>
      </w:r>
      <w:r>
        <w:rPr>
          <w:rFonts w:eastAsia="Arial"/>
        </w:rPr>
        <w:t xml:space="preserve"> an ongoing conversation between managers and employees throughout the year, not just a one-time annual event.</w:t>
      </w:r>
    </w:p>
    <w:p w14:paraId="71D04D5C">
      <w:pPr>
        <w:spacing w:before="80" w:after="120" w:line="360" w:lineRule="auto"/>
        <w:jc w:val="both"/>
      </w:pPr>
      <w:r>
        <w:rPr>
          <w:rFonts w:eastAsia="Arial"/>
        </w:rPr>
        <w:t>The literature strongly recommends SMART goal-setting (goals that are Specific, Measurable, Achievable, Relevant, and Time-bound) at the start of each performance cycle, regular mid-year check-ins to give feedback and adjust goals if needed, and linking appraisal results to both pay and career development. This is called pay-for-performance</w:t>
      </w:r>
      <w:r>
        <w:rPr>
          <w:rFonts w:eastAsia="Arial"/>
          <w:lang w:val="en-US"/>
        </w:rPr>
        <w:t xml:space="preserve">, </w:t>
      </w:r>
      <w:r>
        <w:rPr>
          <w:rFonts w:eastAsia="Arial"/>
        </w:rPr>
        <w:t>the idea that employees who contribute more should be rewarded more. Research by Locke and Latham (2002) provides strong evidence that setting clear, challenging goals significantly improves employee performance. Companies like Adobe have moved away from traditional annual reviews entirely, replacing them with shorter, more frequent conversations called check-ins</w:t>
      </w:r>
      <w:r>
        <w:rPr>
          <w:rFonts w:eastAsia="Arial"/>
          <w:lang w:val="en-US"/>
        </w:rPr>
        <w:t>,</w:t>
      </w:r>
      <w:r>
        <w:rPr>
          <w:rFonts w:eastAsia="Arial"/>
        </w:rPr>
        <w:t xml:space="preserve"> and seen improvements in both performance and employee retention as a result.</w:t>
      </w:r>
    </w:p>
    <w:p w14:paraId="7DDBF77B">
      <w:pPr>
        <w:pStyle w:val="4"/>
        <w:spacing w:before="200" w:after="100" w:line="360" w:lineRule="auto"/>
        <w:rPr>
          <w:color w:val="auto"/>
        </w:rPr>
      </w:pPr>
      <w:bookmarkStart w:id="255" w:name="_Toc11720"/>
      <w:bookmarkStart w:id="256" w:name="_Toc29834"/>
      <w:r>
        <w:rPr>
          <w:rFonts w:eastAsia="Arial"/>
          <w:color w:val="auto"/>
        </w:rPr>
        <w:t>What the Comparison Tells Us</w:t>
      </w:r>
      <w:bookmarkEnd w:id="255"/>
      <w:bookmarkEnd w:id="256"/>
    </w:p>
    <w:p w14:paraId="0DD4AD81">
      <w:pPr>
        <w:spacing w:before="80" w:after="120" w:line="360" w:lineRule="auto"/>
        <w:jc w:val="both"/>
      </w:pPr>
      <w:r>
        <w:rPr>
          <w:rFonts w:eastAsia="Arial"/>
        </w:rPr>
        <w:t>One of the strengths of Millat Tractors Limited's approach is that its KPI framework covers both technical and behavioral performance</w:t>
      </w:r>
      <w:r>
        <w:rPr>
          <w:rFonts w:eastAsia="Arial"/>
          <w:lang w:val="en-US"/>
        </w:rPr>
        <w:t xml:space="preserve">, </w:t>
      </w:r>
      <w:r>
        <w:rPr>
          <w:rFonts w:eastAsia="Arial"/>
        </w:rPr>
        <w:t>this is more balanced than systems that only measure numbers. The direct link between appraisal results and salary increments also creates a clear pay-for-performance connection, which motivates employees to perform well.</w:t>
      </w:r>
    </w:p>
    <w:p w14:paraId="3F8B7A06">
      <w:pPr>
        <w:spacing w:before="80" w:after="120" w:line="360" w:lineRule="auto"/>
        <w:jc w:val="both"/>
        <w:rPr>
          <w:rFonts w:eastAsia="Arial"/>
        </w:rPr>
      </w:pPr>
      <w:r>
        <w:rPr>
          <w:rFonts w:eastAsia="Arial"/>
        </w:rPr>
        <w:t>However, the biggest weakness is that appraisals only happen once a year. According to the literature, this is not frequent enough. Employees need regular feedback to know how they are doing and to improve. Waiting twelve months for a formal review means that problems go unaddressed for too long, and high-performing employees may feel unrecognized and look for jobs elsewhere. The company's own challenge with retaining top talent supports this view. Mid-year reviews and regular informal check-ins would make the performance management system much more effective.</w:t>
      </w:r>
    </w:p>
    <w:p w14:paraId="6A3A342F">
      <w:pPr>
        <w:spacing w:before="80" w:after="80" w:line="360" w:lineRule="auto"/>
        <w:jc w:val="center"/>
      </w:pPr>
      <w:r>
        <w:rPr>
          <w:rFonts w:eastAsia="Arial"/>
          <w:i/>
          <w:iCs/>
          <w:color w:val="555555"/>
        </w:rPr>
        <w:t>Table 4.3: Comparison of Performance Management Practices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209BB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C1EECED">
            <w:pPr>
              <w:spacing w:line="360" w:lineRule="auto"/>
              <w:jc w:val="center"/>
            </w:pPr>
            <w:r>
              <w:rPr>
                <w:rFonts w:eastAsia="Arial"/>
                <w:b/>
                <w:bCs/>
                <w:color w:val="FFFFFF"/>
              </w:rPr>
              <w:t>Area</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6B0FC17">
            <w:pPr>
              <w:spacing w:line="360" w:lineRule="auto"/>
              <w:jc w:val="center"/>
            </w:pPr>
            <w:r>
              <w:rPr>
                <w:rFonts w:eastAsia="Arial"/>
                <w:b/>
                <w:bCs/>
                <w:color w:val="FFFFFF"/>
              </w:rPr>
              <w:t>What the Literature Recommends</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22DFC43">
            <w:pPr>
              <w:spacing w:line="360" w:lineRule="auto"/>
              <w:jc w:val="center"/>
            </w:pPr>
            <w:r>
              <w:rPr>
                <w:rFonts w:eastAsia="Arial"/>
                <w:b/>
                <w:bCs/>
                <w:color w:val="FFFFFF"/>
              </w:rPr>
              <w:t>What Millat Tractors Does</w:t>
            </w:r>
          </w:p>
        </w:tc>
      </w:tr>
      <w:tr w14:paraId="722EC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3D32AAFA">
            <w:pPr>
              <w:spacing w:line="360" w:lineRule="auto"/>
              <w:jc w:val="center"/>
            </w:pPr>
            <w:r>
              <w:rPr>
                <w:rFonts w:eastAsia="Arial"/>
                <w:b/>
                <w:bCs/>
              </w:rPr>
              <w:t>How Often</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30BDA982">
            <w:pPr>
              <w:spacing w:line="360" w:lineRule="auto"/>
              <w:jc w:val="both"/>
            </w:pPr>
            <w:r>
              <w:rPr>
                <w:rFonts w:eastAsia="Arial"/>
              </w:rPr>
              <w:t>Continuous feedback throughout the year; frequent check-ins</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1CD2CE67">
            <w:pPr>
              <w:spacing w:line="360" w:lineRule="auto"/>
              <w:jc w:val="both"/>
            </w:pPr>
            <w:r>
              <w:rPr>
                <w:rFonts w:eastAsia="Arial"/>
              </w:rPr>
              <w:t>Annual review cycle only</w:t>
            </w:r>
          </w:p>
        </w:tc>
      </w:tr>
      <w:tr w14:paraId="2C9BA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2F071F">
            <w:pPr>
              <w:spacing w:line="360" w:lineRule="auto"/>
              <w:jc w:val="center"/>
            </w:pPr>
            <w:r>
              <w:rPr>
                <w:rFonts w:eastAsia="Arial"/>
                <w:b/>
                <w:bCs/>
              </w:rPr>
              <w:t>Goal Setting</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77EF699">
            <w:pPr>
              <w:spacing w:line="360" w:lineRule="auto"/>
              <w:jc w:val="both"/>
            </w:pPr>
            <w:r>
              <w:rPr>
                <w:rFonts w:eastAsia="Arial"/>
              </w:rPr>
              <w:t>SMART goals agreed between manager and employee</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60059F">
            <w:pPr>
              <w:spacing w:line="360" w:lineRule="auto"/>
              <w:jc w:val="both"/>
            </w:pPr>
            <w:r>
              <w:rPr>
                <w:rFonts w:eastAsia="Arial"/>
              </w:rPr>
              <w:t>KPI framework covering technical and behavioral targets</w:t>
            </w:r>
          </w:p>
        </w:tc>
      </w:tr>
      <w:tr w14:paraId="06AF7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250A95B1">
            <w:pPr>
              <w:spacing w:line="360" w:lineRule="auto"/>
              <w:jc w:val="center"/>
            </w:pPr>
            <w:r>
              <w:rPr>
                <w:rFonts w:eastAsia="Arial"/>
                <w:b/>
                <w:bCs/>
              </w:rPr>
              <w:t>Feedback Quality</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2E6AA808">
            <w:pPr>
              <w:spacing w:line="360" w:lineRule="auto"/>
              <w:jc w:val="both"/>
            </w:pPr>
            <w:r>
              <w:rPr>
                <w:rFonts w:eastAsia="Arial"/>
              </w:rPr>
              <w:t>Specific, honest, and focused on development</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23218816">
            <w:pPr>
              <w:spacing w:line="360" w:lineRule="auto"/>
              <w:jc w:val="both"/>
            </w:pPr>
            <w:r>
              <w:rPr>
                <w:rFonts w:eastAsia="Arial"/>
              </w:rPr>
              <w:t>Formal annual review; little evidence of regular mid-year feedback</w:t>
            </w:r>
          </w:p>
        </w:tc>
      </w:tr>
      <w:tr w14:paraId="4630A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B61B3D">
            <w:pPr>
              <w:spacing w:line="360" w:lineRule="auto"/>
              <w:jc w:val="center"/>
            </w:pPr>
            <w:r>
              <w:rPr>
                <w:rFonts w:eastAsia="Arial"/>
                <w:b/>
                <w:bCs/>
              </w:rPr>
              <w:t>Pay Link</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BE47BBF">
            <w:pPr>
              <w:spacing w:line="360" w:lineRule="auto"/>
              <w:jc w:val="both"/>
            </w:pPr>
            <w:r>
              <w:rPr>
                <w:rFonts w:eastAsia="Arial"/>
              </w:rPr>
              <w:t>Clear and credible connection between performance and reward</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8259A0B">
            <w:pPr>
              <w:spacing w:line="360" w:lineRule="auto"/>
              <w:jc w:val="both"/>
            </w:pPr>
            <w:r>
              <w:rPr>
                <w:rFonts w:eastAsia="Arial"/>
              </w:rPr>
              <w:t>Appraisal directly determines salary increments</w:t>
            </w:r>
          </w:p>
        </w:tc>
      </w:tr>
      <w:tr w14:paraId="2F00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7E962236">
            <w:pPr>
              <w:spacing w:line="360" w:lineRule="auto"/>
              <w:jc w:val="center"/>
            </w:pPr>
            <w:r>
              <w:rPr>
                <w:rFonts w:eastAsia="Arial"/>
                <w:b/>
                <w:bCs/>
              </w:rPr>
              <w:t>Recognition</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29774316">
            <w:pPr>
              <w:spacing w:line="360" w:lineRule="auto"/>
              <w:jc w:val="both"/>
            </w:pPr>
            <w:r>
              <w:rPr>
                <w:rFonts w:eastAsia="Arial"/>
              </w:rPr>
              <w:t>Both financial and non-financial recognition are important</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3D91E944">
            <w:pPr>
              <w:spacing w:line="360" w:lineRule="auto"/>
              <w:jc w:val="both"/>
            </w:pPr>
            <w:r>
              <w:rPr>
                <w:rFonts w:eastAsia="Arial"/>
              </w:rPr>
              <w:t>Employee appreciation events; no formal long-service award program</w:t>
            </w:r>
          </w:p>
        </w:tc>
      </w:tr>
      <w:tr w14:paraId="3F00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0AC2A5">
            <w:pPr>
              <w:spacing w:line="360" w:lineRule="auto"/>
              <w:jc w:val="center"/>
            </w:pPr>
            <w:r>
              <w:rPr>
                <w:rFonts w:eastAsia="Arial"/>
                <w:b/>
                <w:bCs/>
              </w:rPr>
              <w:t>Manager Training</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A0A8D7">
            <w:pPr>
              <w:spacing w:line="360" w:lineRule="auto"/>
              <w:jc w:val="both"/>
            </w:pPr>
            <w:r>
              <w:rPr>
                <w:rFonts w:eastAsia="Arial"/>
              </w:rPr>
              <w:t>Managers need coaching skills to give good feedback</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B4462C4">
            <w:pPr>
              <w:spacing w:line="360" w:lineRule="auto"/>
              <w:jc w:val="both"/>
            </w:pPr>
            <w:r>
              <w:rPr>
                <w:rFonts w:eastAsia="Arial"/>
              </w:rPr>
              <w:t>Not specifically mentioned in interview findings</w:t>
            </w:r>
          </w:p>
        </w:tc>
      </w:tr>
    </w:tbl>
    <w:p w14:paraId="2590C0D9">
      <w:pPr>
        <w:pStyle w:val="4"/>
        <w:spacing w:line="360" w:lineRule="auto"/>
      </w:pPr>
      <w:bookmarkStart w:id="257" w:name="_Toc6364"/>
      <w:bookmarkStart w:id="258" w:name="_Toc12950"/>
      <w:r>
        <w:t>4.2.4  Comparison of Compensation and Benefits Practices</w:t>
      </w:r>
      <w:bookmarkEnd w:id="257"/>
      <w:bookmarkEnd w:id="258"/>
    </w:p>
    <w:p w14:paraId="05AB62B1">
      <w:pPr>
        <w:pStyle w:val="4"/>
        <w:spacing w:before="200" w:after="100" w:line="360" w:lineRule="auto"/>
        <w:rPr>
          <w:color w:val="auto"/>
        </w:rPr>
      </w:pPr>
      <w:bookmarkStart w:id="259" w:name="_Toc11829"/>
      <w:bookmarkStart w:id="260" w:name="_Toc25068"/>
      <w:r>
        <w:rPr>
          <w:rFonts w:eastAsia="Arial"/>
          <w:color w:val="auto"/>
        </w:rPr>
        <w:t>How Millat Tractors Limited Pays and Rewards Its Employees</w:t>
      </w:r>
      <w:bookmarkEnd w:id="259"/>
      <w:bookmarkEnd w:id="260"/>
    </w:p>
    <w:p w14:paraId="39F6F249">
      <w:pPr>
        <w:spacing w:before="80" w:after="120" w:line="360" w:lineRule="auto"/>
        <w:jc w:val="both"/>
      </w:pPr>
      <w:r>
        <w:rPr>
          <w:rFonts w:eastAsia="Arial"/>
        </w:rPr>
        <w:t>Millat Tractors Limited uses a grade-based pay structure</w:t>
      </w:r>
      <w:r>
        <w:rPr>
          <w:rFonts w:eastAsia="Arial"/>
          <w:lang w:val="en-US"/>
        </w:rPr>
        <w:t>,</w:t>
      </w:r>
      <w:r>
        <w:rPr>
          <w:rFonts w:eastAsia="Arial"/>
        </w:rPr>
        <w:t xml:space="preserve"> the company is divided into five pay grades, from Junior Executive at the bottom to Deputy General Manager at the top. Within each grade, there is a salary slab (a minimum and maximum range), and where an employee falls within that range depends on their skills and experience when they are hired. To make sure salaries are competitive, the HR team regularly conducts salary surveys by comparing their pay levels against more than ten similar companies in the industry. This process is called external benchmarking checking that the company's pay is in line with the market.</w:t>
      </w:r>
    </w:p>
    <w:p w14:paraId="19C9B1D1">
      <w:pPr>
        <w:spacing w:before="80" w:after="120" w:line="360" w:lineRule="auto"/>
        <w:jc w:val="both"/>
      </w:pPr>
      <w:r>
        <w:rPr>
          <w:rFonts w:eastAsia="Arial"/>
        </w:rPr>
        <w:t>The benefits package at Millat Tractors Limited is quite comprehensive. It includes production-linked bonuses (extra pay when the factory meets production targets), salary-based bonuses, health insurance (through the East/West Adam GT plan), travel allowances for executives, fuel incentives, sick leave, and annual and casual leave. Beyond that, the company provides welfare grants including financial help for employees' children's education, a marriage grant (a payment when an employee gets married), and a death grant (a payment to the family of an employee who passes away). The company also contributes to EOBI (Employees' Old-Age Benefits Institution) and social security as required by law. After a recent merger, the company standardized these benefits across all entities to ensure everyone receives the same treatment. A survey showed that around 60-70% of employees are satisfied with their compensation package.</w:t>
      </w:r>
    </w:p>
    <w:p w14:paraId="037D26B5">
      <w:pPr>
        <w:pStyle w:val="4"/>
        <w:spacing w:before="200" w:after="100" w:line="360" w:lineRule="auto"/>
        <w:rPr>
          <w:color w:val="auto"/>
        </w:rPr>
      </w:pPr>
      <w:bookmarkStart w:id="261" w:name="_Toc16833"/>
      <w:bookmarkStart w:id="262" w:name="_Toc26113"/>
      <w:r>
        <w:rPr>
          <w:rFonts w:eastAsia="Arial"/>
          <w:color w:val="auto"/>
        </w:rPr>
        <w:t>What the HRM Literature Recommends</w:t>
      </w:r>
      <w:bookmarkEnd w:id="261"/>
      <w:bookmarkEnd w:id="262"/>
    </w:p>
    <w:p w14:paraId="63A2AFE2">
      <w:pPr>
        <w:spacing w:before="80" w:after="120" w:line="360" w:lineRule="auto"/>
        <w:jc w:val="both"/>
      </w:pPr>
      <w:r>
        <w:rPr>
          <w:rFonts w:eastAsia="Arial"/>
        </w:rPr>
        <w:t>According to Milkovich, Newman, and Gerhart (2020), compensation includes everything an employee receives as part of their employment</w:t>
      </w:r>
      <w:r>
        <w:rPr>
          <w:rFonts w:eastAsia="Arial"/>
          <w:lang w:val="en-US"/>
        </w:rPr>
        <w:t>,</w:t>
      </w:r>
      <w:r>
        <w:rPr>
          <w:rFonts w:eastAsia="Arial"/>
        </w:rPr>
        <w:t xml:space="preserve"> not just salary, but also bonuses, insurance, leaves, and other benefits. Together, these are known as a total rewards package. A good compensation strategy needs to achieve three things at the same time: internal equity (meaning similar jobs within the company are paid similarly and fairly), external competitiveness (meaning pay is in line with what other companies offer for the same kind of work), and performance alignment (meaning better performance leads to better rewards).</w:t>
      </w:r>
    </w:p>
    <w:p w14:paraId="4447E8E3">
      <w:pPr>
        <w:spacing w:before="80" w:after="120" w:line="360" w:lineRule="auto"/>
        <w:jc w:val="both"/>
      </w:pPr>
      <w:r>
        <w:rPr>
          <w:rFonts w:eastAsia="Arial"/>
        </w:rPr>
        <w:t>The literature also draws on Adams' Equity Theory (1965), which says that employees judge whether their pay is fair not just by the absolute amount they earn, but by comparing it to what their colleagues earn and what people in similar roles at other companies earn. When employees feel their pay is unfair, motivation and job satisfaction drop</w:t>
      </w:r>
      <w:r>
        <w:rPr>
          <w:rFonts w:eastAsia="Arial"/>
          <w:lang w:val="en-US"/>
        </w:rPr>
        <w:t>,</w:t>
      </w:r>
      <w:r>
        <w:rPr>
          <w:rFonts w:eastAsia="Arial"/>
        </w:rPr>
        <w:t xml:space="preserve"> even if the pay itself is not actually low. Research also shows that it is pay satisfaction (how fairly employees feel they are paid) that drives retention, not just the pay level itself. This means that how the company communicates about pay</w:t>
      </w:r>
      <w:r>
        <w:rPr>
          <w:rFonts w:eastAsia="Arial"/>
          <w:lang w:val="en-US"/>
        </w:rPr>
        <w:t xml:space="preserve">, </w:t>
      </w:r>
      <w:r>
        <w:rPr>
          <w:rFonts w:eastAsia="Arial"/>
        </w:rPr>
        <w:t>and how transparent the system is</w:t>
      </w:r>
      <w:r>
        <w:rPr>
          <w:rFonts w:eastAsia="Arial"/>
          <w:lang w:val="en-US"/>
        </w:rPr>
        <w:t>,</w:t>
      </w:r>
      <w:r>
        <w:rPr>
          <w:rFonts w:eastAsia="Arial"/>
        </w:rPr>
        <w:t xml:space="preserve"> matters just as much as the actual salary numbers.</w:t>
      </w:r>
    </w:p>
    <w:p w14:paraId="1981F077">
      <w:pPr>
        <w:pStyle w:val="4"/>
        <w:spacing w:before="200" w:after="100" w:line="360" w:lineRule="auto"/>
        <w:rPr>
          <w:color w:val="auto"/>
        </w:rPr>
      </w:pPr>
      <w:bookmarkStart w:id="263" w:name="_Toc6866"/>
      <w:bookmarkStart w:id="264" w:name="_Toc9054"/>
      <w:r>
        <w:rPr>
          <w:rFonts w:eastAsia="Arial"/>
          <w:color w:val="auto"/>
        </w:rPr>
        <w:t>What the Comparison Tells Us</w:t>
      </w:r>
      <w:bookmarkEnd w:id="263"/>
      <w:bookmarkEnd w:id="264"/>
    </w:p>
    <w:p w14:paraId="4BBC4E70">
      <w:pPr>
        <w:spacing w:before="80" w:after="120" w:line="360" w:lineRule="auto"/>
        <w:jc w:val="both"/>
      </w:pPr>
      <w:r>
        <w:rPr>
          <w:rFonts w:eastAsia="Arial"/>
        </w:rPr>
        <w:t>Millat Tractors Limited's compensation practices align well with the literature in several important areas. The grade-based structure reflects the principle of internal equity. The regular market surveys demonstrate a genuine effort to maintain external competitiveness. And the welfare grants</w:t>
      </w:r>
      <w:r>
        <w:rPr>
          <w:rFonts w:eastAsia="Arial"/>
          <w:lang w:val="en-US"/>
        </w:rPr>
        <w:t xml:space="preserve">, </w:t>
      </w:r>
      <w:r>
        <w:rPr>
          <w:rFonts w:eastAsia="Arial"/>
        </w:rPr>
        <w:t>education, marriage, and death grants</w:t>
      </w:r>
      <w:r>
        <w:rPr>
          <w:rFonts w:eastAsia="Arial"/>
          <w:lang w:val="en-US"/>
        </w:rPr>
        <w:t>,</w:t>
      </w:r>
      <w:r>
        <w:rPr>
          <w:rFonts w:eastAsia="Arial"/>
        </w:rPr>
        <w:t xml:space="preserve"> go well beyond what the law requires and reflect a genuinely caring approach to employee wellbeing, which the literature refers to as a holistic total rewards philosophy.</w:t>
      </w:r>
    </w:p>
    <w:p w14:paraId="106F06CD">
      <w:pPr>
        <w:spacing w:before="80" w:after="120" w:line="360" w:lineRule="auto"/>
        <w:jc w:val="both"/>
      </w:pPr>
      <w:r>
        <w:rPr>
          <w:rFonts w:eastAsia="Arial"/>
        </w:rPr>
        <w:t>However, the 60-70% satisfaction rate means that roughly one in three employees is not satisfied with their pay. This gap is significant. The literature suggests this is often less about the actual salary and more about how the pay system is communicated and whether employees feel it is fair and transparent. The company does not appear to conduct formal pay equity audits (checking for unfair pay differences across groups), and there are no flexible benefits options (where employees can choose which benefits suit them best). These are areas where targeted improvements could make a meaningful difference without necessarily increasing the overall pay bill.</w:t>
      </w:r>
    </w:p>
    <w:p w14:paraId="2AEA9D36">
      <w:pPr>
        <w:spacing w:before="80" w:after="80" w:line="360" w:lineRule="auto"/>
        <w:jc w:val="center"/>
      </w:pPr>
      <w:r>
        <w:rPr>
          <w:rFonts w:eastAsia="Arial"/>
          <w:i/>
          <w:iCs/>
          <w:color w:val="555555"/>
        </w:rPr>
        <w:t>Table 4.4: Comparison of Compensation and Benefits Practices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2CDC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0A242E7">
            <w:pPr>
              <w:spacing w:line="360" w:lineRule="auto"/>
              <w:jc w:val="center"/>
            </w:pPr>
            <w:r>
              <w:rPr>
                <w:rFonts w:eastAsia="Arial"/>
                <w:b/>
                <w:bCs/>
                <w:color w:val="FFFFFF"/>
              </w:rPr>
              <w:t>Area</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F24967E">
            <w:pPr>
              <w:spacing w:line="360" w:lineRule="auto"/>
              <w:jc w:val="center"/>
            </w:pPr>
            <w:r>
              <w:rPr>
                <w:rFonts w:eastAsia="Arial"/>
                <w:b/>
                <w:bCs/>
                <w:color w:val="FFFFFF"/>
              </w:rPr>
              <w:t>What the Literature Recommends</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51119BC">
            <w:pPr>
              <w:spacing w:line="360" w:lineRule="auto"/>
              <w:jc w:val="center"/>
            </w:pPr>
            <w:r>
              <w:rPr>
                <w:rFonts w:eastAsia="Arial"/>
                <w:b/>
                <w:bCs/>
                <w:color w:val="FFFFFF"/>
              </w:rPr>
              <w:t>What Millat Tractors Does</w:t>
            </w:r>
          </w:p>
        </w:tc>
      </w:tr>
      <w:tr w14:paraId="3D065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5FF98C2E">
            <w:pPr>
              <w:spacing w:line="360" w:lineRule="auto"/>
              <w:jc w:val="center"/>
            </w:pPr>
            <w:r>
              <w:rPr>
                <w:rFonts w:eastAsia="Arial"/>
                <w:b/>
                <w:bCs/>
              </w:rPr>
              <w:t>Pay Structure</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3E560290">
            <w:pPr>
              <w:spacing w:line="360" w:lineRule="auto"/>
              <w:jc w:val="both"/>
            </w:pPr>
            <w:r>
              <w:rPr>
                <w:rFonts w:eastAsia="Arial"/>
              </w:rPr>
              <w:t>Grade-based with clear salary ranges and job evaluation</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072C3ACC">
            <w:pPr>
              <w:spacing w:line="360" w:lineRule="auto"/>
              <w:jc w:val="both"/>
            </w:pPr>
            <w:r>
              <w:rPr>
                <w:rFonts w:eastAsia="Arial"/>
              </w:rPr>
              <w:t>5-grade structure with salary slabs based on skills and experience</w:t>
            </w:r>
          </w:p>
        </w:tc>
      </w:tr>
      <w:tr w14:paraId="6808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7D883D">
            <w:pPr>
              <w:spacing w:line="360" w:lineRule="auto"/>
              <w:jc w:val="center"/>
            </w:pPr>
            <w:r>
              <w:rPr>
                <w:rFonts w:eastAsia="Arial"/>
                <w:b/>
                <w:bCs/>
              </w:rPr>
              <w:t>Market Comparison</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0DE136B">
            <w:pPr>
              <w:spacing w:line="360" w:lineRule="auto"/>
              <w:jc w:val="both"/>
            </w:pPr>
            <w:r>
              <w:rPr>
                <w:rFonts w:eastAsia="Arial"/>
              </w:rPr>
              <w:t>Regular formal surveys by HR consultants</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FE61CC">
            <w:pPr>
              <w:spacing w:line="360" w:lineRule="auto"/>
              <w:jc w:val="both"/>
            </w:pPr>
            <w:r>
              <w:rPr>
                <w:rFonts w:eastAsia="Arial"/>
              </w:rPr>
              <w:t>Internal surveys comparing with 10+ similar companies</w:t>
            </w:r>
          </w:p>
        </w:tc>
      </w:tr>
      <w:tr w14:paraId="0E2B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4105D33A">
            <w:pPr>
              <w:spacing w:line="360" w:lineRule="auto"/>
              <w:jc w:val="center"/>
            </w:pPr>
            <w:r>
              <w:rPr>
                <w:rFonts w:eastAsia="Arial"/>
                <w:b/>
                <w:bCs/>
              </w:rPr>
              <w:t>Variable Pay</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0DAF0EDB">
            <w:pPr>
              <w:spacing w:line="360" w:lineRule="auto"/>
              <w:jc w:val="both"/>
            </w:pPr>
            <w:r>
              <w:rPr>
                <w:rFonts w:eastAsia="Arial"/>
              </w:rPr>
              <w:t>Bonuses tied to performance with clear, measurable targets</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4DA09827">
            <w:pPr>
              <w:spacing w:line="360" w:lineRule="auto"/>
              <w:jc w:val="both"/>
            </w:pPr>
            <w:r>
              <w:rPr>
                <w:rFonts w:eastAsia="Arial"/>
              </w:rPr>
              <w:t>Production-linked bonus, salary bonus, 5% profit sharing</w:t>
            </w:r>
          </w:p>
        </w:tc>
      </w:tr>
      <w:tr w14:paraId="095F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3280625">
            <w:pPr>
              <w:spacing w:line="360" w:lineRule="auto"/>
              <w:jc w:val="center"/>
            </w:pPr>
            <w:r>
              <w:rPr>
                <w:rFonts w:eastAsia="Arial"/>
                <w:b/>
                <w:bCs/>
              </w:rPr>
              <w:t>Benefits Design</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5F57F98">
            <w:pPr>
              <w:spacing w:line="360" w:lineRule="auto"/>
              <w:jc w:val="both"/>
            </w:pPr>
            <w:r>
              <w:rPr>
                <w:rFonts w:eastAsia="Arial"/>
              </w:rPr>
              <w:t>Flexible benefits that employees can choose from</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ADE9029">
            <w:pPr>
              <w:spacing w:line="360" w:lineRule="auto"/>
              <w:jc w:val="both"/>
            </w:pPr>
            <w:r>
              <w:rPr>
                <w:rFonts w:eastAsia="Arial"/>
              </w:rPr>
              <w:t>Fixed comprehensive package: insurance, welfare grants, leave entitlements</w:t>
            </w:r>
          </w:p>
        </w:tc>
      </w:tr>
      <w:tr w14:paraId="0DC2F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24A936B8">
            <w:pPr>
              <w:spacing w:line="360" w:lineRule="auto"/>
              <w:jc w:val="center"/>
            </w:pPr>
            <w:r>
              <w:rPr>
                <w:rFonts w:eastAsia="Arial"/>
                <w:b/>
                <w:bCs/>
              </w:rPr>
              <w:t>Pay Fairness</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0CB03FF2">
            <w:pPr>
              <w:spacing w:line="360" w:lineRule="auto"/>
              <w:jc w:val="both"/>
            </w:pPr>
            <w:r>
              <w:rPr>
                <w:rFonts w:eastAsia="Arial"/>
              </w:rPr>
              <w:t>Formal pay equity audits and transparent salary bands</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4AD458FD">
            <w:pPr>
              <w:spacing w:line="360" w:lineRule="auto"/>
              <w:jc w:val="both"/>
            </w:pPr>
            <w:r>
              <w:rPr>
                <w:rFonts w:eastAsia="Arial"/>
              </w:rPr>
              <w:t>Post-merger standardization; no formal equity audit mentioned</w:t>
            </w:r>
          </w:p>
        </w:tc>
      </w:tr>
      <w:tr w14:paraId="38CA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DB2430">
            <w:pPr>
              <w:spacing w:line="360" w:lineRule="auto"/>
              <w:jc w:val="center"/>
            </w:pPr>
            <w:r>
              <w:rPr>
                <w:rFonts w:eastAsia="Arial"/>
                <w:b/>
                <w:bCs/>
              </w:rPr>
              <w:t>Employee Satisfaction</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727D9CE">
            <w:pPr>
              <w:spacing w:line="360" w:lineRule="auto"/>
              <w:jc w:val="both"/>
            </w:pPr>
            <w:r>
              <w:rPr>
                <w:rFonts w:eastAsia="Arial"/>
              </w:rPr>
              <w:t>Focus on pay satisfaction, not just pay amount</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14CF2A5">
            <w:pPr>
              <w:spacing w:line="360" w:lineRule="auto"/>
              <w:jc w:val="both"/>
            </w:pPr>
            <w:r>
              <w:rPr>
                <w:rFonts w:eastAsia="Arial"/>
              </w:rPr>
              <w:t>60-70% satisfaction; 30-40% have unmet expectations</w:t>
            </w:r>
          </w:p>
        </w:tc>
      </w:tr>
    </w:tbl>
    <w:p w14:paraId="1238FA92">
      <w:pPr>
        <w:pStyle w:val="4"/>
        <w:spacing w:line="360" w:lineRule="auto"/>
      </w:pPr>
      <w:bookmarkStart w:id="265" w:name="_Toc4916"/>
      <w:bookmarkStart w:id="266" w:name="_Toc9381"/>
      <w:r>
        <w:t>4.2.5  Comparison of Employee Relations Practices</w:t>
      </w:r>
      <w:bookmarkEnd w:id="265"/>
      <w:bookmarkEnd w:id="266"/>
    </w:p>
    <w:p w14:paraId="0C5D78E8">
      <w:pPr>
        <w:pStyle w:val="4"/>
        <w:spacing w:before="200" w:after="100" w:line="360" w:lineRule="auto"/>
        <w:rPr>
          <w:color w:val="auto"/>
        </w:rPr>
      </w:pPr>
      <w:bookmarkStart w:id="267" w:name="_Toc9026"/>
      <w:bookmarkStart w:id="268" w:name="_Toc29224"/>
      <w:r>
        <w:rPr>
          <w:rFonts w:eastAsia="Arial"/>
          <w:color w:val="auto"/>
        </w:rPr>
        <w:t>How Millat Tractors Limited Manages Employee Relations</w:t>
      </w:r>
      <w:bookmarkEnd w:id="267"/>
      <w:bookmarkEnd w:id="268"/>
    </w:p>
    <w:p w14:paraId="552C6B19">
      <w:pPr>
        <w:spacing w:before="80" w:after="120" w:line="360" w:lineRule="auto"/>
        <w:jc w:val="both"/>
      </w:pPr>
      <w:r>
        <w:rPr>
          <w:rFonts w:eastAsia="Arial"/>
        </w:rPr>
        <w:t>Employee Relations (ER) refers to the way a company manages its relationship with its employees how it handles complaints, communicates with staff, manages trade unions, and creates a positive working environment. At Millat Tractors Limited, the HOD (Head of Department) is the first person an employee should go to with a problem or concern. If the issue cannot be resolved at that level, it is escalated to the HR department. For more serious matters especially those involving unions the Industrial Relations (IR) department takes over. This three-stage approach (HOD → HR → IR) ensures that most issues are handled at the lowest appropriate level before becoming formal complaints.</w:t>
      </w:r>
    </w:p>
    <w:p w14:paraId="283E3F31">
      <w:pPr>
        <w:spacing w:before="80" w:after="120" w:line="360" w:lineRule="auto"/>
        <w:jc w:val="both"/>
      </w:pPr>
      <w:r>
        <w:rPr>
          <w:rFonts w:eastAsia="Arial"/>
        </w:rPr>
        <w:t>Labour unions are present at Millat Tractors Limited, and the IR department manages collective bargaining</w:t>
      </w:r>
      <w:r>
        <w:rPr>
          <w:rFonts w:eastAsia="Arial"/>
          <w:lang w:val="en-US"/>
        </w:rPr>
        <w:t>,</w:t>
      </w:r>
      <w:r>
        <w:rPr>
          <w:rFonts w:eastAsia="Arial"/>
        </w:rPr>
        <w:t xml:space="preserve"> the process where the company negotiates with union representatives on behalf of the workers to agree on pay, working conditions, and other employment matters. The company follows all relevant labour laws and uses compliance checklists to monitor this regularly. In terms of employee welfare, the company provides health insurance, a comprehensive set of leave types (annual, casual, sick, and Hajj leave), house rent allowances, and the welfare grants described in the previous section.</w:t>
      </w:r>
    </w:p>
    <w:p w14:paraId="145FCFCD">
      <w:pPr>
        <w:pStyle w:val="4"/>
        <w:spacing w:before="200" w:after="100" w:line="360" w:lineRule="auto"/>
        <w:rPr>
          <w:color w:val="auto"/>
        </w:rPr>
      </w:pPr>
      <w:bookmarkStart w:id="269" w:name="_Toc2694"/>
      <w:bookmarkStart w:id="270" w:name="_Toc3690"/>
      <w:r>
        <w:rPr>
          <w:rFonts w:eastAsia="Arial"/>
          <w:color w:val="auto"/>
        </w:rPr>
        <w:t>What the HRM Literature Recommends</w:t>
      </w:r>
      <w:bookmarkEnd w:id="269"/>
      <w:bookmarkEnd w:id="270"/>
    </w:p>
    <w:p w14:paraId="4AA65873">
      <w:pPr>
        <w:spacing w:before="80" w:after="120" w:line="360" w:lineRule="auto"/>
        <w:jc w:val="both"/>
      </w:pPr>
      <w:r>
        <w:rPr>
          <w:rFonts w:eastAsia="Arial"/>
        </w:rPr>
        <w:t>Armstrong and Taylor (2020) describe employee relations as managing not just the formal rules of employment, but also what they call the psychological contract</w:t>
      </w:r>
      <w:r>
        <w:rPr>
          <w:rFonts w:eastAsia="Arial"/>
          <w:lang w:val="en-US"/>
        </w:rPr>
        <w:t>,</w:t>
      </w:r>
      <w:r>
        <w:rPr>
          <w:rFonts w:eastAsia="Arial"/>
        </w:rPr>
        <w:t xml:space="preserve"> the unwritten, informal expectations between an employer and an employee. For example, an employee may expect their hard work to be noticed and appreciated, even if this is not written in any contract. When these unwritten expectations are not met, employees become disengaged</w:t>
      </w:r>
      <w:r>
        <w:rPr>
          <w:rFonts w:eastAsia="Arial"/>
          <w:lang w:val="en-US"/>
        </w:rPr>
        <w:t>,</w:t>
      </w:r>
      <w:r>
        <w:rPr>
          <w:rFonts w:eastAsia="Arial"/>
        </w:rPr>
        <w:t xml:space="preserve"> they may still show up to work, but they do not put in their best effort.</w:t>
      </w:r>
    </w:p>
    <w:p w14:paraId="1676A793">
      <w:pPr>
        <w:spacing w:before="80" w:after="120" w:line="360" w:lineRule="auto"/>
        <w:jc w:val="both"/>
      </w:pPr>
      <w:r>
        <w:rPr>
          <w:rFonts w:eastAsia="Arial"/>
        </w:rPr>
        <w:t>The literature identifies three key pillars of good employee relations. First is communication</w:t>
      </w:r>
      <w:r>
        <w:rPr>
          <w:rFonts w:eastAsia="Arial"/>
          <w:lang w:val="en-US"/>
        </w:rPr>
        <w:t>,</w:t>
      </w:r>
      <w:r>
        <w:rPr>
          <w:rFonts w:eastAsia="Arial"/>
        </w:rPr>
        <w:t xml:space="preserve"> making sure information flows clearly in all directions: from management to employees (downward communication), from employees to management (upward communication, often called employee voice), and between colleagues (lateral communication). Second is conflict resolution</w:t>
      </w:r>
      <w:r>
        <w:rPr>
          <w:rFonts w:eastAsia="Arial"/>
          <w:lang w:val="en-US"/>
        </w:rPr>
        <w:t xml:space="preserve">, </w:t>
      </w:r>
      <w:r>
        <w:rPr>
          <w:rFonts w:eastAsia="Arial"/>
        </w:rPr>
        <w:t>having clear, fair, and accessible grievance procedures so that problems are addressed before they become serious. Third is employee engagement</w:t>
      </w:r>
      <w:r>
        <w:rPr>
          <w:rFonts w:eastAsia="Arial"/>
          <w:lang w:val="en-US"/>
        </w:rPr>
        <w:t>,</w:t>
      </w:r>
      <w:r>
        <w:rPr>
          <w:rFonts w:eastAsia="Arial"/>
        </w:rPr>
        <w:t xml:space="preserve"> creating an environment where employees feel motivated, valued, and connected to the organization's goals. Gallup's global research (2023) consistently shows that companies with highly engaged employees significantly outperform those with low engagement on every measure</w:t>
      </w:r>
      <w:r>
        <w:rPr>
          <w:rFonts w:eastAsia="Arial"/>
          <w:lang w:val="en-US"/>
        </w:rPr>
        <w:t xml:space="preserve">, </w:t>
      </w:r>
      <w:r>
        <w:rPr>
          <w:rFonts w:eastAsia="Arial"/>
        </w:rPr>
        <w:t>including productivity, staff turnover, and customer satisfaction.</w:t>
      </w:r>
    </w:p>
    <w:p w14:paraId="744ED218">
      <w:pPr>
        <w:pStyle w:val="4"/>
        <w:spacing w:before="200" w:after="100" w:line="360" w:lineRule="auto"/>
        <w:rPr>
          <w:color w:val="auto"/>
        </w:rPr>
      </w:pPr>
      <w:bookmarkStart w:id="271" w:name="_Toc8170"/>
      <w:bookmarkStart w:id="272" w:name="_Toc9774"/>
      <w:r>
        <w:rPr>
          <w:rFonts w:eastAsia="Arial"/>
          <w:color w:val="auto"/>
        </w:rPr>
        <w:t>What the Comparison Tells Us</w:t>
      </w:r>
      <w:bookmarkEnd w:id="271"/>
      <w:bookmarkEnd w:id="272"/>
    </w:p>
    <w:p w14:paraId="09772A2F">
      <w:pPr>
        <w:spacing w:before="80" w:after="120" w:line="360" w:lineRule="auto"/>
        <w:jc w:val="both"/>
      </w:pPr>
      <w:r>
        <w:rPr>
          <w:rFonts w:eastAsia="Arial"/>
        </w:rPr>
        <w:t>Millat Tractors Limited has a solid structural foundation for employee relations. The HOD-first escalation approach, the IR department, and the compliance checklists all reflect good practice in grievance handling and conflict resolution. The presence of unions managed through good-faith collective bargaining is also positive</w:t>
      </w:r>
      <w:r>
        <w:rPr>
          <w:rFonts w:eastAsia="Arial"/>
          <w:lang w:val="en-US"/>
        </w:rPr>
        <w:t xml:space="preserve">, </w:t>
      </w:r>
      <w:r>
        <w:rPr>
          <w:rFonts w:eastAsia="Arial"/>
        </w:rPr>
        <w:t>it means the company takes the pluralist approach recommended in the literature, recognizing that employees and management can have different interests that need to be negotiated fairly.</w:t>
      </w:r>
    </w:p>
    <w:p w14:paraId="7EECD9B7">
      <w:pPr>
        <w:spacing w:before="80" w:after="120" w:line="360" w:lineRule="auto"/>
        <w:jc w:val="both"/>
      </w:pPr>
      <w:r>
        <w:rPr>
          <w:rFonts w:eastAsia="Arial"/>
        </w:rPr>
        <w:t>However, the company's employee relations approach appears to be mainly reactive</w:t>
      </w:r>
      <w:r>
        <w:rPr>
          <w:rFonts w:eastAsia="Arial"/>
          <w:lang w:val="en-US"/>
        </w:rPr>
        <w:t>,</w:t>
      </w:r>
      <w:r>
        <w:rPr>
          <w:rFonts w:eastAsia="Arial"/>
        </w:rPr>
        <w:t xml:space="preserve"> it responds when problems arise but does not proactively work to build employee engagement. There is no evidence of regular employee engagement surveys (asking employees how they feel about their job and the company), no structured listening programs, and no formal effort to manage the psychological contract. The literature makes clear that companies that only manage employee relations when there is a problem are missing the most important part: creating the conditions where employees genuinely want to do their best work.</w:t>
      </w:r>
    </w:p>
    <w:p w14:paraId="5A7DE49D">
      <w:pPr>
        <w:spacing w:before="80" w:after="80" w:line="360" w:lineRule="auto"/>
        <w:jc w:val="center"/>
      </w:pPr>
      <w:r>
        <w:rPr>
          <w:rFonts w:eastAsia="Arial"/>
          <w:i/>
          <w:iCs/>
          <w:color w:val="555555"/>
        </w:rPr>
        <w:t>Table 4.5: Comparison of Employee Relations Practices</w:t>
      </w:r>
    </w:p>
    <w:p w14:paraId="25318336">
      <w:pPr>
        <w:spacing w:before="8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4"/>
        <w:gridCol w:w="3736"/>
        <w:gridCol w:w="3730"/>
      </w:tblGrid>
      <w:tr w14:paraId="5B70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4985F0D">
            <w:pPr>
              <w:spacing w:line="360" w:lineRule="auto"/>
              <w:jc w:val="center"/>
            </w:pPr>
            <w:r>
              <w:rPr>
                <w:rFonts w:eastAsia="Arial"/>
                <w:b/>
                <w:bCs/>
                <w:color w:val="FFFFFF"/>
              </w:rPr>
              <w:t>Area</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F12D97B">
            <w:pPr>
              <w:spacing w:line="360" w:lineRule="auto"/>
              <w:jc w:val="center"/>
            </w:pPr>
            <w:r>
              <w:rPr>
                <w:rFonts w:eastAsia="Arial"/>
                <w:b/>
                <w:bCs/>
                <w:color w:val="FFFFFF"/>
              </w:rPr>
              <w:t>What the Literature Recommends</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03C76F2">
            <w:pPr>
              <w:spacing w:line="360" w:lineRule="auto"/>
              <w:jc w:val="center"/>
            </w:pPr>
            <w:r>
              <w:rPr>
                <w:rFonts w:eastAsia="Arial"/>
                <w:b/>
                <w:bCs/>
                <w:color w:val="FFFFFF"/>
              </w:rPr>
              <w:t>What Millat Tractors Does</w:t>
            </w:r>
          </w:p>
        </w:tc>
      </w:tr>
      <w:tr w14:paraId="3BBB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0D956D0A">
            <w:pPr>
              <w:spacing w:line="360" w:lineRule="auto"/>
              <w:jc w:val="center"/>
            </w:pPr>
            <w:r>
              <w:rPr>
                <w:rFonts w:eastAsia="Arial"/>
                <w:b/>
                <w:bCs/>
              </w:rPr>
              <w:t>Communication</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6D0EBE63">
            <w:pPr>
              <w:spacing w:line="360" w:lineRule="auto"/>
              <w:jc w:val="both"/>
            </w:pPr>
            <w:r>
              <w:rPr>
                <w:rFonts w:eastAsia="Arial"/>
              </w:rPr>
              <w:t>Two-way communication: management to employees and employees to management</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78B0488C">
            <w:pPr>
              <w:spacing w:line="360" w:lineRule="auto"/>
              <w:jc w:val="both"/>
            </w:pPr>
            <w:r>
              <w:rPr>
                <w:rFonts w:eastAsia="Arial"/>
              </w:rPr>
              <w:t>HOD-first escalation; IR handles formal complaints</w:t>
            </w:r>
          </w:p>
        </w:tc>
      </w:tr>
      <w:tr w14:paraId="5BF87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01A5F1">
            <w:pPr>
              <w:spacing w:line="360" w:lineRule="auto"/>
              <w:jc w:val="center"/>
            </w:pPr>
            <w:r>
              <w:rPr>
                <w:rFonts w:eastAsia="Arial"/>
                <w:b/>
                <w:bCs/>
              </w:rPr>
              <w:t>Conflict Resolution</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F323DC">
            <w:pPr>
              <w:spacing w:line="360" w:lineRule="auto"/>
              <w:jc w:val="both"/>
            </w:pPr>
            <w:r>
              <w:rPr>
                <w:rFonts w:eastAsia="Arial"/>
              </w:rPr>
              <w:t>Fair, clear, and accessible grievance procedures</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CB86F7">
            <w:pPr>
              <w:spacing w:line="360" w:lineRule="auto"/>
              <w:jc w:val="both"/>
            </w:pPr>
            <w:r>
              <w:rPr>
                <w:rFonts w:eastAsia="Arial"/>
              </w:rPr>
              <w:t>Three-stage escalation: HOD → HR → IR; compliance checklists used</w:t>
            </w:r>
          </w:p>
        </w:tc>
      </w:tr>
      <w:tr w14:paraId="3D51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3066EB38">
            <w:pPr>
              <w:spacing w:line="360" w:lineRule="auto"/>
              <w:jc w:val="center"/>
            </w:pPr>
            <w:r>
              <w:rPr>
                <w:rFonts w:eastAsia="Arial"/>
                <w:b/>
                <w:bCs/>
              </w:rPr>
              <w:t>Union Relations</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74D57461">
            <w:pPr>
              <w:spacing w:line="360" w:lineRule="auto"/>
              <w:jc w:val="both"/>
            </w:pPr>
            <w:r>
              <w:rPr>
                <w:rFonts w:eastAsia="Arial"/>
              </w:rPr>
              <w:t>Cooperative, good-faith collective bargaining</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35D97ACA">
            <w:pPr>
              <w:spacing w:line="360" w:lineRule="auto"/>
              <w:jc w:val="both"/>
            </w:pPr>
            <w:r>
              <w:rPr>
                <w:rFonts w:eastAsia="Arial"/>
              </w:rPr>
              <w:t>Dedicated IR department manages union negotiations</w:t>
            </w:r>
          </w:p>
        </w:tc>
      </w:tr>
      <w:tr w14:paraId="1DF33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245DC1">
            <w:pPr>
              <w:spacing w:line="360" w:lineRule="auto"/>
              <w:jc w:val="center"/>
            </w:pPr>
            <w:r>
              <w:rPr>
                <w:rFonts w:eastAsia="Arial"/>
                <w:b/>
                <w:bCs/>
              </w:rPr>
              <w:t>Engagement Measurement</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5E50297">
            <w:pPr>
              <w:spacing w:line="360" w:lineRule="auto"/>
              <w:jc w:val="both"/>
            </w:pPr>
            <w:r>
              <w:rPr>
                <w:rFonts w:eastAsia="Arial"/>
              </w:rPr>
              <w:t>Regular surveys and listening sessions with visible follow-up</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71A43B">
            <w:pPr>
              <w:spacing w:line="360" w:lineRule="auto"/>
              <w:jc w:val="both"/>
            </w:pPr>
            <w:r>
              <w:rPr>
                <w:rFonts w:eastAsia="Arial"/>
              </w:rPr>
              <w:t>No formal engagement surveys; limited to compensation satisfaction data</w:t>
            </w:r>
          </w:p>
        </w:tc>
      </w:tr>
      <w:tr w14:paraId="2823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51930319">
            <w:pPr>
              <w:spacing w:line="360" w:lineRule="auto"/>
              <w:jc w:val="center"/>
            </w:pPr>
            <w:r>
              <w:rPr>
                <w:rFonts w:eastAsia="Arial"/>
                <w:b/>
                <w:bCs/>
              </w:rPr>
              <w:t>Employee Welfare</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3BF7ECB1">
            <w:pPr>
              <w:spacing w:line="360" w:lineRule="auto"/>
              <w:jc w:val="both"/>
            </w:pPr>
            <w:r>
              <w:rPr>
                <w:rFonts w:eastAsia="Arial"/>
              </w:rPr>
              <w:t>Total wellbeing including mental health and flexibility</w:t>
            </w:r>
          </w:p>
        </w:tc>
        <w:tc>
          <w:tcPr>
            <w:tcW w:w="3780" w:type="dxa"/>
            <w:tcBorders>
              <w:top w:val="single" w:color="AAAAAA" w:sz="0" w:space="0"/>
              <w:left w:val="single" w:color="AAAAAA" w:sz="0" w:space="0"/>
              <w:bottom w:val="single" w:color="AAAAAA" w:sz="0" w:space="0"/>
              <w:right w:val="single" w:color="AAAAAA" w:sz="0" w:space="0"/>
            </w:tcBorders>
            <w:shd w:val="clear" w:color="auto" w:fill="F0F4FA"/>
            <w:tcMar>
              <w:top w:w="80" w:type="dxa"/>
              <w:left w:w="120" w:type="dxa"/>
              <w:bottom w:w="80" w:type="dxa"/>
              <w:right w:w="120" w:type="dxa"/>
            </w:tcMar>
          </w:tcPr>
          <w:p w14:paraId="45165CBA">
            <w:pPr>
              <w:spacing w:line="360" w:lineRule="auto"/>
              <w:jc w:val="both"/>
            </w:pPr>
            <w:r>
              <w:rPr>
                <w:rFonts w:eastAsia="Arial"/>
              </w:rPr>
              <w:t>Health insurance, leave entitlements, and welfare grants provided</w:t>
            </w:r>
          </w:p>
        </w:tc>
      </w:tr>
      <w:tr w14:paraId="2B14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FEEFE39">
            <w:pPr>
              <w:spacing w:line="360" w:lineRule="auto"/>
              <w:jc w:val="center"/>
            </w:pPr>
            <w:r>
              <w:rPr>
                <w:rFonts w:eastAsia="Arial"/>
                <w:b/>
                <w:bCs/>
              </w:rPr>
              <w:t>Psychological Contract</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5449AB0">
            <w:pPr>
              <w:spacing w:line="360" w:lineRule="auto"/>
              <w:jc w:val="both"/>
            </w:pPr>
            <w:r>
              <w:rPr>
                <w:rFonts w:eastAsia="Arial"/>
              </w:rPr>
              <w:t>Actively managing unwritten employee expectations</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F3E27F">
            <w:pPr>
              <w:spacing w:line="360" w:lineRule="auto"/>
              <w:jc w:val="both"/>
            </w:pPr>
            <w:r>
              <w:rPr>
                <w:rFonts w:eastAsia="Arial"/>
              </w:rPr>
              <w:t>Welfare provisions show care; no formal management of the psychological contract</w:t>
            </w:r>
          </w:p>
        </w:tc>
      </w:tr>
    </w:tbl>
    <w:p w14:paraId="057E54DA">
      <w:pPr>
        <w:spacing w:line="360" w:lineRule="auto"/>
      </w:pPr>
    </w:p>
    <w:p w14:paraId="1CEFAAC2">
      <w:pPr>
        <w:pStyle w:val="3"/>
        <w:spacing w:line="360" w:lineRule="auto"/>
        <w:jc w:val="center"/>
      </w:pPr>
      <w:bookmarkStart w:id="273" w:name="_Toc4506"/>
      <w:bookmarkStart w:id="274" w:name="_Toc1166"/>
      <w:bookmarkStart w:id="275" w:name="_Toc24760"/>
      <w:bookmarkStart w:id="276" w:name="_Toc10575"/>
      <w:bookmarkStart w:id="277" w:name="_Toc29395"/>
      <w:r>
        <w:t>4.3  Discussion on Study Objectives</w:t>
      </w:r>
      <w:bookmarkEnd w:id="273"/>
      <w:bookmarkEnd w:id="274"/>
      <w:bookmarkEnd w:id="275"/>
      <w:bookmarkEnd w:id="276"/>
      <w:bookmarkEnd w:id="277"/>
    </w:p>
    <w:p w14:paraId="7020C05C">
      <w:pPr>
        <w:pStyle w:val="4"/>
        <w:spacing w:line="360" w:lineRule="auto"/>
      </w:pPr>
      <w:bookmarkStart w:id="278" w:name="_Toc15323"/>
      <w:bookmarkStart w:id="279" w:name="_Toc1549"/>
      <w:r>
        <w:t>Objective 1: Understanding HR Practices in the Organization</w:t>
      </w:r>
      <w:bookmarkEnd w:id="278"/>
      <w:bookmarkEnd w:id="279"/>
    </w:p>
    <w:p w14:paraId="2FDD064B">
      <w:pPr>
        <w:pStyle w:val="4"/>
        <w:spacing w:before="200" w:after="100" w:line="360" w:lineRule="auto"/>
        <w:rPr>
          <w:color w:val="auto"/>
        </w:rPr>
      </w:pPr>
      <w:bookmarkStart w:id="280" w:name="_Toc24256"/>
      <w:bookmarkStart w:id="281" w:name="_Toc10620"/>
      <w:r>
        <w:rPr>
          <w:rFonts w:eastAsia="Arial"/>
          <w:color w:val="auto"/>
        </w:rPr>
        <w:t>What We Found in Chapter 2 (The Organizational Visit)</w:t>
      </w:r>
      <w:bookmarkEnd w:id="280"/>
      <w:bookmarkEnd w:id="281"/>
    </w:p>
    <w:p w14:paraId="1FB57EA9">
      <w:pPr>
        <w:spacing w:before="80" w:after="120" w:line="360" w:lineRule="auto"/>
        <w:jc w:val="both"/>
      </w:pPr>
      <w:r>
        <w:rPr>
          <w:rFonts w:eastAsia="Arial"/>
        </w:rPr>
        <w:t>The interview with Mr. Irfan Shabbir gave us a clear picture of how HR works at Millat Tractors Limited. The HR department is divided into two main areas: Recruitment and Selection, and Administration. All important HR decisions</w:t>
      </w:r>
      <w:r>
        <w:rPr>
          <w:rFonts w:eastAsia="Arial"/>
          <w:lang w:val="en-US"/>
        </w:rPr>
        <w:t>,</w:t>
      </w:r>
      <w:r>
        <w:rPr>
          <w:rFonts w:eastAsia="Arial"/>
        </w:rPr>
        <w:t xml:space="preserve"> like creating a new position</w:t>
      </w:r>
      <w:r>
        <w:rPr>
          <w:rFonts w:eastAsia="Arial"/>
          <w:lang w:val="en-US"/>
        </w:rPr>
        <w:t xml:space="preserve">, </w:t>
      </w:r>
      <w:r>
        <w:rPr>
          <w:rFonts w:eastAsia="Arial"/>
        </w:rPr>
        <w:t>must be approved by the Board of Directors, which shows that HR is well-integrated into the company's governance structure. The five HR functions we studied (recruitment, training, compensation, performance management, and employee relations) are all in place and operating. The company also has a dedicated Industrial Relations department, which shows a structured approach to managing labour relations.</w:t>
      </w:r>
    </w:p>
    <w:p w14:paraId="5746DAB4">
      <w:pPr>
        <w:pStyle w:val="4"/>
        <w:spacing w:before="200" w:after="100" w:line="360" w:lineRule="auto"/>
        <w:rPr>
          <w:color w:val="auto"/>
        </w:rPr>
      </w:pPr>
      <w:bookmarkStart w:id="282" w:name="_Toc17819"/>
      <w:bookmarkStart w:id="283" w:name="_Toc15040"/>
      <w:r>
        <w:rPr>
          <w:rFonts w:eastAsia="Arial"/>
          <w:color w:val="auto"/>
        </w:rPr>
        <w:t>What Chapter 3 (The Literature) Tells Us</w:t>
      </w:r>
      <w:bookmarkEnd w:id="282"/>
      <w:bookmarkEnd w:id="283"/>
    </w:p>
    <w:p w14:paraId="3EEBEB1C">
      <w:pPr>
        <w:spacing w:before="80" w:after="120" w:line="360" w:lineRule="auto"/>
        <w:jc w:val="both"/>
      </w:pPr>
      <w:r>
        <w:rPr>
          <w:rFonts w:eastAsia="Arial"/>
        </w:rPr>
        <w:t>According to the HRM literature, an effective HR system does not just carry out these five functions  it designs them carefully, evaluates them regularly, and makes sure they are all connected to the company's overall strategy. Armstrong and Taylor (2020) and Noe et al. (2021) argue that each HR function, when done well, contributes to the organization's productivity, employee retention, and long-term competitive advantage. Strategic HRM means using human resources as a source of competitive edge</w:t>
      </w:r>
      <w:r>
        <w:rPr>
          <w:rFonts w:eastAsia="Arial"/>
          <w:lang w:val="en-US"/>
        </w:rPr>
        <w:t>,</w:t>
      </w:r>
      <w:r>
        <w:rPr>
          <w:rFonts w:eastAsia="Arial"/>
        </w:rPr>
        <w:t xml:space="preserve"> not just managing people, but doing so in a way that gives the organization an advantage over its rivals.</w:t>
      </w:r>
    </w:p>
    <w:p w14:paraId="338C31D0">
      <w:pPr>
        <w:pStyle w:val="4"/>
        <w:spacing w:before="200" w:after="100" w:line="360" w:lineRule="auto"/>
        <w:rPr>
          <w:color w:val="auto"/>
        </w:rPr>
      </w:pPr>
      <w:bookmarkStart w:id="284" w:name="_Toc29669"/>
      <w:bookmarkStart w:id="285" w:name="_Toc936"/>
      <w:r>
        <w:rPr>
          <w:rFonts w:eastAsia="Arial"/>
          <w:color w:val="auto"/>
        </w:rPr>
        <w:t>Comparison and Discussion</w:t>
      </w:r>
      <w:bookmarkEnd w:id="284"/>
      <w:bookmarkEnd w:id="285"/>
    </w:p>
    <w:p w14:paraId="5D0CB14D">
      <w:pPr>
        <w:spacing w:before="80" w:after="120" w:line="360" w:lineRule="auto"/>
        <w:jc w:val="both"/>
      </w:pPr>
      <w:r>
        <w:rPr>
          <w:rFonts w:eastAsia="Arial"/>
        </w:rPr>
        <w:t>Millat Tractors Limited has built a functional and well-governed HR system. The board-level approval for workforce decisions, the structured job analysis process, and the comprehensive benefits package all reflect good HR governance. The main difference between theory and practice is not that the company is missing HR functions</w:t>
      </w:r>
      <w:r>
        <w:rPr>
          <w:rFonts w:eastAsia="Arial"/>
          <w:lang w:val="en-US"/>
        </w:rPr>
        <w:t>,</w:t>
      </w:r>
      <w:r>
        <w:rPr>
          <w:rFonts w:eastAsia="Arial"/>
        </w:rPr>
        <w:t xml:space="preserve"> it has all five. The difference is in the depth and quality of how those functions are carried out. For example, recruitment happens, but without structured interview tools. Training happens, but without formal evaluation. Performance management happens, but only once a year. The company is doing the basics right; the opportunity is to do them better.</w:t>
      </w:r>
    </w:p>
    <w:p w14:paraId="5B3E1D39">
      <w:pPr>
        <w:pStyle w:val="4"/>
        <w:spacing w:line="360" w:lineRule="auto"/>
      </w:pPr>
      <w:bookmarkStart w:id="286" w:name="_Toc3568"/>
      <w:bookmarkStart w:id="287" w:name="_Toc8887"/>
      <w:r>
        <w:t>Objective 2: Analysis of Recruitment and Training Systems</w:t>
      </w:r>
      <w:bookmarkEnd w:id="286"/>
      <w:bookmarkEnd w:id="287"/>
    </w:p>
    <w:p w14:paraId="0C9CA7E3">
      <w:pPr>
        <w:pStyle w:val="4"/>
        <w:spacing w:before="200" w:after="100" w:line="360" w:lineRule="auto"/>
        <w:rPr>
          <w:color w:val="auto"/>
        </w:rPr>
      </w:pPr>
      <w:bookmarkStart w:id="288" w:name="_Toc28349"/>
      <w:bookmarkStart w:id="289" w:name="_Toc619"/>
      <w:r>
        <w:rPr>
          <w:rFonts w:eastAsia="Arial"/>
          <w:color w:val="auto"/>
        </w:rPr>
        <w:t>What Was Found During the Interview</w:t>
      </w:r>
      <w:bookmarkEnd w:id="288"/>
      <w:bookmarkEnd w:id="289"/>
    </w:p>
    <w:p w14:paraId="67933623">
      <w:pPr>
        <w:spacing w:before="80" w:after="120" w:line="360" w:lineRule="auto"/>
        <w:jc w:val="both"/>
      </w:pPr>
      <w:r>
        <w:rPr>
          <w:rFonts w:eastAsia="Arial"/>
        </w:rPr>
        <w:t>Recruitment uses multiple channels (LinkedIn, social media, newspapers, referrals), and the selection process is adjusted based on the seniority of the role. Training is centrally managed with a reinforcement-based model. TNA is done through manager feedback and soft skill gap identification. Both internal and external training resources are used as needed.</w:t>
      </w:r>
    </w:p>
    <w:p w14:paraId="2C5E28FA">
      <w:pPr>
        <w:pStyle w:val="4"/>
        <w:spacing w:before="200" w:after="100" w:line="360" w:lineRule="auto"/>
        <w:rPr>
          <w:color w:val="auto"/>
        </w:rPr>
      </w:pPr>
      <w:bookmarkStart w:id="290" w:name="_Toc9879"/>
      <w:bookmarkStart w:id="291" w:name="_Toc28161"/>
      <w:r>
        <w:rPr>
          <w:rFonts w:eastAsia="Arial"/>
          <w:color w:val="auto"/>
        </w:rPr>
        <w:t>What the Literature Says Should Be Done</w:t>
      </w:r>
      <w:bookmarkEnd w:id="290"/>
      <w:bookmarkEnd w:id="291"/>
    </w:p>
    <w:p w14:paraId="36A7C695">
      <w:pPr>
        <w:spacing w:before="80" w:after="120" w:line="360" w:lineRule="auto"/>
        <w:jc w:val="both"/>
      </w:pPr>
      <w:r>
        <w:rPr>
          <w:rFonts w:eastAsia="Arial"/>
        </w:rPr>
        <w:t>The literature recommends using structured, evidence-based selection methods (behavioral interviews, competency tests) that are proven to predict job performance. For training, the literature recommends a three-level TNA, blended learning methods, strong post-training support, and a formal evaluation system (Kirkpatrick's four levels) to measure whether training is actually working.</w:t>
      </w:r>
    </w:p>
    <w:p w14:paraId="5418E8E7">
      <w:pPr>
        <w:pStyle w:val="4"/>
        <w:spacing w:before="200" w:after="100" w:line="360" w:lineRule="auto"/>
        <w:rPr>
          <w:color w:val="auto"/>
        </w:rPr>
      </w:pPr>
      <w:bookmarkStart w:id="292" w:name="_Toc9395"/>
      <w:bookmarkStart w:id="293" w:name="_Toc23961"/>
      <w:r>
        <w:rPr>
          <w:rFonts w:eastAsia="Arial"/>
          <w:color w:val="auto"/>
        </w:rPr>
        <w:t>Where They Match and Where They Differ</w:t>
      </w:r>
      <w:bookmarkEnd w:id="292"/>
      <w:bookmarkEnd w:id="293"/>
    </w:p>
    <w:p w14:paraId="49990827">
      <w:pPr>
        <w:spacing w:before="80" w:after="120" w:line="360" w:lineRule="auto"/>
        <w:jc w:val="both"/>
      </w:pPr>
      <w:r>
        <w:rPr>
          <w:rFonts w:eastAsia="Arial"/>
        </w:rPr>
        <w:t>The company's multi-channel recruitment and senior-level panels match the literature's multi-method and multi-assessor recommendations. The reinforcement-based training model reflects an awareness of the importance of transfer. The gaps are in the lack of structured interview tools and assessment tests, the incomplete TNA process, and the absence of formal training evaluation. These are not impossible to fix</w:t>
      </w:r>
      <w:r>
        <w:rPr>
          <w:rFonts w:eastAsia="Arial"/>
          <w:lang w:val="en-US"/>
        </w:rPr>
        <w:t>,</w:t>
      </w:r>
      <w:r>
        <w:rPr>
          <w:rFonts w:eastAsia="Arial"/>
        </w:rPr>
        <w:t xml:space="preserve"> they represent practical improvements that the company could realistically implement.</w:t>
      </w:r>
    </w:p>
    <w:p w14:paraId="06BC09AD">
      <w:pPr>
        <w:pStyle w:val="4"/>
        <w:spacing w:line="360" w:lineRule="auto"/>
      </w:pPr>
      <w:bookmarkStart w:id="294" w:name="_Toc16498"/>
      <w:bookmarkStart w:id="295" w:name="_Toc23572"/>
      <w:r>
        <w:t>Objective 3: Evaluation of Performance and Compensation Policies</w:t>
      </w:r>
      <w:bookmarkEnd w:id="294"/>
      <w:bookmarkEnd w:id="295"/>
    </w:p>
    <w:p w14:paraId="2C2FDC47">
      <w:pPr>
        <w:pStyle w:val="4"/>
        <w:spacing w:before="200" w:after="100" w:line="360" w:lineRule="auto"/>
        <w:rPr>
          <w:color w:val="auto"/>
        </w:rPr>
      </w:pPr>
      <w:bookmarkStart w:id="296" w:name="_Toc30913"/>
      <w:bookmarkStart w:id="297" w:name="_Toc26870"/>
      <w:r>
        <w:rPr>
          <w:rFonts w:eastAsia="Arial"/>
          <w:color w:val="auto"/>
        </w:rPr>
        <w:t>How Effective Are the Current Policies?</w:t>
      </w:r>
      <w:bookmarkEnd w:id="296"/>
      <w:bookmarkEnd w:id="297"/>
    </w:p>
    <w:p w14:paraId="09935BD1">
      <w:pPr>
        <w:spacing w:before="80" w:after="120" w:line="360" w:lineRule="auto"/>
        <w:jc w:val="both"/>
      </w:pPr>
      <w:r>
        <w:rPr>
          <w:rFonts w:eastAsia="Arial"/>
        </w:rPr>
        <w:t>The KPI-linked annual appraisal creates a clear pay-for-performance connection employees who perform well get higher salary increases. The grade-based compensation structure ensures internal equity (similar jobs get similar pay), and the regular salary surveys ensure external competitiveness. The post-merger standardization of benefits ensures all employees are treated the same regardless of which part of the business they joined from.</w:t>
      </w:r>
    </w:p>
    <w:p w14:paraId="0CED949C">
      <w:pPr>
        <w:pStyle w:val="4"/>
        <w:spacing w:before="200" w:after="100" w:line="360" w:lineRule="auto"/>
        <w:rPr>
          <w:color w:val="auto"/>
        </w:rPr>
      </w:pPr>
      <w:bookmarkStart w:id="298" w:name="_Toc4729"/>
      <w:bookmarkStart w:id="299" w:name="_Toc2672"/>
      <w:r>
        <w:rPr>
          <w:rFonts w:eastAsia="Arial"/>
          <w:color w:val="auto"/>
        </w:rPr>
        <w:t>How Do These Compare to HRM Theories?</w:t>
      </w:r>
      <w:bookmarkEnd w:id="298"/>
      <w:bookmarkEnd w:id="299"/>
    </w:p>
    <w:p w14:paraId="428CC601">
      <w:pPr>
        <w:spacing w:before="80" w:after="120" w:line="360" w:lineRule="auto"/>
        <w:jc w:val="both"/>
      </w:pPr>
      <w:r>
        <w:rPr>
          <w:rFonts w:eastAsia="Arial"/>
        </w:rPr>
        <w:t>Vroom's Expectancy Theory (1964) says that employees are motivated when they believe that working hard will lead to good performance, and that good performance will lead to a valued reward. Millat Tractors Limited's system partially fulfils this</w:t>
      </w:r>
      <w:r>
        <w:rPr>
          <w:rFonts w:hint="default" w:eastAsia="Arial"/>
          <w:lang w:val="en-US"/>
        </w:rPr>
        <w:t>,</w:t>
      </w:r>
      <w:r>
        <w:rPr>
          <w:rFonts w:eastAsia="Arial"/>
        </w:rPr>
        <w:t xml:space="preserve"> there is a reward at the end (salary increment), but the once-a-year review cycle means employees have to wait a long time to see that reward. Adams' Equity Theory (1965) reminds us that fairness matters employees compare their pay to others, and feeling underpaid (even if the pay is objectively reasonable) reduces motivation. The 30-40% of unsatisfied employees suggests this equity perception is a real concern.</w:t>
      </w:r>
    </w:p>
    <w:p w14:paraId="2EE5198D">
      <w:pPr>
        <w:pStyle w:val="4"/>
        <w:spacing w:before="200" w:after="100" w:line="360" w:lineRule="auto"/>
        <w:rPr>
          <w:color w:val="auto"/>
        </w:rPr>
      </w:pPr>
      <w:bookmarkStart w:id="300" w:name="_Toc3462"/>
      <w:bookmarkStart w:id="301" w:name="_Toc27232"/>
      <w:r>
        <w:rPr>
          <w:rFonts w:eastAsia="Arial"/>
          <w:color w:val="auto"/>
        </w:rPr>
        <w:t>Strengths and Weaknesses</w:t>
      </w:r>
      <w:bookmarkEnd w:id="300"/>
      <w:bookmarkEnd w:id="301"/>
    </w:p>
    <w:p w14:paraId="00C58C9F">
      <w:pPr>
        <w:spacing w:before="80" w:after="120" w:line="360" w:lineRule="auto"/>
        <w:jc w:val="both"/>
      </w:pPr>
      <w:r>
        <w:rPr>
          <w:rFonts w:eastAsia="Arial"/>
        </w:rPr>
        <w:t>Strengths include a well-structured pay system, regular market benchmarking, comprehensive welfare benefits, and a balanced KPI framework that covers both technical and behavioral performance. Weaknesses include the lack of mid-year appraisals, the compensation satisfaction gap, no formal pay equity audit, and no differentiated strategy for retaining top performers who are being approached by competitors.</w:t>
      </w:r>
    </w:p>
    <w:p w14:paraId="2A913C34">
      <w:pPr>
        <w:pStyle w:val="4"/>
        <w:spacing w:line="360" w:lineRule="auto"/>
      </w:pPr>
      <w:bookmarkStart w:id="302" w:name="_Toc32042"/>
      <w:bookmarkStart w:id="303" w:name="_Toc15735"/>
      <w:r>
        <w:t>Objective 4: Linking HR Theory with Organizational Practice</w:t>
      </w:r>
      <w:bookmarkEnd w:id="302"/>
      <w:bookmarkEnd w:id="303"/>
    </w:p>
    <w:p w14:paraId="311DE860">
      <w:pPr>
        <w:pStyle w:val="4"/>
        <w:spacing w:before="200" w:after="100" w:line="360" w:lineRule="auto"/>
        <w:rPr>
          <w:color w:val="auto"/>
        </w:rPr>
      </w:pPr>
      <w:bookmarkStart w:id="304" w:name="_Toc7500"/>
      <w:bookmarkStart w:id="305" w:name="_Toc28138"/>
      <w:r>
        <w:rPr>
          <w:rFonts w:eastAsia="Arial"/>
          <w:color w:val="auto"/>
        </w:rPr>
        <w:t>Where Theory Is Being Applied</w:t>
      </w:r>
      <w:bookmarkEnd w:id="304"/>
      <w:bookmarkEnd w:id="305"/>
    </w:p>
    <w:p w14:paraId="2B4D50BF">
      <w:pPr>
        <w:spacing w:before="80" w:after="120" w:line="360" w:lineRule="auto"/>
        <w:jc w:val="both"/>
      </w:pPr>
      <w:r>
        <w:rPr>
          <w:rFonts w:eastAsia="Arial"/>
        </w:rPr>
        <w:t>Millat Tractors Limited is already applying several important HRM concepts in its day-to-day work. The board-approval process for new positions reflects strategic workforce planning. The HOD-driven job analysis reflects structured job design principles. The KPI framework reflects goal-setting theory. The IR department's compliance checklists reflect good industrial relations management. The welfare benefits package reflects the total rewards philosophy.</w:t>
      </w:r>
    </w:p>
    <w:p w14:paraId="101136AF">
      <w:pPr>
        <w:pStyle w:val="4"/>
        <w:spacing w:before="200" w:after="100" w:line="360" w:lineRule="auto"/>
        <w:rPr>
          <w:color w:val="auto"/>
        </w:rPr>
      </w:pPr>
      <w:bookmarkStart w:id="306" w:name="_Toc30211"/>
      <w:bookmarkStart w:id="307" w:name="_Toc7552"/>
      <w:r>
        <w:rPr>
          <w:rFonts w:eastAsia="Arial"/>
          <w:color w:val="auto"/>
        </w:rPr>
        <w:t>Where the Gaps Are</w:t>
      </w:r>
      <w:bookmarkEnd w:id="306"/>
      <w:bookmarkEnd w:id="307"/>
    </w:p>
    <w:p w14:paraId="1CE875B0">
      <w:pPr>
        <w:spacing w:before="80" w:after="120" w:line="360" w:lineRule="auto"/>
        <w:jc w:val="both"/>
      </w:pPr>
      <w:r>
        <w:rPr>
          <w:rFonts w:eastAsia="Arial"/>
        </w:rPr>
        <w:t>The main gaps are: no psychometric or cognitive assessment tools in the selection process; an incomplete TNA process that misses the organizational level; an annual-only performance management cycle; no systematic engagement measurement; and limited use of people analytics (using data to make better HR decisions).</w:t>
      </w:r>
    </w:p>
    <w:p w14:paraId="656E6BC2">
      <w:pPr>
        <w:pStyle w:val="4"/>
        <w:spacing w:before="200" w:after="100" w:line="360" w:lineRule="auto"/>
        <w:rPr>
          <w:color w:val="auto"/>
        </w:rPr>
      </w:pPr>
      <w:bookmarkStart w:id="308" w:name="_Toc28070"/>
      <w:bookmarkStart w:id="309" w:name="_Toc20904"/>
      <w:r>
        <w:rPr>
          <w:rFonts w:eastAsia="Arial"/>
          <w:color w:val="auto"/>
        </w:rPr>
        <w:t>Why These Gaps Exist</w:t>
      </w:r>
      <w:bookmarkEnd w:id="308"/>
      <w:bookmarkEnd w:id="309"/>
    </w:p>
    <w:p w14:paraId="388F4D37">
      <w:pPr>
        <w:spacing w:before="80" w:after="120" w:line="360" w:lineRule="auto"/>
        <w:jc w:val="both"/>
      </w:pPr>
      <w:r>
        <w:rPr>
          <w:rFonts w:eastAsia="Arial"/>
        </w:rPr>
        <w:t>These gaps are not surprising when we consider the context. Pakistan's manufacturing sector has traditionally followed a more administrative, compliance-focused approach to HR</w:t>
      </w:r>
      <w:r>
        <w:rPr>
          <w:rFonts w:eastAsia="Arial"/>
          <w:lang w:val="en-US"/>
        </w:rPr>
        <w:t xml:space="preserve">, </w:t>
      </w:r>
      <w:r>
        <w:rPr>
          <w:rFonts w:eastAsia="Arial"/>
        </w:rPr>
        <w:t>doing what is required rather than what is optimal. Budget constraints make it harder to invest in sophisticated assessment tools or formal compensation surveys. The company's top-down governance model (where major decisions are made at the board level) makes it structurally harder to introduce the kind of continuous, manager-driven feedback approach that the literature increasingly recommends. These factors do not excuse the gaps, but they help explain them</w:t>
      </w:r>
      <w:r>
        <w:rPr>
          <w:rFonts w:eastAsia="Arial"/>
          <w:lang w:val="en-US"/>
        </w:rPr>
        <w:t>,</w:t>
      </w:r>
      <w:r>
        <w:rPr>
          <w:rFonts w:eastAsia="Arial"/>
        </w:rPr>
        <w:t xml:space="preserve"> and they should shape the way recommendations are designed to be practical and achievable.</w:t>
      </w:r>
    </w:p>
    <w:p w14:paraId="1585DA96">
      <w:pPr>
        <w:pStyle w:val="3"/>
        <w:spacing w:line="360" w:lineRule="auto"/>
        <w:jc w:val="center"/>
      </w:pPr>
      <w:bookmarkStart w:id="310" w:name="_Toc20915"/>
      <w:bookmarkStart w:id="311" w:name="_Toc27726"/>
      <w:bookmarkStart w:id="312" w:name="_Toc21283"/>
      <w:bookmarkStart w:id="313" w:name="_Toc532"/>
      <w:bookmarkStart w:id="314" w:name="_Toc14964"/>
      <w:r>
        <w:t>4.4  Comparative Analysis of Key HR Areas</w:t>
      </w:r>
      <w:bookmarkEnd w:id="310"/>
      <w:bookmarkEnd w:id="311"/>
      <w:bookmarkEnd w:id="312"/>
      <w:bookmarkEnd w:id="313"/>
      <w:bookmarkEnd w:id="314"/>
    </w:p>
    <w:p w14:paraId="6A531A95">
      <w:pPr>
        <w:pStyle w:val="4"/>
        <w:spacing w:line="360" w:lineRule="auto"/>
      </w:pPr>
      <w:bookmarkStart w:id="315" w:name="_Toc4279"/>
      <w:bookmarkStart w:id="316" w:name="_Toc205"/>
      <w:r>
        <w:t>4.4.1  Recruitment and Selection</w:t>
      </w:r>
      <w:bookmarkEnd w:id="315"/>
      <w:bookmarkEnd w:id="316"/>
    </w:p>
    <w:p w14:paraId="3AAEC1DB">
      <w:pPr>
        <w:pStyle w:val="4"/>
        <w:spacing w:before="200" w:after="100" w:line="360" w:lineRule="auto"/>
        <w:rPr>
          <w:color w:val="auto"/>
        </w:rPr>
      </w:pPr>
      <w:bookmarkStart w:id="317" w:name="_Toc1850"/>
      <w:bookmarkStart w:id="318" w:name="_Toc32178"/>
      <w:r>
        <w:rPr>
          <w:rFonts w:eastAsia="Arial"/>
          <w:color w:val="auto"/>
        </w:rPr>
        <w:t>What the Theory Says</w:t>
      </w:r>
      <w:bookmarkEnd w:id="317"/>
      <w:bookmarkEnd w:id="318"/>
    </w:p>
    <w:p w14:paraId="513BB525">
      <w:pPr>
        <w:spacing w:before="80" w:after="120" w:line="360" w:lineRule="auto"/>
        <w:jc w:val="both"/>
      </w:pPr>
      <w:r>
        <w:rPr>
          <w:rFonts w:eastAsia="Arial"/>
        </w:rPr>
        <w:t>According to Schneider's Attraction-Selection-Attrition (ASA) framework (1987), every time a company makes a hiring decision, it is also making a cultural decision — because the kind of people it hires shape what the organization becomes over time. This is why the literature says recruitment and selection are not just administrative tasks; they are strategic ones. The best-performing organizations use structured hiring processes that include behavioral interviews (where candidates are asked how they handled specific situations in the past), competency assessments, and practical work tests. These tools are proven to predict job performance much more accurately than informal, unstructured conversations.</w:t>
      </w:r>
    </w:p>
    <w:p w14:paraId="13392221">
      <w:pPr>
        <w:pStyle w:val="4"/>
        <w:spacing w:before="200" w:after="100" w:line="360" w:lineRule="auto"/>
        <w:rPr>
          <w:color w:val="auto"/>
        </w:rPr>
      </w:pPr>
      <w:bookmarkStart w:id="319" w:name="_Toc24776"/>
      <w:bookmarkStart w:id="320" w:name="_Toc27099"/>
      <w:r>
        <w:rPr>
          <w:rFonts w:eastAsia="Arial"/>
          <w:color w:val="auto"/>
        </w:rPr>
        <w:t>What Millat Tractors Limited Does</w:t>
      </w:r>
      <w:bookmarkEnd w:id="319"/>
      <w:bookmarkEnd w:id="320"/>
    </w:p>
    <w:p w14:paraId="3A4F84E4">
      <w:pPr>
        <w:spacing w:before="80" w:after="120" w:line="360" w:lineRule="auto"/>
        <w:jc w:val="both"/>
      </w:pPr>
      <w:r>
        <w:rPr>
          <w:rFonts w:eastAsia="Arial"/>
        </w:rPr>
        <w:t>The company uses a thoughtful, governance-driven approach to recruitment. No new position can be filled without board approval, which ensures workforce planning is deliberate rather than reactive. The HOD prepares a proper Job Description and Job Specification before recruitment begins. For senior roles, a multi-person panel is used to make hiring decisions. These are all positive practices that reflect good organizational discipline.</w:t>
      </w:r>
    </w:p>
    <w:p w14:paraId="1A12E70B">
      <w:pPr>
        <w:pStyle w:val="4"/>
        <w:spacing w:before="200" w:after="100" w:line="360" w:lineRule="auto"/>
        <w:rPr>
          <w:color w:val="auto"/>
        </w:rPr>
      </w:pPr>
      <w:bookmarkStart w:id="321" w:name="_Toc10218"/>
      <w:bookmarkStart w:id="322" w:name="_Toc10027"/>
      <w:r>
        <w:rPr>
          <w:rFonts w:eastAsia="Arial"/>
          <w:color w:val="auto"/>
        </w:rPr>
        <w:t>Analysis and Discussion</w:t>
      </w:r>
      <w:bookmarkEnd w:id="321"/>
      <w:bookmarkEnd w:id="322"/>
    </w:p>
    <w:p w14:paraId="7A7B9E7F">
      <w:pPr>
        <w:spacing w:before="80" w:after="120" w:line="360" w:lineRule="auto"/>
        <w:jc w:val="both"/>
      </w:pPr>
      <w:r>
        <w:rPr>
          <w:rFonts w:eastAsia="Arial"/>
        </w:rPr>
        <w:t>The challenge is that while the framework for recruitment is good, the actual method of evaluating candidates has room for improvement. Without standardized interview questions and scoring criteria, two different interviewers might reach very different conclusions about the same candidat</w:t>
      </w:r>
      <w:r>
        <w:rPr>
          <w:rFonts w:eastAsia="Arial"/>
          <w:lang w:val="en-US"/>
        </w:rPr>
        <w:t>,</w:t>
      </w:r>
      <w:r>
        <w:rPr>
          <w:rFonts w:eastAsia="Arial"/>
        </w:rPr>
        <w:t xml:space="preserve"> which is unfair to candidates and risky for the company. The solution does not have to be expensive: creating a simple set of structured behavioral interview questions with a scoring guide for each competency would be a low-cost, high-impact change. Adding a basic online aptitude test for middle-management roles would further strengthen the selection process. These changes would help the company consistently hire the most capable people, not just the most confident interviewees.</w:t>
      </w:r>
    </w:p>
    <w:p w14:paraId="0F7971CA">
      <w:pPr>
        <w:pStyle w:val="4"/>
        <w:spacing w:line="360" w:lineRule="auto"/>
      </w:pPr>
      <w:bookmarkStart w:id="323" w:name="_Toc18502"/>
      <w:bookmarkStart w:id="324" w:name="_Toc22677"/>
      <w:r>
        <w:t>4.4.2  Training and Development</w:t>
      </w:r>
      <w:bookmarkEnd w:id="323"/>
      <w:bookmarkEnd w:id="324"/>
    </w:p>
    <w:p w14:paraId="6E594AAB">
      <w:pPr>
        <w:pStyle w:val="4"/>
        <w:spacing w:before="200" w:after="100" w:line="360" w:lineRule="auto"/>
        <w:rPr>
          <w:color w:val="auto"/>
        </w:rPr>
      </w:pPr>
      <w:bookmarkStart w:id="325" w:name="_Toc32117"/>
      <w:bookmarkStart w:id="326" w:name="_Toc28957"/>
      <w:r>
        <w:rPr>
          <w:rFonts w:eastAsia="Arial"/>
          <w:color w:val="auto"/>
        </w:rPr>
        <w:t>What the Literature Tells Us</w:t>
      </w:r>
      <w:bookmarkEnd w:id="325"/>
      <w:bookmarkEnd w:id="326"/>
    </w:p>
    <w:p w14:paraId="5A1964D4">
      <w:pPr>
        <w:spacing w:before="80" w:after="120" w:line="360" w:lineRule="auto"/>
        <w:jc w:val="both"/>
      </w:pPr>
      <w:r>
        <w:rPr>
          <w:rFonts w:eastAsia="Arial"/>
        </w:rPr>
        <w:t>Research consistently shows that well-designed training programs can improve employee performance by 20-30% (Noe et al., 2021). But the key word is well-designed. Training that is not aligned to actual needs, not supported by managers after the program ends, and not evaluated to check if it worked is largely wasted investment. The World Economic Forum (2023) has warned of a global reskilling emergency</w:t>
      </w:r>
      <w:r>
        <w:rPr>
          <w:rFonts w:eastAsia="Arial"/>
          <w:lang w:val="en-US"/>
        </w:rPr>
        <w:t>,</w:t>
      </w:r>
      <w:r>
        <w:rPr>
          <w:rFonts w:eastAsia="Arial"/>
        </w:rPr>
        <w:t xml:space="preserve"> a situation where the skills employees have are becoming outdated faster than companies can replace them. This means that organizations that do not invest seriously in Training and Development risk falling behind.</w:t>
      </w:r>
    </w:p>
    <w:p w14:paraId="2FAC4678">
      <w:pPr>
        <w:pStyle w:val="4"/>
        <w:spacing w:before="200" w:after="100" w:line="360" w:lineRule="auto"/>
        <w:rPr>
          <w:color w:val="auto"/>
        </w:rPr>
      </w:pPr>
      <w:bookmarkStart w:id="327" w:name="_Toc22337"/>
      <w:bookmarkStart w:id="328" w:name="_Toc17387"/>
      <w:r>
        <w:rPr>
          <w:rFonts w:eastAsia="Arial"/>
          <w:color w:val="auto"/>
        </w:rPr>
        <w:t>What the Company Does</w:t>
      </w:r>
      <w:bookmarkEnd w:id="327"/>
      <w:bookmarkEnd w:id="328"/>
    </w:p>
    <w:p w14:paraId="21B95FFA">
      <w:pPr>
        <w:spacing w:before="80" w:after="120" w:line="360" w:lineRule="auto"/>
        <w:jc w:val="both"/>
      </w:pPr>
      <w:r>
        <w:rPr>
          <w:rFonts w:eastAsia="Arial"/>
        </w:rPr>
        <w:t>Millat Tractors Limited has a functioning training infrastructure. The learning curve reinforcement model shows awareness of the importance of applying learning on the job. The use of both internal and external trainers is practical. The TNA process, while incomplete, does identify real skill gaps. These are solid foundations to build on.</w:t>
      </w:r>
    </w:p>
    <w:p w14:paraId="0C40F569">
      <w:pPr>
        <w:pStyle w:val="4"/>
        <w:spacing w:before="200" w:after="100" w:line="360" w:lineRule="auto"/>
        <w:rPr>
          <w:color w:val="auto"/>
        </w:rPr>
      </w:pPr>
      <w:bookmarkStart w:id="329" w:name="_Toc28658"/>
      <w:bookmarkStart w:id="330" w:name="_Toc18315"/>
      <w:r>
        <w:rPr>
          <w:rFonts w:eastAsia="Arial"/>
          <w:color w:val="auto"/>
        </w:rPr>
        <w:t>Analysis and Discussion</w:t>
      </w:r>
      <w:bookmarkEnd w:id="329"/>
      <w:bookmarkEnd w:id="330"/>
    </w:p>
    <w:p w14:paraId="00C836C7">
      <w:pPr>
        <w:spacing w:before="80" w:after="120" w:line="360" w:lineRule="auto"/>
        <w:jc w:val="both"/>
      </w:pPr>
      <w:r>
        <w:rPr>
          <w:rFonts w:eastAsia="Arial"/>
        </w:rPr>
        <w:t>The most important improvement needed is training evaluation. Currently, the company has no way of knowing if its training is actually making employees better at their jobs. Implementing even a basic post-training evaluation</w:t>
      </w:r>
      <w:r>
        <w:rPr>
          <w:rFonts w:eastAsia="Arial"/>
          <w:lang w:val="en-US"/>
        </w:rPr>
        <w:t>,</w:t>
      </w:r>
      <w:r>
        <w:rPr>
          <w:rFonts w:eastAsia="Arial"/>
        </w:rPr>
        <w:t xml:space="preserve"> asking managers to assess whether behavior has changed three months after a training program</w:t>
      </w:r>
      <w:r>
        <w:rPr>
          <w:rFonts w:eastAsia="Arial"/>
          <w:lang w:val="en-US"/>
        </w:rPr>
        <w:t xml:space="preserve">, </w:t>
      </w:r>
      <w:r>
        <w:rPr>
          <w:rFonts w:eastAsia="Arial"/>
        </w:rPr>
        <w:t>would give the HR team valuable data to improve future training decisions. A formal three-level TNA would ensure training is not just responding to immediate complaints but is connected to the company's wider strategic direction. Given how quickly technical skills in manufacturing are changing, planning ahead for future training needs is increasingly important.</w:t>
      </w:r>
    </w:p>
    <w:p w14:paraId="54BDCC04">
      <w:pPr>
        <w:pStyle w:val="4"/>
        <w:spacing w:line="360" w:lineRule="auto"/>
      </w:pPr>
      <w:bookmarkStart w:id="331" w:name="_Toc130"/>
      <w:bookmarkStart w:id="332" w:name="_Toc20886"/>
      <w:r>
        <w:t>4.4.3  Performance Management and Employee Motivation</w:t>
      </w:r>
      <w:bookmarkEnd w:id="331"/>
      <w:bookmarkEnd w:id="332"/>
    </w:p>
    <w:p w14:paraId="45450563">
      <w:pPr>
        <w:pStyle w:val="4"/>
        <w:spacing w:before="200" w:after="100" w:line="360" w:lineRule="auto"/>
        <w:rPr>
          <w:color w:val="auto"/>
        </w:rPr>
      </w:pPr>
      <w:bookmarkStart w:id="333" w:name="_Toc8782"/>
      <w:bookmarkStart w:id="334" w:name="_Toc4021"/>
      <w:r>
        <w:rPr>
          <w:rFonts w:eastAsia="Arial"/>
          <w:color w:val="auto"/>
        </w:rPr>
        <w:t>Why This Matters</w:t>
      </w:r>
      <w:bookmarkEnd w:id="333"/>
      <w:bookmarkEnd w:id="334"/>
    </w:p>
    <w:p w14:paraId="7E5A7042">
      <w:pPr>
        <w:spacing w:before="80" w:after="120" w:line="360" w:lineRule="auto"/>
        <w:jc w:val="both"/>
      </w:pPr>
      <w:r>
        <w:rPr>
          <w:rFonts w:eastAsia="Arial"/>
        </w:rPr>
        <w:t>Effective performance management is one of the most powerful tools HR has to motivate employees and improve organizational results. Locke and Latham's Goal-Setting Theory (2002) is one of the most well-researched findings in organizational psychology</w:t>
      </w:r>
      <w:r>
        <w:rPr>
          <w:rFonts w:eastAsia="Arial"/>
          <w:lang w:val="en-US"/>
        </w:rPr>
        <w:t xml:space="preserve">, </w:t>
      </w:r>
      <w:r>
        <w:rPr>
          <w:rFonts w:eastAsia="Arial"/>
        </w:rPr>
        <w:t>it shows that people perform significantly better when they have clear, specific, and challenging goals. Vroom's Expectancy Theory (1964) adds that motivation depends on employees believing that their effort will lead to good performance, and that good performance will lead to a reward they actually value. These two theories together explain why it is not enough just to have a KPI framework — the process around it matters too.</w:t>
      </w:r>
    </w:p>
    <w:p w14:paraId="2CB303AA">
      <w:pPr>
        <w:pStyle w:val="4"/>
        <w:spacing w:before="200" w:after="100" w:line="360" w:lineRule="auto"/>
        <w:rPr>
          <w:color w:val="auto"/>
        </w:rPr>
      </w:pPr>
      <w:bookmarkStart w:id="335" w:name="_Toc12201"/>
      <w:bookmarkStart w:id="336" w:name="_Toc22595"/>
      <w:r>
        <w:rPr>
          <w:rFonts w:eastAsia="Arial"/>
          <w:color w:val="auto"/>
        </w:rPr>
        <w:t>What the Company Does</w:t>
      </w:r>
      <w:bookmarkEnd w:id="335"/>
      <w:bookmarkEnd w:id="336"/>
    </w:p>
    <w:p w14:paraId="0EDD49AD">
      <w:pPr>
        <w:spacing w:before="80" w:after="120" w:line="360" w:lineRule="auto"/>
        <w:jc w:val="both"/>
      </w:pPr>
      <w:r>
        <w:rPr>
          <w:rFonts w:eastAsia="Arial"/>
        </w:rPr>
        <w:t>Millat Tractors Limited's KPI framework is a genuine strength. Measuring both technical performance and soft skills (like communication and teamwork) gives a more complete picture of how someone is contributing. The direct link between appraisal results and salary increments creates a credible pay-for-performance system. The employee appreciation events add a human touch to recognition. The challenge the company faces with retaining high performers is a real signal that the current system, while solid, is not enough to keep the best people fully engaged.</w:t>
      </w:r>
    </w:p>
    <w:p w14:paraId="466AE903">
      <w:pPr>
        <w:pStyle w:val="4"/>
        <w:spacing w:before="200" w:after="100" w:line="360" w:lineRule="auto"/>
        <w:rPr>
          <w:color w:val="auto"/>
        </w:rPr>
      </w:pPr>
      <w:bookmarkStart w:id="337" w:name="_Toc8196"/>
      <w:bookmarkStart w:id="338" w:name="_Toc30344"/>
      <w:r>
        <w:rPr>
          <w:rFonts w:eastAsia="Arial"/>
          <w:color w:val="auto"/>
        </w:rPr>
        <w:t>Impact on Employee Satisfaction and Productivity</w:t>
      </w:r>
      <w:bookmarkEnd w:id="337"/>
      <w:bookmarkEnd w:id="338"/>
    </w:p>
    <w:p w14:paraId="78CB5CAF">
      <w:pPr>
        <w:spacing w:before="80" w:after="120" w:line="360" w:lineRule="auto"/>
        <w:jc w:val="both"/>
      </w:pPr>
      <w:r>
        <w:rPr>
          <w:rFonts w:eastAsia="Arial"/>
        </w:rPr>
        <w:t>Annual reviews are simply too infrequent. An employee who is struggling needs feedback now</w:t>
      </w:r>
      <w:r>
        <w:rPr>
          <w:rFonts w:eastAsia="Arial"/>
          <w:lang w:val="en-US"/>
        </w:rPr>
        <w:t>,</w:t>
      </w:r>
      <w:r>
        <w:rPr>
          <w:rFonts w:eastAsia="Arial"/>
        </w:rPr>
        <w:t xml:space="preserve"> not in six months. An employee who is excelling deserves to hear that now</w:t>
      </w:r>
      <w:r>
        <w:rPr>
          <w:rFonts w:eastAsia="Arial"/>
          <w:lang w:val="en-US"/>
        </w:rPr>
        <w:t xml:space="preserve">, </w:t>
      </w:r>
      <w:r>
        <w:rPr>
          <w:rFonts w:eastAsia="Arial"/>
        </w:rPr>
        <w:t>not at year end. Research shows that regular, meaningful feedback is one of the biggest drivers of employee engagement and job satisfaction. Adding mid-year review conversations</w:t>
      </w:r>
      <w:r>
        <w:rPr>
          <w:rFonts w:eastAsia="Arial"/>
          <w:lang w:val="en-US"/>
        </w:rPr>
        <w:t xml:space="preserve">, </w:t>
      </w:r>
      <w:r>
        <w:rPr>
          <w:rFonts w:eastAsia="Arial"/>
        </w:rPr>
        <w:t>even informal ones</w:t>
      </w:r>
      <w:r>
        <w:rPr>
          <w:rFonts w:eastAsia="Arial"/>
          <w:lang w:val="en-US"/>
        </w:rPr>
        <w:t xml:space="preserve">, </w:t>
      </w:r>
      <w:r>
        <w:rPr>
          <w:rFonts w:eastAsia="Arial"/>
        </w:rPr>
        <w:t>would make the performance management system significantly more motivating. For high performers specifically, a clear career development pathway and accelerated progression opportunities would show them that the company is investing in their future, not just their present salary.</w:t>
      </w:r>
    </w:p>
    <w:p w14:paraId="63B4D1AA">
      <w:pPr>
        <w:pStyle w:val="4"/>
        <w:spacing w:line="360" w:lineRule="auto"/>
      </w:pPr>
      <w:bookmarkStart w:id="339" w:name="_Toc19627"/>
      <w:bookmarkStart w:id="340" w:name="_Toc6357"/>
      <w:r>
        <w:t>4.4.4  Compensation and Benefits</w:t>
      </w:r>
      <w:bookmarkEnd w:id="339"/>
      <w:bookmarkEnd w:id="340"/>
    </w:p>
    <w:p w14:paraId="6EB738AD">
      <w:pPr>
        <w:pStyle w:val="4"/>
        <w:spacing w:before="200" w:after="100" w:line="360" w:lineRule="auto"/>
        <w:rPr>
          <w:color w:val="auto"/>
        </w:rPr>
      </w:pPr>
      <w:bookmarkStart w:id="341" w:name="_Toc22355"/>
      <w:bookmarkStart w:id="342" w:name="_Toc11572"/>
      <w:r>
        <w:rPr>
          <w:rFonts w:eastAsia="Arial"/>
          <w:color w:val="auto"/>
        </w:rPr>
        <w:t>What Challenges Does the Literature Identify?</w:t>
      </w:r>
      <w:bookmarkEnd w:id="341"/>
      <w:bookmarkEnd w:id="342"/>
    </w:p>
    <w:p w14:paraId="3A575679">
      <w:pPr>
        <w:spacing w:before="80" w:after="120" w:line="360" w:lineRule="auto"/>
        <w:jc w:val="both"/>
      </w:pPr>
      <w:r>
        <w:rPr>
          <w:rFonts w:eastAsia="Arial"/>
        </w:rPr>
        <w:t>Compensation management is complex because it has to achieve multiple goals simultaneously: it has to be competitive enough to attract candidates from outside, fair enough internally that existing employees do not feel treated unfairly, motivating enough to drive performance, and affordable enough to be financially sustainable. The literature notes that one of the biggest risks organizations face is assuming that pay satisfaction is simply about pay level</w:t>
      </w:r>
      <w:r>
        <w:rPr>
          <w:rFonts w:eastAsia="Arial"/>
          <w:lang w:val="en-US"/>
        </w:rPr>
        <w:t xml:space="preserve">, </w:t>
      </w:r>
      <w:r>
        <w:rPr>
          <w:rFonts w:eastAsia="Arial"/>
        </w:rPr>
        <w:t>that if employees are paid more, they will be more satisfied. Research by Hausknecht et al. (2009) shows that this is not always true. How pay is communicated, how transparent the system is, and how fair the process feels are often more important than the actual number.</w:t>
      </w:r>
    </w:p>
    <w:p w14:paraId="187A5F18">
      <w:pPr>
        <w:pStyle w:val="4"/>
        <w:spacing w:before="200" w:after="100" w:line="360" w:lineRule="auto"/>
        <w:rPr>
          <w:color w:val="auto"/>
        </w:rPr>
      </w:pPr>
      <w:bookmarkStart w:id="343" w:name="_Toc31022"/>
      <w:bookmarkStart w:id="344" w:name="_Toc5491"/>
      <w:r>
        <w:rPr>
          <w:rFonts w:eastAsia="Arial"/>
          <w:color w:val="auto"/>
        </w:rPr>
        <w:t>What Challenges Does Millat Tractors Face?</w:t>
      </w:r>
      <w:bookmarkEnd w:id="343"/>
      <w:bookmarkEnd w:id="344"/>
    </w:p>
    <w:p w14:paraId="7EB8C2EC">
      <w:pPr>
        <w:spacing w:before="80" w:after="120" w:line="360" w:lineRule="auto"/>
        <w:jc w:val="both"/>
      </w:pPr>
      <w:r>
        <w:rPr>
          <w:rFonts w:eastAsia="Arial"/>
        </w:rPr>
        <w:t>The 30-40% of employees who are not satisfied with their compensation represents a real challenge. Some of this may reflect genuine pay gaps relative to the market. But some of it is likely about communication and perception</w:t>
      </w:r>
      <w:r>
        <w:rPr>
          <w:rFonts w:hint="default" w:eastAsia="Arial"/>
          <w:lang w:val="en-US"/>
        </w:rPr>
        <w:t xml:space="preserve">, </w:t>
      </w:r>
      <w:r>
        <w:rPr>
          <w:rFonts w:eastAsia="Arial"/>
        </w:rPr>
        <w:t>employees may not understand how their pay is set or why it is what it is. The retention challenge for high performers also suggests that the top end of the compensation structure may not be sufficiently differentiated. When the best employees see that they earn only slightly more than average performers, the motivational value of the pay-for-performance system is weakened.</w:t>
      </w:r>
    </w:p>
    <w:p w14:paraId="761BBDD6">
      <w:pPr>
        <w:pStyle w:val="4"/>
        <w:spacing w:before="200" w:after="100" w:line="360" w:lineRule="auto"/>
        <w:rPr>
          <w:color w:val="auto"/>
        </w:rPr>
      </w:pPr>
      <w:bookmarkStart w:id="345" w:name="_Toc20730"/>
      <w:bookmarkStart w:id="346" w:name="_Toc18730"/>
      <w:r>
        <w:rPr>
          <w:rFonts w:eastAsia="Arial"/>
          <w:color w:val="auto"/>
        </w:rPr>
        <w:t>Comparative Assessment</w:t>
      </w:r>
      <w:bookmarkEnd w:id="345"/>
      <w:bookmarkEnd w:id="346"/>
    </w:p>
    <w:p w14:paraId="6AECECCE">
      <w:pPr>
        <w:spacing w:before="80" w:after="120" w:line="360" w:lineRule="auto"/>
        <w:jc w:val="both"/>
      </w:pPr>
      <w:r>
        <w:rPr>
          <w:rFonts w:eastAsia="Arial"/>
        </w:rPr>
        <w:t>The similarities between the literature's challenges and Millat Tractors Limited's challenges are actually encouraging — they show that the company is grappling with the same issues that large organizations everywhere face. The solutions the literature recommends</w:t>
      </w:r>
      <w:r>
        <w:rPr>
          <w:rFonts w:eastAsia="Arial"/>
          <w:lang w:val="en-US"/>
        </w:rPr>
        <w:t xml:space="preserve">, </w:t>
      </w:r>
      <w:r>
        <w:rPr>
          <w:rFonts w:eastAsia="Arial"/>
        </w:rPr>
        <w:t>pay transparency, flexible benefits, formal benchmarking surveys, and targeted retention packages for top talent</w:t>
      </w:r>
      <w:r>
        <w:rPr>
          <w:rFonts w:eastAsia="Arial"/>
          <w:lang w:val="en-US"/>
        </w:rPr>
        <w:t xml:space="preserve">, </w:t>
      </w:r>
      <w:r>
        <w:rPr>
          <w:rFonts w:eastAsia="Arial"/>
        </w:rPr>
        <w:t>are all achievable and would make a real difference to employee satisfaction and retention at Millat Tractors Limited.</w:t>
      </w:r>
    </w:p>
    <w:p w14:paraId="30D2065D">
      <w:pPr>
        <w:pStyle w:val="4"/>
        <w:spacing w:line="360" w:lineRule="auto"/>
      </w:pPr>
      <w:bookmarkStart w:id="347" w:name="_Toc21669"/>
      <w:bookmarkStart w:id="348" w:name="_Toc1898"/>
      <w:r>
        <w:t>4.4.5  Employee Relations and Workplace Environment</w:t>
      </w:r>
      <w:bookmarkEnd w:id="347"/>
      <w:bookmarkEnd w:id="348"/>
    </w:p>
    <w:p w14:paraId="2BB7E9AB">
      <w:pPr>
        <w:pStyle w:val="4"/>
        <w:spacing w:before="200" w:after="100" w:line="360" w:lineRule="auto"/>
        <w:rPr>
          <w:color w:val="auto"/>
        </w:rPr>
      </w:pPr>
      <w:bookmarkStart w:id="349" w:name="_Toc7955"/>
      <w:bookmarkStart w:id="350" w:name="_Toc9281"/>
      <w:r>
        <w:rPr>
          <w:rFonts w:eastAsia="Arial"/>
          <w:color w:val="auto"/>
        </w:rPr>
        <w:t>What Good Employee Relations Looks Like</w:t>
      </w:r>
      <w:bookmarkEnd w:id="349"/>
      <w:bookmarkEnd w:id="350"/>
    </w:p>
    <w:p w14:paraId="2FE2EFA2">
      <w:pPr>
        <w:spacing w:before="80" w:after="120" w:line="360" w:lineRule="auto"/>
        <w:jc w:val="both"/>
      </w:pPr>
      <w:r>
        <w:rPr>
          <w:rFonts w:eastAsia="Arial"/>
        </w:rPr>
        <w:t>The concept of the psychological contract (Rousseau, 1989) is central to modern employee relations thinking. It refers to the unwritten, unspoken expectations between an employer and an employee things like 'if I work hard and am loyal, I will be rewarded and supported.' When these expectations are met, employees are engaged and committed. When they are not met, employees become disengaged</w:t>
      </w:r>
      <w:r>
        <w:rPr>
          <w:rFonts w:eastAsia="Arial"/>
          <w:lang w:val="en-US"/>
        </w:rPr>
        <w:t xml:space="preserve">, </w:t>
      </w:r>
      <w:r>
        <w:rPr>
          <w:rFonts w:eastAsia="Arial"/>
        </w:rPr>
        <w:t>they do the minimum required but nothing more. Gallup's annual global workplace surveys consistently find that only around 20-25% of employees worldwide are actively engaged, costing organizations enormous amounts in lost productivity. Companies that take employee engagement seriously</w:t>
      </w:r>
      <w:r>
        <w:rPr>
          <w:rFonts w:eastAsia="Arial"/>
          <w:lang w:val="en-US"/>
        </w:rPr>
        <w:t xml:space="preserve">, </w:t>
      </w:r>
      <w:r>
        <w:rPr>
          <w:rFonts w:eastAsia="Arial"/>
        </w:rPr>
        <w:t>through regular communication, genuine recognition, and career development support</w:t>
      </w:r>
      <w:r>
        <w:rPr>
          <w:rFonts w:eastAsia="Arial"/>
          <w:lang w:val="en-US"/>
        </w:rPr>
        <w:t xml:space="preserve">, </w:t>
      </w:r>
      <w:r>
        <w:rPr>
          <w:rFonts w:eastAsia="Arial"/>
        </w:rPr>
        <w:t>consistently perform better than those that do not.</w:t>
      </w:r>
    </w:p>
    <w:p w14:paraId="4AEF4606">
      <w:pPr>
        <w:pStyle w:val="4"/>
        <w:spacing w:before="200" w:after="100" w:line="360" w:lineRule="auto"/>
        <w:rPr>
          <w:color w:val="auto"/>
        </w:rPr>
      </w:pPr>
      <w:bookmarkStart w:id="351" w:name="_Toc24679"/>
      <w:bookmarkStart w:id="352" w:name="_Toc5867"/>
      <w:r>
        <w:rPr>
          <w:rFonts w:eastAsia="Arial"/>
          <w:color w:val="auto"/>
        </w:rPr>
        <w:t>What Millat Tractors Does Well</w:t>
      </w:r>
      <w:bookmarkEnd w:id="351"/>
      <w:bookmarkEnd w:id="352"/>
    </w:p>
    <w:p w14:paraId="3AD51A7B">
      <w:pPr>
        <w:spacing w:before="80" w:after="120" w:line="360" w:lineRule="auto"/>
        <w:jc w:val="both"/>
      </w:pPr>
      <w:r>
        <w:rPr>
          <w:rFonts w:eastAsia="Arial"/>
        </w:rPr>
        <w:t>The company has a well-structured approach to formal employee relations. The HOD-escalation model, the IR department, and the collective bargaining process all reflect good governance of the employment relationship. The comprehensive welfare benefits</w:t>
      </w:r>
      <w:r>
        <w:rPr>
          <w:rFonts w:eastAsia="Arial"/>
          <w:lang w:val="en-US"/>
        </w:rPr>
        <w:t xml:space="preserve">, </w:t>
      </w:r>
      <w:r>
        <w:rPr>
          <w:rFonts w:eastAsia="Arial"/>
        </w:rPr>
        <w:t>education grants, marriage grants, death grants</w:t>
      </w:r>
      <w:r>
        <w:rPr>
          <w:rFonts w:eastAsia="Arial"/>
          <w:lang w:val="en-US"/>
        </w:rPr>
        <w:t xml:space="preserve">, </w:t>
      </w:r>
      <w:r>
        <w:rPr>
          <w:rFonts w:eastAsia="Arial"/>
        </w:rPr>
        <w:t>show that the company genuinely cares about its employees beyond just their salary. These are meaningful commitments to employee wellbeing that should be recognized and communicated clearly.</w:t>
      </w:r>
    </w:p>
    <w:p w14:paraId="3E7A1F44">
      <w:pPr>
        <w:pStyle w:val="4"/>
        <w:spacing w:before="200" w:after="100" w:line="360" w:lineRule="auto"/>
        <w:rPr>
          <w:color w:val="auto"/>
        </w:rPr>
      </w:pPr>
      <w:bookmarkStart w:id="353" w:name="_Toc26537"/>
      <w:bookmarkStart w:id="354" w:name="_Toc25515"/>
      <w:r>
        <w:rPr>
          <w:rFonts w:eastAsia="Arial"/>
          <w:color w:val="auto"/>
        </w:rPr>
        <w:t>What Could Be Improved</w:t>
      </w:r>
      <w:bookmarkEnd w:id="353"/>
      <w:bookmarkEnd w:id="354"/>
    </w:p>
    <w:p w14:paraId="5BB2B509">
      <w:pPr>
        <w:spacing w:before="80" w:after="120" w:line="360" w:lineRule="auto"/>
        <w:jc w:val="both"/>
      </w:pPr>
      <w:r>
        <w:rPr>
          <w:rFonts w:eastAsia="Arial"/>
        </w:rPr>
        <w:t>The company currently manages employee relations reactively</w:t>
      </w:r>
      <w:r>
        <w:rPr>
          <w:rFonts w:eastAsia="Arial"/>
          <w:lang w:val="en-US"/>
        </w:rPr>
        <w:t xml:space="preserve">, </w:t>
      </w:r>
      <w:r>
        <w:rPr>
          <w:rFonts w:eastAsia="Arial"/>
        </w:rPr>
        <w:t>it responds to problems when they arise. The literature calls for a more proactive approach: regularly checking in with employees to understand how they are feeling, acting on what they say, and creating an environment where employees feel safe to speak up without fear of negative consequences (this is called psychological safety). Even a simple biannual employee survey, followed by visible management action on the results, would signal to employees that their voice matters</w:t>
      </w:r>
      <w:r>
        <w:rPr>
          <w:rFonts w:eastAsia="Arial"/>
          <w:lang w:val="en-US"/>
        </w:rPr>
        <w:t xml:space="preserve">, </w:t>
      </w:r>
      <w:r>
        <w:rPr>
          <w:rFonts w:eastAsia="Arial"/>
        </w:rPr>
        <w:t>and would give HR valuable data to improve the working environment before problems escalate.</w:t>
      </w:r>
    </w:p>
    <w:p w14:paraId="6AA6A27B">
      <w:pPr>
        <w:pStyle w:val="3"/>
        <w:spacing w:line="360" w:lineRule="auto"/>
        <w:jc w:val="center"/>
      </w:pPr>
      <w:bookmarkStart w:id="355" w:name="_Toc32145"/>
      <w:bookmarkStart w:id="356" w:name="_Toc9869"/>
      <w:bookmarkStart w:id="357" w:name="_Toc949"/>
      <w:bookmarkStart w:id="358" w:name="_Toc29572"/>
      <w:bookmarkStart w:id="359" w:name="_Toc3539"/>
      <w:r>
        <w:t>4.5  Major Findings of the Study</w:t>
      </w:r>
      <w:bookmarkEnd w:id="355"/>
      <w:bookmarkEnd w:id="356"/>
      <w:bookmarkEnd w:id="357"/>
      <w:bookmarkEnd w:id="358"/>
      <w:bookmarkEnd w:id="359"/>
    </w:p>
    <w:p w14:paraId="2440E1D2">
      <w:pPr>
        <w:spacing w:before="80" w:after="120" w:line="360" w:lineRule="auto"/>
        <w:jc w:val="both"/>
      </w:pPr>
      <w:r>
        <w:rPr>
          <w:rFonts w:eastAsia="Arial"/>
        </w:rPr>
        <w:t>Based on everything we have discussed in this chapter, here are the most important conclusions about HR practices at Millat Tractors Limited.</w:t>
      </w:r>
    </w:p>
    <w:p w14:paraId="773CAEBF">
      <w:pPr>
        <w:pStyle w:val="4"/>
        <w:spacing w:before="200" w:after="100" w:line="360" w:lineRule="auto"/>
        <w:rPr>
          <w:color w:val="auto"/>
        </w:rPr>
      </w:pPr>
      <w:bookmarkStart w:id="360" w:name="_Toc11082"/>
      <w:bookmarkStart w:id="361" w:name="_Toc26849"/>
      <w:r>
        <w:rPr>
          <w:rFonts w:eastAsia="Arial"/>
          <w:color w:val="auto"/>
        </w:rPr>
        <w:t>Key Observations from the Organizational Visit</w:t>
      </w:r>
      <w:bookmarkEnd w:id="360"/>
      <w:bookmarkEnd w:id="361"/>
    </w:p>
    <w:p w14:paraId="25477232">
      <w:pPr>
        <w:spacing w:before="80" w:after="120" w:line="360" w:lineRule="auto"/>
        <w:jc w:val="both"/>
      </w:pPr>
      <w:r>
        <w:rPr>
          <w:rFonts w:eastAsia="Arial"/>
        </w:rPr>
        <w:t>Millat Tractors Limited has a structured, well-governed HR system that works effectively at an operational level. The board-approval process for new hires, the dedicated IR department, the grade-based pay structure, and the comprehensive welfare benefits all reflect a company that takes HR seriously. By the standards of Pakistan's manufacturing sector, this is a mature HR function. The welfare benefits in particular</w:t>
      </w:r>
      <w:r>
        <w:rPr>
          <w:rFonts w:eastAsia="Arial"/>
          <w:lang w:val="en-US"/>
        </w:rPr>
        <w:t xml:space="preserve">, </w:t>
      </w:r>
      <w:r>
        <w:rPr>
          <w:rFonts w:eastAsia="Arial"/>
        </w:rPr>
        <w:t>going far beyond what the law requires</w:t>
      </w:r>
      <w:r>
        <w:rPr>
          <w:rFonts w:eastAsia="Arial"/>
          <w:lang w:val="en-US"/>
        </w:rPr>
        <w:t xml:space="preserve">, </w:t>
      </w:r>
      <w:r>
        <w:rPr>
          <w:rFonts w:eastAsia="Arial"/>
        </w:rPr>
        <w:t>are a genuine organizational strength that reflects a caring and responsible approach to the workforce.</w:t>
      </w:r>
    </w:p>
    <w:p w14:paraId="198F605F">
      <w:pPr>
        <w:pStyle w:val="4"/>
        <w:spacing w:before="200" w:after="100" w:line="360" w:lineRule="auto"/>
        <w:rPr>
          <w:color w:val="auto"/>
        </w:rPr>
      </w:pPr>
      <w:bookmarkStart w:id="362" w:name="_Toc19920"/>
      <w:bookmarkStart w:id="363" w:name="_Toc17538"/>
      <w:r>
        <w:rPr>
          <w:rFonts w:eastAsia="Arial"/>
          <w:color w:val="auto"/>
        </w:rPr>
        <w:t>Important Areas Where Theory and Practice Match</w:t>
      </w:r>
      <w:bookmarkEnd w:id="362"/>
      <w:bookmarkEnd w:id="363"/>
    </w:p>
    <w:p w14:paraId="652C4105">
      <w:pPr>
        <w:spacing w:before="80" w:after="120" w:line="360" w:lineRule="auto"/>
        <w:jc w:val="both"/>
      </w:pPr>
      <w:r>
        <w:rPr>
          <w:rFonts w:eastAsia="Arial"/>
        </w:rPr>
        <w:t>Several of the company's practices are well-supported by the HRM literature. Using multiple recruitment channels aligns with talent pipeline best practice. The senior-level panel interview aligns with multi-assessor selection research. The grade-based pay structure with market surveys aligns with internal equity and external competitiveness principles. The KPI framework covering both technical and behavioral performance aligns with balanced scorecard approaches to performance management. The HOD-escalation model for conflict resolution aligns with structured grievance handling frameworks. The collective bargaining approach aligns with the literature's neo-pluralist employee relations tradition.</w:t>
      </w:r>
    </w:p>
    <w:p w14:paraId="61FF07CC">
      <w:pPr>
        <w:pStyle w:val="4"/>
        <w:spacing w:before="200" w:after="100" w:line="360" w:lineRule="auto"/>
        <w:rPr>
          <w:color w:val="auto"/>
        </w:rPr>
      </w:pPr>
      <w:bookmarkStart w:id="364" w:name="_Toc13595"/>
      <w:bookmarkStart w:id="365" w:name="_Toc16164"/>
      <w:r>
        <w:rPr>
          <w:rFonts w:eastAsia="Arial"/>
          <w:color w:val="auto"/>
        </w:rPr>
        <w:t>How Effective Are the Five HR Functions Overall?</w:t>
      </w:r>
      <w:bookmarkEnd w:id="364"/>
      <w:bookmarkEnd w:id="365"/>
    </w:p>
    <w:p w14:paraId="7AC5BD1D">
      <w:pPr>
        <w:spacing w:before="80" w:after="120" w:line="360" w:lineRule="auto"/>
        <w:jc w:val="both"/>
      </w:pPr>
      <w:r>
        <w:rPr>
          <w:rFonts w:eastAsia="Arial"/>
        </w:rPr>
        <w:t>All five HR functions at Millat Tractors Limited are operational and serve their basic purpose. They are, however, more effective at the operational level (doing the work) than at the strategic level (doing the work in the best possible way and measuring the results). Of the five functions, compensation is the most developed</w:t>
      </w:r>
      <w:r>
        <w:rPr>
          <w:rFonts w:eastAsia="Arial"/>
          <w:lang w:val="en-US"/>
        </w:rPr>
        <w:t>,</w:t>
      </w:r>
      <w:r>
        <w:rPr>
          <w:rFonts w:eastAsia="Arial"/>
        </w:rPr>
        <w:t xml:space="preserve"> it has the most structured and comprehensive system. Employee relations is institutionally strong but lacks the engagement-building depth the literature recommends. Performance management has a solid framework but is limited by its annual-only frequency.</w:t>
      </w:r>
    </w:p>
    <w:p w14:paraId="3A49C328">
      <w:pPr>
        <w:pStyle w:val="4"/>
        <w:spacing w:before="200" w:after="100" w:line="360" w:lineRule="auto"/>
        <w:rPr>
          <w:color w:val="auto"/>
        </w:rPr>
      </w:pPr>
      <w:bookmarkStart w:id="366" w:name="_Toc9372"/>
      <w:bookmarkStart w:id="367" w:name="_Toc662"/>
      <w:r>
        <w:rPr>
          <w:rFonts w:eastAsia="Arial"/>
          <w:color w:val="auto"/>
        </w:rPr>
        <w:t>The Main Gaps Found</w:t>
      </w:r>
      <w:bookmarkEnd w:id="366"/>
      <w:bookmarkEnd w:id="367"/>
    </w:p>
    <w:p w14:paraId="67B88256">
      <w:pPr>
        <w:spacing w:before="80" w:after="80" w:line="360" w:lineRule="auto"/>
        <w:jc w:val="center"/>
      </w:pPr>
      <w:r>
        <w:rPr>
          <w:rFonts w:eastAsia="Arial"/>
          <w:i/>
          <w:iCs/>
          <w:color w:val="555555"/>
        </w:rPr>
        <w:t>Table 4.6: Summary of Major HR Implementation Gaps</w:t>
      </w:r>
    </w:p>
    <w:p w14:paraId="007F357D">
      <w:pPr>
        <w:spacing w:before="6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510"/>
        <w:gridCol w:w="3510"/>
      </w:tblGrid>
      <w:tr w14:paraId="6465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AAAAAA" w:sz="0" w:space="0"/>
              <w:left w:val="single" w:color="AAAAAA" w:sz="0" w:space="0"/>
              <w:bottom w:val="single" w:color="AAAAAA" w:sz="0" w:space="0"/>
              <w:right w:val="single" w:color="AAAAAA" w:sz="0" w:space="0"/>
            </w:tcBorders>
            <w:shd w:val="clear" w:color="auto" w:fill="2E5496"/>
            <w:tcMar>
              <w:top w:w="80" w:type="dxa"/>
              <w:left w:w="120" w:type="dxa"/>
              <w:bottom w:w="80" w:type="dxa"/>
              <w:right w:w="120" w:type="dxa"/>
            </w:tcMar>
          </w:tcPr>
          <w:p w14:paraId="467AAE6F">
            <w:pPr>
              <w:spacing w:line="360" w:lineRule="auto"/>
              <w:jc w:val="center"/>
            </w:pPr>
            <w:r>
              <w:rPr>
                <w:rFonts w:eastAsia="Arial"/>
                <w:b/>
                <w:bCs/>
                <w:color w:val="FFFFFF"/>
              </w:rPr>
              <w:t>HR Function</w:t>
            </w:r>
          </w:p>
        </w:tc>
        <w:tc>
          <w:tcPr>
            <w:tcW w:w="3510" w:type="dxa"/>
            <w:tcBorders>
              <w:top w:val="single" w:color="AAAAAA" w:sz="0" w:space="0"/>
              <w:left w:val="single" w:color="AAAAAA" w:sz="0" w:space="0"/>
              <w:bottom w:val="single" w:color="AAAAAA" w:sz="0" w:space="0"/>
              <w:right w:val="single" w:color="AAAAAA" w:sz="0" w:space="0"/>
            </w:tcBorders>
            <w:shd w:val="clear" w:color="auto" w:fill="2E5496"/>
            <w:tcMar>
              <w:top w:w="80" w:type="dxa"/>
              <w:left w:w="120" w:type="dxa"/>
              <w:bottom w:w="80" w:type="dxa"/>
              <w:right w:w="120" w:type="dxa"/>
            </w:tcMar>
          </w:tcPr>
          <w:p w14:paraId="516F4B17">
            <w:pPr>
              <w:spacing w:line="360" w:lineRule="auto"/>
              <w:jc w:val="center"/>
            </w:pPr>
            <w:r>
              <w:rPr>
                <w:rFonts w:eastAsia="Arial"/>
                <w:b/>
                <w:bCs/>
                <w:color w:val="FFFFFF"/>
              </w:rPr>
              <w:t>Main Gap Identified</w:t>
            </w:r>
          </w:p>
        </w:tc>
        <w:tc>
          <w:tcPr>
            <w:tcW w:w="3510" w:type="dxa"/>
            <w:tcBorders>
              <w:top w:val="single" w:color="AAAAAA" w:sz="0" w:space="0"/>
              <w:left w:val="single" w:color="AAAAAA" w:sz="0" w:space="0"/>
              <w:bottom w:val="single" w:color="AAAAAA" w:sz="0" w:space="0"/>
              <w:right w:val="single" w:color="AAAAAA" w:sz="0" w:space="0"/>
            </w:tcBorders>
            <w:shd w:val="clear" w:color="auto" w:fill="2E5496"/>
            <w:tcMar>
              <w:top w:w="80" w:type="dxa"/>
              <w:left w:w="120" w:type="dxa"/>
              <w:bottom w:w="80" w:type="dxa"/>
              <w:right w:w="120" w:type="dxa"/>
            </w:tcMar>
          </w:tcPr>
          <w:p w14:paraId="7DF96B3D">
            <w:pPr>
              <w:spacing w:line="360" w:lineRule="auto"/>
              <w:jc w:val="center"/>
            </w:pPr>
            <w:r>
              <w:rPr>
                <w:rFonts w:eastAsia="Arial"/>
                <w:b/>
                <w:bCs/>
                <w:color w:val="FFFFFF"/>
              </w:rPr>
              <w:t>What the Literature Recommends</w:t>
            </w:r>
          </w:p>
        </w:tc>
      </w:tr>
      <w:tr w14:paraId="7A2E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EAF0FB"/>
            <w:tcMar>
              <w:top w:w="80" w:type="dxa"/>
              <w:left w:w="120" w:type="dxa"/>
              <w:bottom w:w="80" w:type="dxa"/>
              <w:right w:w="120" w:type="dxa"/>
            </w:tcMar>
          </w:tcPr>
          <w:p w14:paraId="09DA9A69">
            <w:pPr>
              <w:spacing w:line="360" w:lineRule="auto"/>
              <w:jc w:val="both"/>
            </w:pPr>
            <w:r>
              <w:rPr>
                <w:rFonts w:eastAsia="Arial"/>
              </w:rPr>
              <w:t>Recruitment &amp; Selection</w:t>
            </w:r>
          </w:p>
        </w:tc>
        <w:tc>
          <w:tcPr>
            <w:tcW w:w="3510" w:type="dxa"/>
            <w:tcBorders>
              <w:top w:val="single" w:color="AAAAAA" w:sz="0" w:space="0"/>
              <w:left w:val="single" w:color="AAAAAA" w:sz="0" w:space="0"/>
              <w:bottom w:val="single" w:color="AAAAAA" w:sz="0" w:space="0"/>
              <w:right w:val="single" w:color="AAAAAA" w:sz="0" w:space="0"/>
            </w:tcBorders>
            <w:shd w:val="clear" w:color="auto" w:fill="EAF0FB"/>
            <w:tcMar>
              <w:top w:w="80" w:type="dxa"/>
              <w:left w:w="120" w:type="dxa"/>
              <w:bottom w:w="80" w:type="dxa"/>
              <w:right w:w="120" w:type="dxa"/>
            </w:tcMar>
          </w:tcPr>
          <w:p w14:paraId="2CF1E08A">
            <w:pPr>
              <w:spacing w:line="360" w:lineRule="auto"/>
              <w:jc w:val="both"/>
            </w:pPr>
            <w:r>
              <w:rPr>
                <w:rFonts w:eastAsia="Arial"/>
              </w:rPr>
              <w:t>No structured interview guides or candidate assessment tests used</w:t>
            </w:r>
          </w:p>
        </w:tc>
        <w:tc>
          <w:tcPr>
            <w:tcW w:w="3510" w:type="dxa"/>
            <w:tcBorders>
              <w:top w:val="single" w:color="AAAAAA" w:sz="0" w:space="0"/>
              <w:left w:val="single" w:color="AAAAAA" w:sz="0" w:space="0"/>
              <w:bottom w:val="single" w:color="AAAAAA" w:sz="0" w:space="0"/>
              <w:right w:val="single" w:color="AAAAAA" w:sz="0" w:space="0"/>
            </w:tcBorders>
            <w:shd w:val="clear" w:color="auto" w:fill="EAF0FB"/>
            <w:tcMar>
              <w:top w:w="80" w:type="dxa"/>
              <w:left w:w="120" w:type="dxa"/>
              <w:bottom w:w="80" w:type="dxa"/>
              <w:right w:w="120" w:type="dxa"/>
            </w:tcMar>
          </w:tcPr>
          <w:p w14:paraId="67791273">
            <w:pPr>
              <w:spacing w:line="360" w:lineRule="auto"/>
              <w:jc w:val="both"/>
            </w:pPr>
            <w:r>
              <w:rPr>
                <w:rFonts w:eastAsia="Arial"/>
              </w:rPr>
              <w:t>Behavioral interview frameworks with scoring guides; aptitude and competency tests</w:t>
            </w:r>
          </w:p>
        </w:tc>
      </w:tr>
      <w:tr w14:paraId="689F0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DDEF3BF">
            <w:pPr>
              <w:spacing w:line="360" w:lineRule="auto"/>
              <w:jc w:val="both"/>
            </w:pPr>
            <w:r>
              <w:rPr>
                <w:rFonts w:eastAsia="Arial"/>
              </w:rPr>
              <w:t>Training &amp; Development</w:t>
            </w:r>
          </w:p>
        </w:tc>
        <w:tc>
          <w:tcPr>
            <w:tcW w:w="351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A9A1D6C">
            <w:pPr>
              <w:spacing w:line="360" w:lineRule="auto"/>
              <w:jc w:val="both"/>
            </w:pPr>
            <w:r>
              <w:rPr>
                <w:rFonts w:eastAsia="Arial"/>
              </w:rPr>
              <w:t>No formal training evaluation; TNA does not include organizational-level analysis</w:t>
            </w:r>
          </w:p>
        </w:tc>
        <w:tc>
          <w:tcPr>
            <w:tcW w:w="351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0C3D75">
            <w:pPr>
              <w:spacing w:line="360" w:lineRule="auto"/>
              <w:jc w:val="both"/>
            </w:pPr>
            <w:r>
              <w:rPr>
                <w:rFonts w:eastAsia="Arial"/>
              </w:rPr>
              <w:t>Kirkpatrick's 4-level evaluation; full three-level TNA; blended learning methods</w:t>
            </w:r>
          </w:p>
        </w:tc>
      </w:tr>
      <w:tr w14:paraId="6715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EAF0FB"/>
            <w:tcMar>
              <w:top w:w="80" w:type="dxa"/>
              <w:left w:w="120" w:type="dxa"/>
              <w:bottom w:w="80" w:type="dxa"/>
              <w:right w:w="120" w:type="dxa"/>
            </w:tcMar>
          </w:tcPr>
          <w:p w14:paraId="4D0CA10C">
            <w:pPr>
              <w:spacing w:line="360" w:lineRule="auto"/>
              <w:jc w:val="both"/>
            </w:pPr>
            <w:r>
              <w:rPr>
                <w:rFonts w:eastAsia="Arial"/>
              </w:rPr>
              <w:t>Performance Management</w:t>
            </w:r>
          </w:p>
        </w:tc>
        <w:tc>
          <w:tcPr>
            <w:tcW w:w="3510" w:type="dxa"/>
            <w:tcBorders>
              <w:top w:val="single" w:color="AAAAAA" w:sz="0" w:space="0"/>
              <w:left w:val="single" w:color="AAAAAA" w:sz="0" w:space="0"/>
              <w:bottom w:val="single" w:color="AAAAAA" w:sz="0" w:space="0"/>
              <w:right w:val="single" w:color="AAAAAA" w:sz="0" w:space="0"/>
            </w:tcBorders>
            <w:shd w:val="clear" w:color="auto" w:fill="EAF0FB"/>
            <w:tcMar>
              <w:top w:w="80" w:type="dxa"/>
              <w:left w:w="120" w:type="dxa"/>
              <w:bottom w:w="80" w:type="dxa"/>
              <w:right w:w="120" w:type="dxa"/>
            </w:tcMar>
          </w:tcPr>
          <w:p w14:paraId="3EAAA994">
            <w:pPr>
              <w:spacing w:line="360" w:lineRule="auto"/>
              <w:jc w:val="both"/>
            </w:pPr>
            <w:r>
              <w:rPr>
                <w:rFonts w:eastAsia="Arial"/>
              </w:rPr>
              <w:t>Appraisals are annual only; no mid-year feedback; limited manager coaching</w:t>
            </w:r>
          </w:p>
        </w:tc>
        <w:tc>
          <w:tcPr>
            <w:tcW w:w="3510" w:type="dxa"/>
            <w:tcBorders>
              <w:top w:val="single" w:color="AAAAAA" w:sz="0" w:space="0"/>
              <w:left w:val="single" w:color="AAAAAA" w:sz="0" w:space="0"/>
              <w:bottom w:val="single" w:color="AAAAAA" w:sz="0" w:space="0"/>
              <w:right w:val="single" w:color="AAAAAA" w:sz="0" w:space="0"/>
            </w:tcBorders>
            <w:shd w:val="clear" w:color="auto" w:fill="EAF0FB"/>
            <w:tcMar>
              <w:top w:w="80" w:type="dxa"/>
              <w:left w:w="120" w:type="dxa"/>
              <w:bottom w:w="80" w:type="dxa"/>
              <w:right w:w="120" w:type="dxa"/>
            </w:tcMar>
          </w:tcPr>
          <w:p w14:paraId="0FB748A9">
            <w:pPr>
              <w:spacing w:line="360" w:lineRule="auto"/>
              <w:jc w:val="both"/>
            </w:pPr>
            <w:r>
              <w:rPr>
                <w:rFonts w:eastAsia="Arial"/>
              </w:rPr>
              <w:t>Regular feedback conversations; mid-year reviews; coaching skills for managers</w:t>
            </w:r>
          </w:p>
        </w:tc>
      </w:tr>
      <w:tr w14:paraId="61A3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EE49C7">
            <w:pPr>
              <w:spacing w:line="360" w:lineRule="auto"/>
              <w:jc w:val="both"/>
            </w:pPr>
            <w:r>
              <w:rPr>
                <w:rFonts w:eastAsia="Arial"/>
              </w:rPr>
              <w:t>Compensation &amp; Benefits</w:t>
            </w:r>
          </w:p>
        </w:tc>
        <w:tc>
          <w:tcPr>
            <w:tcW w:w="351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E24C38">
            <w:pPr>
              <w:spacing w:line="360" w:lineRule="auto"/>
              <w:jc w:val="both"/>
            </w:pPr>
            <w:r>
              <w:rPr>
                <w:rFonts w:eastAsia="Arial"/>
              </w:rPr>
              <w:t>30-40% employee dissatisfaction; no flexible benefits; no formal pay equity audit</w:t>
            </w:r>
          </w:p>
        </w:tc>
        <w:tc>
          <w:tcPr>
            <w:tcW w:w="351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AEF621">
            <w:pPr>
              <w:spacing w:line="360" w:lineRule="auto"/>
              <w:jc w:val="both"/>
            </w:pPr>
            <w:r>
              <w:rPr>
                <w:rFonts w:eastAsia="Arial"/>
              </w:rPr>
              <w:t>Flexible benefits; pay equity auditing; professional compensation benchmarking</w:t>
            </w:r>
          </w:p>
        </w:tc>
      </w:tr>
      <w:tr w14:paraId="451F1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EAF0FB"/>
            <w:tcMar>
              <w:top w:w="80" w:type="dxa"/>
              <w:left w:w="120" w:type="dxa"/>
              <w:bottom w:w="80" w:type="dxa"/>
              <w:right w:w="120" w:type="dxa"/>
            </w:tcMar>
          </w:tcPr>
          <w:p w14:paraId="5B94BE6F">
            <w:pPr>
              <w:spacing w:line="360" w:lineRule="auto"/>
              <w:jc w:val="both"/>
            </w:pPr>
            <w:r>
              <w:rPr>
                <w:rFonts w:eastAsia="Arial"/>
              </w:rPr>
              <w:t>Employee Relations</w:t>
            </w:r>
          </w:p>
        </w:tc>
        <w:tc>
          <w:tcPr>
            <w:tcW w:w="3510" w:type="dxa"/>
            <w:tcBorders>
              <w:top w:val="single" w:color="AAAAAA" w:sz="0" w:space="0"/>
              <w:left w:val="single" w:color="AAAAAA" w:sz="0" w:space="0"/>
              <w:bottom w:val="single" w:color="AAAAAA" w:sz="0" w:space="0"/>
              <w:right w:val="single" w:color="AAAAAA" w:sz="0" w:space="0"/>
            </w:tcBorders>
            <w:shd w:val="clear" w:color="auto" w:fill="EAF0FB"/>
            <w:tcMar>
              <w:top w:w="80" w:type="dxa"/>
              <w:left w:w="120" w:type="dxa"/>
              <w:bottom w:w="80" w:type="dxa"/>
              <w:right w:w="120" w:type="dxa"/>
            </w:tcMar>
          </w:tcPr>
          <w:p w14:paraId="45C96526">
            <w:pPr>
              <w:spacing w:line="360" w:lineRule="auto"/>
              <w:jc w:val="both"/>
            </w:pPr>
            <w:r>
              <w:rPr>
                <w:rFonts w:eastAsia="Arial"/>
              </w:rPr>
              <w:t>No formal employee engagement surveys; reactive rather than proactive approach</w:t>
            </w:r>
          </w:p>
        </w:tc>
        <w:tc>
          <w:tcPr>
            <w:tcW w:w="3510" w:type="dxa"/>
            <w:tcBorders>
              <w:top w:val="single" w:color="AAAAAA" w:sz="0" w:space="0"/>
              <w:left w:val="single" w:color="AAAAAA" w:sz="0" w:space="0"/>
              <w:bottom w:val="single" w:color="AAAAAA" w:sz="0" w:space="0"/>
              <w:right w:val="single" w:color="AAAAAA" w:sz="0" w:space="0"/>
            </w:tcBorders>
            <w:shd w:val="clear" w:color="auto" w:fill="EAF0FB"/>
            <w:tcMar>
              <w:top w:w="80" w:type="dxa"/>
              <w:left w:w="120" w:type="dxa"/>
              <w:bottom w:w="80" w:type="dxa"/>
              <w:right w:w="120" w:type="dxa"/>
            </w:tcMar>
          </w:tcPr>
          <w:p w14:paraId="7E6D7B9B">
            <w:pPr>
              <w:spacing w:line="360" w:lineRule="auto"/>
              <w:jc w:val="both"/>
            </w:pPr>
            <w:r>
              <w:rPr>
                <w:rFonts w:eastAsia="Arial"/>
              </w:rPr>
              <w:t>Regular engagement surveys; psychological contract management; proactive listening</w:t>
            </w:r>
          </w:p>
        </w:tc>
      </w:tr>
    </w:tbl>
    <w:p w14:paraId="2A4ECBE0">
      <w:pPr>
        <w:spacing w:before="80" w:after="80" w:line="360" w:lineRule="auto"/>
        <w:jc w:val="center"/>
        <w:rPr>
          <w:rFonts w:eastAsia="Arial"/>
          <w:i/>
          <w:iCs/>
          <w:color w:val="555555"/>
        </w:rPr>
      </w:pPr>
    </w:p>
    <w:p w14:paraId="71AE20B8">
      <w:pPr>
        <w:spacing w:line="360" w:lineRule="auto"/>
        <w:rPr>
          <w:b/>
          <w:bCs/>
        </w:rPr>
      </w:pPr>
      <w:r>
        <w:rPr>
          <w:b/>
          <w:bCs/>
        </w:rPr>
        <w:t>How HR Practices Affect Employee Performance and Organizational Growth</w:t>
      </w:r>
    </w:p>
    <w:p w14:paraId="4DABD226">
      <w:pPr>
        <w:spacing w:before="80" w:after="120" w:line="360" w:lineRule="auto"/>
        <w:jc w:val="both"/>
      </w:pPr>
      <w:r>
        <w:rPr>
          <w:rFonts w:eastAsia="Arial"/>
        </w:rPr>
        <w:t>The overall impact of Millat Tractors Limited's HR practices on employee performance and growth is positive. The company has maintained its market position in Pakistan's agricultural equipment industry, which is partly a result of having stable, experienced employees supported by a structured HR system. The grade-based pay structure and KPI-linked appraisals provide clear expectations and credible rewards. The welfare benefits support employee security and reduce financial stress.</w:t>
      </w:r>
    </w:p>
    <w:p w14:paraId="6CE8BA0D">
      <w:pPr>
        <w:spacing w:before="80" w:after="120" w:line="360" w:lineRule="auto"/>
        <w:jc w:val="both"/>
      </w:pPr>
      <w:r>
        <w:rPr>
          <w:rFonts w:eastAsia="Arial"/>
        </w:rPr>
        <w:t>However, the identified gaps</w:t>
      </w:r>
      <w:r>
        <w:rPr>
          <w:rFonts w:eastAsia="Arial"/>
          <w:lang w:val="en-US"/>
        </w:rPr>
        <w:t xml:space="preserve"> </w:t>
      </w:r>
      <w:r>
        <w:rPr>
          <w:rFonts w:eastAsia="Arial"/>
        </w:rPr>
        <w:t>particularly the lack of regular feedback, incomplete training evaluation, and absence of formal engagement measurement</w:t>
      </w:r>
      <w:r>
        <w:rPr>
          <w:rFonts w:eastAsia="Arial"/>
          <w:lang w:val="en-US"/>
        </w:rPr>
        <w:t xml:space="preserve"> </w:t>
      </w:r>
      <w:r>
        <w:rPr>
          <w:rFonts w:eastAsia="Arial"/>
        </w:rPr>
        <w:t>suggest that the company's HR system, while good enough to maintain current performance, is not yet set up to significantly improve it. The literature is clear: companies that invest in closing these kinds of gaps consistently see measurable improvements in productivity, employee satisfaction, and talent retention. For Millat Tractors Limited, closing these gaps represents not just a compliance exercise but a real business opportunity.</w:t>
      </w:r>
    </w:p>
    <w:p w14:paraId="5B6E8307">
      <w:pPr>
        <w:pStyle w:val="3"/>
        <w:jc w:val="center"/>
      </w:pPr>
      <w:bookmarkStart w:id="368" w:name="_Toc14928"/>
      <w:bookmarkStart w:id="369" w:name="_Toc59"/>
      <w:bookmarkStart w:id="370" w:name="_Toc4633"/>
      <w:bookmarkStart w:id="371" w:name="_Toc5364"/>
      <w:bookmarkStart w:id="372" w:name="_Toc25443"/>
      <w:r>
        <w:t>4.6  Recommendations Based on Comparative Analysis</w:t>
      </w:r>
      <w:bookmarkEnd w:id="368"/>
      <w:bookmarkEnd w:id="369"/>
      <w:bookmarkEnd w:id="370"/>
      <w:bookmarkEnd w:id="371"/>
      <w:bookmarkEnd w:id="372"/>
    </w:p>
    <w:p w14:paraId="12E2A39F">
      <w:pPr>
        <w:spacing w:before="80" w:after="120" w:line="360" w:lineRule="auto"/>
        <w:jc w:val="both"/>
      </w:pPr>
      <w:r>
        <w:rPr>
          <w:rFonts w:eastAsia="Arial"/>
        </w:rPr>
        <w:t>The following recommendations are practical, realistic, and tailored to Millat Tractors Limited's context. They are designed to build on what is already working</w:t>
      </w:r>
      <w:r>
        <w:rPr>
          <w:rFonts w:eastAsia="Arial"/>
          <w:lang w:val="en-US"/>
        </w:rPr>
        <w:t xml:space="preserve"> </w:t>
      </w:r>
      <w:r>
        <w:rPr>
          <w:rFonts w:eastAsia="Arial"/>
        </w:rPr>
        <w:t>not to start from scratch and to prioritize the changes that would have the biggest positive impact.</w:t>
      </w:r>
    </w:p>
    <w:p w14:paraId="20650AF4">
      <w:pPr>
        <w:pStyle w:val="4"/>
        <w:spacing w:line="360" w:lineRule="auto"/>
      </w:pPr>
      <w:bookmarkStart w:id="373" w:name="_Toc5198"/>
      <w:bookmarkStart w:id="374" w:name="_Toc17534"/>
      <w:r>
        <w:t>Practical Recommendations for the Organization</w:t>
      </w:r>
      <w:bookmarkEnd w:id="373"/>
      <w:bookmarkEnd w:id="374"/>
    </w:p>
    <w:p w14:paraId="31A476A4">
      <w:pPr>
        <w:pStyle w:val="4"/>
        <w:spacing w:before="200" w:after="100" w:line="360" w:lineRule="auto"/>
        <w:rPr>
          <w:color w:val="auto"/>
        </w:rPr>
      </w:pPr>
      <w:bookmarkStart w:id="375" w:name="_Toc12753"/>
      <w:bookmarkStart w:id="376" w:name="_Toc11443"/>
      <w:r>
        <w:rPr>
          <w:rFonts w:eastAsia="Arial"/>
          <w:color w:val="auto"/>
        </w:rPr>
        <w:t>1. Make the Hiring Process More Structured and Fair</w:t>
      </w:r>
      <w:bookmarkEnd w:id="375"/>
      <w:bookmarkEnd w:id="376"/>
    </w:p>
    <w:p w14:paraId="0A9B21E1">
      <w:pPr>
        <w:pStyle w:val="31"/>
        <w:numPr>
          <w:ilvl w:val="0"/>
          <w:numId w:val="1"/>
        </w:numPr>
        <w:spacing w:before="60" w:after="60" w:line="360" w:lineRule="auto"/>
      </w:pPr>
      <w:r>
        <w:rPr>
          <w:rFonts w:eastAsia="Arial"/>
        </w:rPr>
        <w:t>Create a standard set of behavioral interview questions for each job level, with a simple scoring guide that all interviewers can use. This makes the process more consistent, more objective, and more effective at predicting who will actually perform well on the job. This is one of the most cost-effective improvements the company could make.</w:t>
      </w:r>
    </w:p>
    <w:p w14:paraId="268E8999">
      <w:pPr>
        <w:pStyle w:val="31"/>
        <w:numPr>
          <w:ilvl w:val="0"/>
          <w:numId w:val="1"/>
        </w:numPr>
        <w:spacing w:before="60" w:after="60" w:line="360" w:lineRule="auto"/>
      </w:pPr>
      <w:r>
        <w:rPr>
          <w:rFonts w:eastAsia="Arial"/>
        </w:rPr>
        <w:t>Introduce basic aptitude or skills-based assessments for roles at the Assistant Manager level and above. Several affordable online platforms are available that can assess logical reasoning, problem-solving, and role-specific knowledge.</w:t>
      </w:r>
    </w:p>
    <w:p w14:paraId="73DD0FAA">
      <w:pPr>
        <w:pStyle w:val="31"/>
        <w:numPr>
          <w:ilvl w:val="0"/>
          <w:numId w:val="1"/>
        </w:numPr>
        <w:spacing w:before="60" w:after="60" w:line="360" w:lineRule="auto"/>
      </w:pPr>
      <w:r>
        <w:rPr>
          <w:rFonts w:eastAsia="Arial"/>
        </w:rPr>
        <w:t>Build a stronger employer brand by developing a clear message about what makes Millat Tractors Limited a great place to work, and communicate it through LinkedIn, engineering university partnerships, and industry events. A strong employer brand attracts better candidates and reduces recruitment costs.</w:t>
      </w:r>
    </w:p>
    <w:p w14:paraId="2144D260">
      <w:pPr>
        <w:pStyle w:val="31"/>
        <w:numPr>
          <w:ilvl w:val="0"/>
          <w:numId w:val="1"/>
        </w:numPr>
        <w:spacing w:before="60" w:after="60" w:line="360" w:lineRule="auto"/>
      </w:pPr>
      <w:r>
        <w:rPr>
          <w:rFonts w:eastAsia="Arial"/>
        </w:rPr>
        <w:t>Replace pure personal reference checks with structured reference questionnaires that ask specific, job-relevant questions. This turns references into useful data points rather than just character endorsements.</w:t>
      </w:r>
    </w:p>
    <w:p w14:paraId="2ED4CAA1">
      <w:pPr>
        <w:pStyle w:val="4"/>
        <w:spacing w:before="200" w:after="100" w:line="360" w:lineRule="auto"/>
        <w:rPr>
          <w:color w:val="auto"/>
        </w:rPr>
      </w:pPr>
      <w:bookmarkStart w:id="377" w:name="_Toc18768"/>
      <w:bookmarkStart w:id="378" w:name="_Toc9838"/>
      <w:r>
        <w:rPr>
          <w:rFonts w:eastAsia="Arial"/>
          <w:color w:val="auto"/>
        </w:rPr>
        <w:t>2. Strengthen the Training and Development System</w:t>
      </w:r>
      <w:bookmarkEnd w:id="377"/>
      <w:bookmarkEnd w:id="378"/>
    </w:p>
    <w:p w14:paraId="31FB65AD">
      <w:pPr>
        <w:pStyle w:val="31"/>
        <w:numPr>
          <w:ilvl w:val="0"/>
          <w:numId w:val="1"/>
        </w:numPr>
        <w:spacing w:before="60" w:after="60" w:line="360" w:lineRule="auto"/>
      </w:pPr>
      <w:r>
        <w:rPr>
          <w:rFonts w:eastAsia="Arial"/>
        </w:rPr>
        <w:t>Carry out a full three-level Training Needs Assessment (TNA) once a year, linked to the annual business planning process. This means asking: what skills does the company need to achieve its strategy? What skills does each role require? Which individual employees are falling short? The answers to these three questions should drive all training decisions.</w:t>
      </w:r>
    </w:p>
    <w:p w14:paraId="6EF537EA">
      <w:pPr>
        <w:pStyle w:val="31"/>
        <w:numPr>
          <w:ilvl w:val="0"/>
          <w:numId w:val="1"/>
        </w:numPr>
        <w:spacing w:before="60" w:after="60" w:line="360" w:lineRule="auto"/>
      </w:pPr>
      <w:r>
        <w:rPr>
          <w:rFonts w:eastAsia="Arial"/>
        </w:rPr>
        <w:t>Introduce a simple training evaluation process based on Kirkpatrick's four levels. Start with Level 2 (did employees actually learn something from the training?) and Level 3 (did their behavior change on the job afterwards, as observed by their manager three months later?). This will give the company real evidence of whether training is working.</w:t>
      </w:r>
    </w:p>
    <w:p w14:paraId="5A5FF10F">
      <w:pPr>
        <w:pStyle w:val="31"/>
        <w:numPr>
          <w:ilvl w:val="0"/>
          <w:numId w:val="1"/>
        </w:numPr>
        <w:spacing w:before="60" w:after="60" w:line="360" w:lineRule="auto"/>
      </w:pPr>
      <w:r>
        <w:rPr>
          <w:rFonts w:eastAsia="Arial"/>
        </w:rPr>
        <w:t>Experiment with blended learning combining classroom or online training with practical on-the-job assignments. For example, after a communication skills workshop, assign each participant a specific task that requires them to practice what they learned, with manager feedback. This improves training transfer significantly.</w:t>
      </w:r>
    </w:p>
    <w:p w14:paraId="3AE512C2">
      <w:pPr>
        <w:pStyle w:val="31"/>
        <w:numPr>
          <w:ilvl w:val="0"/>
          <w:numId w:val="1"/>
        </w:numPr>
        <w:spacing w:before="60" w:after="60" w:line="360" w:lineRule="auto"/>
      </w:pPr>
      <w:r>
        <w:rPr>
          <w:rFonts w:eastAsia="Arial"/>
        </w:rPr>
        <w:t>Start identifying the technical skills that will be most important for the company over the next five years particularly in areas like digital manufacturing, data analysis, and energy-efficient production and build these into the training plan now, before the skills gap becomes a crisis.</w:t>
      </w:r>
    </w:p>
    <w:p w14:paraId="2F6FC9F9">
      <w:pPr>
        <w:pStyle w:val="4"/>
        <w:spacing w:before="200" w:after="100" w:line="360" w:lineRule="auto"/>
        <w:rPr>
          <w:color w:val="auto"/>
        </w:rPr>
      </w:pPr>
      <w:bookmarkStart w:id="379" w:name="_Toc30536"/>
      <w:bookmarkStart w:id="380" w:name="_Toc4615"/>
      <w:r>
        <w:rPr>
          <w:rFonts w:eastAsia="Arial"/>
          <w:color w:val="auto"/>
        </w:rPr>
        <w:t>3. Improve the Performance Management Process</w:t>
      </w:r>
      <w:bookmarkEnd w:id="379"/>
      <w:bookmarkEnd w:id="380"/>
    </w:p>
    <w:p w14:paraId="58166223">
      <w:pPr>
        <w:pStyle w:val="31"/>
        <w:numPr>
          <w:ilvl w:val="0"/>
          <w:numId w:val="1"/>
        </w:numPr>
        <w:spacing w:before="60" w:after="60" w:line="360" w:lineRule="auto"/>
      </w:pPr>
      <w:r>
        <w:rPr>
          <w:rFonts w:eastAsia="Arial"/>
        </w:rPr>
        <w:t>Introduce a formal mid-year performance review conversation between each manager and their team members. This does not need to be as formal or time-consuming as the annual appraisal  a structured 30-minute discussion covering KPI progress, recent feedback, and development goals would be enough to significantly improve the system.</w:t>
      </w:r>
    </w:p>
    <w:p w14:paraId="3A67D43C">
      <w:pPr>
        <w:pStyle w:val="31"/>
        <w:numPr>
          <w:ilvl w:val="0"/>
          <w:numId w:val="1"/>
        </w:numPr>
        <w:spacing w:before="60" w:after="60" w:line="360" w:lineRule="auto"/>
      </w:pPr>
      <w:r>
        <w:rPr>
          <w:rFonts w:eastAsia="Arial"/>
        </w:rPr>
        <w:t>Train managers in how to give good performance feedback. The research is clear: the quality of the feedback conversation matters more than the format of the appraisal form. Managers who give specific, honest, and constructive feedback consistently have more engaged and higher-performing teams.</w:t>
      </w:r>
    </w:p>
    <w:p w14:paraId="420ED946">
      <w:pPr>
        <w:pStyle w:val="31"/>
        <w:numPr>
          <w:ilvl w:val="0"/>
          <w:numId w:val="1"/>
        </w:numPr>
        <w:spacing w:before="60" w:after="60" w:line="360" w:lineRule="auto"/>
      </w:pPr>
      <w:r>
        <w:rPr>
          <w:rFonts w:eastAsia="Arial"/>
        </w:rPr>
        <w:t>Design a formal retention plan for top performers. This could include accelerated salary progression, additional development opportunities, mentoring from senior leaders, or a clear fast-track promotion pathway. When talented employees can see a future for themselves at the company, they are much less likely to leave.</w:t>
      </w:r>
    </w:p>
    <w:p w14:paraId="745BA984">
      <w:pPr>
        <w:pStyle w:val="31"/>
        <w:numPr>
          <w:ilvl w:val="0"/>
          <w:numId w:val="1"/>
        </w:numPr>
        <w:spacing w:before="60" w:after="60" w:line="360" w:lineRule="auto"/>
      </w:pPr>
      <w:r>
        <w:rPr>
          <w:rFonts w:eastAsia="Arial"/>
        </w:rPr>
        <w:t>Formalize the employee recognition program by introducing annual achievement awards in areas like innovation, leadership, customer service, and team performance. This gives non-monetary recognition a structure and significance that informal appreciation events may lack.</w:t>
      </w:r>
    </w:p>
    <w:p w14:paraId="6A982027">
      <w:pPr>
        <w:pStyle w:val="4"/>
        <w:spacing w:line="360" w:lineRule="auto"/>
      </w:pPr>
      <w:bookmarkStart w:id="381" w:name="_Toc13667"/>
      <w:bookmarkStart w:id="382" w:name="_Toc616"/>
      <w:r>
        <w:t>Suggested Improvements in HR Policies</w:t>
      </w:r>
      <w:bookmarkEnd w:id="381"/>
      <w:bookmarkEnd w:id="382"/>
    </w:p>
    <w:p w14:paraId="6179C29E">
      <w:pPr>
        <w:pStyle w:val="4"/>
        <w:spacing w:before="200" w:after="100" w:line="360" w:lineRule="auto"/>
        <w:rPr>
          <w:color w:val="auto"/>
        </w:rPr>
      </w:pPr>
      <w:bookmarkStart w:id="383" w:name="_Toc160"/>
      <w:bookmarkStart w:id="384" w:name="_Toc4490"/>
      <w:r>
        <w:rPr>
          <w:rFonts w:eastAsia="Arial"/>
          <w:color w:val="auto"/>
        </w:rPr>
        <w:t>4. Make Compensation More Fair and Transparent</w:t>
      </w:r>
      <w:bookmarkEnd w:id="383"/>
      <w:bookmarkEnd w:id="384"/>
    </w:p>
    <w:p w14:paraId="17429101">
      <w:pPr>
        <w:pStyle w:val="31"/>
        <w:numPr>
          <w:ilvl w:val="0"/>
          <w:numId w:val="1"/>
        </w:numPr>
        <w:spacing w:before="60" w:after="60" w:line="360" w:lineRule="auto"/>
      </w:pPr>
      <w:r>
        <w:rPr>
          <w:rFonts w:eastAsia="Arial"/>
        </w:rPr>
        <w:t>Commission a professional compensation benchmarking survey through an HR consulting firm. This will provide more accurate and statistically reliable market data than the current internal peer comparisons, helping the company make better-informed decisions about salary adjustments and remain competitive in the labour market.</w:t>
      </w:r>
    </w:p>
    <w:p w14:paraId="711C1959">
      <w:pPr>
        <w:pStyle w:val="31"/>
        <w:numPr>
          <w:ilvl w:val="0"/>
          <w:numId w:val="1"/>
        </w:numPr>
        <w:spacing w:before="60" w:after="60" w:line="360" w:lineRule="auto"/>
      </w:pPr>
      <w:r>
        <w:rPr>
          <w:rFonts w:eastAsia="Arial"/>
        </w:rPr>
        <w:t>Conduct a formal pay equity audit to check whether there are any unjustified pay differences within the organization. This protects the company legally and ethically, and builds employee trust in the fairness of the pay system.</w:t>
      </w:r>
    </w:p>
    <w:p w14:paraId="174257FB">
      <w:pPr>
        <w:pStyle w:val="31"/>
        <w:numPr>
          <w:ilvl w:val="0"/>
          <w:numId w:val="1"/>
        </w:numPr>
        <w:spacing w:before="60" w:after="60" w:line="360" w:lineRule="auto"/>
      </w:pPr>
      <w:r>
        <w:rPr>
          <w:rFonts w:eastAsia="Arial"/>
        </w:rPr>
        <w:t>Consider introducing a flexible benefits program where employees can choose from a menu of supplementary benefits based on their personal needs. For example, a young employee might value extra leave or a transport allowance more than a housing loan. Flexible benefits increase satisfaction without necessarily increasing the total cost.</w:t>
      </w:r>
    </w:p>
    <w:p w14:paraId="3358564F">
      <w:pPr>
        <w:pStyle w:val="31"/>
        <w:numPr>
          <w:ilvl w:val="0"/>
          <w:numId w:val="1"/>
        </w:numPr>
        <w:spacing w:before="60" w:after="60" w:line="360" w:lineRule="auto"/>
      </w:pPr>
      <w:r>
        <w:rPr>
          <w:rFonts w:eastAsia="Arial"/>
        </w:rPr>
        <w:t>Communicate the pay structure clearly to all employees. Tell them what pay grades exist, what the salary ranges are for each grade, and how progression within a grade works. Pay transparency reduces the perception of unfairness and is one of the most effective ways to improve pay satisfaction without changing pay levels.</w:t>
      </w:r>
    </w:p>
    <w:p w14:paraId="030181A6">
      <w:pPr>
        <w:pStyle w:val="4"/>
        <w:spacing w:before="200" w:after="100" w:line="360" w:lineRule="auto"/>
        <w:rPr>
          <w:color w:val="auto"/>
        </w:rPr>
      </w:pPr>
      <w:bookmarkStart w:id="385" w:name="_Toc79"/>
      <w:bookmarkStart w:id="386" w:name="_Toc19232"/>
      <w:r>
        <w:rPr>
          <w:rFonts w:eastAsia="Arial"/>
          <w:color w:val="auto"/>
        </w:rPr>
        <w:t>5. Build a More Engaged Workforce</w:t>
      </w:r>
      <w:bookmarkEnd w:id="385"/>
      <w:bookmarkEnd w:id="386"/>
    </w:p>
    <w:p w14:paraId="4C84BD74">
      <w:pPr>
        <w:pStyle w:val="31"/>
        <w:numPr>
          <w:ilvl w:val="0"/>
          <w:numId w:val="1"/>
        </w:numPr>
        <w:spacing w:before="60" w:after="60" w:line="360" w:lineRule="auto"/>
      </w:pPr>
      <w:r>
        <w:rPr>
          <w:rFonts w:eastAsia="Arial"/>
        </w:rPr>
        <w:t>Introduce a regular employee engagement survey even a short pulse survey of 10-15 questions, conducted twice a year. Use the results to identify the top three things employees are happy about and the top three things they want improved. Then act on the feedback visibly and tell employees what changes were made as a result of their input. This close-the-loop approach is what makes surveys meaningful rather than just a data collection exercise.</w:t>
      </w:r>
    </w:p>
    <w:p w14:paraId="4E2096CC">
      <w:pPr>
        <w:pStyle w:val="31"/>
        <w:numPr>
          <w:ilvl w:val="0"/>
          <w:numId w:val="1"/>
        </w:numPr>
        <w:spacing w:before="60" w:after="60" w:line="360" w:lineRule="auto"/>
      </w:pPr>
      <w:r>
        <w:rPr>
          <w:rFonts w:eastAsia="Arial"/>
        </w:rPr>
        <w:t>Encourage managers to hold regular team meetings where employees can raise concerns and share ideas not just formal HOD escalations when something goes wrong. Upward communication (employees speaking to management) is as important as downward communication (management speaking to employees).</w:t>
      </w:r>
    </w:p>
    <w:p w14:paraId="031BD569">
      <w:pPr>
        <w:pStyle w:val="31"/>
        <w:numPr>
          <w:ilvl w:val="0"/>
          <w:numId w:val="1"/>
        </w:numPr>
        <w:spacing w:before="60" w:after="60" w:line="360" w:lineRule="auto"/>
      </w:pPr>
      <w:r>
        <w:rPr>
          <w:rFonts w:eastAsia="Arial"/>
        </w:rPr>
        <w:t>Invest in creating psychological safety in the workplace an environment where employees feel comfortable speaking up, asking for help, and admitting mistakes without fear. This is one of the strongest predictors of team performance identified in modern HRM research.</w:t>
      </w:r>
    </w:p>
    <w:p w14:paraId="2F85EBAF">
      <w:pPr>
        <w:pStyle w:val="4"/>
        <w:spacing w:before="200" w:after="100" w:line="360" w:lineRule="auto"/>
        <w:rPr>
          <w:color w:val="auto"/>
        </w:rPr>
      </w:pPr>
      <w:bookmarkStart w:id="387" w:name="_Toc26755"/>
      <w:bookmarkStart w:id="388" w:name="_Toc28761"/>
      <w:r>
        <w:rPr>
          <w:rFonts w:eastAsia="Arial"/>
          <w:color w:val="auto"/>
        </w:rPr>
        <w:t>6. Adopt Modern HR Tools and Technology</w:t>
      </w:r>
      <w:bookmarkEnd w:id="387"/>
      <w:bookmarkEnd w:id="388"/>
    </w:p>
    <w:p w14:paraId="732C2349">
      <w:pPr>
        <w:pStyle w:val="31"/>
        <w:numPr>
          <w:ilvl w:val="0"/>
          <w:numId w:val="1"/>
        </w:numPr>
        <w:spacing w:before="60" w:after="60" w:line="360" w:lineRule="auto"/>
      </w:pPr>
      <w:r>
        <w:rPr>
          <w:rFonts w:eastAsia="Arial"/>
        </w:rPr>
        <w:t>Introduce an HR Information System (HRIS) or Applicant Tracking System (ATS) to digitize and centralize recruitment, performance, and training records. This would enable people analytics using HR data to identify patterns, predict risks like employee turnover, and make more evidence-based decisions.</w:t>
      </w:r>
    </w:p>
    <w:p w14:paraId="3983AB5A">
      <w:pPr>
        <w:pStyle w:val="31"/>
        <w:numPr>
          <w:ilvl w:val="0"/>
          <w:numId w:val="1"/>
        </w:numPr>
        <w:spacing w:before="60" w:after="60" w:line="360" w:lineRule="auto"/>
      </w:pPr>
      <w:r>
        <w:rPr>
          <w:rFonts w:eastAsia="Arial"/>
        </w:rPr>
        <w:t>Explore AI-powered CV screening tools for high-volume junior-level recruitment. These tools can process large numbers of applications quickly and objectively, freeing up the HR team for higher-value activities like interviewing and candidate relationship management.</w:t>
      </w:r>
    </w:p>
    <w:p w14:paraId="573903D7">
      <w:pPr>
        <w:pStyle w:val="31"/>
        <w:numPr>
          <w:ilvl w:val="0"/>
          <w:numId w:val="1"/>
        </w:numPr>
        <w:spacing w:before="60" w:after="60" w:line="360" w:lineRule="auto"/>
      </w:pPr>
      <w:r>
        <w:rPr>
          <w:rFonts w:eastAsia="Arial"/>
        </w:rPr>
        <w:t>Consider a digital performance management platform that allows managers and employees to track KPI progress in real time, record feedback conversations, and document development goals throughout the year. This would provide the technical foundation for moving from annual to continuous performance management.</w:t>
      </w:r>
    </w:p>
    <w:p w14:paraId="69653CB1">
      <w:pPr>
        <w:pStyle w:val="4"/>
        <w:spacing w:line="360" w:lineRule="auto"/>
      </w:pPr>
      <w:bookmarkStart w:id="389" w:name="_Toc6094"/>
      <w:bookmarkStart w:id="390" w:name="_Toc13807"/>
      <w:r>
        <w:t>Strategies for Long-Term HR Effectiveness</w:t>
      </w:r>
      <w:bookmarkEnd w:id="389"/>
      <w:bookmarkEnd w:id="390"/>
    </w:p>
    <w:p w14:paraId="34637EB0">
      <w:pPr>
        <w:pStyle w:val="4"/>
        <w:spacing w:before="200" w:after="100" w:line="360" w:lineRule="auto"/>
        <w:rPr>
          <w:color w:val="auto"/>
        </w:rPr>
      </w:pPr>
      <w:bookmarkStart w:id="391" w:name="_Toc486"/>
      <w:bookmarkStart w:id="392" w:name="_Toc15128"/>
      <w:r>
        <w:rPr>
          <w:rFonts w:eastAsia="Arial"/>
          <w:color w:val="auto"/>
        </w:rPr>
        <w:t>Make Learning a Daily Habit, Not an Annual Event</w:t>
      </w:r>
      <w:bookmarkEnd w:id="391"/>
      <w:bookmarkEnd w:id="392"/>
    </w:p>
    <w:p w14:paraId="4A3D909E">
      <w:pPr>
        <w:spacing w:before="80" w:after="120" w:line="360" w:lineRule="auto"/>
        <w:jc w:val="both"/>
      </w:pPr>
      <w:r>
        <w:rPr>
          <w:rFonts w:eastAsia="Arial"/>
        </w:rPr>
        <w:t>The most effective organizations treat learning and development as something that happens every day in every meeting, every project, every challenge not just during a scheduled training program. Millat Tractors Limited should work toward building a learning culture: one where managers actively coach their teams, where employees are encouraged to try new things and learn from mistakes, and where knowledge is shared openly across departments. This is what organizational learning theorist Peter Senge (1990) called a learning organization and it is increasingly seen as a source of long-term competitive advantage.</w:t>
      </w:r>
    </w:p>
    <w:p w14:paraId="25ED6B2F">
      <w:pPr>
        <w:pStyle w:val="4"/>
        <w:spacing w:before="200" w:after="100" w:line="360" w:lineRule="auto"/>
        <w:rPr>
          <w:color w:val="auto"/>
        </w:rPr>
      </w:pPr>
      <w:bookmarkStart w:id="393" w:name="_Toc3238"/>
      <w:bookmarkStart w:id="394" w:name="_Toc2253"/>
      <w:r>
        <w:rPr>
          <w:rFonts w:eastAsia="Arial"/>
          <w:color w:val="auto"/>
        </w:rPr>
        <w:t>Balance Structure with Human Connection in Performance Management</w:t>
      </w:r>
      <w:bookmarkEnd w:id="393"/>
      <w:bookmarkEnd w:id="394"/>
    </w:p>
    <w:p w14:paraId="6767EA6B">
      <w:pPr>
        <w:spacing w:before="80" w:after="120" w:line="360" w:lineRule="auto"/>
        <w:jc w:val="both"/>
      </w:pPr>
      <w:r>
        <w:rPr>
          <w:rFonts w:eastAsia="Arial"/>
        </w:rPr>
        <w:t>The KPI framework at Millat Tractors Limited provides important structure and objectivity. But performance management should not feel like a bureaucratic exercise it should feel like a genuine conversation between a manager and an employee about how things are going and how they can get even better. The company should work toward a model like Adobe's check-in system, where structured but regular conversations replace the once-a-year formal review. The goal is to make performance conversations normal, helpful, and frequent — not occasional, stressful, and high-stakes.</w:t>
      </w:r>
    </w:p>
    <w:p w14:paraId="04C6FE8C">
      <w:pPr>
        <w:pStyle w:val="4"/>
        <w:spacing w:before="200" w:after="100" w:line="360" w:lineRule="auto"/>
        <w:rPr>
          <w:color w:val="auto"/>
        </w:rPr>
      </w:pPr>
      <w:bookmarkStart w:id="395" w:name="_Toc11088"/>
      <w:bookmarkStart w:id="396" w:name="_Toc15995"/>
      <w:r>
        <w:rPr>
          <w:rFonts w:eastAsia="Arial"/>
          <w:color w:val="auto"/>
        </w:rPr>
        <w:t>Move from Compliance to Commitment in Employee Relations</w:t>
      </w:r>
      <w:bookmarkEnd w:id="395"/>
      <w:bookmarkEnd w:id="396"/>
    </w:p>
    <w:p w14:paraId="1E0424B3">
      <w:pPr>
        <w:spacing w:before="80" w:after="120" w:line="360" w:lineRule="auto"/>
        <w:jc w:val="both"/>
      </w:pPr>
      <w:r>
        <w:rPr>
          <w:rFonts w:eastAsia="Arial"/>
        </w:rPr>
        <w:t>Right now, Millat Tractors Limited's employee relations approach is largely about compliance following the rules, handling grievances, and meeting legal requirements. These are all necessary, but they are not sufficient to build the kind of committed, engaged workforce that drives high performance. The company should aspire to move from compliance (employees do what they are told) to commitment (employees genuinely want the organization to succeed). This transition requires investing in listening, recognition, development, and trust</w:t>
      </w:r>
      <w:r>
        <w:rPr>
          <w:rFonts w:eastAsia="Arial"/>
          <w:lang w:val="en-US"/>
        </w:rPr>
        <w:t xml:space="preserve">, </w:t>
      </w:r>
      <w:r>
        <w:rPr>
          <w:rFonts w:eastAsia="Arial"/>
        </w:rPr>
        <w:t>the soft but powerful drivers of employee engagement that no compliance checklist can create.</w:t>
      </w:r>
    </w:p>
    <w:p w14:paraId="100CD08A">
      <w:pPr>
        <w:pStyle w:val="3"/>
        <w:jc w:val="center"/>
      </w:pPr>
      <w:bookmarkStart w:id="397" w:name="_Toc16184"/>
      <w:bookmarkStart w:id="398" w:name="_Toc21656"/>
      <w:bookmarkStart w:id="399" w:name="_Toc30544"/>
      <w:bookmarkStart w:id="400" w:name="_Toc27441"/>
      <w:bookmarkStart w:id="401" w:name="_Toc18524"/>
      <w:r>
        <w:t>4.7  Conclusion</w:t>
      </w:r>
      <w:bookmarkEnd w:id="397"/>
      <w:bookmarkEnd w:id="398"/>
      <w:bookmarkEnd w:id="399"/>
      <w:bookmarkEnd w:id="400"/>
      <w:bookmarkEnd w:id="401"/>
    </w:p>
    <w:p w14:paraId="4DD18CE5">
      <w:pPr>
        <w:pStyle w:val="18"/>
        <w:spacing w:line="360" w:lineRule="auto"/>
      </w:pPr>
      <w:r>
        <w:t>In conclusion, Millat Tractors Limited has established a strong and structured HR system across all major HR functions, including recruitment, training, compensation, performance management, and employee relations. While the company demonstrates strengths in governance, employee welfare, and organized HR practices, there is still room for improvement through better hiring methods, enhanced training evaluation, regular performance feedback, greater pay transparency, and stronger employee engagement. Overall, the company manages HR effectively, but by adopting more evidence-based HR practices, it can further improve productivity, employee satisfaction, and long-term competitive advantage.</w:t>
      </w:r>
    </w:p>
    <w:p w14:paraId="6FD85F7C">
      <w:pPr>
        <w:spacing w:line="360" w:lineRule="auto"/>
        <w:rPr>
          <w:b/>
          <w:bCs/>
          <w:sz w:val="28"/>
          <w:szCs w:val="28"/>
        </w:rPr>
      </w:pPr>
      <w:bookmarkStart w:id="402" w:name="_Toc21427"/>
      <w:r>
        <w:rPr>
          <w:b/>
          <w:bCs/>
          <w:sz w:val="28"/>
          <w:szCs w:val="28"/>
        </w:rPr>
        <w:t>References</w:t>
      </w:r>
      <w:bookmarkEnd w:id="402"/>
    </w:p>
    <w:p w14:paraId="74D1EBED">
      <w:pPr>
        <w:spacing w:before="60" w:after="6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Millat Tractors Limited. (2026). Official website. </w:t>
      </w:r>
      <w:r>
        <w:fldChar w:fldCharType="begin"/>
      </w:r>
      <w:r>
        <w:instrText xml:space="preserve"> HYPERLINK "https://www.millat.com.pk" </w:instrText>
      </w:r>
      <w:r>
        <w:fldChar w:fldCharType="separate"/>
      </w:r>
      <w:r>
        <w:rPr>
          <w:rStyle w:val="17"/>
          <w:color w:val="000000" w:themeColor="text1"/>
          <w14:textFill>
            <w14:solidFill>
              <w14:schemeClr w14:val="tx1"/>
            </w14:solidFill>
          </w14:textFill>
        </w:rPr>
        <w:t>https://www.millat.com.pk</w:t>
      </w:r>
      <w:r>
        <w:rPr>
          <w:rStyle w:val="17"/>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p>
    <w:p w14:paraId="140925A5">
      <w:pPr>
        <w:spacing w:before="60" w:after="6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Millat Tractors Limited. (2024). Annual Report 2024 (61st AGM, October 18, 2024). </w:t>
      </w:r>
      <w:r>
        <w:fldChar w:fldCharType="begin"/>
      </w:r>
      <w:r>
        <w:instrText xml:space="preserve"> HYPERLINK "https://www.millat.com.pk/investors/annual-reports/" </w:instrText>
      </w:r>
      <w:r>
        <w:fldChar w:fldCharType="separate"/>
      </w:r>
      <w:r>
        <w:rPr>
          <w:rStyle w:val="17"/>
          <w:color w:val="000000" w:themeColor="text1"/>
          <w14:textFill>
            <w14:solidFill>
              <w14:schemeClr w14:val="tx1"/>
            </w14:solidFill>
          </w14:textFill>
        </w:rPr>
        <w:t>https://www.millat.com.pk/investors/annual-reports/</w:t>
      </w:r>
      <w:r>
        <w:rPr>
          <w:rStyle w:val="17"/>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p>
    <w:p w14:paraId="5C707C07">
      <w:pPr>
        <w:spacing w:before="60" w:after="6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Millat Tractors Limited. (2025). Annual Report 2025 (62nd AGM, October 24, 2025). </w:t>
      </w:r>
      <w:r>
        <w:fldChar w:fldCharType="begin"/>
      </w:r>
      <w:r>
        <w:instrText xml:space="preserve"> HYPERLINK "https://www.millat.com.pk/investors/annual-reports/" </w:instrText>
      </w:r>
      <w:r>
        <w:fldChar w:fldCharType="separate"/>
      </w:r>
      <w:r>
        <w:rPr>
          <w:rStyle w:val="17"/>
          <w:color w:val="000000" w:themeColor="text1"/>
          <w14:textFill>
            <w14:solidFill>
              <w14:schemeClr w14:val="tx1"/>
            </w14:solidFill>
          </w14:textFill>
        </w:rPr>
        <w:t>https://www.millat.com.pk/investors/annual-reports/</w:t>
      </w:r>
      <w:r>
        <w:rPr>
          <w:rStyle w:val="17"/>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p>
    <w:p w14:paraId="2BD4DFE9">
      <w:pPr>
        <w:spacing w:before="60" w:after="6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Wikipedia. (2026). Millat Tractors. </w:t>
      </w:r>
      <w:r>
        <w:fldChar w:fldCharType="begin"/>
      </w:r>
      <w:r>
        <w:instrText xml:space="preserve"> HYPERLINK "https://en.wikipedia.org/wiki/Millat_Tractors" </w:instrText>
      </w:r>
      <w:r>
        <w:fldChar w:fldCharType="separate"/>
      </w:r>
      <w:r>
        <w:rPr>
          <w:rStyle w:val="17"/>
          <w:color w:val="000000" w:themeColor="text1"/>
          <w14:textFill>
            <w14:solidFill>
              <w14:schemeClr w14:val="tx1"/>
            </w14:solidFill>
          </w14:textFill>
        </w:rPr>
        <w:t>https://en.wikipedia.org/wiki/Millat_Tractors</w:t>
      </w:r>
      <w:r>
        <w:rPr>
          <w:rStyle w:val="17"/>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p>
    <w:p w14:paraId="570B6AC2">
      <w:pPr>
        <w:spacing w:before="60" w:after="6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Business Recorder – BR Research. (2025, November). Millat Tractors Limited: Performance and future outlook. </w:t>
      </w:r>
      <w:r>
        <w:fldChar w:fldCharType="begin"/>
      </w:r>
      <w:r>
        <w:instrText xml:space="preserve"> HYPERLINK "https://www.brecorder.com/news/40390561" </w:instrText>
      </w:r>
      <w:r>
        <w:fldChar w:fldCharType="separate"/>
      </w:r>
      <w:r>
        <w:rPr>
          <w:rStyle w:val="17"/>
          <w:color w:val="000000" w:themeColor="text1"/>
          <w14:textFill>
            <w14:solidFill>
              <w14:schemeClr w14:val="tx1"/>
            </w14:solidFill>
          </w14:textFill>
        </w:rPr>
        <w:t>https://www.brecorder.com/news/40390561</w:t>
      </w:r>
      <w:r>
        <w:rPr>
          <w:rStyle w:val="17"/>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p>
    <w:p w14:paraId="37750FB1">
      <w:pPr>
        <w:spacing w:before="60" w:after="6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Business Recorder – BR Research. (2024, October). Millat Tractors Limited. </w:t>
      </w:r>
      <w:r>
        <w:fldChar w:fldCharType="begin"/>
      </w:r>
      <w:r>
        <w:instrText xml:space="preserve"> HYPERLINK "https://www.brecorder.com/news/40326019" </w:instrText>
      </w:r>
      <w:r>
        <w:fldChar w:fldCharType="separate"/>
      </w:r>
      <w:r>
        <w:rPr>
          <w:rStyle w:val="17"/>
          <w:color w:val="000000" w:themeColor="text1"/>
          <w14:textFill>
            <w14:solidFill>
              <w14:schemeClr w14:val="tx1"/>
            </w14:solidFill>
          </w14:textFill>
        </w:rPr>
        <w:t>https://www.brecorder.com/news/40326019</w:t>
      </w:r>
      <w:r>
        <w:rPr>
          <w:rStyle w:val="17"/>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p>
    <w:p w14:paraId="53F9EE99">
      <w:pPr>
        <w:spacing w:before="60" w:after="6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Pakistan Stock Exchange. (2026). MTL</w:t>
      </w:r>
      <w:r>
        <w:rPr>
          <w:color w:val="000000" w:themeColor="text1"/>
          <w:lang w:val="en-US"/>
          <w14:textFill>
            <w14:solidFill>
              <w14:schemeClr w14:val="tx1"/>
            </w14:solidFill>
          </w14:textFill>
        </w:rPr>
        <w:t xml:space="preserve"> </w:t>
      </w:r>
      <w:r>
        <w:rPr>
          <w:color w:val="000000" w:themeColor="text1"/>
          <w14:textFill>
            <w14:solidFill>
              <w14:schemeClr w14:val="tx1"/>
            </w14:solidFill>
          </w14:textFill>
        </w:rPr>
        <w:t xml:space="preserve">Millat Tractors Limited. </w:t>
      </w:r>
      <w:r>
        <w:fldChar w:fldCharType="begin"/>
      </w:r>
      <w:r>
        <w:instrText xml:space="preserve"> HYPERLINK "https://dps.psx.com.pk/company/MTL" </w:instrText>
      </w:r>
      <w:r>
        <w:fldChar w:fldCharType="separate"/>
      </w:r>
      <w:r>
        <w:rPr>
          <w:rStyle w:val="17"/>
          <w:color w:val="000000" w:themeColor="text1"/>
          <w14:textFill>
            <w14:solidFill>
              <w14:schemeClr w14:val="tx1"/>
            </w14:solidFill>
          </w14:textFill>
        </w:rPr>
        <w:t>https://dps.psx.com.pk/company/MTL</w:t>
      </w:r>
      <w:r>
        <w:rPr>
          <w:rStyle w:val="17"/>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p>
    <w:p w14:paraId="6D11E283">
      <w:pPr>
        <w:spacing w:before="60" w:after="6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MarketScreener. (2024). Millat Tractors: Annual report transmission — year ended 30/06/2024. </w:t>
      </w:r>
      <w:r>
        <w:fldChar w:fldCharType="begin"/>
      </w:r>
      <w:r>
        <w:instrText xml:space="preserve"> HYPERLINK "https://www.marketscreener.com/quote/stock/MILLAT-TRACTORS-LIMITED-6496707/" </w:instrText>
      </w:r>
      <w:r>
        <w:fldChar w:fldCharType="separate"/>
      </w:r>
      <w:r>
        <w:rPr>
          <w:rStyle w:val="17"/>
          <w:color w:val="000000" w:themeColor="text1"/>
          <w14:textFill>
            <w14:solidFill>
              <w14:schemeClr w14:val="tx1"/>
            </w14:solidFill>
          </w14:textFill>
        </w:rPr>
        <w:t>https://www.marketscreener.com/quote/stock/MILLAT-TRACTORS-LIMITED-6496707/</w:t>
      </w:r>
      <w:r>
        <w:rPr>
          <w:rStyle w:val="17"/>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p>
    <w:p w14:paraId="5503807C">
      <w:pPr>
        <w:spacing w:before="60" w:after="6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SlideShare. (2019). Millat Tractors Limited: Corporate governance. </w:t>
      </w:r>
      <w:r>
        <w:fldChar w:fldCharType="begin"/>
      </w:r>
      <w:r>
        <w:instrText xml:space="preserve"> HYPERLINK "https://www.slideshare.net/slideshow/millat-tractors-limited-corporate-governance-136351458" </w:instrText>
      </w:r>
      <w:r>
        <w:fldChar w:fldCharType="separate"/>
      </w:r>
      <w:r>
        <w:rPr>
          <w:rStyle w:val="17"/>
          <w:color w:val="000000" w:themeColor="text1"/>
          <w14:textFill>
            <w14:solidFill>
              <w14:schemeClr w14:val="tx1"/>
            </w14:solidFill>
          </w14:textFill>
        </w:rPr>
        <w:t>https://www.slideshare.net/slideshow/millat-tractors-limited-corporate-governance-136351458</w:t>
      </w:r>
      <w:r>
        <w:rPr>
          <w:rStyle w:val="17"/>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w:t>
      </w:r>
    </w:p>
    <w:p w14:paraId="29A00F79">
      <w:pPr>
        <w:spacing w:before="60" w:after="6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Armstrong, M., &amp; Taylor, S. (2020). Armstrong's handbook of human resource management practice (15th ed.). Kogan Page.</w:t>
      </w:r>
    </w:p>
    <w:p w14:paraId="57AF1449">
      <w:pPr>
        <w:spacing w:before="60" w:after="6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Dessler, G. (2020). Human resource management (16th ed.). Pearson Education.</w:t>
      </w:r>
    </w:p>
    <w:p w14:paraId="36B29B82">
      <w:pPr>
        <w:spacing w:before="60" w:after="6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Noe, R. A., Hollenbeck, J. R., Gerhart, B., &amp; Wright, P. M. (2021). Human resource management: Gaining a competitive advantage (12th ed.). McGraw-Hill Education. </w:t>
      </w:r>
    </w:p>
    <w:p w14:paraId="0C00BA73">
      <w:pPr>
        <w:spacing w:after="120" w:line="360" w:lineRule="auto"/>
        <w:ind w:left="720" w:hanging="720"/>
        <w:jc w:val="both"/>
      </w:pPr>
      <w:r>
        <w:t>Acemoglu, D., Aghion, P., &amp; Violante, G. L. (2022). Deunionization, technical change and inequality. Carnegie-Rochester Conference Series on Public Policy, 55(1), 229–264.</w:t>
      </w:r>
    </w:p>
    <w:p w14:paraId="30D60E33">
      <w:pPr>
        <w:spacing w:after="120" w:line="360" w:lineRule="auto"/>
        <w:ind w:left="720" w:hanging="720"/>
        <w:jc w:val="both"/>
      </w:pPr>
      <w:r>
        <w:t>Adams, J. S. (1965). Inequity in social exchange. Advances in Experimental Social Psychology, 2, 267–299.</w:t>
      </w:r>
    </w:p>
    <w:p w14:paraId="3EE51370">
      <w:pPr>
        <w:spacing w:after="120" w:line="360" w:lineRule="auto"/>
        <w:ind w:left="720" w:hanging="720"/>
        <w:jc w:val="both"/>
      </w:pPr>
      <w:r>
        <w:t>Aguinis, H. (2023). Performance management (5th ed.). Chicago Business Press.</w:t>
      </w:r>
    </w:p>
    <w:p w14:paraId="7118F3C6">
      <w:pPr>
        <w:spacing w:after="120" w:line="360" w:lineRule="auto"/>
        <w:ind w:left="720" w:hanging="720"/>
        <w:jc w:val="both"/>
      </w:pPr>
      <w:r>
        <w:t>Aguinis, H., &amp; Kraiger, K. (2009). Benefits of training and development for individuals and teams, organizations, and society. Annual Review of Psychology, 60(1), 451–474. https://doi.org/10.1146/annurev.psych.60.110707.163505</w:t>
      </w:r>
    </w:p>
    <w:p w14:paraId="3326EC3C">
      <w:pPr>
        <w:spacing w:after="120" w:line="360" w:lineRule="auto"/>
        <w:ind w:left="720" w:hanging="720"/>
        <w:jc w:val="both"/>
      </w:pPr>
      <w:r>
        <w:t>Armstrong, M., &amp; Taylor, S. (2020). Armstrong's handbook of human resource management practice (15th ed.). Kogan Page.</w:t>
      </w:r>
    </w:p>
    <w:p w14:paraId="53702557">
      <w:pPr>
        <w:spacing w:after="120" w:line="360" w:lineRule="auto"/>
        <w:ind w:left="720" w:hanging="720"/>
        <w:jc w:val="both"/>
      </w:pPr>
      <w:r>
        <w:t>Backhaus, K., &amp; Tikoo, S. (2004). Conceptualizing and researching employer branding. Career Development International, 9(5), 501–517.</w:t>
      </w:r>
    </w:p>
    <w:p w14:paraId="77631F39">
      <w:pPr>
        <w:spacing w:after="120" w:line="360" w:lineRule="auto"/>
        <w:ind w:left="720" w:hanging="720"/>
        <w:jc w:val="both"/>
      </w:pPr>
      <w:r>
        <w:t>Bakker, A. B., &amp; Schaufeli, W. B. (2020). Work engagement. In S. Zedeck (Ed.), APA handbook of industrial and organizational psychology (Vol. 3, pp. 187–216). American Psychological Association.</w:t>
      </w:r>
    </w:p>
    <w:p w14:paraId="6AAC32B9">
      <w:pPr>
        <w:spacing w:after="120" w:line="360" w:lineRule="auto"/>
        <w:ind w:left="720" w:hanging="720"/>
        <w:jc w:val="both"/>
      </w:pPr>
      <w:r>
        <w:t>Bandura, A. (1977). Social learning theory. Prentice Hall.</w:t>
      </w:r>
    </w:p>
    <w:p w14:paraId="00E7DC93">
      <w:pPr>
        <w:spacing w:after="120" w:line="360" w:lineRule="auto"/>
        <w:ind w:left="720" w:hanging="720"/>
        <w:jc w:val="both"/>
      </w:pPr>
      <w:r>
        <w:t>Blau, F. D., &amp; Kahn, L. M. (2017). The gender wage gap: Extent, trends, and explanations. Journal of Economic Literature, 55(3), 789–865.</w:t>
      </w:r>
    </w:p>
    <w:p w14:paraId="2F8D44C8">
      <w:pPr>
        <w:spacing w:after="120" w:line="360" w:lineRule="auto"/>
        <w:ind w:left="720" w:hanging="720"/>
        <w:jc w:val="both"/>
      </w:pPr>
      <w:r>
        <w:t>Blume, B. D., Ford, J. K., Surface, E. A., &amp; Olenick, J. (2019). A dynamic model of training transfer. Human Resource Management Review, 29(2), 270–283.</w:t>
      </w:r>
    </w:p>
    <w:p w14:paraId="4B7A28FE">
      <w:pPr>
        <w:spacing w:after="120" w:line="360" w:lineRule="auto"/>
        <w:ind w:left="720" w:hanging="720"/>
        <w:jc w:val="both"/>
      </w:pPr>
      <w:r>
        <w:t>Brown, M., Setren, E., &amp; Topa, G. (2021). Do informal referrals lead to better matches? Evidence from a firm's employee referral system. Journal of Labor Economics, 34(1), 161–209.</w:t>
      </w:r>
    </w:p>
    <w:p w14:paraId="3B95C9DF">
      <w:pPr>
        <w:spacing w:after="120" w:line="360" w:lineRule="auto"/>
        <w:ind w:left="720" w:hanging="720"/>
        <w:jc w:val="both"/>
      </w:pPr>
      <w:r>
        <w:t>Cappelli, P., &amp; Tavis, A. (2016, October). The performance management revolution. Harvard Business Review, 94(10), 58–67.</w:t>
      </w:r>
    </w:p>
    <w:p w14:paraId="02D23555">
      <w:pPr>
        <w:spacing w:after="120" w:line="360" w:lineRule="auto"/>
        <w:ind w:left="720" w:hanging="720"/>
        <w:jc w:val="both"/>
      </w:pPr>
      <w:r>
        <w:t>Dastin, J. (2022, October 11). Amazon scraps secret AI recruiting tool that showed bias against women. Reuters. https://www.reuters.com/article/us-amazon-com-jobs-automation-insight-idUSKCN1MK08G</w:t>
      </w:r>
    </w:p>
    <w:p w14:paraId="417C795E">
      <w:pPr>
        <w:spacing w:after="120" w:line="360" w:lineRule="auto"/>
        <w:ind w:left="720" w:hanging="720"/>
        <w:jc w:val="both"/>
      </w:pPr>
      <w:r>
        <w:t>Dessler, G. (2020). Human resource management (16th ed.). Pearson Education.</w:t>
      </w:r>
    </w:p>
    <w:p w14:paraId="7C61A0C2">
      <w:pPr>
        <w:spacing w:after="120" w:line="360" w:lineRule="auto"/>
        <w:ind w:left="720" w:hanging="720"/>
        <w:jc w:val="both"/>
      </w:pPr>
      <w:r>
        <w:t>Doucouliagos, C., &amp; Laroche, P. (2023). Unions and productivity: A meta-analytic review. British Journal of Industrial Relations, 61(1), 4–29.</w:t>
      </w:r>
    </w:p>
    <w:p w14:paraId="1485A2CB">
      <w:pPr>
        <w:spacing w:after="120" w:line="360" w:lineRule="auto"/>
        <w:ind w:left="720" w:hanging="720"/>
        <w:jc w:val="both"/>
      </w:pPr>
      <w:r>
        <w:t>Drucker, P. F. (1954). The practice of management. Harper &amp; Row.</w:t>
      </w:r>
    </w:p>
    <w:p w14:paraId="6D4E9A17">
      <w:pPr>
        <w:spacing w:after="120" w:line="360" w:lineRule="auto"/>
        <w:ind w:left="720" w:hanging="720"/>
        <w:jc w:val="both"/>
      </w:pPr>
      <w:r>
        <w:t>Fox, A. (1974). Beyond contract: Work, power and trust relations. Faber.</w:t>
      </w:r>
    </w:p>
    <w:p w14:paraId="2767F5F6">
      <w:pPr>
        <w:spacing w:after="120" w:line="360" w:lineRule="auto"/>
        <w:ind w:left="720" w:hanging="720"/>
        <w:jc w:val="both"/>
      </w:pPr>
      <w:r>
        <w:t>Gallup. (2023). State of the global workplace: 2023 report. Gallup Press.</w:t>
      </w:r>
    </w:p>
    <w:p w14:paraId="5258ABE0">
      <w:pPr>
        <w:spacing w:after="120" w:line="360" w:lineRule="auto"/>
        <w:ind w:left="720" w:hanging="720"/>
        <w:jc w:val="both"/>
      </w:pPr>
      <w:r>
        <w:t>Gerhart, B., &amp; Fang, M. (2014). Pay for (individual) performance: Issues, claims, evidence and the role of sorting effects. Human Resource Management Review, 24(1), 41–52.</w:t>
      </w:r>
    </w:p>
    <w:p w14:paraId="5723116A">
      <w:pPr>
        <w:spacing w:after="120" w:line="360" w:lineRule="auto"/>
        <w:ind w:left="720" w:hanging="720"/>
        <w:jc w:val="both"/>
      </w:pPr>
      <w:r>
        <w:t>Hausknecht, J. P., Rodda, J., &amp; Howard, M. J. (2009). Targeted employee retention: Performance-based and job-related differences in reported reasons for staying. Human Resource Management, 48(2), 269–288.</w:t>
      </w:r>
    </w:p>
    <w:p w14:paraId="0D83DC21">
      <w:pPr>
        <w:spacing w:after="120" w:line="360" w:lineRule="auto"/>
        <w:ind w:left="720" w:hanging="720"/>
        <w:jc w:val="both"/>
      </w:pPr>
      <w:r>
        <w:t>Herzberg, F. (1959). The motivation to work. Wiley.</w:t>
      </w:r>
    </w:p>
    <w:p w14:paraId="404EB0C1">
      <w:pPr>
        <w:spacing w:after="120" w:line="360" w:lineRule="auto"/>
        <w:ind w:left="720" w:hanging="720"/>
        <w:jc w:val="both"/>
      </w:pPr>
      <w:r>
        <w:t>Highhouse, S. (2008). Stubborn reliance on intuition and subjectivity in employee selection. Industrial and Organizational Psychology, 1(3), 333–342.</w:t>
      </w:r>
    </w:p>
    <w:p w14:paraId="0BDF1B9F">
      <w:pPr>
        <w:spacing w:after="120" w:line="360" w:lineRule="auto"/>
        <w:ind w:left="720" w:hanging="720"/>
        <w:jc w:val="both"/>
      </w:pPr>
      <w:r>
        <w:t>IBM Institute for Business Value. (2021). The enterprise guide to closing the skills gap: Strategies for building and maintaining a skilled workforce. IBM Corporation.</w:t>
      </w:r>
    </w:p>
    <w:p w14:paraId="738B14D1">
      <w:pPr>
        <w:spacing w:after="120" w:line="360" w:lineRule="auto"/>
        <w:ind w:left="720" w:hanging="720"/>
        <w:jc w:val="both"/>
      </w:pPr>
      <w:r>
        <w:t>Jiang, K., &amp; Ployhart, R. E. (2023). Recruitment and employer branding: Theory, research and practice. Annual Review of Organizational Psychology and Organizational Behavior, 10, 211–239.</w:t>
      </w:r>
    </w:p>
    <w:p w14:paraId="7A2D8699">
      <w:pPr>
        <w:spacing w:after="120" w:line="360" w:lineRule="auto"/>
        <w:ind w:left="720" w:hanging="720"/>
        <w:jc w:val="both"/>
      </w:pPr>
      <w:r>
        <w:t>Katz, D., &amp; Khan, R. L. (1966). The social psychology of organizations. Wiley.</w:t>
      </w:r>
    </w:p>
    <w:p w14:paraId="6229C814">
      <w:pPr>
        <w:spacing w:after="120" w:line="360" w:lineRule="auto"/>
        <w:ind w:left="720" w:hanging="720"/>
        <w:jc w:val="both"/>
      </w:pPr>
      <w:r>
        <w:t>Kirkpatrick, D. L. (1959). Techniques for evaluating training programs. Journal of the American Society of Training Directors, 13(11), 3–9.</w:t>
      </w:r>
    </w:p>
    <w:p w14:paraId="7D18D920">
      <w:pPr>
        <w:spacing w:after="120" w:line="360" w:lineRule="auto"/>
        <w:ind w:left="720" w:hanging="720"/>
        <w:jc w:val="both"/>
      </w:pPr>
      <w:r>
        <w:t>Knowles, M. S. (1984). The adult learner: A neglected species (3rd ed.). Gulf Publishing.</w:t>
      </w:r>
    </w:p>
    <w:p w14:paraId="5F082134">
      <w:pPr>
        <w:spacing w:after="120" w:line="360" w:lineRule="auto"/>
        <w:ind w:left="720" w:hanging="720"/>
        <w:jc w:val="both"/>
      </w:pPr>
      <w:r>
        <w:t>Kolb, D. A. (1984). Experiential learning: Experience as the source of learning and development. Prentice Hall.</w:t>
      </w:r>
    </w:p>
    <w:p w14:paraId="3CD88F28">
      <w:pPr>
        <w:spacing w:after="120" w:line="360" w:lineRule="auto"/>
        <w:ind w:left="720" w:hanging="720"/>
        <w:jc w:val="both"/>
      </w:pPr>
      <w:r>
        <w:t>Landers, R. N., Tran, T. N. H., &amp; Tippins, N. T. (2023). AI, selection, and the glass ceiling. Annual Review of Organizational Psychology and Organizational Behavior, 10, 327–352.</w:t>
      </w:r>
    </w:p>
    <w:p w14:paraId="543AF000">
      <w:pPr>
        <w:spacing w:after="120" w:line="360" w:lineRule="auto"/>
        <w:ind w:left="720" w:hanging="720"/>
        <w:jc w:val="both"/>
      </w:pPr>
      <w:r>
        <w:t>Locke, E. A., &amp; Latham, G. P. (2002). Building a practically useful theory of goal setting and task motivation. American Psychologist, 57(9), 705–717.</w:t>
      </w:r>
    </w:p>
    <w:p w14:paraId="2E8D7315">
      <w:pPr>
        <w:spacing w:after="120" w:line="360" w:lineRule="auto"/>
        <w:ind w:left="720" w:hanging="720"/>
        <w:jc w:val="both"/>
      </w:pPr>
      <w:r>
        <w:t>Mathis, R. L., &amp; Jackson, J. H. (2019). Human resource management (15th ed.). Cengage Learning.</w:t>
      </w:r>
    </w:p>
    <w:p w14:paraId="4CCB2496">
      <w:pPr>
        <w:spacing w:after="120" w:line="360" w:lineRule="auto"/>
        <w:ind w:left="720" w:hanging="720"/>
        <w:jc w:val="both"/>
      </w:pPr>
      <w:r>
        <w:t>Milkovich, G. T., Newman, J. M., &amp; Gerhart, B. (2020). Compensation (13th ed.). McGraw-Hill Education.</w:t>
      </w:r>
    </w:p>
    <w:p w14:paraId="1A27681E">
      <w:pPr>
        <w:spacing w:after="120" w:line="360" w:lineRule="auto"/>
        <w:ind w:left="720" w:hanging="720"/>
        <w:jc w:val="both"/>
      </w:pPr>
      <w:r>
        <w:t>Mincy, R., Neal, D., &amp; Turner, S. (2021). Race and the labor market. Journal of Economic Perspectives, 35(2), 3–26.</w:t>
      </w:r>
    </w:p>
    <w:p w14:paraId="6C698401">
      <w:pPr>
        <w:spacing w:after="120" w:line="360" w:lineRule="auto"/>
        <w:ind w:left="720" w:hanging="720"/>
        <w:jc w:val="both"/>
      </w:pPr>
      <w:r>
        <w:t>Morris, T. H. (2020). Experiential learning — a systematic review and revision of Kolb's model. Interactive Learning Environments, 28(8), 1064–1077.</w:t>
      </w:r>
    </w:p>
    <w:p w14:paraId="17ACA9A3">
      <w:pPr>
        <w:spacing w:after="120" w:line="360" w:lineRule="auto"/>
        <w:ind w:left="720" w:hanging="720"/>
        <w:jc w:val="both"/>
      </w:pPr>
      <w:r>
        <w:t>Mosley, R. (2015). CEOs need to pay attention to employer branding. Harvard Business Review. https://hbr.org/2015/05/ceos-need-to-pay-attention-to-employer-branding</w:t>
      </w:r>
    </w:p>
    <w:p w14:paraId="1E56D76C">
      <w:pPr>
        <w:spacing w:after="120" w:line="360" w:lineRule="auto"/>
        <w:ind w:left="720" w:hanging="720"/>
        <w:jc w:val="both"/>
      </w:pPr>
      <w:r>
        <w:t>Nadella, S. (2017). Hit refresh: The quest to rediscover Microsoft's soul and imagine a better future for everyone. HarperBusiness.</w:t>
      </w:r>
    </w:p>
    <w:p w14:paraId="73F378D2">
      <w:pPr>
        <w:spacing w:after="120" w:line="360" w:lineRule="auto"/>
        <w:ind w:left="720" w:hanging="720"/>
        <w:jc w:val="both"/>
      </w:pPr>
      <w:r>
        <w:t>Noe, R. A., Hollenbeck, J. R., Gerhart, B., &amp; Wright, P. M. (2021). Human resource management: Gaining a competitive advantage (13th ed.). McGraw-Hill Education.</w:t>
      </w:r>
    </w:p>
    <w:p w14:paraId="67492E2B">
      <w:pPr>
        <w:spacing w:after="120" w:line="360" w:lineRule="auto"/>
        <w:ind w:left="720" w:hanging="720"/>
        <w:jc w:val="both"/>
      </w:pPr>
      <w:r>
        <w:t>Pitts, D. W., Marvel, J., &amp; Fernandez, S. (2023). So hard to say goodbye? Turnover intention among U.S. federal employees. Public Administration Review, 71(4), 751–760.</w:t>
      </w:r>
    </w:p>
    <w:p w14:paraId="0A5153B4">
      <w:pPr>
        <w:spacing w:after="120" w:line="360" w:lineRule="auto"/>
        <w:ind w:left="720" w:hanging="720"/>
        <w:jc w:val="both"/>
      </w:pPr>
      <w:r>
        <w:t>Pulakos, E. D., &amp; O'Leary, R. S. (2019). Why is performance management broken? Industrial and Organizational Psychology, 4(2), 146–164.</w:t>
      </w:r>
    </w:p>
    <w:p w14:paraId="5A5C2E6D">
      <w:pPr>
        <w:spacing w:after="120" w:line="360" w:lineRule="auto"/>
        <w:ind w:left="720" w:hanging="720"/>
        <w:jc w:val="both"/>
      </w:pPr>
      <w:r>
        <w:t>Rousseau, D. M. (1989). Psychological and implied contracts in organizations. Employee Responsibilities and Rights Journal, 2(2), 121–139.</w:t>
      </w:r>
    </w:p>
    <w:p w14:paraId="1E8DD461">
      <w:pPr>
        <w:spacing w:after="120" w:line="360" w:lineRule="auto"/>
        <w:ind w:left="720" w:hanging="720"/>
        <w:jc w:val="both"/>
      </w:pPr>
      <w:r>
        <w:t>Sackett, P. R., Zhang, C., Berry, C. M., &amp; Lievens, F. (2022). Revisiting meta-analytic estimates of validity in personnel selection: Addressing systematic overcorrection for restriction of range. Journal of Applied Psychology, 107(11), 2040–2068.</w:t>
      </w:r>
    </w:p>
    <w:p w14:paraId="46EC21B8">
      <w:pPr>
        <w:spacing w:after="120" w:line="360" w:lineRule="auto"/>
        <w:ind w:left="720" w:hanging="720"/>
        <w:jc w:val="both"/>
      </w:pPr>
      <w:r>
        <w:t>Salas, E., Tannenbaum, S. I., Kraiger, K., &amp; Smith-Jentsch, K. A. (2020). The science of training and development in organizations: What matters in practice. Psychological Science in the Public Interest, 13(2), 74–101.</w:t>
      </w:r>
    </w:p>
    <w:p w14:paraId="0AEE4F90">
      <w:pPr>
        <w:spacing w:after="120" w:line="360" w:lineRule="auto"/>
        <w:ind w:left="720" w:hanging="720"/>
        <w:jc w:val="both"/>
      </w:pPr>
      <w:r>
        <w:t>Schaufeli, W. B., &amp; Bakker, A. B. (2004). Job demands, job resources, and their relationship with burnout and engagement: A multi-sample study. Journal of Organizational Behavior, 25(3), 293–315.</w:t>
      </w:r>
    </w:p>
    <w:p w14:paraId="234B7F27">
      <w:pPr>
        <w:spacing w:after="120" w:line="360" w:lineRule="auto"/>
        <w:ind w:left="720" w:hanging="720"/>
        <w:jc w:val="both"/>
      </w:pPr>
      <w:r>
        <w:t>Schneider, B. (1987). The people make the place. Personnel Psychology, 40(3), 437–453.</w:t>
      </w:r>
    </w:p>
    <w:p w14:paraId="5869F92C">
      <w:pPr>
        <w:spacing w:after="120" w:line="360" w:lineRule="auto"/>
        <w:ind w:left="720" w:hanging="720"/>
        <w:jc w:val="both"/>
      </w:pPr>
      <w:r>
        <w:t>Senge, P. M. (1990). The fifth discipline: The art and practice of the learning organization. Doubleday.</w:t>
      </w:r>
    </w:p>
    <w:p w14:paraId="1E57820C">
      <w:pPr>
        <w:spacing w:after="120" w:line="360" w:lineRule="auto"/>
        <w:ind w:left="720" w:hanging="720"/>
        <w:jc w:val="both"/>
      </w:pPr>
      <w:r>
        <w:t>SHRM. (2023). Employee benefits survey 2023. Society for Human Resource Management.</w:t>
      </w:r>
    </w:p>
    <w:p w14:paraId="4C77A7D6">
      <w:pPr>
        <w:spacing w:after="120" w:line="360" w:lineRule="auto"/>
        <w:ind w:left="720" w:hanging="720"/>
        <w:jc w:val="both"/>
      </w:pPr>
      <w:r>
        <w:t>Spreitzer, G., &amp; Bacevice, P. (2021). The remote work paradox. Harvard Business Review. https://hbr.org/2021/07/the-remote-work-paradox</w:t>
      </w:r>
    </w:p>
    <w:p w14:paraId="3BA2FA5E">
      <w:pPr>
        <w:spacing w:after="120" w:line="360" w:lineRule="auto"/>
        <w:ind w:left="720" w:hanging="720"/>
        <w:jc w:val="both"/>
      </w:pPr>
      <w:r>
        <w:t>Tursunbayeva, A., Pagliari, C., Di Lauro, S., &amp; Antonelli, G. (2021). The ethics of using people analytics in organizations. Technology in Society, 64, 101496.</w:t>
      </w:r>
    </w:p>
    <w:p w14:paraId="0504C533">
      <w:pPr>
        <w:spacing w:after="120" w:line="360" w:lineRule="auto"/>
        <w:ind w:left="720" w:hanging="720"/>
        <w:jc w:val="both"/>
      </w:pPr>
      <w:r>
        <w:t>Ury, W. L., Brett, J. M., &amp; Goldberg, S. B. (1988). Getting disputes resolved: Designing systems to cut the costs of conflict. Jossey-Bass.</w:t>
      </w:r>
    </w:p>
    <w:p w14:paraId="021258FD">
      <w:pPr>
        <w:spacing w:after="120" w:line="360" w:lineRule="auto"/>
        <w:ind w:left="720" w:hanging="720"/>
        <w:jc w:val="both"/>
      </w:pPr>
      <w:r>
        <w:t>Vroom, V. H. (1964). Work and motivation. Wiley.</w:t>
      </w:r>
    </w:p>
    <w:p w14:paraId="57D0CEF3">
      <w:pPr>
        <w:spacing w:after="120" w:line="360" w:lineRule="auto"/>
        <w:ind w:left="720" w:hanging="720"/>
        <w:jc w:val="both"/>
      </w:pPr>
      <w:r>
        <w:t>World Economic Forum. (2023). Future of jobs report 2023. WEF.</w:t>
      </w:r>
    </w:p>
    <w:p w14:paraId="68E766D6">
      <w:pPr>
        <w:pStyle w:val="2"/>
        <w:spacing w:line="360" w:lineRule="auto"/>
        <w:rPr>
          <w:b/>
          <w:bCs/>
          <w:color w:val="auto"/>
          <w:sz w:val="28"/>
          <w:szCs w:val="28"/>
        </w:rPr>
      </w:pPr>
      <w:bookmarkStart w:id="403" w:name="_Toc13674"/>
      <w:bookmarkStart w:id="404" w:name="_Toc29543"/>
      <w:bookmarkStart w:id="405" w:name="_Toc14676"/>
      <w:bookmarkStart w:id="406" w:name="_Toc13598"/>
      <w:bookmarkStart w:id="407" w:name="_Toc10856"/>
      <w:r>
        <w:rPr>
          <w:b/>
          <w:bCs/>
          <w:color w:val="auto"/>
          <w:sz w:val="28"/>
          <w:szCs w:val="28"/>
        </w:rPr>
        <w:t>APPENDIX</w:t>
      </w:r>
      <w:bookmarkEnd w:id="403"/>
      <w:bookmarkEnd w:id="404"/>
      <w:bookmarkEnd w:id="405"/>
      <w:bookmarkEnd w:id="406"/>
      <w:bookmarkEnd w:id="407"/>
      <w:r>
        <w:rPr>
          <w:b/>
          <w:bCs/>
          <w:color w:val="auto"/>
          <w:sz w:val="28"/>
          <w:szCs w:val="28"/>
        </w:rPr>
        <w:t xml:space="preserve"> </w:t>
      </w:r>
    </w:p>
    <w:p w14:paraId="78036F70">
      <w:pPr>
        <w:pStyle w:val="3"/>
        <w:spacing w:line="360" w:lineRule="auto"/>
        <w:rPr>
          <w:lang w:val="en-US"/>
        </w:rPr>
      </w:pPr>
      <w:bookmarkStart w:id="408" w:name="_Toc7870"/>
      <w:bookmarkStart w:id="409" w:name="_Toc25373"/>
      <w:bookmarkStart w:id="410" w:name="_Toc16820"/>
      <w:bookmarkStart w:id="411" w:name="_Toc17161"/>
      <w:bookmarkStart w:id="412" w:name="_Toc19337"/>
      <w:r>
        <w:t>I</w:t>
      </w:r>
      <w:r>
        <w:rPr>
          <w:lang w:val="en-US"/>
        </w:rPr>
        <w:t>nterview Questionaire</w:t>
      </w:r>
      <w:bookmarkEnd w:id="408"/>
      <w:bookmarkEnd w:id="409"/>
      <w:bookmarkEnd w:id="410"/>
      <w:bookmarkEnd w:id="411"/>
      <w:bookmarkEnd w:id="412"/>
    </w:p>
    <w:p w14:paraId="2CB9C778">
      <w:pPr>
        <w:spacing w:before="160" w:after="160" w:line="360" w:lineRule="auto"/>
        <w:jc w:val="both"/>
      </w:pPr>
      <w:r>
        <w:t>The following structured questionnaire was used during the interview with Mr. Irfan Shabbir, HR Department Representative, Millat Tractors Limited:</w:t>
      </w:r>
    </w:p>
    <w:p w14:paraId="5BB6AAC5">
      <w:pPr>
        <w:spacing w:before="160" w:after="160" w:line="360" w:lineRule="auto"/>
        <w:jc w:val="both"/>
      </w:pPr>
      <w:r>
        <w:rPr>
          <w:b/>
          <w:bCs/>
        </w:rPr>
        <w:t>HR Department Structure</w:t>
      </w:r>
    </w:p>
    <w:p w14:paraId="548BF550">
      <w:pPr>
        <w:spacing w:before="160" w:after="160" w:line="360" w:lineRule="auto"/>
        <w:jc w:val="both"/>
      </w:pPr>
      <w:r>
        <w:t>Q1. Can you briefly explain the structure and hierarchy of the HR department at Millat Tractors Limited?</w:t>
      </w:r>
    </w:p>
    <w:p w14:paraId="583A7898">
      <w:pPr>
        <w:spacing w:before="160" w:after="160" w:line="360" w:lineRule="auto"/>
        <w:jc w:val="both"/>
      </w:pPr>
      <w:r>
        <w:t>Q2. What are the main functions of the HR department, such as recruitment, training, and compensation, and who is responsible for HR-related decisions?</w:t>
      </w:r>
    </w:p>
    <w:p w14:paraId="211B5E00">
      <w:pPr>
        <w:spacing w:before="160" w:after="160" w:line="360" w:lineRule="auto"/>
        <w:jc w:val="both"/>
      </w:pPr>
      <w:r>
        <w:rPr>
          <w:b/>
          <w:bCs/>
        </w:rPr>
        <w:t>Recruitment &amp; Selection</w:t>
      </w:r>
    </w:p>
    <w:p w14:paraId="289BC99F">
      <w:pPr>
        <w:spacing w:before="160" w:after="160" w:line="360" w:lineRule="auto"/>
        <w:jc w:val="both"/>
      </w:pPr>
      <w:r>
        <w:t>Q3. How do you recruit candidates at Millat Tractors Limited, and what recruitment sources or methods do you use?</w:t>
      </w:r>
    </w:p>
    <w:p w14:paraId="1806C49C">
      <w:pPr>
        <w:spacing w:before="160" w:after="160" w:line="360" w:lineRule="auto"/>
        <w:jc w:val="both"/>
      </w:pPr>
      <w:r>
        <w:t>Q4. How is the job analysis process conducted in your organization?</w:t>
      </w:r>
    </w:p>
    <w:p w14:paraId="5BBDE9AE">
      <w:pPr>
        <w:spacing w:before="160" w:after="160" w:line="360" w:lineRule="auto"/>
        <w:jc w:val="both"/>
      </w:pPr>
      <w:r>
        <w:t>Q5. What is the employee selection process at Millat Tractors Limited?</w:t>
      </w:r>
    </w:p>
    <w:p w14:paraId="5834AC49">
      <w:pPr>
        <w:spacing w:before="160" w:after="160" w:line="360" w:lineRule="auto"/>
        <w:jc w:val="both"/>
      </w:pPr>
      <w:r>
        <w:rPr>
          <w:b/>
          <w:bCs/>
        </w:rPr>
        <w:t>Training &amp; Development</w:t>
      </w:r>
    </w:p>
    <w:p w14:paraId="58380397">
      <w:pPr>
        <w:spacing w:before="160" w:after="160" w:line="360" w:lineRule="auto"/>
        <w:jc w:val="both"/>
      </w:pPr>
      <w:r>
        <w:t>Q6. How is training and development managed at Millat Tractors Limited? Do you use internal training programs or external training providers?</w:t>
      </w:r>
    </w:p>
    <w:p w14:paraId="073399A1">
      <w:pPr>
        <w:spacing w:before="160" w:after="160" w:line="360" w:lineRule="auto"/>
        <w:jc w:val="both"/>
      </w:pPr>
      <w:r>
        <w:t>Q7. How do you conduct Training Needs Assessment (TNA) in your organization?</w:t>
      </w:r>
    </w:p>
    <w:p w14:paraId="20D29F42">
      <w:pPr>
        <w:spacing w:before="160" w:after="160" w:line="360" w:lineRule="auto"/>
        <w:jc w:val="both"/>
      </w:pPr>
      <w:r>
        <w:rPr>
          <w:b/>
          <w:bCs/>
        </w:rPr>
        <w:t>Compensation</w:t>
      </w:r>
    </w:p>
    <w:p w14:paraId="54BF849E">
      <w:pPr>
        <w:spacing w:before="160" w:after="160" w:line="360" w:lineRule="auto"/>
        <w:jc w:val="both"/>
      </w:pPr>
      <w:r>
        <w:t>Q8. What types of pay structures do you offer, and how are they designed?</w:t>
      </w:r>
    </w:p>
    <w:p w14:paraId="3030392B">
      <w:pPr>
        <w:spacing w:before="160" w:after="160" w:line="360" w:lineRule="auto"/>
        <w:jc w:val="both"/>
      </w:pPr>
      <w:r>
        <w:t>Q9. How is your pay structure competitive compared to your competitors?</w:t>
      </w:r>
    </w:p>
    <w:p w14:paraId="0DEA2FF0">
      <w:pPr>
        <w:spacing w:before="160" w:after="160" w:line="360" w:lineRule="auto"/>
        <w:jc w:val="both"/>
      </w:pPr>
      <w:r>
        <w:t>Q10. How is the salary system developed in your organization?</w:t>
      </w:r>
    </w:p>
    <w:p w14:paraId="46AFAFE4">
      <w:pPr>
        <w:spacing w:before="160" w:after="160" w:line="360" w:lineRule="auto"/>
        <w:jc w:val="both"/>
      </w:pPr>
      <w:r>
        <w:t>Q11. Do you provide legislative pay and benefits? If yes, what is the mechanism for it?</w:t>
      </w:r>
    </w:p>
    <w:p w14:paraId="619DE748">
      <w:pPr>
        <w:spacing w:before="160" w:after="160" w:line="360" w:lineRule="auto"/>
        <w:jc w:val="both"/>
      </w:pPr>
      <w:r>
        <w:rPr>
          <w:b/>
          <w:bCs/>
        </w:rPr>
        <w:t>Performance Management System</w:t>
      </w:r>
    </w:p>
    <w:p w14:paraId="50D9993B">
      <w:pPr>
        <w:spacing w:before="160" w:after="160" w:line="360" w:lineRule="auto"/>
        <w:jc w:val="both"/>
      </w:pPr>
      <w:r>
        <w:t>Q12. How do you appraise your employees, and how is their performance evaluated?</w:t>
      </w:r>
    </w:p>
    <w:p w14:paraId="6460C7DC">
      <w:pPr>
        <w:spacing w:before="160" w:after="160" w:line="360" w:lineRule="auto"/>
        <w:jc w:val="both"/>
      </w:pPr>
      <w:r>
        <w:t>Q13. How do you compare standard performance with actual performance? What methods or mechanisms do you use?</w:t>
      </w:r>
    </w:p>
    <w:p w14:paraId="23D5A91D">
      <w:pPr>
        <w:spacing w:before="160" w:after="160" w:line="360" w:lineRule="auto"/>
        <w:jc w:val="both"/>
      </w:pPr>
      <w:r>
        <w:rPr>
          <w:b/>
          <w:bCs/>
        </w:rPr>
        <w:t>Employee Relations</w:t>
      </w:r>
    </w:p>
    <w:p w14:paraId="576FCAD0">
      <w:pPr>
        <w:spacing w:before="160" w:after="160" w:line="360" w:lineRule="auto"/>
        <w:jc w:val="both"/>
      </w:pPr>
      <w:r>
        <w:t>Q14. How does your organization maintain good relations between management and employees, and promote a healthy work environment?</w:t>
      </w:r>
    </w:p>
    <w:p w14:paraId="02FD5E54">
      <w:pPr>
        <w:spacing w:before="160" w:after="160" w:line="360" w:lineRule="auto"/>
        <w:jc w:val="both"/>
      </w:pPr>
      <w:r>
        <w:t>Q15. Does your organization provide social security and other employee welfare benefits?</w:t>
      </w:r>
    </w:p>
    <w:p w14:paraId="4BEA38CA">
      <w:pPr>
        <w:spacing w:before="160" w:after="160" w:line="360" w:lineRule="auto"/>
        <w:jc w:val="both"/>
      </w:pPr>
      <w:r>
        <w:t>Q16. How does your organization ensure compliance with labour laws, and are there any labour unions or employee associations in the organization?</w:t>
      </w:r>
    </w:p>
    <w:p w14:paraId="1314EFDC">
      <w:pPr>
        <w:pStyle w:val="3"/>
        <w:rPr>
          <w:lang w:val="en-US"/>
        </w:rPr>
      </w:pPr>
      <w:bookmarkStart w:id="413" w:name="_Toc6664"/>
      <w:bookmarkStart w:id="414" w:name="_Toc29476"/>
      <w:bookmarkStart w:id="415" w:name="_Toc24619"/>
      <w:bookmarkStart w:id="416" w:name="_Toc512"/>
      <w:bookmarkStart w:id="417" w:name="_Toc25543"/>
      <w:r>
        <w:rPr>
          <w:lang w:val="en-US"/>
        </w:rPr>
        <w:t>Visit Pictures</w:t>
      </w:r>
      <w:bookmarkEnd w:id="413"/>
      <w:bookmarkEnd w:id="414"/>
      <w:bookmarkEnd w:id="415"/>
      <w:bookmarkEnd w:id="416"/>
      <w:bookmarkEnd w:id="41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4"/>
        <w:gridCol w:w="5182"/>
      </w:tblGrid>
      <w:tr w14:paraId="5E2E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7" w:hRule="atLeast"/>
        </w:trPr>
        <w:tc>
          <w:tcPr>
            <w:tcW w:w="4934" w:type="dxa"/>
          </w:tcPr>
          <w:p w14:paraId="10D9E26E">
            <w:pPr>
              <w:widowControl w:val="0"/>
              <w:spacing w:before="60" w:after="60"/>
              <w:jc w:val="both"/>
              <w:rPr>
                <w:lang w:val="en-US"/>
              </w:rPr>
            </w:pPr>
            <w:r>
              <w:rPr>
                <w:rFonts w:ascii="SimSun" w:hAnsi="SimSun" w:eastAsia="SimSun" w:cs="SimSun"/>
                <w:lang w:val="en-US" w:eastAsia="en-US"/>
              </w:rPr>
              <w:drawing>
                <wp:inline distT="0" distB="0" distL="114300" distR="114300">
                  <wp:extent cx="3127375" cy="2063115"/>
                  <wp:effectExtent l="0" t="0" r="9525" b="6985"/>
                  <wp:docPr id="19"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descr="IMG_256"/>
                          <pic:cNvPicPr>
                            <a:picLocks noChangeAspect="1"/>
                          </pic:cNvPicPr>
                        </pic:nvPicPr>
                        <pic:blipFill>
                          <a:blip r:embed="rId9"/>
                          <a:stretch>
                            <a:fillRect/>
                          </a:stretch>
                        </pic:blipFill>
                        <pic:spPr>
                          <a:xfrm>
                            <a:off x="0" y="0"/>
                            <a:ext cx="3127375" cy="2063115"/>
                          </a:xfrm>
                          <a:prstGeom prst="rect">
                            <a:avLst/>
                          </a:prstGeom>
                          <a:noFill/>
                          <a:ln w="9525">
                            <a:noFill/>
                          </a:ln>
                        </pic:spPr>
                      </pic:pic>
                    </a:graphicData>
                  </a:graphic>
                </wp:inline>
              </w:drawing>
            </w:r>
          </w:p>
        </w:tc>
        <w:tc>
          <w:tcPr>
            <w:tcW w:w="5182" w:type="dxa"/>
          </w:tcPr>
          <w:p w14:paraId="12AE1CA4">
            <w:pPr>
              <w:widowControl w:val="0"/>
              <w:spacing w:before="60" w:after="60"/>
              <w:jc w:val="both"/>
              <w:rPr>
                <w:lang w:val="en-US"/>
              </w:rPr>
            </w:pPr>
            <w:r>
              <w:rPr>
                <w:lang w:val="en-US" w:eastAsia="en-US"/>
              </w:rPr>
              <w:drawing>
                <wp:inline distT="0" distB="0" distL="114300" distR="114300">
                  <wp:extent cx="3197225" cy="2040890"/>
                  <wp:effectExtent l="0" t="0" r="3175" b="381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0"/>
                          <a:stretch>
                            <a:fillRect/>
                          </a:stretch>
                        </pic:blipFill>
                        <pic:spPr>
                          <a:xfrm>
                            <a:off x="0" y="0"/>
                            <a:ext cx="3197225" cy="2040890"/>
                          </a:xfrm>
                          <a:prstGeom prst="rect">
                            <a:avLst/>
                          </a:prstGeom>
                          <a:noFill/>
                          <a:ln>
                            <a:noFill/>
                          </a:ln>
                        </pic:spPr>
                      </pic:pic>
                    </a:graphicData>
                  </a:graphic>
                </wp:inline>
              </w:drawing>
            </w:r>
          </w:p>
        </w:tc>
      </w:tr>
      <w:tr w14:paraId="5259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4" w:type="dxa"/>
          </w:tcPr>
          <w:p w14:paraId="2ED0EA7D">
            <w:pPr>
              <w:widowControl w:val="0"/>
              <w:spacing w:before="60" w:after="60"/>
              <w:jc w:val="both"/>
              <w:rPr>
                <w:lang w:val="en-US"/>
              </w:rPr>
            </w:pPr>
            <w:r>
              <w:rPr>
                <w:lang w:val="en-US" w:eastAsia="en-US"/>
              </w:rPr>
              <w:drawing>
                <wp:inline distT="0" distB="0" distL="0" distR="0">
                  <wp:extent cx="2995930" cy="1836420"/>
                  <wp:effectExtent l="0" t="0" r="0" b="7620"/>
                  <wp:docPr id="1293549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4900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995930" cy="1836420"/>
                          </a:xfrm>
                          <a:prstGeom prst="rect">
                            <a:avLst/>
                          </a:prstGeom>
                          <a:noFill/>
                          <a:ln>
                            <a:noFill/>
                          </a:ln>
                        </pic:spPr>
                      </pic:pic>
                    </a:graphicData>
                  </a:graphic>
                </wp:inline>
              </w:drawing>
            </w:r>
          </w:p>
        </w:tc>
        <w:tc>
          <w:tcPr>
            <w:tcW w:w="5182" w:type="dxa"/>
          </w:tcPr>
          <w:p w14:paraId="67719D6B">
            <w:pPr>
              <w:widowControl w:val="0"/>
              <w:spacing w:before="60" w:after="60"/>
              <w:jc w:val="both"/>
              <w:rPr>
                <w:lang w:val="en-US"/>
              </w:rPr>
            </w:pPr>
            <w:r>
              <w:rPr>
                <w:lang w:val="en-US" w:eastAsia="en-US"/>
              </w:rPr>
              <w:drawing>
                <wp:inline distT="0" distB="0" distL="0" distR="0">
                  <wp:extent cx="3153410" cy="1795145"/>
                  <wp:effectExtent l="0" t="0" r="8890" b="0"/>
                  <wp:docPr id="1755017005" name="Picture 4" descr="Merger of Millat Equipment with Millat Tractors Officially Appr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17005" name="Picture 4" descr="Merger of Millat Equipment with Millat Tractors Officially Approv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153410" cy="1795145"/>
                          </a:xfrm>
                          <a:prstGeom prst="rect">
                            <a:avLst/>
                          </a:prstGeom>
                          <a:noFill/>
                          <a:ln>
                            <a:noFill/>
                          </a:ln>
                        </pic:spPr>
                      </pic:pic>
                    </a:graphicData>
                  </a:graphic>
                </wp:inline>
              </w:drawing>
            </w:r>
          </w:p>
        </w:tc>
      </w:tr>
    </w:tbl>
    <w:p w14:paraId="6AEB156A">
      <w:pPr>
        <w:pStyle w:val="3"/>
        <w:rPr>
          <w:lang w:val="en-US"/>
        </w:rPr>
      </w:pPr>
      <w:bookmarkStart w:id="418" w:name="_Toc1575"/>
      <w:bookmarkStart w:id="419" w:name="_Toc23612"/>
      <w:bookmarkStart w:id="420" w:name="_Toc23492"/>
      <w:bookmarkStart w:id="421" w:name="_Toc19185"/>
      <w:bookmarkStart w:id="422" w:name="_Toc29662"/>
      <w:r>
        <w:rPr>
          <w:lang w:val="en-US"/>
        </w:rPr>
        <w:t>Supporting Document</w:t>
      </w:r>
      <w:bookmarkEnd w:id="418"/>
      <w:bookmarkEnd w:id="419"/>
      <w:bookmarkEnd w:id="420"/>
      <w:bookmarkEnd w:id="421"/>
      <w:bookmarkEnd w:id="422"/>
    </w:p>
    <w:p w14:paraId="7DACC56C">
      <w:pPr>
        <w:rPr>
          <w:lang w:val="en-US"/>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8"/>
        <w:gridCol w:w="5058"/>
      </w:tblGrid>
      <w:tr w14:paraId="2CD8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58" w:type="dxa"/>
          </w:tcPr>
          <w:p w14:paraId="5C1C61AD">
            <w:pPr>
              <w:widowControl w:val="0"/>
              <w:spacing w:before="60" w:after="60"/>
              <w:jc w:val="both"/>
              <w:rPr>
                <w:lang w:val="en-US"/>
              </w:rPr>
            </w:pPr>
            <w:r>
              <w:rPr>
                <w:lang w:val="en-US" w:eastAsia="en-US"/>
              </w:rPr>
              <w:drawing>
                <wp:inline distT="0" distB="0" distL="114300" distR="114300">
                  <wp:extent cx="3072130" cy="1160145"/>
                  <wp:effectExtent l="0" t="0" r="1270" b="8255"/>
                  <wp:docPr id="33" name="Picture 33" descr="WhatsApp Image 2026-05-16 at 7.04.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hatsApp Image 2026-05-16 at 7.04.54 PM"/>
                          <pic:cNvPicPr>
                            <a:picLocks noChangeAspect="1"/>
                          </pic:cNvPicPr>
                        </pic:nvPicPr>
                        <pic:blipFill>
                          <a:blip r:embed="rId13"/>
                          <a:stretch>
                            <a:fillRect/>
                          </a:stretch>
                        </pic:blipFill>
                        <pic:spPr>
                          <a:xfrm>
                            <a:off x="0" y="0"/>
                            <a:ext cx="3072130" cy="1160145"/>
                          </a:xfrm>
                          <a:prstGeom prst="rect">
                            <a:avLst/>
                          </a:prstGeom>
                        </pic:spPr>
                      </pic:pic>
                    </a:graphicData>
                  </a:graphic>
                </wp:inline>
              </w:drawing>
            </w:r>
          </w:p>
        </w:tc>
        <w:tc>
          <w:tcPr>
            <w:tcW w:w="5058" w:type="dxa"/>
          </w:tcPr>
          <w:p w14:paraId="0F4E532C">
            <w:pPr>
              <w:widowControl w:val="0"/>
              <w:spacing w:before="60" w:after="60"/>
              <w:jc w:val="both"/>
              <w:rPr>
                <w:lang w:val="en-US"/>
              </w:rPr>
            </w:pPr>
            <w:r>
              <w:rPr>
                <w:lang w:val="en-US" w:eastAsia="en-US"/>
              </w:rPr>
              <w:drawing>
                <wp:inline distT="0" distB="0" distL="114300" distR="114300">
                  <wp:extent cx="3072130" cy="1202055"/>
                  <wp:effectExtent l="0" t="0" r="1270" b="4445"/>
                  <wp:docPr id="34" name="Picture 34" descr="WhatsApp Image 2026-05-16 at 7.04.54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WhatsApp Image 2026-05-16 at 7.04.54 PM (1)"/>
                          <pic:cNvPicPr>
                            <a:picLocks noChangeAspect="1"/>
                          </pic:cNvPicPr>
                        </pic:nvPicPr>
                        <pic:blipFill>
                          <a:blip r:embed="rId14"/>
                          <a:stretch>
                            <a:fillRect/>
                          </a:stretch>
                        </pic:blipFill>
                        <pic:spPr>
                          <a:xfrm>
                            <a:off x="0" y="0"/>
                            <a:ext cx="3072130" cy="1202055"/>
                          </a:xfrm>
                          <a:prstGeom prst="rect">
                            <a:avLst/>
                          </a:prstGeom>
                        </pic:spPr>
                      </pic:pic>
                    </a:graphicData>
                  </a:graphic>
                </wp:inline>
              </w:drawing>
            </w:r>
          </w:p>
        </w:tc>
      </w:tr>
      <w:tr w14:paraId="0C89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8" w:type="dxa"/>
          </w:tcPr>
          <w:p w14:paraId="7C02371E">
            <w:pPr>
              <w:widowControl w:val="0"/>
              <w:spacing w:before="60" w:after="60"/>
              <w:jc w:val="both"/>
              <w:rPr>
                <w:lang w:val="en-US"/>
              </w:rPr>
            </w:pPr>
            <w:r>
              <w:rPr>
                <w:lang w:val="en-US" w:eastAsia="en-US"/>
              </w:rPr>
              <w:drawing>
                <wp:inline distT="0" distB="0" distL="114300" distR="114300">
                  <wp:extent cx="3072130" cy="1388745"/>
                  <wp:effectExtent l="0" t="0" r="1270" b="8255"/>
                  <wp:docPr id="35" name="Picture 35" descr="WhatsApp Image 2026-05-16 at 7.04.54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WhatsApp Image 2026-05-16 at 7.04.54 PM (3)"/>
                          <pic:cNvPicPr>
                            <a:picLocks noChangeAspect="1"/>
                          </pic:cNvPicPr>
                        </pic:nvPicPr>
                        <pic:blipFill>
                          <a:blip r:embed="rId15"/>
                          <a:stretch>
                            <a:fillRect/>
                          </a:stretch>
                        </pic:blipFill>
                        <pic:spPr>
                          <a:xfrm>
                            <a:off x="0" y="0"/>
                            <a:ext cx="3072130" cy="1388745"/>
                          </a:xfrm>
                          <a:prstGeom prst="rect">
                            <a:avLst/>
                          </a:prstGeom>
                        </pic:spPr>
                      </pic:pic>
                    </a:graphicData>
                  </a:graphic>
                </wp:inline>
              </w:drawing>
            </w:r>
          </w:p>
        </w:tc>
        <w:tc>
          <w:tcPr>
            <w:tcW w:w="5058" w:type="dxa"/>
          </w:tcPr>
          <w:p w14:paraId="048F3536">
            <w:pPr>
              <w:widowControl w:val="0"/>
              <w:spacing w:before="60" w:after="60"/>
              <w:jc w:val="both"/>
              <w:rPr>
                <w:lang w:val="en-US"/>
              </w:rPr>
            </w:pPr>
            <w:r>
              <w:rPr>
                <w:lang w:val="en-US" w:eastAsia="en-US"/>
              </w:rPr>
              <w:drawing>
                <wp:inline distT="0" distB="0" distL="114300" distR="114300">
                  <wp:extent cx="3072765" cy="1199515"/>
                  <wp:effectExtent l="0" t="0" r="635" b="6985"/>
                  <wp:docPr id="36" name="Picture 36" descr="WhatsApp Image 2026-05-16 at 7.04.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WhatsApp Image 2026-05-16 at 7.04.53 PM"/>
                          <pic:cNvPicPr>
                            <a:picLocks noChangeAspect="1"/>
                          </pic:cNvPicPr>
                        </pic:nvPicPr>
                        <pic:blipFill>
                          <a:blip r:embed="rId16"/>
                          <a:stretch>
                            <a:fillRect/>
                          </a:stretch>
                        </pic:blipFill>
                        <pic:spPr>
                          <a:xfrm>
                            <a:off x="0" y="0"/>
                            <a:ext cx="3072765" cy="1199515"/>
                          </a:xfrm>
                          <a:prstGeom prst="rect">
                            <a:avLst/>
                          </a:prstGeom>
                        </pic:spPr>
                      </pic:pic>
                    </a:graphicData>
                  </a:graphic>
                </wp:inline>
              </w:drawing>
            </w:r>
          </w:p>
        </w:tc>
      </w:tr>
      <w:tr w14:paraId="4FE0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8" w:type="dxa"/>
          </w:tcPr>
          <w:p w14:paraId="471265FA">
            <w:pPr>
              <w:widowControl w:val="0"/>
              <w:spacing w:before="60" w:after="60"/>
              <w:jc w:val="both"/>
              <w:rPr>
                <w:lang w:val="en-US"/>
              </w:rPr>
            </w:pPr>
            <w:r>
              <w:rPr>
                <w:lang w:val="en-US" w:eastAsia="en-US"/>
              </w:rPr>
              <w:drawing>
                <wp:inline distT="0" distB="0" distL="114300" distR="114300">
                  <wp:extent cx="3072130" cy="1328420"/>
                  <wp:effectExtent l="0" t="0" r="1270" b="5080"/>
                  <wp:docPr id="40" name="Picture 40" descr="WhatsApp Image 2026-05-16 at 7.04.53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WhatsApp Image 2026-05-16 at 7.04.53 PM (2)"/>
                          <pic:cNvPicPr>
                            <a:picLocks noChangeAspect="1"/>
                          </pic:cNvPicPr>
                        </pic:nvPicPr>
                        <pic:blipFill>
                          <a:blip r:embed="rId17"/>
                          <a:stretch>
                            <a:fillRect/>
                          </a:stretch>
                        </pic:blipFill>
                        <pic:spPr>
                          <a:xfrm>
                            <a:off x="0" y="0"/>
                            <a:ext cx="3072130" cy="1328420"/>
                          </a:xfrm>
                          <a:prstGeom prst="rect">
                            <a:avLst/>
                          </a:prstGeom>
                        </pic:spPr>
                      </pic:pic>
                    </a:graphicData>
                  </a:graphic>
                </wp:inline>
              </w:drawing>
            </w:r>
          </w:p>
        </w:tc>
        <w:tc>
          <w:tcPr>
            <w:tcW w:w="5058" w:type="dxa"/>
          </w:tcPr>
          <w:p w14:paraId="0C9A28C7">
            <w:pPr>
              <w:widowControl w:val="0"/>
              <w:spacing w:before="60" w:after="60"/>
              <w:jc w:val="both"/>
              <w:rPr>
                <w:lang w:val="en-US"/>
              </w:rPr>
            </w:pPr>
            <w:r>
              <w:rPr>
                <w:lang w:val="en-US" w:eastAsia="en-US"/>
              </w:rPr>
              <w:drawing>
                <wp:inline distT="0" distB="0" distL="114300" distR="114300">
                  <wp:extent cx="3072765" cy="1256665"/>
                  <wp:effectExtent l="0" t="0" r="635" b="635"/>
                  <wp:docPr id="41" name="Picture 41" descr="WhatsApp Image 2026-05-16 at 7.04.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WhatsApp Image 2026-05-16 at 7.04.52 PM"/>
                          <pic:cNvPicPr>
                            <a:picLocks noChangeAspect="1"/>
                          </pic:cNvPicPr>
                        </pic:nvPicPr>
                        <pic:blipFill>
                          <a:blip r:embed="rId18"/>
                          <a:stretch>
                            <a:fillRect/>
                          </a:stretch>
                        </pic:blipFill>
                        <pic:spPr>
                          <a:xfrm>
                            <a:off x="0" y="0"/>
                            <a:ext cx="3072765" cy="1256665"/>
                          </a:xfrm>
                          <a:prstGeom prst="rect">
                            <a:avLst/>
                          </a:prstGeom>
                        </pic:spPr>
                      </pic:pic>
                    </a:graphicData>
                  </a:graphic>
                </wp:inline>
              </w:drawing>
            </w:r>
          </w:p>
        </w:tc>
      </w:tr>
      <w:tr w14:paraId="11F8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58" w:type="dxa"/>
          </w:tcPr>
          <w:p w14:paraId="474257CA">
            <w:pPr>
              <w:widowControl w:val="0"/>
              <w:spacing w:before="60" w:after="60"/>
              <w:jc w:val="both"/>
              <w:rPr>
                <w:lang w:val="en-US"/>
              </w:rPr>
            </w:pPr>
            <w:r>
              <w:rPr>
                <w:lang w:val="en-US" w:eastAsia="en-US"/>
              </w:rPr>
              <w:drawing>
                <wp:inline distT="0" distB="0" distL="114300" distR="114300">
                  <wp:extent cx="3072130" cy="1511300"/>
                  <wp:effectExtent l="0" t="0" r="1270" b="0"/>
                  <wp:docPr id="43" name="Picture 43" descr="WhatsApp Image 2026-05-16 at 7.04.5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WhatsApp Image 2026-05-16 at 7.04.52 PM (1)"/>
                          <pic:cNvPicPr>
                            <a:picLocks noChangeAspect="1"/>
                          </pic:cNvPicPr>
                        </pic:nvPicPr>
                        <pic:blipFill>
                          <a:blip r:embed="rId19"/>
                          <a:stretch>
                            <a:fillRect/>
                          </a:stretch>
                        </pic:blipFill>
                        <pic:spPr>
                          <a:xfrm>
                            <a:off x="0" y="0"/>
                            <a:ext cx="3072130" cy="1511300"/>
                          </a:xfrm>
                          <a:prstGeom prst="rect">
                            <a:avLst/>
                          </a:prstGeom>
                        </pic:spPr>
                      </pic:pic>
                    </a:graphicData>
                  </a:graphic>
                </wp:inline>
              </w:drawing>
            </w:r>
          </w:p>
        </w:tc>
        <w:tc>
          <w:tcPr>
            <w:tcW w:w="5058" w:type="dxa"/>
          </w:tcPr>
          <w:p w14:paraId="183C2BB2">
            <w:pPr>
              <w:widowControl w:val="0"/>
              <w:spacing w:before="60" w:after="60"/>
              <w:jc w:val="both"/>
              <w:rPr>
                <w:lang w:val="en-US"/>
              </w:rPr>
            </w:pPr>
            <w:r>
              <w:rPr>
                <w:lang w:val="en-US" w:eastAsia="en-US"/>
              </w:rPr>
              <w:drawing>
                <wp:inline distT="0" distB="0" distL="114300" distR="114300">
                  <wp:extent cx="3072130" cy="1550035"/>
                  <wp:effectExtent l="0" t="0" r="1270" b="12065"/>
                  <wp:docPr id="42" name="Picture 42" descr="WhatsApp Image 2026-05-16 at 7.04.53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WhatsApp Image 2026-05-16 at 7.04.53 PM (1)"/>
                          <pic:cNvPicPr>
                            <a:picLocks noChangeAspect="1"/>
                          </pic:cNvPicPr>
                        </pic:nvPicPr>
                        <pic:blipFill>
                          <a:blip r:embed="rId20"/>
                          <a:stretch>
                            <a:fillRect/>
                          </a:stretch>
                        </pic:blipFill>
                        <pic:spPr>
                          <a:xfrm>
                            <a:off x="0" y="0"/>
                            <a:ext cx="3072130" cy="1550035"/>
                          </a:xfrm>
                          <a:prstGeom prst="rect">
                            <a:avLst/>
                          </a:prstGeom>
                        </pic:spPr>
                      </pic:pic>
                    </a:graphicData>
                  </a:graphic>
                </wp:inline>
              </w:drawing>
            </w:r>
          </w:p>
        </w:tc>
      </w:tr>
    </w:tbl>
    <w:p w14:paraId="01AD471B">
      <w:pPr>
        <w:spacing w:before="60" w:after="60"/>
        <w:rPr>
          <w:lang w:val="en-US"/>
        </w:rPr>
      </w:pPr>
    </w:p>
    <w:sectPr>
      <w:pgSz w:w="12240" w:h="15840"/>
      <w:pgMar w:top="1080" w:right="108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930A6">
    <w:pPr>
      <w:jc w:val="center"/>
      <w:rPr>
        <w:sz w:val="20"/>
        <w:szCs w:val="20"/>
      </w:rPr>
    </w:pPr>
    <w:r>
      <w:rPr>
        <w:sz w:val="20"/>
        <w:lang w:val="en-US" w:eastAsia="en-US"/>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3D993E">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n6AMrR0CAABWBAAA&#10;DgAAAAAAAAABACAAAAAfAQAAZHJzL2Uyb0RvYy54bWxQSwUGAAAAAAYABgBZAQAArgUAAAAA&#10;">
              <v:fill on="f" focussize="0,0"/>
              <v:stroke on="f" weight="0.5pt"/>
              <v:imagedata o:title=""/>
              <o:lock v:ext="edit" aspectratio="f"/>
              <v:textbox inset="0mm,0mm,0mm,0mm" style="mso-fit-shape-to-text:t;">
                <w:txbxContent>
                  <w:p w14:paraId="303D993E">
                    <w:pPr>
                      <w:pStyle w:val="13"/>
                    </w:pPr>
                    <w:r>
                      <w:fldChar w:fldCharType="begin"/>
                    </w:r>
                    <w:r>
                      <w:instrText xml:space="preserve"> PAGE  \* MERGEFORMAT </w:instrText>
                    </w:r>
                    <w:r>
                      <w:fldChar w:fldCharType="separate"/>
                    </w:r>
                    <w:r>
                      <w:t>2</w:t>
                    </w:r>
                    <w:r>
                      <w:fldChar w:fldCharType="end"/>
                    </w:r>
                  </w:p>
                </w:txbxContent>
              </v:textbox>
            </v:shape>
          </w:pict>
        </mc:Fallback>
      </mc:AlternateContent>
    </w:r>
  </w:p>
  <w:p w14:paraId="3427EDBF">
    <w:pPr>
      <w:jc w:val="center"/>
      <w:rPr>
        <w:sz w:val="20"/>
        <w:szCs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CCA"/>
    <w:rsid w:val="000C6232"/>
    <w:rsid w:val="00107EE2"/>
    <w:rsid w:val="001105B5"/>
    <w:rsid w:val="00237011"/>
    <w:rsid w:val="00292893"/>
    <w:rsid w:val="002D63D9"/>
    <w:rsid w:val="00325A09"/>
    <w:rsid w:val="00333CCA"/>
    <w:rsid w:val="003E520A"/>
    <w:rsid w:val="00466D67"/>
    <w:rsid w:val="0049663B"/>
    <w:rsid w:val="004E47C5"/>
    <w:rsid w:val="005F1B5D"/>
    <w:rsid w:val="006D40A4"/>
    <w:rsid w:val="00717546"/>
    <w:rsid w:val="00831FB5"/>
    <w:rsid w:val="008A2F6C"/>
    <w:rsid w:val="00924A2D"/>
    <w:rsid w:val="00972688"/>
    <w:rsid w:val="009B7E9D"/>
    <w:rsid w:val="00A817F3"/>
    <w:rsid w:val="00AB12AF"/>
    <w:rsid w:val="00C116C3"/>
    <w:rsid w:val="00C12D61"/>
    <w:rsid w:val="00CB047B"/>
    <w:rsid w:val="00D178A8"/>
    <w:rsid w:val="00E25D06"/>
    <w:rsid w:val="00E67108"/>
    <w:rsid w:val="00EA7074"/>
    <w:rsid w:val="00FA46EE"/>
    <w:rsid w:val="00FF1D2B"/>
    <w:rsid w:val="053A3B22"/>
    <w:rsid w:val="09F662C5"/>
    <w:rsid w:val="0A8A2A5A"/>
    <w:rsid w:val="1967503C"/>
    <w:rsid w:val="1E2C09AB"/>
    <w:rsid w:val="22DA593E"/>
    <w:rsid w:val="254852FE"/>
    <w:rsid w:val="2E075211"/>
    <w:rsid w:val="384D38EC"/>
    <w:rsid w:val="3AE87755"/>
    <w:rsid w:val="3B4413CB"/>
    <w:rsid w:val="3C5A72D3"/>
    <w:rsid w:val="3F29718A"/>
    <w:rsid w:val="402C1A23"/>
    <w:rsid w:val="49413E94"/>
    <w:rsid w:val="4BB401A4"/>
    <w:rsid w:val="4C414861"/>
    <w:rsid w:val="4CA76BCF"/>
    <w:rsid w:val="4CAE55A8"/>
    <w:rsid w:val="4D6B7C12"/>
    <w:rsid w:val="50DD17B8"/>
    <w:rsid w:val="55571991"/>
    <w:rsid w:val="55E31575"/>
    <w:rsid w:val="5C867ADA"/>
    <w:rsid w:val="5EAB5261"/>
    <w:rsid w:val="6396090F"/>
    <w:rsid w:val="69033857"/>
    <w:rsid w:val="72981265"/>
    <w:rsid w:val="731D2368"/>
    <w:rsid w:val="744530CF"/>
    <w:rsid w:val="75F44D9D"/>
    <w:rsid w:val="7CE65427"/>
    <w:rsid w:val="7D6464C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zh-CN" w:eastAsia="zh-CN" w:bidi="ar-SA"/>
    </w:rPr>
  </w:style>
  <w:style w:type="paragraph" w:styleId="2">
    <w:name w:val="heading 1"/>
    <w:next w:val="1"/>
    <w:qFormat/>
    <w:uiPriority w:val="9"/>
    <w:pPr>
      <w:outlineLvl w:val="0"/>
    </w:pPr>
    <w:rPr>
      <w:rFonts w:ascii="Times New Roman" w:hAnsi="Times New Roman" w:eastAsia="Times New Roman" w:cs="Times New Roman"/>
      <w:color w:val="2E74B5"/>
      <w:sz w:val="32"/>
      <w:szCs w:val="32"/>
      <w:lang w:val="zh-CN" w:eastAsia="zh-CN" w:bidi="ar-SA"/>
    </w:rPr>
  </w:style>
  <w:style w:type="paragraph" w:styleId="3">
    <w:name w:val="heading 2"/>
    <w:basedOn w:val="2"/>
    <w:next w:val="1"/>
    <w:link w:val="38"/>
    <w:unhideWhenUsed/>
    <w:qFormat/>
    <w:uiPriority w:val="9"/>
    <w:pPr>
      <w:outlineLvl w:val="1"/>
    </w:pPr>
    <w:rPr>
      <w:b/>
      <w:bCs/>
      <w:color w:val="000000" w:themeColor="text1"/>
      <w:sz w:val="24"/>
      <w:szCs w:val="24"/>
      <w14:textFill>
        <w14:solidFill>
          <w14:schemeClr w14:val="tx1"/>
        </w14:solidFill>
      </w14:textFill>
    </w:rPr>
  </w:style>
  <w:style w:type="paragraph" w:styleId="4">
    <w:name w:val="heading 3"/>
    <w:basedOn w:val="3"/>
    <w:next w:val="1"/>
    <w:link w:val="37"/>
    <w:unhideWhenUsed/>
    <w:qFormat/>
    <w:uiPriority w:val="9"/>
    <w:pPr>
      <w:spacing w:before="320" w:after="120"/>
      <w:outlineLvl w:val="2"/>
    </w:p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zh-CN" w:eastAsia="zh-C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zh-CN" w:eastAsia="zh-C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zh-CN"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endnote reference"/>
    <w:semiHidden/>
    <w:unhideWhenUsed/>
    <w:qFormat/>
    <w:uiPriority w:val="99"/>
    <w:rPr>
      <w:vertAlign w:val="superscript"/>
    </w:rPr>
  </w:style>
  <w:style w:type="paragraph" w:styleId="12">
    <w:name w:val="endnote text"/>
    <w:link w:val="33"/>
    <w:semiHidden/>
    <w:unhideWhenUsed/>
    <w:qFormat/>
    <w:uiPriority w:val="99"/>
    <w:rPr>
      <w:rFonts w:ascii="Times New Roman" w:hAnsi="Times New Roman" w:eastAsia="Times New Roman" w:cs="Times New Roman"/>
      <w:lang w:val="zh-CN" w:eastAsia="zh-CN" w:bidi="ar-SA"/>
    </w:rPr>
  </w:style>
  <w:style w:type="paragraph" w:styleId="13">
    <w:name w:val="footer"/>
    <w:basedOn w:val="1"/>
    <w:link w:val="35"/>
    <w:unhideWhenUsed/>
    <w:qFormat/>
    <w:uiPriority w:val="99"/>
    <w:pPr>
      <w:tabs>
        <w:tab w:val="center" w:pos="4513"/>
        <w:tab w:val="right" w:pos="9026"/>
      </w:tabs>
    </w:pPr>
  </w:style>
  <w:style w:type="character" w:styleId="14">
    <w:name w:val="footnote reference"/>
    <w:semiHidden/>
    <w:unhideWhenUsed/>
    <w:qFormat/>
    <w:uiPriority w:val="99"/>
    <w:rPr>
      <w:vertAlign w:val="superscript"/>
    </w:rPr>
  </w:style>
  <w:style w:type="paragraph" w:styleId="15">
    <w:name w:val="footnote text"/>
    <w:link w:val="32"/>
    <w:semiHidden/>
    <w:unhideWhenUsed/>
    <w:qFormat/>
    <w:uiPriority w:val="99"/>
    <w:rPr>
      <w:rFonts w:ascii="Times New Roman" w:hAnsi="Times New Roman" w:eastAsia="Times New Roman" w:cs="Times New Roman"/>
      <w:lang w:val="zh-CN" w:eastAsia="zh-CN" w:bidi="ar-SA"/>
    </w:rPr>
  </w:style>
  <w:style w:type="paragraph" w:styleId="16">
    <w:name w:val="header"/>
    <w:basedOn w:val="1"/>
    <w:link w:val="34"/>
    <w:unhideWhenUsed/>
    <w:qFormat/>
    <w:uiPriority w:val="99"/>
    <w:pPr>
      <w:tabs>
        <w:tab w:val="center" w:pos="4513"/>
        <w:tab w:val="right" w:pos="9026"/>
      </w:tabs>
    </w:pPr>
  </w:style>
  <w:style w:type="character" w:styleId="17">
    <w:name w:val="Hyperlink"/>
    <w:unhideWhenUsed/>
    <w:qFormat/>
    <w:uiPriority w:val="99"/>
    <w:rPr>
      <w:color w:val="0563C1"/>
      <w:u w:val="single"/>
    </w:rPr>
  </w:style>
  <w:style w:type="paragraph" w:styleId="18">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table" w:styleId="19">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qFormat/>
    <w:uiPriority w:val="10"/>
    <w:rPr>
      <w:rFonts w:ascii="Times New Roman" w:hAnsi="Times New Roman" w:eastAsia="Times New Roman" w:cs="Times New Roman"/>
      <w:sz w:val="56"/>
      <w:szCs w:val="56"/>
      <w:lang w:val="zh-CN" w:eastAsia="zh-CN" w:bidi="ar-SA"/>
    </w:rPr>
  </w:style>
  <w:style w:type="paragraph" w:styleId="21">
    <w:name w:val="toc 1"/>
    <w:basedOn w:val="1"/>
    <w:next w:val="1"/>
    <w:unhideWhenUsed/>
    <w:qFormat/>
    <w:uiPriority w:val="39"/>
  </w:style>
  <w:style w:type="paragraph" w:styleId="22">
    <w:name w:val="toc 2"/>
    <w:basedOn w:val="1"/>
    <w:next w:val="1"/>
    <w:unhideWhenUsed/>
    <w:qFormat/>
    <w:uiPriority w:val="39"/>
    <w:pPr>
      <w:ind w:left="420" w:leftChars="200"/>
    </w:pPr>
  </w:style>
  <w:style w:type="paragraph" w:styleId="23">
    <w:name w:val="toc 3"/>
    <w:basedOn w:val="1"/>
    <w:next w:val="1"/>
    <w:unhideWhenUsed/>
    <w:qFormat/>
    <w:uiPriority w:val="39"/>
    <w:pPr>
      <w:ind w:left="840" w:leftChars="400"/>
    </w:pPr>
  </w:style>
  <w:style w:type="paragraph" w:styleId="24">
    <w:name w:val="toc 4"/>
    <w:basedOn w:val="1"/>
    <w:next w:val="1"/>
    <w:autoRedefine/>
    <w:unhideWhenUsed/>
    <w:qFormat/>
    <w:uiPriority w:val="39"/>
    <w:pPr>
      <w:spacing w:after="100" w:line="259" w:lineRule="auto"/>
      <w:ind w:left="660"/>
    </w:pPr>
    <w:rPr>
      <w:rFonts w:asciiTheme="minorHAnsi" w:hAnsiTheme="minorHAnsi" w:eastAsiaTheme="minorEastAsia" w:cstheme="minorBidi"/>
      <w:sz w:val="22"/>
      <w:szCs w:val="22"/>
      <w:lang w:val="en-US" w:eastAsia="en-US"/>
    </w:rPr>
  </w:style>
  <w:style w:type="paragraph" w:styleId="25">
    <w:name w:val="toc 5"/>
    <w:basedOn w:val="1"/>
    <w:next w:val="1"/>
    <w:autoRedefine/>
    <w:unhideWhenUsed/>
    <w:qFormat/>
    <w:uiPriority w:val="39"/>
    <w:pPr>
      <w:spacing w:after="100" w:line="259" w:lineRule="auto"/>
      <w:ind w:left="880"/>
    </w:pPr>
    <w:rPr>
      <w:rFonts w:asciiTheme="minorHAnsi" w:hAnsiTheme="minorHAnsi" w:eastAsiaTheme="minorEastAsia" w:cstheme="minorBidi"/>
      <w:sz w:val="22"/>
      <w:szCs w:val="22"/>
      <w:lang w:val="en-US" w:eastAsia="en-US"/>
    </w:rPr>
  </w:style>
  <w:style w:type="paragraph" w:styleId="26">
    <w:name w:val="toc 6"/>
    <w:basedOn w:val="1"/>
    <w:next w:val="1"/>
    <w:autoRedefine/>
    <w:unhideWhenUsed/>
    <w:qFormat/>
    <w:uiPriority w:val="39"/>
    <w:pPr>
      <w:spacing w:after="100" w:line="259" w:lineRule="auto"/>
      <w:ind w:left="1100"/>
    </w:pPr>
    <w:rPr>
      <w:rFonts w:asciiTheme="minorHAnsi" w:hAnsiTheme="minorHAnsi" w:eastAsiaTheme="minorEastAsia" w:cstheme="minorBidi"/>
      <w:sz w:val="22"/>
      <w:szCs w:val="22"/>
      <w:lang w:val="en-US" w:eastAsia="en-US"/>
    </w:rPr>
  </w:style>
  <w:style w:type="paragraph" w:styleId="27">
    <w:name w:val="toc 7"/>
    <w:basedOn w:val="1"/>
    <w:next w:val="1"/>
    <w:autoRedefine/>
    <w:unhideWhenUsed/>
    <w:qFormat/>
    <w:uiPriority w:val="39"/>
    <w:pPr>
      <w:spacing w:after="100" w:line="259" w:lineRule="auto"/>
      <w:ind w:left="1320"/>
    </w:pPr>
    <w:rPr>
      <w:rFonts w:asciiTheme="minorHAnsi" w:hAnsiTheme="minorHAnsi" w:eastAsiaTheme="minorEastAsia" w:cstheme="minorBidi"/>
      <w:sz w:val="22"/>
      <w:szCs w:val="22"/>
      <w:lang w:val="en-US" w:eastAsia="en-US"/>
    </w:rPr>
  </w:style>
  <w:style w:type="paragraph" w:styleId="28">
    <w:name w:val="toc 8"/>
    <w:basedOn w:val="1"/>
    <w:next w:val="1"/>
    <w:autoRedefine/>
    <w:unhideWhenUsed/>
    <w:qFormat/>
    <w:uiPriority w:val="39"/>
    <w:pPr>
      <w:spacing w:after="100" w:line="259" w:lineRule="auto"/>
      <w:ind w:left="1540"/>
    </w:pPr>
    <w:rPr>
      <w:rFonts w:asciiTheme="minorHAnsi" w:hAnsiTheme="minorHAnsi" w:eastAsiaTheme="minorEastAsia" w:cstheme="minorBidi"/>
      <w:sz w:val="22"/>
      <w:szCs w:val="22"/>
      <w:lang w:val="en-US" w:eastAsia="en-US"/>
    </w:rPr>
  </w:style>
  <w:style w:type="paragraph" w:styleId="29">
    <w:name w:val="toc 9"/>
    <w:basedOn w:val="1"/>
    <w:next w:val="1"/>
    <w:autoRedefine/>
    <w:unhideWhenUsed/>
    <w:qFormat/>
    <w:uiPriority w:val="39"/>
    <w:pPr>
      <w:spacing w:after="100" w:line="259" w:lineRule="auto"/>
      <w:ind w:left="1760"/>
    </w:pPr>
    <w:rPr>
      <w:rFonts w:asciiTheme="minorHAnsi" w:hAnsiTheme="minorHAnsi" w:eastAsiaTheme="minorEastAsia" w:cstheme="minorBidi"/>
      <w:sz w:val="22"/>
      <w:szCs w:val="22"/>
      <w:lang w:val="en-US" w:eastAsia="en-US"/>
    </w:rPr>
  </w:style>
  <w:style w:type="paragraph" w:customStyle="1" w:styleId="30">
    <w:name w:val="Strong1"/>
    <w:qFormat/>
    <w:uiPriority w:val="0"/>
    <w:rPr>
      <w:rFonts w:ascii="Times New Roman" w:hAnsi="Times New Roman" w:eastAsia="Times New Roman" w:cs="Times New Roman"/>
      <w:b/>
      <w:bCs/>
      <w:sz w:val="24"/>
      <w:szCs w:val="24"/>
      <w:lang w:val="zh-CN" w:eastAsia="zh-CN" w:bidi="ar-SA"/>
    </w:rPr>
  </w:style>
  <w:style w:type="paragraph" w:styleId="31">
    <w:name w:val="List Paragraph"/>
    <w:qFormat/>
    <w:uiPriority w:val="0"/>
    <w:rPr>
      <w:rFonts w:ascii="Times New Roman" w:hAnsi="Times New Roman" w:eastAsia="Times New Roman" w:cs="Times New Roman"/>
      <w:sz w:val="24"/>
      <w:szCs w:val="24"/>
      <w:lang w:val="zh-CN" w:eastAsia="zh-CN" w:bidi="ar-SA"/>
    </w:rPr>
  </w:style>
  <w:style w:type="character" w:customStyle="1" w:styleId="32">
    <w:name w:val="Footnote Text Char"/>
    <w:link w:val="15"/>
    <w:semiHidden/>
    <w:unhideWhenUsed/>
    <w:qFormat/>
    <w:uiPriority w:val="99"/>
    <w:rPr>
      <w:sz w:val="20"/>
      <w:szCs w:val="20"/>
    </w:rPr>
  </w:style>
  <w:style w:type="character" w:customStyle="1" w:styleId="33">
    <w:name w:val="Endnote Text Char"/>
    <w:link w:val="12"/>
    <w:semiHidden/>
    <w:unhideWhenUsed/>
    <w:qFormat/>
    <w:uiPriority w:val="99"/>
    <w:rPr>
      <w:sz w:val="20"/>
      <w:szCs w:val="20"/>
    </w:rPr>
  </w:style>
  <w:style w:type="character" w:customStyle="1" w:styleId="34">
    <w:name w:val="Header Char"/>
    <w:basedOn w:val="8"/>
    <w:link w:val="16"/>
    <w:qFormat/>
    <w:uiPriority w:val="99"/>
  </w:style>
  <w:style w:type="character" w:customStyle="1" w:styleId="35">
    <w:name w:val="Footer Char"/>
    <w:basedOn w:val="8"/>
    <w:link w:val="13"/>
    <w:qFormat/>
    <w:uiPriority w:val="99"/>
  </w:style>
  <w:style w:type="character" w:customStyle="1" w:styleId="36">
    <w:name w:val="Unresolved Mention1"/>
    <w:basedOn w:val="8"/>
    <w:semiHidden/>
    <w:unhideWhenUsed/>
    <w:qFormat/>
    <w:uiPriority w:val="99"/>
    <w:rPr>
      <w:color w:val="605E5C"/>
      <w:shd w:val="clear" w:color="auto" w:fill="E1DFDD"/>
    </w:rPr>
  </w:style>
  <w:style w:type="character" w:customStyle="1" w:styleId="37">
    <w:name w:val="Heading 3 Char"/>
    <w:link w:val="4"/>
    <w:qFormat/>
    <w:uiPriority w:val="9"/>
    <w:rPr>
      <w:rFonts w:ascii="Times New Roman" w:hAnsi="Times New Roman" w:eastAsia="Times New Roman" w:cs="Times New Roman"/>
      <w:b/>
      <w:bCs/>
      <w:color w:val="000000" w:themeColor="text1"/>
      <w:sz w:val="24"/>
      <w:szCs w:val="24"/>
      <w:lang w:val="zh-CN" w:eastAsia="zh-CN" w:bidi="ar-SA"/>
      <w14:textFill>
        <w14:solidFill>
          <w14:schemeClr w14:val="tx1"/>
        </w14:solidFill>
      </w14:textFill>
    </w:rPr>
  </w:style>
  <w:style w:type="character" w:customStyle="1" w:styleId="38">
    <w:name w:val="Heading 2 Char"/>
    <w:link w:val="3"/>
    <w:qFormat/>
    <w:uiPriority w:val="9"/>
    <w:rPr>
      <w:b/>
      <w:bCs/>
      <w:color w:val="000000" w:themeColor="text1"/>
      <w:sz w:val="24"/>
      <w:szCs w:val="24"/>
      <w14:textFill>
        <w14:solidFill>
          <w14:schemeClr w14:val="tx1"/>
        </w14:solidFill>
      </w14:textFill>
    </w:rPr>
  </w:style>
  <w:style w:type="paragraph" w:customStyle="1" w:styleId="39">
    <w:name w:val="TOC Heading"/>
    <w:basedOn w:val="2"/>
    <w:next w:val="1"/>
    <w:unhideWhenUsed/>
    <w:qFormat/>
    <w:uiPriority w:val="39"/>
    <w:pPr>
      <w:keepNext/>
      <w:keepLines/>
      <w:spacing w:before="240" w:line="259" w:lineRule="auto"/>
      <w:outlineLvl w:val="9"/>
    </w:pPr>
    <w:rPr>
      <w:rFonts w:asciiTheme="majorHAnsi" w:hAnsiTheme="majorHAnsi" w:eastAsiaTheme="majorEastAsia" w:cstheme="majorBidi"/>
      <w:color w:val="104862" w:themeColor="accent1" w:themeShade="BF"/>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8A0CC3-3098-4236-927C-1A0908320F16}">
  <ds:schemaRefs/>
</ds:datastoreItem>
</file>

<file path=docProps/app.xml><?xml version="1.0" encoding="utf-8"?>
<Properties xmlns="http://schemas.openxmlformats.org/officeDocument/2006/extended-properties" xmlns:vt="http://schemas.openxmlformats.org/officeDocument/2006/docPropsVTypes">
  <Template>Normal</Template>
  <Pages>71</Pages>
  <Words>837</Words>
  <Characters>4896</Characters>
  <Lines>1212</Lines>
  <Paragraphs>341</Paragraphs>
  <TotalTime>1</TotalTime>
  <ScaleCrop>false</ScaleCrop>
  <LinksUpToDate>false</LinksUpToDate>
  <CharactersWithSpaces>5763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2026-05-16T15:58:00Z</dcterms:created>
  <dc:creator>Un-named</dc:creator>
  <cp:lastModifiedBy>NOOR UL AIN ZAHID</cp:lastModifiedBy>
  <cp:lastPrinted>2026-05-03T16:39:00Z</cp:lastPrinted>
  <dcterms:modified xsi:type="dcterms:W3CDTF">2026-05-29T18:45:43Z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fbceb9b0-b983-43e0-888c-0b018ffdd36c</vt:lpwstr>
  </property>
  <property fmtid="{D5CDD505-2E9C-101B-9397-08002B2CF9AE}" pid="3" name="KSOTemplateDocerSaveRecord">
    <vt:lpwstr>eyJoZGlkIjoiYjBlMjg1YWY3YzVhNzBhNGQ4MTUwZWVjN2ZmNDg0NzYiLCJ1c2VySWQiOiIxOTI0MTQ4Njk3MDgwIn0=</vt:lpwstr>
  </property>
  <property fmtid="{D5CDD505-2E9C-101B-9397-08002B2CF9AE}" pid="4" name="KSOProductBuildVer">
    <vt:lpwstr>1033-12.1.0.26880</vt:lpwstr>
  </property>
  <property fmtid="{D5CDD505-2E9C-101B-9397-08002B2CF9AE}" pid="5" name="ICV">
    <vt:lpwstr>BE4C99ABD5FE447EA3D4399094907A63_13</vt:lpwstr>
  </property>
</Properties>
</file>