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MLOps Project Report: Fraud Detection System</w:t>
      </w:r>
    </w:p>
    <w:p>
      <w:pPr>
        <w:jc w:val="center"/>
      </w:pPr>
      <w:r>
        <w:rPr>
          <w:b/>
          <w:sz w:val="28"/>
        </w:rPr>
        <w:t>Comprehensive Performance Analysis &amp; Operational Methodology</w:t>
        <w:br/>
      </w:r>
    </w:p>
    <w:p>
      <w:pPr>
        <w:jc w:val="center"/>
      </w:pPr>
      <w:r>
        <w:rPr>
          <w:sz w:val="24"/>
        </w:rPr>
        <w:t>Course: MLOps (BS DS) | Assignment #04</w:t>
        <w:br/>
        <w:t>Author: Nooran Ishtiaq</w:t>
        <w:br/>
        <w:t>Dataset: IEEE CIS Fraud Detection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provides a detailed technical evaluation of a multi-stage MLOps pipeline developed for fraud detection. The system integrates advanced data handling, complex modeling, cost-sensitive learning, and real-time observability. Key findings indicate that Cost-Sensitive XGBoost and LightGBM provide the best balance between precision and recall, maximizing business value by significantly reducing missed fraud instances.</w:t>
      </w:r>
    </w:p>
    <w:p>
      <w:pPr>
        <w:pStyle w:val="Heading1"/>
      </w:pPr>
      <w:r>
        <w:t>2. Data Challenges &amp; Methodology (Task 2 &amp; 4)</w:t>
      </w:r>
    </w:p>
    <w:p>
      <w:r>
        <w:t>The IEEE CIS dataset is highly imbalanced (fraud ~3.5%). We implemented and compared multiple strategies to mitigate this bias: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 Variant</w:t>
            </w:r>
          </w:p>
        </w:tc>
        <w:tc>
          <w:tcPr>
            <w:tcW w:type="dxa" w:w="1440"/>
          </w:tcPr>
          <w:p>
            <w:r>
              <w:t>Sampler</w:t>
            </w:r>
          </w:p>
        </w:tc>
        <w:tc>
          <w:tcPr>
            <w:tcW w:type="dxa" w:w="1440"/>
          </w:tcPr>
          <w:p>
            <w:r>
              <w:t>Precision</w:t>
            </w:r>
          </w:p>
        </w:tc>
        <w:tc>
          <w:tcPr>
            <w:tcW w:type="dxa" w:w="1440"/>
          </w:tcPr>
          <w:p>
            <w:r>
              <w:t>Recall</w:t>
            </w:r>
          </w:p>
        </w:tc>
        <w:tc>
          <w:tcPr>
            <w:tcW w:type="dxa" w:w="1440"/>
          </w:tcPr>
          <w:p>
            <w:r>
              <w:t>F1-Score</w:t>
            </w:r>
          </w:p>
        </w:tc>
        <w:tc>
          <w:tcPr>
            <w:tcW w:type="dxa" w:w="1440"/>
          </w:tcPr>
          <w:p>
            <w:r>
              <w:t>AUC-ROC</w:t>
            </w:r>
          </w:p>
        </w:tc>
      </w:tr>
      <w:tr>
        <w:tc>
          <w:tcPr>
            <w:tcW w:type="dxa" w:w="1440"/>
          </w:tcPr>
          <w:p>
            <w:r>
              <w:t>XGBoost Standard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0.8718</w:t>
            </w:r>
          </w:p>
        </w:tc>
        <w:tc>
          <w:tcPr>
            <w:tcW w:type="dxa" w:w="1440"/>
          </w:tcPr>
          <w:p>
            <w:r>
              <w:t>0.6415</w:t>
            </w:r>
          </w:p>
        </w:tc>
        <w:tc>
          <w:tcPr>
            <w:tcW w:type="dxa" w:w="1440"/>
          </w:tcPr>
          <w:p>
            <w:r>
              <w:t>0.7391</w:t>
            </w:r>
          </w:p>
        </w:tc>
        <w:tc>
          <w:tcPr>
            <w:tcW w:type="dxa" w:w="1440"/>
          </w:tcPr>
          <w:p>
            <w:r>
              <w:t>0.9502</w:t>
            </w:r>
          </w:p>
        </w:tc>
      </w:tr>
      <w:tr>
        <w:tc>
          <w:tcPr>
            <w:tcW w:type="dxa" w:w="1440"/>
          </w:tcPr>
          <w:p>
            <w:r>
              <w:t>XGBoost Cost-Sens.</w:t>
            </w:r>
          </w:p>
        </w:tc>
        <w:tc>
          <w:tcPr>
            <w:tcW w:type="dxa" w:w="1440"/>
          </w:tcPr>
          <w:p>
            <w:r>
              <w:t>ClassWeight(10x)</w:t>
            </w:r>
          </w:p>
        </w:tc>
        <w:tc>
          <w:tcPr>
            <w:tcW w:type="dxa" w:w="1440"/>
          </w:tcPr>
          <w:p>
            <w:r>
              <w:t>0.8605</w:t>
            </w:r>
          </w:p>
        </w:tc>
        <w:tc>
          <w:tcPr>
            <w:tcW w:type="dxa" w:w="1440"/>
          </w:tcPr>
          <w:p>
            <w:r>
              <w:t>0.6981</w:t>
            </w:r>
          </w:p>
        </w:tc>
        <w:tc>
          <w:tcPr>
            <w:tcW w:type="dxa" w:w="1440"/>
          </w:tcPr>
          <w:p>
            <w:r>
              <w:t>0.7708</w:t>
            </w:r>
          </w:p>
        </w:tc>
        <w:tc>
          <w:tcPr>
            <w:tcW w:type="dxa" w:w="1440"/>
          </w:tcPr>
          <w:p>
            <w:r>
              <w:t>0.9627</w:t>
            </w:r>
          </w:p>
        </w:tc>
      </w:tr>
      <w:tr>
        <w:tc>
          <w:tcPr>
            <w:tcW w:type="dxa" w:w="1440"/>
          </w:tcPr>
          <w:p>
            <w:r>
              <w:t>XGBoost SMOTE</w:t>
            </w:r>
          </w:p>
        </w:tc>
        <w:tc>
          <w:tcPr>
            <w:tcW w:type="dxa" w:w="1440"/>
          </w:tcPr>
          <w:p>
            <w:r>
              <w:t>SMOTE</w:t>
            </w:r>
          </w:p>
        </w:tc>
        <w:tc>
          <w:tcPr>
            <w:tcW w:type="dxa" w:w="1440"/>
          </w:tcPr>
          <w:p>
            <w:r>
              <w:t>0.7826</w:t>
            </w:r>
          </w:p>
        </w:tc>
        <w:tc>
          <w:tcPr>
            <w:tcW w:type="dxa" w:w="1440"/>
          </w:tcPr>
          <w:p>
            <w:r>
              <w:t>0.6792</w:t>
            </w:r>
          </w:p>
        </w:tc>
        <w:tc>
          <w:tcPr>
            <w:tcW w:type="dxa" w:w="1440"/>
          </w:tcPr>
          <w:p>
            <w:r>
              <w:t>0.7273</w:t>
            </w:r>
          </w:p>
        </w:tc>
        <w:tc>
          <w:tcPr>
            <w:tcW w:type="dxa" w:w="1440"/>
          </w:tcPr>
          <w:p>
            <w:r>
              <w:t>0.9546</w:t>
            </w:r>
          </w:p>
        </w:tc>
      </w:tr>
      <w:tr>
        <w:tc>
          <w:tcPr>
            <w:tcW w:type="dxa" w:w="1440"/>
          </w:tcPr>
          <w:p>
            <w:r>
              <w:t>XGBoost UnderSampl.</w:t>
            </w:r>
          </w:p>
        </w:tc>
        <w:tc>
          <w:tcPr>
            <w:tcW w:type="dxa" w:w="1440"/>
          </w:tcPr>
          <w:p>
            <w:r>
              <w:t>RandomUnder</w:t>
            </w:r>
          </w:p>
        </w:tc>
        <w:tc>
          <w:tcPr>
            <w:tcW w:type="dxa" w:w="1440"/>
          </w:tcPr>
          <w:p>
            <w:r>
              <w:t>0.1769</w:t>
            </w:r>
          </w:p>
        </w:tc>
        <w:tc>
          <w:tcPr>
            <w:tcW w:type="dxa" w:w="1440"/>
          </w:tcPr>
          <w:p>
            <w:r>
              <w:t>0.9245</w:t>
            </w:r>
          </w:p>
        </w:tc>
        <w:tc>
          <w:tcPr>
            <w:tcW w:type="dxa" w:w="1440"/>
          </w:tcPr>
          <w:p>
            <w:r>
              <w:t>0.2970</w:t>
            </w:r>
          </w:p>
        </w:tc>
        <w:tc>
          <w:tcPr>
            <w:tcW w:type="dxa" w:w="1440"/>
          </w:tcPr>
          <w:p>
            <w:r>
              <w:t>0.9373</w:t>
            </w:r>
          </w:p>
        </w:tc>
      </w:tr>
      <w:tr>
        <w:tc>
          <w:tcPr>
            <w:tcW w:type="dxa" w:w="1440"/>
          </w:tcPr>
          <w:p>
            <w:r>
              <w:t>LightGBM Baseline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0.9744</w:t>
            </w:r>
          </w:p>
        </w:tc>
        <w:tc>
          <w:tcPr>
            <w:tcW w:type="dxa" w:w="1440"/>
          </w:tcPr>
          <w:p>
            <w:r>
              <w:t>0.7170</w:t>
            </w:r>
          </w:p>
        </w:tc>
        <w:tc>
          <w:tcPr>
            <w:tcW w:type="dxa" w:w="1440"/>
          </w:tcPr>
          <w:p>
            <w:r>
              <w:t>0.8261</w:t>
            </w:r>
          </w:p>
        </w:tc>
        <w:tc>
          <w:tcPr>
            <w:tcW w:type="dxa" w:w="1440"/>
          </w:tcPr>
          <w:p>
            <w:r>
              <w:t>0.9618</w:t>
            </w:r>
          </w:p>
        </w:tc>
      </w:tr>
      <w:tr>
        <w:tc>
          <w:tcPr>
            <w:tcW w:type="dxa" w:w="1440"/>
          </w:tcPr>
          <w:p>
            <w:r>
              <w:t>Hybrid (RF+FS)</w:t>
            </w:r>
          </w:p>
        </w:tc>
        <w:tc>
          <w:tcPr>
            <w:tcW w:type="dxa" w:w="1440"/>
          </w:tcPr>
          <w:p>
            <w:r>
              <w:t>None</w:t>
            </w:r>
          </w:p>
        </w:tc>
        <w:tc>
          <w:tcPr>
            <w:tcW w:type="dxa" w:w="1440"/>
          </w:tcPr>
          <w:p>
            <w:r>
              <w:t>1.0000</w:t>
            </w:r>
          </w:p>
        </w:tc>
        <w:tc>
          <w:tcPr>
            <w:tcW w:type="dxa" w:w="1440"/>
          </w:tcPr>
          <w:p>
            <w:r>
              <w:t>0.5472</w:t>
            </w:r>
          </w:p>
        </w:tc>
        <w:tc>
          <w:tcPr>
            <w:tcW w:type="dxa" w:w="1440"/>
          </w:tcPr>
          <w:p>
            <w:r>
              <w:t>0.7073</w:t>
            </w:r>
          </w:p>
        </w:tc>
        <w:tc>
          <w:tcPr>
            <w:tcW w:type="dxa" w:w="1440"/>
          </w:tcPr>
          <w:p>
            <w:r>
              <w:t>0.9553</w:t>
            </w:r>
          </w:p>
        </w:tc>
      </w:tr>
    </w:tbl>
    <w:p>
      <w:r>
        <w:br/>
        <w:t>Analysis: Random Undersampling achieved the highest Recall (92.4%), but at the cost of very low Precision. LightGBM Baseline emerged as the strongest overall performer with an F1-score of 0.8261.</w:t>
      </w:r>
    </w:p>
    <w:p>
      <w:pPr>
        <w:pStyle w:val="Heading1"/>
      </w:pPr>
      <w:r>
        <w:t>3. Business Impact Analysis (Task 4)</w:t>
      </w:r>
    </w:p>
    <w:p>
      <w:r>
        <w:t>We quantified the impact of standard vs cost-sensitive training (10x penalty for missed fraud).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Training Strategy</w:t>
            </w:r>
          </w:p>
        </w:tc>
        <w:tc>
          <w:tcPr>
            <w:tcW w:type="dxa" w:w="2160"/>
          </w:tcPr>
          <w:p>
            <w:r>
              <w:t>Missed Fraud (FN)</w:t>
            </w:r>
          </w:p>
        </w:tc>
        <w:tc>
          <w:tcPr>
            <w:tcW w:type="dxa" w:w="2160"/>
          </w:tcPr>
          <w:p>
            <w:r>
              <w:t>Total Cost ($)</w:t>
            </w:r>
          </w:p>
        </w:tc>
        <w:tc>
          <w:tcPr>
            <w:tcW w:type="dxa" w:w="2160"/>
          </w:tcPr>
          <w:p>
            <w:r>
              <w:t>Net Savings ($)</w:t>
            </w:r>
          </w:p>
        </w:tc>
      </w:tr>
      <w:tr>
        <w:tc>
          <w:tcPr>
            <w:tcW w:type="dxa" w:w="2160"/>
          </w:tcPr>
          <w:p>
            <w:r>
              <w:t>Standard Training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$3,100</w:t>
            </w:r>
          </w:p>
        </w:tc>
        <w:tc>
          <w:tcPr>
            <w:tcW w:type="dxa" w:w="2160"/>
          </w:tcPr>
          <w:p>
            <w:r>
              <w:t>$2,000</w:t>
            </w:r>
          </w:p>
        </w:tc>
      </w:tr>
      <w:tr>
        <w:tc>
          <w:tcPr>
            <w:tcW w:type="dxa" w:w="2160"/>
          </w:tcPr>
          <w:p>
            <w:r>
              <w:t>Cost-Sensitive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$2,700</w:t>
            </w:r>
          </w:p>
        </w:tc>
        <w:tc>
          <w:tcPr>
            <w:tcW w:type="dxa" w:w="2160"/>
          </w:tcPr>
          <w:p>
            <w:r>
              <w:t>$2,850</w:t>
            </w:r>
          </w:p>
        </w:tc>
      </w:tr>
    </w:tbl>
    <w:p>
      <w:r>
        <w:t>Conclusion: The Cost-Sensitive model saved an additional $850 per evaluation cycle by catching 3 more fraud cases compared to the standard model.</w:t>
      </w:r>
    </w:p>
    <w:p>
      <w:pPr>
        <w:pStyle w:val="Heading1"/>
      </w:pPr>
      <w:r>
        <w:t>4. Automation &amp; Intelligent Retraining (Task 5, 7, 8)</w:t>
      </w:r>
    </w:p>
    <w:p>
      <w:r>
        <w:t>The system utilizes a Hybrid retraining strategy triggered by performance degradation (Recall &lt; 0.85) or data drift.</w:t>
      </w:r>
    </w:p>
    <w:p>
      <w:r>
        <w:rPr>
          <w:b/>
        </w:rPr>
        <w:t>Average Retraining Time: 68.3 seconds</w:t>
        <w:br/>
      </w:r>
      <w:r>
        <w:t>Infrastructure: GitHub Actions triggered via Prometheus AlertManager webhooks.</w:t>
      </w:r>
    </w:p>
    <w:p>
      <w:pPr>
        <w:pStyle w:val="Heading1"/>
      </w:pPr>
      <w:r>
        <w:t>5. Observability &amp; Explainability (Task 6 &amp; 9)</w:t>
      </w:r>
    </w:p>
    <w:p>
      <w:r>
        <w:t>Real-time monitoring is implemented via Prometheus and Grafana, tracking:</w:t>
      </w:r>
    </w:p>
    <w:p>
      <w:pPr>
        <w:pStyle w:val="ListBullet"/>
      </w:pPr>
      <w:r>
        <w:t>System Level: API latency (avg 0.1s), Request Throughput.</w:t>
      </w:r>
    </w:p>
    <w:p>
      <w:pPr>
        <w:pStyle w:val="ListBullet"/>
      </w:pPr>
      <w:r>
        <w:t>Model Level: Dynamic Recall, False Positive Rate trends.</w:t>
      </w:r>
    </w:p>
    <w:p>
      <w:pPr>
        <w:pStyle w:val="ListBullet"/>
      </w:pPr>
      <w:r>
        <w:t>Data Level: Missing Value Trends and Feature Drift (using drift simulation scripts).</w:t>
      </w:r>
    </w:p>
    <w:p>
      <w:r>
        <w:br/>
        <w:t>Explainability: SHAP analysis reveals that 'TransactionAmt', 'card1', and 'addr1' are the top features influencing the model's decision to flag a transaction as fraud.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