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83CEE" w14:textId="662DC475" w:rsidR="00BA14F4" w:rsidRPr="00600298" w:rsidRDefault="00BA14F4" w:rsidP="00175E46">
      <w:pPr>
        <w:pStyle w:val="Heading1"/>
        <w:jc w:val="center"/>
        <w:rPr>
          <w:rFonts w:ascii="Tahoma" w:hAnsi="Tahoma" w:cs="Tahoma"/>
          <w:color w:val="auto"/>
          <w:sz w:val="72"/>
          <w:szCs w:val="72"/>
        </w:rPr>
      </w:pPr>
      <w:r w:rsidRPr="00600298">
        <w:rPr>
          <w:rFonts w:ascii="Tahoma" w:hAnsi="Tahoma" w:cs="Tahoma"/>
          <w:b/>
          <w:bCs/>
          <w:color w:val="auto"/>
          <w:sz w:val="72"/>
          <w:szCs w:val="72"/>
        </w:rPr>
        <w:t>MITRE ATT&amp;CK Framewor</w:t>
      </w:r>
      <w:r w:rsidRPr="00BA14F4">
        <w:rPr>
          <w:rFonts w:ascii="Tahoma" w:hAnsi="Tahoma" w:cs="Tahoma"/>
          <w:b/>
          <w:bCs/>
          <w:color w:val="auto"/>
          <w:sz w:val="72"/>
          <w:szCs w:val="72"/>
        </w:rPr>
        <w:t>k</w:t>
      </w:r>
    </w:p>
    <w:p w14:paraId="45B676D0" w14:textId="261722E5" w:rsidR="00BA14F4" w:rsidRPr="00600298" w:rsidRDefault="00BA14F4" w:rsidP="00BA14F4">
      <w:pPr>
        <w:pStyle w:val="Heading1"/>
        <w:jc w:val="center"/>
        <w:rPr>
          <w:rFonts w:ascii="Tahoma" w:hAnsi="Tahoma" w:cs="Tahoma"/>
          <w:b/>
          <w:bCs/>
          <w:color w:val="auto"/>
          <w:sz w:val="36"/>
          <w:szCs w:val="36"/>
        </w:rPr>
      </w:pPr>
      <w:r w:rsidRPr="00600298">
        <w:rPr>
          <w:rFonts w:ascii="Tahoma" w:hAnsi="Tahoma" w:cs="Tahoma"/>
          <w:b/>
          <w:bCs/>
          <w:color w:val="auto"/>
          <w:sz w:val="36"/>
          <w:szCs w:val="36"/>
        </w:rPr>
        <w:t>Applications in Cybersecurity Defen</w:t>
      </w:r>
      <w:r>
        <w:rPr>
          <w:rFonts w:ascii="Tahoma" w:hAnsi="Tahoma" w:cs="Tahoma"/>
          <w:b/>
          <w:bCs/>
          <w:color w:val="auto"/>
          <w:sz w:val="36"/>
          <w:szCs w:val="36"/>
        </w:rPr>
        <w:t>c</w:t>
      </w:r>
      <w:r w:rsidRPr="00600298">
        <w:rPr>
          <w:rFonts w:ascii="Tahoma" w:hAnsi="Tahoma" w:cs="Tahoma"/>
          <w:b/>
          <w:bCs/>
          <w:color w:val="auto"/>
          <w:sz w:val="36"/>
          <w:szCs w:val="36"/>
        </w:rPr>
        <w:t>e and Threat Intelligence</w:t>
      </w:r>
    </w:p>
    <w:p w14:paraId="03F8E940" w14:textId="77777777" w:rsidR="00BA14F4" w:rsidRPr="00600298" w:rsidRDefault="00BA14F4" w:rsidP="00BA14F4">
      <w:pPr>
        <w:jc w:val="center"/>
        <w:rPr>
          <w:rFonts w:ascii="Tahoma" w:hAnsi="Tahoma" w:cs="Tahoma"/>
          <w:b/>
          <w:bCs/>
          <w:sz w:val="36"/>
          <w:szCs w:val="36"/>
        </w:rPr>
      </w:pPr>
    </w:p>
    <w:p w14:paraId="7F18EE00" w14:textId="77777777" w:rsidR="00BA14F4" w:rsidRPr="00600298" w:rsidRDefault="00BA14F4" w:rsidP="00BA14F4">
      <w:pPr>
        <w:rPr>
          <w:rFonts w:ascii="Tahoma" w:hAnsi="Tahoma" w:cs="Tahoma"/>
          <w:b/>
          <w:bCs/>
        </w:rPr>
      </w:pPr>
    </w:p>
    <w:p w14:paraId="7A6F6737" w14:textId="77777777" w:rsidR="00BA14F4" w:rsidRPr="00600298" w:rsidRDefault="00BA14F4" w:rsidP="00BA14F4">
      <w:pPr>
        <w:rPr>
          <w:rFonts w:ascii="Tahoma" w:hAnsi="Tahoma" w:cs="Tahoma"/>
          <w:b/>
          <w:bCs/>
        </w:rPr>
      </w:pPr>
    </w:p>
    <w:p w14:paraId="0639CBD4" w14:textId="77777777" w:rsidR="00BA14F4" w:rsidRDefault="00BA14F4" w:rsidP="00BA14F4">
      <w:pPr>
        <w:rPr>
          <w:rFonts w:ascii="Tahoma" w:hAnsi="Tahoma" w:cs="Tahoma"/>
          <w:b/>
          <w:bCs/>
          <w:sz w:val="28"/>
          <w:szCs w:val="28"/>
        </w:rPr>
      </w:pPr>
    </w:p>
    <w:p w14:paraId="724D3371" w14:textId="77777777" w:rsidR="00BA14F4" w:rsidRPr="00600298" w:rsidRDefault="00BA14F4" w:rsidP="00BA14F4">
      <w:pPr>
        <w:jc w:val="right"/>
        <w:rPr>
          <w:rFonts w:ascii="Tahoma" w:hAnsi="Tahoma" w:cs="Tahoma"/>
          <w:b/>
          <w:bCs/>
          <w:sz w:val="28"/>
          <w:szCs w:val="28"/>
        </w:rPr>
      </w:pPr>
      <w:r w:rsidRPr="00600298">
        <w:rPr>
          <w:rFonts w:ascii="Tahoma" w:hAnsi="Tahoma" w:cs="Tahoma"/>
          <w:b/>
          <w:bCs/>
          <w:sz w:val="28"/>
          <w:szCs w:val="28"/>
        </w:rPr>
        <w:t>Prepared by: Noora S</w:t>
      </w:r>
    </w:p>
    <w:p w14:paraId="4B90E73C" w14:textId="1B84E0A4" w:rsidR="00BA14F4" w:rsidRDefault="00BA14F4">
      <w:pPr>
        <w:rPr>
          <w:rFonts w:ascii="Tahoma" w:hAnsi="Tahoma" w:cs="Tahoma"/>
          <w:b/>
          <w:bCs/>
          <w:kern w:val="0"/>
          <w:sz w:val="56"/>
          <w:szCs w:val="56"/>
        </w:rPr>
      </w:pPr>
      <w:r>
        <w:rPr>
          <w:rFonts w:ascii="Tahoma" w:hAnsi="Tahoma" w:cs="Tahoma"/>
          <w:b/>
          <w:bCs/>
          <w:kern w:val="0"/>
          <w:sz w:val="56"/>
          <w:szCs w:val="56"/>
        </w:rPr>
        <w:br w:type="page"/>
      </w:r>
    </w:p>
    <w:p w14:paraId="53AABFB4" w14:textId="77777777" w:rsidR="00BA14F4" w:rsidRDefault="00BA14F4">
      <w:pPr>
        <w:rPr>
          <w:rFonts w:ascii="Tahoma" w:hAnsi="Tahoma" w:cs="Tahoma"/>
          <w:b/>
          <w:bCs/>
          <w:kern w:val="0"/>
          <w:sz w:val="56"/>
          <w:szCs w:val="56"/>
        </w:rPr>
      </w:pPr>
    </w:p>
    <w:p w14:paraId="5EE1866F" w14:textId="5D8ED511" w:rsidR="00077D40" w:rsidRPr="00183C84" w:rsidRDefault="00077D40" w:rsidP="00077D40">
      <w:pPr>
        <w:autoSpaceDE w:val="0"/>
        <w:autoSpaceDN w:val="0"/>
        <w:adjustRightInd w:val="0"/>
        <w:spacing w:after="0" w:line="240" w:lineRule="auto"/>
        <w:jc w:val="center"/>
        <w:rPr>
          <w:rFonts w:ascii="Tahoma" w:hAnsi="Tahoma" w:cs="Tahoma"/>
          <w:b/>
          <w:bCs/>
          <w:kern w:val="0"/>
          <w:sz w:val="40"/>
          <w:szCs w:val="40"/>
        </w:rPr>
      </w:pPr>
      <w:r w:rsidRPr="00183C84">
        <w:rPr>
          <w:rFonts w:ascii="Tahoma" w:hAnsi="Tahoma" w:cs="Tahoma"/>
          <w:b/>
          <w:bCs/>
          <w:kern w:val="0"/>
          <w:sz w:val="40"/>
          <w:szCs w:val="40"/>
        </w:rPr>
        <w:t>Abstract</w:t>
      </w:r>
    </w:p>
    <w:p w14:paraId="0062705D" w14:textId="77777777" w:rsidR="00AF6EC3" w:rsidRPr="00AF6EC3" w:rsidRDefault="00AF6EC3" w:rsidP="00077D40">
      <w:pPr>
        <w:autoSpaceDE w:val="0"/>
        <w:autoSpaceDN w:val="0"/>
        <w:adjustRightInd w:val="0"/>
        <w:spacing w:after="0" w:line="240" w:lineRule="auto"/>
        <w:jc w:val="center"/>
        <w:rPr>
          <w:rFonts w:ascii="Tahoma" w:hAnsi="Tahoma" w:cs="Tahoma"/>
          <w:b/>
          <w:bCs/>
          <w:kern w:val="0"/>
          <w:sz w:val="24"/>
          <w:szCs w:val="24"/>
        </w:rPr>
      </w:pPr>
    </w:p>
    <w:p w14:paraId="2555D776" w14:textId="77777777" w:rsidR="00077D40" w:rsidRPr="00077D40" w:rsidRDefault="00077D40" w:rsidP="00077D40">
      <w:pPr>
        <w:autoSpaceDE w:val="0"/>
        <w:autoSpaceDN w:val="0"/>
        <w:adjustRightInd w:val="0"/>
        <w:spacing w:after="0" w:line="240" w:lineRule="auto"/>
        <w:rPr>
          <w:rFonts w:ascii="Tahoma" w:hAnsi="Tahoma" w:cs="Tahoma"/>
          <w:b/>
          <w:bCs/>
          <w:kern w:val="0"/>
          <w:sz w:val="24"/>
          <w:szCs w:val="24"/>
        </w:rPr>
      </w:pPr>
    </w:p>
    <w:p w14:paraId="678106D2" w14:textId="5E9F6AB6" w:rsidR="000A09C7" w:rsidRPr="001B6CD6" w:rsidRDefault="00077D40" w:rsidP="00AF6EC3">
      <w:pPr>
        <w:autoSpaceDE w:val="0"/>
        <w:autoSpaceDN w:val="0"/>
        <w:adjustRightInd w:val="0"/>
        <w:spacing w:after="0" w:line="360" w:lineRule="auto"/>
        <w:ind w:firstLine="720"/>
        <w:jc w:val="both"/>
        <w:rPr>
          <w:rFonts w:ascii="Tahoma" w:hAnsi="Tahoma" w:cs="Tahoma"/>
          <w:kern w:val="0"/>
          <w:sz w:val="24"/>
          <w:szCs w:val="24"/>
        </w:rPr>
      </w:pPr>
      <w:r w:rsidRPr="001B6CD6">
        <w:rPr>
          <w:rFonts w:ascii="Tahoma" w:hAnsi="Tahoma" w:cs="Tahoma"/>
          <w:kern w:val="0"/>
          <w:sz w:val="24"/>
          <w:szCs w:val="24"/>
        </w:rPr>
        <w:t>The MITRE ATT&amp;CK; Framework has emerged as a cornerstone in modern cybersecurity defen</w:t>
      </w:r>
      <w:r w:rsidRPr="001B6CD6">
        <w:rPr>
          <w:rFonts w:ascii="Tahoma" w:hAnsi="Tahoma" w:cs="Tahoma"/>
          <w:kern w:val="0"/>
          <w:sz w:val="24"/>
          <w:szCs w:val="24"/>
        </w:rPr>
        <w:t>c</w:t>
      </w:r>
      <w:r w:rsidRPr="001B6CD6">
        <w:rPr>
          <w:rFonts w:ascii="Tahoma" w:hAnsi="Tahoma" w:cs="Tahoma"/>
          <w:kern w:val="0"/>
          <w:sz w:val="24"/>
          <w:szCs w:val="24"/>
        </w:rPr>
        <w:t>e</w:t>
      </w:r>
      <w:r w:rsidRPr="001B6CD6">
        <w:rPr>
          <w:rFonts w:ascii="Tahoma" w:hAnsi="Tahoma" w:cs="Tahoma"/>
          <w:kern w:val="0"/>
          <w:sz w:val="24"/>
          <w:szCs w:val="24"/>
        </w:rPr>
        <w:t xml:space="preserve"> </w:t>
      </w:r>
      <w:r w:rsidRPr="001B6CD6">
        <w:rPr>
          <w:rFonts w:ascii="Tahoma" w:hAnsi="Tahoma" w:cs="Tahoma"/>
          <w:kern w:val="0"/>
          <w:sz w:val="24"/>
          <w:szCs w:val="24"/>
        </w:rPr>
        <w:t>and threat intelligence operations. It provides a structured, knowledge-based approach to mapping</w:t>
      </w:r>
      <w:r w:rsidRPr="001B6CD6">
        <w:rPr>
          <w:rFonts w:ascii="Tahoma" w:hAnsi="Tahoma" w:cs="Tahoma"/>
          <w:kern w:val="0"/>
          <w:sz w:val="24"/>
          <w:szCs w:val="24"/>
        </w:rPr>
        <w:t xml:space="preserve"> </w:t>
      </w:r>
      <w:r w:rsidRPr="001B6CD6">
        <w:rPr>
          <w:rFonts w:ascii="Tahoma" w:hAnsi="Tahoma" w:cs="Tahoma"/>
          <w:kern w:val="0"/>
          <w:sz w:val="24"/>
          <w:szCs w:val="24"/>
        </w:rPr>
        <w:t>adversarial behavio</w:t>
      </w:r>
      <w:r w:rsidRPr="001B6CD6">
        <w:rPr>
          <w:rFonts w:ascii="Tahoma" w:hAnsi="Tahoma" w:cs="Tahoma"/>
          <w:kern w:val="0"/>
          <w:sz w:val="24"/>
          <w:szCs w:val="24"/>
        </w:rPr>
        <w:t>u</w:t>
      </w:r>
      <w:r w:rsidRPr="001B6CD6">
        <w:rPr>
          <w:rFonts w:ascii="Tahoma" w:hAnsi="Tahoma" w:cs="Tahoma"/>
          <w:kern w:val="0"/>
          <w:sz w:val="24"/>
          <w:szCs w:val="24"/>
        </w:rPr>
        <w:t>r through tactics, techniques, and procedures (TTPs). This report explores the</w:t>
      </w:r>
      <w:r w:rsidRPr="001B6CD6">
        <w:rPr>
          <w:rFonts w:ascii="Tahoma" w:hAnsi="Tahoma" w:cs="Tahoma"/>
          <w:kern w:val="0"/>
          <w:sz w:val="24"/>
          <w:szCs w:val="24"/>
        </w:rPr>
        <w:t xml:space="preserve"> </w:t>
      </w:r>
      <w:r w:rsidRPr="001B6CD6">
        <w:rPr>
          <w:rFonts w:ascii="Tahoma" w:hAnsi="Tahoma" w:cs="Tahoma"/>
          <w:kern w:val="0"/>
          <w:sz w:val="24"/>
          <w:szCs w:val="24"/>
        </w:rPr>
        <w:t>origins, structure, and operational applications of the MITRE ATT&amp;CK; Framework, emphasizing its</w:t>
      </w:r>
      <w:r w:rsidRPr="001B6CD6">
        <w:rPr>
          <w:rFonts w:ascii="Tahoma" w:hAnsi="Tahoma" w:cs="Tahoma"/>
          <w:kern w:val="0"/>
          <w:sz w:val="24"/>
          <w:szCs w:val="24"/>
        </w:rPr>
        <w:t xml:space="preserve"> </w:t>
      </w:r>
      <w:r w:rsidRPr="001B6CD6">
        <w:rPr>
          <w:rFonts w:ascii="Tahoma" w:hAnsi="Tahoma" w:cs="Tahoma"/>
          <w:kern w:val="0"/>
          <w:sz w:val="24"/>
          <w:szCs w:val="24"/>
        </w:rPr>
        <w:t>role in cybersecurity defen</w:t>
      </w:r>
      <w:r w:rsidRPr="001B6CD6">
        <w:rPr>
          <w:rFonts w:ascii="Tahoma" w:hAnsi="Tahoma" w:cs="Tahoma"/>
          <w:kern w:val="0"/>
          <w:sz w:val="24"/>
          <w:szCs w:val="24"/>
        </w:rPr>
        <w:t>c</w:t>
      </w:r>
      <w:r w:rsidRPr="001B6CD6">
        <w:rPr>
          <w:rFonts w:ascii="Tahoma" w:hAnsi="Tahoma" w:cs="Tahoma"/>
          <w:kern w:val="0"/>
          <w:sz w:val="24"/>
          <w:szCs w:val="24"/>
        </w:rPr>
        <w:t>e, threat intelligence, and mapping real-world attacks to specific</w:t>
      </w:r>
      <w:r w:rsidR="00AF6EC3" w:rsidRPr="001B6CD6">
        <w:rPr>
          <w:rFonts w:ascii="Tahoma" w:hAnsi="Tahoma" w:cs="Tahoma"/>
          <w:kern w:val="0"/>
          <w:sz w:val="24"/>
          <w:szCs w:val="24"/>
        </w:rPr>
        <w:t xml:space="preserve"> </w:t>
      </w:r>
      <w:r w:rsidRPr="001B6CD6">
        <w:rPr>
          <w:rFonts w:ascii="Tahoma" w:hAnsi="Tahoma" w:cs="Tahoma"/>
          <w:kern w:val="0"/>
          <w:sz w:val="24"/>
          <w:szCs w:val="24"/>
        </w:rPr>
        <w:t>adversarial techniques. The study concludes with insights into its integration with other frameworks</w:t>
      </w:r>
      <w:r w:rsidRPr="001B6CD6">
        <w:rPr>
          <w:rFonts w:ascii="Tahoma" w:hAnsi="Tahoma" w:cs="Tahoma"/>
          <w:kern w:val="0"/>
          <w:sz w:val="24"/>
          <w:szCs w:val="24"/>
        </w:rPr>
        <w:t xml:space="preserve"> </w:t>
      </w:r>
      <w:r w:rsidRPr="001B6CD6">
        <w:rPr>
          <w:rFonts w:ascii="Tahoma" w:hAnsi="Tahoma" w:cs="Tahoma"/>
          <w:kern w:val="0"/>
          <w:sz w:val="24"/>
          <w:szCs w:val="24"/>
        </w:rPr>
        <w:t>and future advancements in adaptive threat model</w:t>
      </w:r>
      <w:r w:rsidRPr="001B6CD6">
        <w:rPr>
          <w:rFonts w:ascii="Tahoma" w:hAnsi="Tahoma" w:cs="Tahoma"/>
          <w:kern w:val="0"/>
          <w:sz w:val="24"/>
          <w:szCs w:val="24"/>
        </w:rPr>
        <w:t>l</w:t>
      </w:r>
      <w:r w:rsidRPr="001B6CD6">
        <w:rPr>
          <w:rFonts w:ascii="Tahoma" w:hAnsi="Tahoma" w:cs="Tahoma"/>
          <w:kern w:val="0"/>
          <w:sz w:val="24"/>
          <w:szCs w:val="24"/>
        </w:rPr>
        <w:t>ing.</w:t>
      </w:r>
    </w:p>
    <w:p w14:paraId="1EE3E22A" w14:textId="204314F8" w:rsidR="00AF6EC3" w:rsidRPr="001B6CD6" w:rsidRDefault="00AF6EC3">
      <w:pPr>
        <w:rPr>
          <w:rFonts w:ascii="Tahoma" w:hAnsi="Tahoma" w:cs="Tahoma"/>
          <w:kern w:val="0"/>
          <w:sz w:val="24"/>
          <w:szCs w:val="24"/>
        </w:rPr>
      </w:pPr>
      <w:r w:rsidRPr="001B6CD6">
        <w:rPr>
          <w:rFonts w:ascii="Tahoma" w:hAnsi="Tahoma" w:cs="Tahoma"/>
          <w:kern w:val="0"/>
          <w:sz w:val="24"/>
          <w:szCs w:val="24"/>
        </w:rPr>
        <w:br w:type="page"/>
      </w:r>
    </w:p>
    <w:p w14:paraId="647249DB" w14:textId="77777777" w:rsidR="00175E46" w:rsidRPr="00175E46" w:rsidRDefault="00175E46" w:rsidP="00654F75">
      <w:pPr>
        <w:pStyle w:val="Heading1"/>
        <w:jc w:val="center"/>
        <w:rPr>
          <w:rFonts w:ascii="Tahoma" w:hAnsi="Tahoma" w:cs="Tahoma"/>
          <w:b/>
          <w:bCs/>
          <w:color w:val="auto"/>
          <w:sz w:val="36"/>
          <w:szCs w:val="36"/>
        </w:rPr>
      </w:pPr>
      <w:r w:rsidRPr="00175E46">
        <w:rPr>
          <w:rFonts w:ascii="Tahoma" w:hAnsi="Tahoma" w:cs="Tahoma"/>
          <w:b/>
          <w:bCs/>
          <w:color w:val="auto"/>
          <w:sz w:val="36"/>
          <w:szCs w:val="36"/>
        </w:rPr>
        <w:lastRenderedPageBreak/>
        <w:t>1. Introduction</w:t>
      </w:r>
    </w:p>
    <w:p w14:paraId="0F8838EF" w14:textId="02F162BD" w:rsidR="00175E46" w:rsidRPr="00175E46" w:rsidRDefault="00175E46" w:rsidP="001B6CD6">
      <w:pPr>
        <w:spacing w:line="360" w:lineRule="auto"/>
        <w:jc w:val="both"/>
        <w:rPr>
          <w:rFonts w:ascii="Tahoma" w:hAnsi="Tahoma" w:cs="Tahoma"/>
          <w:sz w:val="24"/>
          <w:szCs w:val="24"/>
        </w:rPr>
      </w:pPr>
      <w:r w:rsidRPr="00175E46">
        <w:rPr>
          <w:rFonts w:ascii="Tahoma" w:hAnsi="Tahoma" w:cs="Tahoma"/>
          <w:sz w:val="24"/>
          <w:szCs w:val="24"/>
        </w:rPr>
        <w:br/>
      </w:r>
      <w:r>
        <w:rPr>
          <w:rFonts w:ascii="Tahoma" w:hAnsi="Tahoma" w:cs="Tahoma"/>
          <w:sz w:val="24"/>
          <w:szCs w:val="24"/>
        </w:rPr>
        <w:t xml:space="preserve">       </w:t>
      </w:r>
      <w:r w:rsidRPr="00175E46">
        <w:rPr>
          <w:rFonts w:ascii="Tahoma" w:hAnsi="Tahoma" w:cs="Tahoma"/>
          <w:sz w:val="24"/>
          <w:szCs w:val="24"/>
        </w:rPr>
        <w:t>Cybersecurity threats continue to evolve in complexity and frequency, making proactive threat intelligence and defensive measures essential. The MITRE ATT&amp;CK (Adversarial Tactics, Techniques, and Common Knowledge) Framework, developed by MITRE Corporation, serves as a globally recognized model for understanding adversarial behavio</w:t>
      </w:r>
      <w:r w:rsidRPr="00175E46">
        <w:rPr>
          <w:rFonts w:ascii="Tahoma" w:hAnsi="Tahoma" w:cs="Tahoma"/>
          <w:sz w:val="24"/>
          <w:szCs w:val="24"/>
        </w:rPr>
        <w:t>u</w:t>
      </w:r>
      <w:r w:rsidRPr="00175E46">
        <w:rPr>
          <w:rFonts w:ascii="Tahoma" w:hAnsi="Tahoma" w:cs="Tahoma"/>
          <w:sz w:val="24"/>
          <w:szCs w:val="24"/>
        </w:rPr>
        <w:t>r in cyber environments. Unlike traditional signature-based approaches, ATT&amp;CK focuses on the behavio</w:t>
      </w:r>
      <w:r w:rsidRPr="00175E46">
        <w:rPr>
          <w:rFonts w:ascii="Tahoma" w:hAnsi="Tahoma" w:cs="Tahoma"/>
          <w:sz w:val="24"/>
          <w:szCs w:val="24"/>
        </w:rPr>
        <w:t>u</w:t>
      </w:r>
      <w:r w:rsidRPr="00175E46">
        <w:rPr>
          <w:rFonts w:ascii="Tahoma" w:hAnsi="Tahoma" w:cs="Tahoma"/>
          <w:sz w:val="24"/>
          <w:szCs w:val="24"/>
        </w:rPr>
        <w:t>r of attackers, allowing defenders to identify, detect, and respond to threats more efficiently. This report presents a comprehensive overview of the framework’s principles, its application in cybersecurity defen</w:t>
      </w:r>
      <w:r w:rsidRPr="00175E46">
        <w:rPr>
          <w:rFonts w:ascii="Tahoma" w:hAnsi="Tahoma" w:cs="Tahoma"/>
          <w:sz w:val="24"/>
          <w:szCs w:val="24"/>
        </w:rPr>
        <w:t>c</w:t>
      </w:r>
      <w:r w:rsidRPr="00175E46">
        <w:rPr>
          <w:rFonts w:ascii="Tahoma" w:hAnsi="Tahoma" w:cs="Tahoma"/>
          <w:sz w:val="24"/>
          <w:szCs w:val="24"/>
        </w:rPr>
        <w:t>e, and its role in improving</w:t>
      </w:r>
      <w:r w:rsidRPr="00175E46">
        <w:rPr>
          <w:rFonts w:ascii="Tahoma" w:hAnsi="Tahoma" w:cs="Tahoma"/>
          <w:sz w:val="24"/>
          <w:szCs w:val="24"/>
        </w:rPr>
        <w:t xml:space="preserve"> </w:t>
      </w:r>
      <w:r w:rsidRPr="00175E46">
        <w:rPr>
          <w:rFonts w:ascii="Tahoma" w:hAnsi="Tahoma" w:cs="Tahoma"/>
          <w:sz w:val="24"/>
          <w:szCs w:val="24"/>
        </w:rPr>
        <w:t>intelligence-driven security</w:t>
      </w:r>
      <w:r w:rsidRPr="00175E46">
        <w:rPr>
          <w:rFonts w:ascii="Tahoma" w:hAnsi="Tahoma" w:cs="Tahoma"/>
          <w:sz w:val="24"/>
          <w:szCs w:val="24"/>
        </w:rPr>
        <w:t xml:space="preserve"> </w:t>
      </w:r>
      <w:r w:rsidRPr="00175E46">
        <w:rPr>
          <w:rFonts w:ascii="Tahoma" w:hAnsi="Tahoma" w:cs="Tahoma"/>
          <w:sz w:val="24"/>
          <w:szCs w:val="24"/>
        </w:rPr>
        <w:t>operations.</w:t>
      </w:r>
      <w:r w:rsidRPr="00175E46">
        <w:rPr>
          <w:rFonts w:ascii="Tahoma" w:hAnsi="Tahoma" w:cs="Tahoma"/>
          <w:sz w:val="24"/>
          <w:szCs w:val="24"/>
        </w:rPr>
        <w:br/>
      </w:r>
    </w:p>
    <w:p w14:paraId="77FCDFF8" w14:textId="77777777" w:rsidR="00175E46" w:rsidRPr="00175E46" w:rsidRDefault="00175E46" w:rsidP="00654F75">
      <w:pPr>
        <w:pStyle w:val="Heading1"/>
        <w:jc w:val="center"/>
        <w:rPr>
          <w:rFonts w:ascii="Tahoma" w:hAnsi="Tahoma" w:cs="Tahoma"/>
          <w:b/>
          <w:bCs/>
          <w:sz w:val="36"/>
          <w:szCs w:val="36"/>
        </w:rPr>
      </w:pPr>
      <w:r w:rsidRPr="00175E46">
        <w:rPr>
          <w:rFonts w:ascii="Tahoma" w:hAnsi="Tahoma" w:cs="Tahoma"/>
          <w:b/>
          <w:bCs/>
          <w:color w:val="auto"/>
          <w:sz w:val="36"/>
          <w:szCs w:val="36"/>
        </w:rPr>
        <w:t>2. Overview of the MITRE ATT&amp;CK Framework</w:t>
      </w:r>
    </w:p>
    <w:p w14:paraId="3B29214F" w14:textId="47388933" w:rsidR="00183C84" w:rsidRDefault="00175E46" w:rsidP="001B6CD6">
      <w:pPr>
        <w:spacing w:line="360" w:lineRule="auto"/>
        <w:jc w:val="both"/>
        <w:rPr>
          <w:rFonts w:ascii="Tahoma" w:hAnsi="Tahoma" w:cs="Tahoma"/>
          <w:sz w:val="24"/>
          <w:szCs w:val="24"/>
        </w:rPr>
      </w:pPr>
      <w:r w:rsidRPr="00175E46">
        <w:rPr>
          <w:rFonts w:ascii="Tahoma" w:hAnsi="Tahoma" w:cs="Tahoma"/>
          <w:sz w:val="24"/>
          <w:szCs w:val="24"/>
        </w:rPr>
        <w:br/>
      </w:r>
      <w:r>
        <w:rPr>
          <w:rFonts w:ascii="Tahoma" w:hAnsi="Tahoma" w:cs="Tahoma"/>
          <w:sz w:val="24"/>
          <w:szCs w:val="24"/>
        </w:rPr>
        <w:t xml:space="preserve">      </w:t>
      </w:r>
      <w:r w:rsidR="00654F75">
        <w:rPr>
          <w:rFonts w:ascii="Tahoma" w:hAnsi="Tahoma" w:cs="Tahoma"/>
          <w:sz w:val="24"/>
          <w:szCs w:val="24"/>
        </w:rPr>
        <w:t xml:space="preserve">  </w:t>
      </w:r>
      <w:r w:rsidRPr="00175E46">
        <w:rPr>
          <w:rFonts w:ascii="Tahoma" w:hAnsi="Tahoma" w:cs="Tahoma"/>
          <w:sz w:val="24"/>
          <w:szCs w:val="24"/>
        </w:rPr>
        <w:t>MITRE Corporation, a non-profit organization supporting U.S. government research and</w:t>
      </w:r>
      <w:r w:rsidRPr="00175E46">
        <w:rPr>
          <w:rFonts w:ascii="Tahoma" w:hAnsi="Tahoma" w:cs="Tahoma"/>
          <w:sz w:val="24"/>
          <w:szCs w:val="24"/>
        </w:rPr>
        <w:t xml:space="preserve"> </w:t>
      </w:r>
      <w:r w:rsidRPr="00175E46">
        <w:rPr>
          <w:rFonts w:ascii="Tahoma" w:hAnsi="Tahoma" w:cs="Tahoma"/>
          <w:sz w:val="24"/>
          <w:szCs w:val="24"/>
        </w:rPr>
        <w:t>development, introduced the ATT&amp;CK Framework in 2013. The framework was initially developed to document adversarial tactics observed during real-world cyberattacks. Over time, ATT&amp;CK evolved into a comprehensive, open-source knowledge base that classifies cyber adversary behavio</w:t>
      </w:r>
      <w:r w:rsidRPr="00175E46">
        <w:rPr>
          <w:rFonts w:ascii="Tahoma" w:hAnsi="Tahoma" w:cs="Tahoma"/>
          <w:sz w:val="24"/>
          <w:szCs w:val="24"/>
        </w:rPr>
        <w:t>u</w:t>
      </w:r>
      <w:r w:rsidRPr="00175E46">
        <w:rPr>
          <w:rFonts w:ascii="Tahoma" w:hAnsi="Tahoma" w:cs="Tahoma"/>
          <w:sz w:val="24"/>
          <w:szCs w:val="24"/>
        </w:rPr>
        <w:t>r across enterprise, cloud, mobile, and industrial control systems (ICS) environments. It enables analysts to describe and categorize attacks with a consistent vocabulary, facilitating improved collaboration among cybersecurity teams worldwide.</w:t>
      </w:r>
      <w:r w:rsidRPr="00175E46">
        <w:rPr>
          <w:rFonts w:ascii="Tahoma" w:hAnsi="Tahoma" w:cs="Tahoma"/>
          <w:sz w:val="24"/>
          <w:szCs w:val="24"/>
        </w:rPr>
        <w:br/>
      </w:r>
    </w:p>
    <w:p w14:paraId="5EF431D5" w14:textId="77777777" w:rsidR="00183C84" w:rsidRDefault="00183C84">
      <w:pPr>
        <w:rPr>
          <w:rFonts w:ascii="Tahoma" w:hAnsi="Tahoma" w:cs="Tahoma"/>
          <w:sz w:val="24"/>
          <w:szCs w:val="24"/>
        </w:rPr>
      </w:pPr>
      <w:r>
        <w:rPr>
          <w:rFonts w:ascii="Tahoma" w:hAnsi="Tahoma" w:cs="Tahoma"/>
          <w:sz w:val="24"/>
          <w:szCs w:val="24"/>
        </w:rPr>
        <w:br w:type="page"/>
      </w:r>
    </w:p>
    <w:p w14:paraId="44929A5C" w14:textId="77777777" w:rsidR="00175E46" w:rsidRPr="00175E46" w:rsidRDefault="00175E46" w:rsidP="001B6CD6">
      <w:pPr>
        <w:spacing w:line="360" w:lineRule="auto"/>
        <w:jc w:val="both"/>
        <w:rPr>
          <w:rFonts w:ascii="Tahoma" w:hAnsi="Tahoma" w:cs="Tahoma"/>
          <w:sz w:val="24"/>
          <w:szCs w:val="24"/>
        </w:rPr>
      </w:pPr>
    </w:p>
    <w:p w14:paraId="33EFA30D" w14:textId="77777777" w:rsidR="00175E46" w:rsidRPr="00654F75" w:rsidRDefault="00175E46" w:rsidP="00654F75">
      <w:pPr>
        <w:pStyle w:val="Heading1"/>
        <w:jc w:val="center"/>
        <w:rPr>
          <w:rFonts w:ascii="Tahoma" w:hAnsi="Tahoma" w:cs="Tahoma"/>
          <w:b/>
          <w:bCs/>
          <w:color w:val="auto"/>
          <w:sz w:val="36"/>
          <w:szCs w:val="36"/>
        </w:rPr>
      </w:pPr>
      <w:r w:rsidRPr="00654F75">
        <w:rPr>
          <w:rFonts w:ascii="Tahoma" w:hAnsi="Tahoma" w:cs="Tahoma"/>
          <w:b/>
          <w:bCs/>
          <w:color w:val="auto"/>
          <w:sz w:val="36"/>
          <w:szCs w:val="36"/>
        </w:rPr>
        <w:t>3. Structure of the Framework: Tactics, Techniques, and Procedures (TTPs)</w:t>
      </w:r>
    </w:p>
    <w:p w14:paraId="0B4EEAEA" w14:textId="7935ED48" w:rsidR="00175E46" w:rsidRPr="00175E46" w:rsidRDefault="00175E46" w:rsidP="001B6CD6">
      <w:pPr>
        <w:spacing w:line="360" w:lineRule="auto"/>
        <w:jc w:val="both"/>
        <w:rPr>
          <w:rFonts w:ascii="Tahoma" w:hAnsi="Tahoma" w:cs="Tahoma"/>
          <w:sz w:val="24"/>
          <w:szCs w:val="24"/>
        </w:rPr>
      </w:pPr>
      <w:r w:rsidRPr="00175E46">
        <w:rPr>
          <w:rFonts w:ascii="Tahoma" w:hAnsi="Tahoma" w:cs="Tahoma"/>
          <w:sz w:val="24"/>
          <w:szCs w:val="24"/>
        </w:rPr>
        <w:br/>
      </w:r>
      <w:r w:rsidR="00654F75">
        <w:rPr>
          <w:rFonts w:ascii="Tahoma" w:hAnsi="Tahoma" w:cs="Tahoma"/>
          <w:sz w:val="24"/>
          <w:szCs w:val="24"/>
        </w:rPr>
        <w:t xml:space="preserve">       </w:t>
      </w:r>
      <w:r w:rsidRPr="00175E46">
        <w:rPr>
          <w:rFonts w:ascii="Tahoma" w:hAnsi="Tahoma" w:cs="Tahoma"/>
          <w:sz w:val="24"/>
          <w:szCs w:val="24"/>
        </w:rPr>
        <w:t>The ATT&amp;CK Framework organizes adversary behavio</w:t>
      </w:r>
      <w:r w:rsidRPr="00175E46">
        <w:rPr>
          <w:rFonts w:ascii="Tahoma" w:hAnsi="Tahoma" w:cs="Tahoma"/>
          <w:sz w:val="24"/>
          <w:szCs w:val="24"/>
        </w:rPr>
        <w:t>u</w:t>
      </w:r>
      <w:r w:rsidRPr="00175E46">
        <w:rPr>
          <w:rFonts w:ascii="Tahoma" w:hAnsi="Tahoma" w:cs="Tahoma"/>
          <w:sz w:val="24"/>
          <w:szCs w:val="24"/>
        </w:rPr>
        <w:t>r using the Tactics, Techniques, and Procedures (TTP) model. Tactics represent the adversary’s goals or intentions, such as gaining initial access or maintaining persistence. Techniques describe how these goals are achieved—for example, through phishing or credential dumping. Procedures provide specific implementations of a technique, often unique to a threat actor or malware family. This hierarchical structure allows defenders to trace and anticipate adversary behavio</w:t>
      </w:r>
      <w:r w:rsidRPr="00175E46">
        <w:rPr>
          <w:rFonts w:ascii="Tahoma" w:hAnsi="Tahoma" w:cs="Tahoma"/>
          <w:sz w:val="24"/>
          <w:szCs w:val="24"/>
        </w:rPr>
        <w:t>u</w:t>
      </w:r>
      <w:r w:rsidRPr="00175E46">
        <w:rPr>
          <w:rFonts w:ascii="Tahoma" w:hAnsi="Tahoma" w:cs="Tahoma"/>
          <w:sz w:val="24"/>
          <w:szCs w:val="24"/>
        </w:rPr>
        <w:t>r at varying levels of granularity.</w:t>
      </w:r>
      <w:r w:rsidRPr="00175E46">
        <w:rPr>
          <w:rFonts w:ascii="Tahoma" w:hAnsi="Tahoma" w:cs="Tahoma"/>
          <w:sz w:val="24"/>
          <w:szCs w:val="24"/>
        </w:rPr>
        <w:br/>
      </w:r>
    </w:p>
    <w:p w14:paraId="6D96C788" w14:textId="5F72564C" w:rsidR="00175E46" w:rsidRPr="00654F75" w:rsidRDefault="00175E46" w:rsidP="001B6CD6">
      <w:pPr>
        <w:pStyle w:val="Heading1"/>
        <w:spacing w:line="360" w:lineRule="auto"/>
        <w:jc w:val="center"/>
        <w:rPr>
          <w:rFonts w:ascii="Tahoma" w:hAnsi="Tahoma" w:cs="Tahoma"/>
          <w:b/>
          <w:bCs/>
          <w:color w:val="auto"/>
          <w:sz w:val="36"/>
          <w:szCs w:val="36"/>
        </w:rPr>
      </w:pPr>
      <w:r w:rsidRPr="00654F75">
        <w:rPr>
          <w:rFonts w:ascii="Tahoma" w:hAnsi="Tahoma" w:cs="Tahoma"/>
          <w:b/>
          <w:bCs/>
          <w:color w:val="auto"/>
          <w:sz w:val="36"/>
          <w:szCs w:val="36"/>
        </w:rPr>
        <w:t>4. Application in Cybersecurity Defen</w:t>
      </w:r>
      <w:r w:rsidRPr="00654F75">
        <w:rPr>
          <w:rFonts w:ascii="Tahoma" w:hAnsi="Tahoma" w:cs="Tahoma"/>
          <w:b/>
          <w:bCs/>
          <w:color w:val="auto"/>
          <w:sz w:val="36"/>
          <w:szCs w:val="36"/>
        </w:rPr>
        <w:t>c</w:t>
      </w:r>
      <w:r w:rsidRPr="00654F75">
        <w:rPr>
          <w:rFonts w:ascii="Tahoma" w:hAnsi="Tahoma" w:cs="Tahoma"/>
          <w:b/>
          <w:bCs/>
          <w:color w:val="auto"/>
          <w:sz w:val="36"/>
          <w:szCs w:val="36"/>
        </w:rPr>
        <w:t>e</w:t>
      </w:r>
    </w:p>
    <w:p w14:paraId="4C7192E8" w14:textId="74F81A66" w:rsidR="00175E46" w:rsidRPr="00175E46" w:rsidRDefault="00175E46" w:rsidP="001B6CD6">
      <w:pPr>
        <w:spacing w:line="360" w:lineRule="auto"/>
        <w:jc w:val="both"/>
        <w:rPr>
          <w:rFonts w:ascii="Tahoma" w:hAnsi="Tahoma" w:cs="Tahoma"/>
          <w:sz w:val="24"/>
          <w:szCs w:val="24"/>
        </w:rPr>
      </w:pPr>
      <w:r w:rsidRPr="00654F75">
        <w:rPr>
          <w:rFonts w:ascii="Tahoma" w:hAnsi="Tahoma" w:cs="Tahoma"/>
          <w:b/>
          <w:bCs/>
          <w:sz w:val="36"/>
          <w:szCs w:val="36"/>
        </w:rPr>
        <w:br/>
      </w:r>
      <w:r w:rsidRPr="00175E46">
        <w:rPr>
          <w:rFonts w:ascii="Tahoma" w:hAnsi="Tahoma" w:cs="Tahoma"/>
          <w:sz w:val="24"/>
          <w:szCs w:val="24"/>
        </w:rPr>
        <w:t>Organizations leverage the ATT&amp;CK Framework to strengthen their cybersecurity posture through improved detection engineering, threat hunting, and red teaming. By mapping existing security controls to ATT&amp;CK techniques, security operations centr</w:t>
      </w:r>
      <w:r w:rsidRPr="00175E46">
        <w:rPr>
          <w:rFonts w:ascii="Tahoma" w:hAnsi="Tahoma" w:cs="Tahoma"/>
          <w:sz w:val="24"/>
          <w:szCs w:val="24"/>
        </w:rPr>
        <w:t>e</w:t>
      </w:r>
      <w:r w:rsidRPr="00175E46">
        <w:rPr>
          <w:rFonts w:ascii="Tahoma" w:hAnsi="Tahoma" w:cs="Tahoma"/>
          <w:sz w:val="24"/>
          <w:szCs w:val="24"/>
        </w:rPr>
        <w:t>s (SOCs) can identify detection gaps and prioritize improvements. Incident response teams use the framework to correlate observed activities with known adversary behavio</w:t>
      </w:r>
      <w:r w:rsidRPr="00175E46">
        <w:rPr>
          <w:rFonts w:ascii="Tahoma" w:hAnsi="Tahoma" w:cs="Tahoma"/>
          <w:sz w:val="24"/>
          <w:szCs w:val="24"/>
        </w:rPr>
        <w:t>u</w:t>
      </w:r>
      <w:r w:rsidRPr="00175E46">
        <w:rPr>
          <w:rFonts w:ascii="Tahoma" w:hAnsi="Tahoma" w:cs="Tahoma"/>
          <w:sz w:val="24"/>
          <w:szCs w:val="24"/>
        </w:rPr>
        <w:t>rs, enabling faster containment and remediation. Furthermore, ATT&amp;CK empowers defenders to transition from reactive to proactive security by simulating potential attack paths and strengthening resilience.</w:t>
      </w:r>
      <w:r w:rsidRPr="00175E46">
        <w:rPr>
          <w:rFonts w:ascii="Tahoma" w:hAnsi="Tahoma" w:cs="Tahoma"/>
          <w:sz w:val="24"/>
          <w:szCs w:val="24"/>
        </w:rPr>
        <w:br/>
      </w:r>
    </w:p>
    <w:p w14:paraId="500C0DDC" w14:textId="77777777" w:rsidR="00B54A90" w:rsidRDefault="00B54A90">
      <w:pPr>
        <w:rPr>
          <w:rFonts w:ascii="Tahoma" w:eastAsiaTheme="majorEastAsia" w:hAnsi="Tahoma" w:cs="Tahoma"/>
          <w:b/>
          <w:bCs/>
          <w:sz w:val="36"/>
          <w:szCs w:val="36"/>
        </w:rPr>
      </w:pPr>
      <w:r>
        <w:rPr>
          <w:rFonts w:ascii="Tahoma" w:hAnsi="Tahoma" w:cs="Tahoma"/>
          <w:b/>
          <w:bCs/>
          <w:sz w:val="36"/>
          <w:szCs w:val="36"/>
        </w:rPr>
        <w:br w:type="page"/>
      </w:r>
    </w:p>
    <w:p w14:paraId="3C1DBAB4" w14:textId="2CA4F9B3" w:rsidR="00175E46" w:rsidRPr="00654F75" w:rsidRDefault="00175E46" w:rsidP="001B6CD6">
      <w:pPr>
        <w:pStyle w:val="Heading1"/>
        <w:spacing w:line="360" w:lineRule="auto"/>
        <w:jc w:val="center"/>
        <w:rPr>
          <w:rFonts w:ascii="Tahoma" w:hAnsi="Tahoma" w:cs="Tahoma"/>
          <w:b/>
          <w:bCs/>
          <w:color w:val="auto"/>
          <w:sz w:val="36"/>
          <w:szCs w:val="36"/>
        </w:rPr>
      </w:pPr>
      <w:r w:rsidRPr="00654F75">
        <w:rPr>
          <w:rFonts w:ascii="Tahoma" w:hAnsi="Tahoma" w:cs="Tahoma"/>
          <w:b/>
          <w:bCs/>
          <w:color w:val="auto"/>
          <w:sz w:val="36"/>
          <w:szCs w:val="36"/>
        </w:rPr>
        <w:lastRenderedPageBreak/>
        <w:t>5. Application in Threat Intelligence</w:t>
      </w:r>
    </w:p>
    <w:p w14:paraId="5B905EDC" w14:textId="0B4D2AD8" w:rsidR="00175E46" w:rsidRPr="00175E46" w:rsidRDefault="00175E46" w:rsidP="001B6CD6">
      <w:pPr>
        <w:spacing w:line="360" w:lineRule="auto"/>
        <w:jc w:val="both"/>
        <w:rPr>
          <w:rFonts w:ascii="Tahoma" w:hAnsi="Tahoma" w:cs="Tahoma"/>
          <w:sz w:val="24"/>
          <w:szCs w:val="24"/>
        </w:rPr>
      </w:pPr>
      <w:r w:rsidRPr="00175E46">
        <w:rPr>
          <w:rFonts w:ascii="Tahoma" w:hAnsi="Tahoma" w:cs="Tahoma"/>
          <w:sz w:val="24"/>
          <w:szCs w:val="24"/>
        </w:rPr>
        <w:br/>
      </w:r>
      <w:r w:rsidR="00654F75">
        <w:rPr>
          <w:rFonts w:ascii="Tahoma" w:hAnsi="Tahoma" w:cs="Tahoma"/>
          <w:sz w:val="24"/>
          <w:szCs w:val="24"/>
        </w:rPr>
        <w:t xml:space="preserve">       </w:t>
      </w:r>
      <w:r w:rsidRPr="00175E46">
        <w:rPr>
          <w:rFonts w:ascii="Tahoma" w:hAnsi="Tahoma" w:cs="Tahoma"/>
          <w:sz w:val="24"/>
          <w:szCs w:val="24"/>
        </w:rPr>
        <w:t>In threat intelligence, the ATT&amp;CK Framework provides a common taxonomy for describing adversarial behavio</w:t>
      </w:r>
      <w:r w:rsidRPr="00175E46">
        <w:rPr>
          <w:rFonts w:ascii="Tahoma" w:hAnsi="Tahoma" w:cs="Tahoma"/>
          <w:sz w:val="24"/>
          <w:szCs w:val="24"/>
        </w:rPr>
        <w:t>u</w:t>
      </w:r>
      <w:r w:rsidRPr="00175E46">
        <w:rPr>
          <w:rFonts w:ascii="Tahoma" w:hAnsi="Tahoma" w:cs="Tahoma"/>
          <w:sz w:val="24"/>
          <w:szCs w:val="24"/>
        </w:rPr>
        <w:t>rs across campaigns and industries. It enhances the quality and interoperability of intelligence reports by aligning data with specific techniques and tactics. Analysts use this mapping to attribute attacks to particular threat actors and predict future operations based on behavio</w:t>
      </w:r>
      <w:r w:rsidRPr="00175E46">
        <w:rPr>
          <w:rFonts w:ascii="Tahoma" w:hAnsi="Tahoma" w:cs="Tahoma"/>
          <w:sz w:val="24"/>
          <w:szCs w:val="24"/>
        </w:rPr>
        <w:t>u</w:t>
      </w:r>
      <w:r w:rsidRPr="00175E46">
        <w:rPr>
          <w:rFonts w:ascii="Tahoma" w:hAnsi="Tahoma" w:cs="Tahoma"/>
          <w:sz w:val="24"/>
          <w:szCs w:val="24"/>
        </w:rPr>
        <w:t>ral trends. The structured nature of ATT&amp;CK also facilitates machine-readable intelligence sharing through platforms like STIX and TAXII, enabling automated correlation across threat feeds and organizational boundaries.</w:t>
      </w:r>
      <w:r w:rsidRPr="00175E46">
        <w:rPr>
          <w:rFonts w:ascii="Tahoma" w:hAnsi="Tahoma" w:cs="Tahoma"/>
          <w:sz w:val="24"/>
          <w:szCs w:val="24"/>
        </w:rPr>
        <w:br/>
      </w:r>
    </w:p>
    <w:p w14:paraId="4C940519" w14:textId="77777777" w:rsidR="00175E46" w:rsidRPr="001B6CD6" w:rsidRDefault="00175E46" w:rsidP="001B6CD6">
      <w:pPr>
        <w:pStyle w:val="Heading1"/>
        <w:jc w:val="center"/>
        <w:rPr>
          <w:rFonts w:ascii="Tahoma" w:hAnsi="Tahoma" w:cs="Tahoma"/>
          <w:b/>
          <w:bCs/>
          <w:color w:val="auto"/>
          <w:sz w:val="36"/>
          <w:szCs w:val="36"/>
        </w:rPr>
      </w:pPr>
      <w:r w:rsidRPr="001B6CD6">
        <w:rPr>
          <w:rFonts w:ascii="Tahoma" w:hAnsi="Tahoma" w:cs="Tahoma"/>
          <w:b/>
          <w:bCs/>
          <w:color w:val="auto"/>
          <w:sz w:val="36"/>
          <w:szCs w:val="36"/>
        </w:rPr>
        <w:t>6. Mapping Attacks to Tactics and Techniques</w:t>
      </w:r>
    </w:p>
    <w:p w14:paraId="65946E7D" w14:textId="2C539C2E" w:rsidR="00175E46" w:rsidRPr="00175E46" w:rsidRDefault="00175E46" w:rsidP="001B6CD6">
      <w:pPr>
        <w:spacing w:line="360" w:lineRule="auto"/>
        <w:jc w:val="both"/>
        <w:rPr>
          <w:rFonts w:ascii="Tahoma" w:hAnsi="Tahoma" w:cs="Tahoma"/>
          <w:sz w:val="24"/>
          <w:szCs w:val="24"/>
        </w:rPr>
      </w:pPr>
      <w:r w:rsidRPr="00175E46">
        <w:rPr>
          <w:rFonts w:ascii="Tahoma" w:hAnsi="Tahoma" w:cs="Tahoma"/>
          <w:sz w:val="24"/>
          <w:szCs w:val="24"/>
        </w:rPr>
        <w:br/>
      </w:r>
      <w:r w:rsidR="001B6CD6">
        <w:rPr>
          <w:rFonts w:ascii="Tahoma" w:hAnsi="Tahoma" w:cs="Tahoma"/>
          <w:sz w:val="24"/>
          <w:szCs w:val="24"/>
        </w:rPr>
        <w:t xml:space="preserve">         </w:t>
      </w:r>
      <w:r w:rsidRPr="00175E46">
        <w:rPr>
          <w:rFonts w:ascii="Tahoma" w:hAnsi="Tahoma" w:cs="Tahoma"/>
          <w:sz w:val="24"/>
          <w:szCs w:val="24"/>
        </w:rPr>
        <w:t>Mapping real-world attacks to ATT&amp;CK techniques is a critical process for both defenders and intelligence analysts. It involves analy</w:t>
      </w:r>
      <w:r w:rsidRPr="00175E46">
        <w:rPr>
          <w:rFonts w:ascii="Tahoma" w:hAnsi="Tahoma" w:cs="Tahoma"/>
          <w:sz w:val="24"/>
          <w:szCs w:val="24"/>
        </w:rPr>
        <w:t>s</w:t>
      </w:r>
      <w:r w:rsidRPr="00175E46">
        <w:rPr>
          <w:rFonts w:ascii="Tahoma" w:hAnsi="Tahoma" w:cs="Tahoma"/>
          <w:sz w:val="24"/>
          <w:szCs w:val="24"/>
        </w:rPr>
        <w:t>ing incident data, identifying behavio</w:t>
      </w:r>
      <w:r w:rsidRPr="00175E46">
        <w:rPr>
          <w:rFonts w:ascii="Tahoma" w:hAnsi="Tahoma" w:cs="Tahoma"/>
          <w:sz w:val="24"/>
          <w:szCs w:val="24"/>
        </w:rPr>
        <w:t>u</w:t>
      </w:r>
      <w:r w:rsidRPr="00175E46">
        <w:rPr>
          <w:rFonts w:ascii="Tahoma" w:hAnsi="Tahoma" w:cs="Tahoma"/>
          <w:sz w:val="24"/>
          <w:szCs w:val="24"/>
        </w:rPr>
        <w:t>rs consistent with ATT&amp;CK techniques, and associating them with specific tactics. For example, a spear-phishing campaign may map to the ‘Phishing’ technique under the ‘Initial Access’ tactic, followed by</w:t>
      </w:r>
      <w:r w:rsidRPr="00175E46">
        <w:rPr>
          <w:rFonts w:ascii="Tahoma" w:hAnsi="Tahoma" w:cs="Tahoma"/>
          <w:sz w:val="24"/>
          <w:szCs w:val="24"/>
        </w:rPr>
        <w:t xml:space="preserve"> </w:t>
      </w:r>
      <w:r w:rsidRPr="00175E46">
        <w:rPr>
          <w:rFonts w:ascii="Tahoma" w:hAnsi="Tahoma" w:cs="Tahoma"/>
          <w:sz w:val="24"/>
          <w:szCs w:val="24"/>
        </w:rPr>
        <w:t>‘Credential Dumping’ under the ‘Credential Access’ tactic. Such mappings allow security teams to visualize attack progressions, assess defen</w:t>
      </w:r>
      <w:r w:rsidRPr="00175E46">
        <w:rPr>
          <w:rFonts w:ascii="Tahoma" w:hAnsi="Tahoma" w:cs="Tahoma"/>
          <w:sz w:val="24"/>
          <w:szCs w:val="24"/>
        </w:rPr>
        <w:t>c</w:t>
      </w:r>
      <w:r w:rsidRPr="00175E46">
        <w:rPr>
          <w:rFonts w:ascii="Tahoma" w:hAnsi="Tahoma" w:cs="Tahoma"/>
          <w:sz w:val="24"/>
          <w:szCs w:val="24"/>
        </w:rPr>
        <w:t>es, and design targeted detection mechanisms for each stage of an attack lifecycle.</w:t>
      </w:r>
      <w:r w:rsidRPr="00175E46">
        <w:rPr>
          <w:rFonts w:ascii="Tahoma" w:hAnsi="Tahoma" w:cs="Tahoma"/>
          <w:sz w:val="24"/>
          <w:szCs w:val="24"/>
        </w:rPr>
        <w:br/>
      </w:r>
    </w:p>
    <w:p w14:paraId="3B8D995F" w14:textId="77777777" w:rsidR="00B54A90" w:rsidRDefault="00B54A90">
      <w:pPr>
        <w:rPr>
          <w:rFonts w:ascii="Tahoma" w:eastAsiaTheme="majorEastAsia" w:hAnsi="Tahoma" w:cs="Tahoma"/>
          <w:b/>
          <w:bCs/>
          <w:sz w:val="36"/>
          <w:szCs w:val="36"/>
        </w:rPr>
      </w:pPr>
      <w:r>
        <w:rPr>
          <w:rFonts w:ascii="Tahoma" w:hAnsi="Tahoma" w:cs="Tahoma"/>
          <w:b/>
          <w:bCs/>
          <w:sz w:val="36"/>
          <w:szCs w:val="36"/>
        </w:rPr>
        <w:br w:type="page"/>
      </w:r>
    </w:p>
    <w:p w14:paraId="0A5FAC85" w14:textId="797C95D9" w:rsidR="00175E46" w:rsidRPr="001B6CD6" w:rsidRDefault="00175E46" w:rsidP="001B6CD6">
      <w:pPr>
        <w:pStyle w:val="Heading1"/>
        <w:spacing w:line="360" w:lineRule="auto"/>
        <w:jc w:val="center"/>
        <w:rPr>
          <w:rFonts w:ascii="Tahoma" w:hAnsi="Tahoma" w:cs="Tahoma"/>
          <w:b/>
          <w:bCs/>
          <w:sz w:val="36"/>
          <w:szCs w:val="36"/>
        </w:rPr>
      </w:pPr>
      <w:r w:rsidRPr="001B6CD6">
        <w:rPr>
          <w:rFonts w:ascii="Tahoma" w:hAnsi="Tahoma" w:cs="Tahoma"/>
          <w:b/>
          <w:bCs/>
          <w:color w:val="auto"/>
          <w:sz w:val="36"/>
          <w:szCs w:val="36"/>
        </w:rPr>
        <w:lastRenderedPageBreak/>
        <w:t>7. Integration with Other Frameworks</w:t>
      </w:r>
    </w:p>
    <w:p w14:paraId="136A2E81" w14:textId="42489C80" w:rsidR="00175E46" w:rsidRPr="00175E46" w:rsidRDefault="00175E46" w:rsidP="001B6CD6">
      <w:pPr>
        <w:spacing w:line="360" w:lineRule="auto"/>
        <w:jc w:val="both"/>
        <w:rPr>
          <w:rFonts w:ascii="Tahoma" w:hAnsi="Tahoma" w:cs="Tahoma"/>
          <w:sz w:val="24"/>
          <w:szCs w:val="24"/>
        </w:rPr>
      </w:pPr>
      <w:r w:rsidRPr="00175E46">
        <w:rPr>
          <w:rFonts w:ascii="Tahoma" w:hAnsi="Tahoma" w:cs="Tahoma"/>
          <w:sz w:val="24"/>
          <w:szCs w:val="24"/>
        </w:rPr>
        <w:br/>
      </w:r>
      <w:r w:rsidR="001B6CD6">
        <w:rPr>
          <w:rFonts w:ascii="Tahoma" w:hAnsi="Tahoma" w:cs="Tahoma"/>
          <w:sz w:val="24"/>
          <w:szCs w:val="24"/>
        </w:rPr>
        <w:t xml:space="preserve">        </w:t>
      </w:r>
      <w:r w:rsidRPr="00175E46">
        <w:rPr>
          <w:rFonts w:ascii="Tahoma" w:hAnsi="Tahoma" w:cs="Tahoma"/>
          <w:sz w:val="24"/>
          <w:szCs w:val="24"/>
        </w:rPr>
        <w:t>The ATT&amp;CK Framework complements existing cybersecurity standards such as the NIST</w:t>
      </w:r>
      <w:r w:rsidRPr="00175E46">
        <w:rPr>
          <w:rFonts w:ascii="Tahoma" w:hAnsi="Tahoma" w:cs="Tahoma"/>
          <w:sz w:val="24"/>
          <w:szCs w:val="24"/>
        </w:rPr>
        <w:t xml:space="preserve"> </w:t>
      </w:r>
      <w:r w:rsidRPr="00175E46">
        <w:rPr>
          <w:rFonts w:ascii="Tahoma" w:hAnsi="Tahoma" w:cs="Tahoma"/>
          <w:sz w:val="24"/>
          <w:szCs w:val="24"/>
        </w:rPr>
        <w:t>Cybersecurity Framework and Lockheed Martin’s Cyber Kill Chain. While the Kill Chain focuses on the linear progression of an attack, ATT&amp;CK emphasizes detailed behavio</w:t>
      </w:r>
      <w:r w:rsidRPr="00175E46">
        <w:rPr>
          <w:rFonts w:ascii="Tahoma" w:hAnsi="Tahoma" w:cs="Tahoma"/>
          <w:sz w:val="24"/>
          <w:szCs w:val="24"/>
        </w:rPr>
        <w:t>u</w:t>
      </w:r>
      <w:r w:rsidRPr="00175E46">
        <w:rPr>
          <w:rFonts w:ascii="Tahoma" w:hAnsi="Tahoma" w:cs="Tahoma"/>
          <w:sz w:val="24"/>
          <w:szCs w:val="24"/>
        </w:rPr>
        <w:t xml:space="preserve">ral analytics at each stage. </w:t>
      </w:r>
      <w:r w:rsidRPr="00175E46">
        <w:rPr>
          <w:rFonts w:ascii="Tahoma" w:hAnsi="Tahoma" w:cs="Tahoma"/>
          <w:sz w:val="24"/>
          <w:szCs w:val="24"/>
        </w:rPr>
        <w:br/>
        <w:t>Organizations often integrate ATT&amp;CK with NIST controls to create comprehensive detection and mitigation strategies, linking technical observations with governance and risk management</w:t>
      </w:r>
      <w:r w:rsidRPr="00175E46">
        <w:rPr>
          <w:rFonts w:ascii="Tahoma" w:hAnsi="Tahoma" w:cs="Tahoma"/>
          <w:sz w:val="24"/>
          <w:szCs w:val="24"/>
        </w:rPr>
        <w:t xml:space="preserve"> </w:t>
      </w:r>
      <w:r w:rsidRPr="00175E46">
        <w:rPr>
          <w:rFonts w:ascii="Tahoma" w:hAnsi="Tahoma" w:cs="Tahoma"/>
          <w:sz w:val="24"/>
          <w:szCs w:val="24"/>
        </w:rPr>
        <w:t>objectives.</w:t>
      </w:r>
      <w:r w:rsidRPr="00175E46">
        <w:rPr>
          <w:rFonts w:ascii="Tahoma" w:hAnsi="Tahoma" w:cs="Tahoma"/>
          <w:sz w:val="24"/>
          <w:szCs w:val="24"/>
        </w:rPr>
        <w:br/>
      </w:r>
    </w:p>
    <w:p w14:paraId="6B86C993" w14:textId="77777777" w:rsidR="00175E46" w:rsidRPr="001B6CD6" w:rsidRDefault="00175E46" w:rsidP="001B6CD6">
      <w:pPr>
        <w:pStyle w:val="Heading1"/>
        <w:spacing w:line="360" w:lineRule="auto"/>
        <w:jc w:val="center"/>
        <w:rPr>
          <w:rFonts w:ascii="Tahoma" w:hAnsi="Tahoma" w:cs="Tahoma"/>
          <w:b/>
          <w:bCs/>
          <w:color w:val="auto"/>
          <w:sz w:val="36"/>
          <w:szCs w:val="36"/>
        </w:rPr>
      </w:pPr>
      <w:r w:rsidRPr="001B6CD6">
        <w:rPr>
          <w:rFonts w:ascii="Tahoma" w:hAnsi="Tahoma" w:cs="Tahoma"/>
          <w:b/>
          <w:bCs/>
          <w:color w:val="auto"/>
          <w:sz w:val="36"/>
          <w:szCs w:val="36"/>
        </w:rPr>
        <w:t>8. Challenges and Limitations</w:t>
      </w:r>
    </w:p>
    <w:p w14:paraId="2CF00DE1" w14:textId="1170AE6F" w:rsidR="00175E46" w:rsidRPr="00175E46" w:rsidRDefault="00175E46" w:rsidP="001B6CD6">
      <w:pPr>
        <w:spacing w:line="360" w:lineRule="auto"/>
        <w:jc w:val="both"/>
        <w:rPr>
          <w:rFonts w:ascii="Tahoma" w:hAnsi="Tahoma" w:cs="Tahoma"/>
          <w:sz w:val="24"/>
          <w:szCs w:val="24"/>
        </w:rPr>
      </w:pPr>
      <w:r w:rsidRPr="00175E46">
        <w:rPr>
          <w:rFonts w:ascii="Tahoma" w:hAnsi="Tahoma" w:cs="Tahoma"/>
          <w:sz w:val="24"/>
          <w:szCs w:val="24"/>
        </w:rPr>
        <w:br/>
      </w:r>
      <w:r w:rsidR="001B6CD6">
        <w:rPr>
          <w:rFonts w:ascii="Tahoma" w:hAnsi="Tahoma" w:cs="Tahoma"/>
          <w:sz w:val="24"/>
          <w:szCs w:val="24"/>
        </w:rPr>
        <w:t xml:space="preserve">        </w:t>
      </w:r>
      <w:r w:rsidRPr="00175E46">
        <w:rPr>
          <w:rFonts w:ascii="Tahoma" w:hAnsi="Tahoma" w:cs="Tahoma"/>
          <w:sz w:val="24"/>
          <w:szCs w:val="24"/>
        </w:rPr>
        <w:t>Despite its widespread adoption, the MITRE ATT&amp;CK Framework faces certain challenges.</w:t>
      </w:r>
      <w:r w:rsidRPr="00175E46">
        <w:rPr>
          <w:rFonts w:ascii="Tahoma" w:hAnsi="Tahoma" w:cs="Tahoma"/>
          <w:sz w:val="24"/>
          <w:szCs w:val="24"/>
        </w:rPr>
        <w:t xml:space="preserve"> </w:t>
      </w:r>
      <w:r w:rsidRPr="00175E46">
        <w:rPr>
          <w:rFonts w:ascii="Tahoma" w:hAnsi="Tahoma" w:cs="Tahoma"/>
          <w:sz w:val="24"/>
          <w:szCs w:val="24"/>
        </w:rPr>
        <w:t>Maintaining the currency of its techniques database is complex given the rapidly evolving threat landscape. Moreover, over-reliance on ATT&amp;CK mappings can lead to tunnel vision, where analysts may overlook novel or unclassified behavio</w:t>
      </w:r>
      <w:r w:rsidRPr="00175E46">
        <w:rPr>
          <w:rFonts w:ascii="Tahoma" w:hAnsi="Tahoma" w:cs="Tahoma"/>
          <w:sz w:val="24"/>
          <w:szCs w:val="24"/>
        </w:rPr>
        <w:t>u</w:t>
      </w:r>
      <w:r w:rsidRPr="00175E46">
        <w:rPr>
          <w:rFonts w:ascii="Tahoma" w:hAnsi="Tahoma" w:cs="Tahoma"/>
          <w:sz w:val="24"/>
          <w:szCs w:val="24"/>
        </w:rPr>
        <w:t>rs. Smaller organizations may also struggle with the resources required to operationalize the framework effectively within their environments.</w:t>
      </w:r>
      <w:r w:rsidRPr="00175E46">
        <w:rPr>
          <w:rFonts w:ascii="Tahoma" w:hAnsi="Tahoma" w:cs="Tahoma"/>
          <w:sz w:val="24"/>
          <w:szCs w:val="24"/>
        </w:rPr>
        <w:br/>
      </w:r>
    </w:p>
    <w:p w14:paraId="105145C9" w14:textId="77777777" w:rsidR="00175E46" w:rsidRPr="001B6CD6" w:rsidRDefault="00175E46" w:rsidP="001B6CD6">
      <w:pPr>
        <w:pStyle w:val="Heading1"/>
        <w:spacing w:line="360" w:lineRule="auto"/>
        <w:jc w:val="center"/>
        <w:rPr>
          <w:rFonts w:ascii="Tahoma" w:hAnsi="Tahoma" w:cs="Tahoma"/>
          <w:b/>
          <w:bCs/>
          <w:color w:val="auto"/>
          <w:sz w:val="36"/>
          <w:szCs w:val="36"/>
        </w:rPr>
      </w:pPr>
      <w:r w:rsidRPr="001B6CD6">
        <w:rPr>
          <w:rFonts w:ascii="Tahoma" w:hAnsi="Tahoma" w:cs="Tahoma"/>
          <w:b/>
          <w:bCs/>
          <w:color w:val="auto"/>
          <w:sz w:val="36"/>
          <w:szCs w:val="36"/>
        </w:rPr>
        <w:t>9. Future Directions and Advancements</w:t>
      </w:r>
    </w:p>
    <w:p w14:paraId="18EEE9B8" w14:textId="67C29E86" w:rsidR="00175E46" w:rsidRPr="00175E46" w:rsidRDefault="00175E46" w:rsidP="001B6CD6">
      <w:pPr>
        <w:spacing w:line="360" w:lineRule="auto"/>
        <w:jc w:val="both"/>
        <w:rPr>
          <w:rFonts w:ascii="Tahoma" w:hAnsi="Tahoma" w:cs="Tahoma"/>
          <w:sz w:val="24"/>
          <w:szCs w:val="24"/>
        </w:rPr>
      </w:pPr>
      <w:r w:rsidRPr="00175E46">
        <w:rPr>
          <w:rFonts w:ascii="Tahoma" w:hAnsi="Tahoma" w:cs="Tahoma"/>
          <w:sz w:val="24"/>
          <w:szCs w:val="24"/>
        </w:rPr>
        <w:br/>
      </w:r>
      <w:r w:rsidR="001B6CD6">
        <w:rPr>
          <w:rFonts w:ascii="Tahoma" w:hAnsi="Tahoma" w:cs="Tahoma"/>
          <w:sz w:val="24"/>
          <w:szCs w:val="24"/>
        </w:rPr>
        <w:t xml:space="preserve">          </w:t>
      </w:r>
      <w:r w:rsidRPr="00175E46">
        <w:rPr>
          <w:rFonts w:ascii="Tahoma" w:hAnsi="Tahoma" w:cs="Tahoma"/>
          <w:sz w:val="24"/>
          <w:szCs w:val="24"/>
        </w:rPr>
        <w:t>As cyber threats continue to diversify, the ATT&amp;CK Framework is expected to evolve toward more automation, machine learning integration, and real-time behavio</w:t>
      </w:r>
      <w:r w:rsidRPr="00175E46">
        <w:rPr>
          <w:rFonts w:ascii="Tahoma" w:hAnsi="Tahoma" w:cs="Tahoma"/>
          <w:sz w:val="24"/>
          <w:szCs w:val="24"/>
        </w:rPr>
        <w:t>u</w:t>
      </w:r>
      <w:r w:rsidRPr="00175E46">
        <w:rPr>
          <w:rFonts w:ascii="Tahoma" w:hAnsi="Tahoma" w:cs="Tahoma"/>
          <w:sz w:val="24"/>
          <w:szCs w:val="24"/>
        </w:rPr>
        <w:t>ral mapping. Future versions may incorporate predictive analytics, helping organizations anticipate adversary actions before they occur. Expansion into cloud-native and artificial intelligence-driven attack surfaces will further enhance its relevance for modern enterprise environments.</w:t>
      </w:r>
      <w:r w:rsidRPr="00175E46">
        <w:rPr>
          <w:rFonts w:ascii="Tahoma" w:hAnsi="Tahoma" w:cs="Tahoma"/>
          <w:sz w:val="24"/>
          <w:szCs w:val="24"/>
        </w:rPr>
        <w:br/>
      </w:r>
    </w:p>
    <w:p w14:paraId="2088E614" w14:textId="77777777" w:rsidR="00175E46" w:rsidRPr="001B6CD6" w:rsidRDefault="00175E46" w:rsidP="001B6CD6">
      <w:pPr>
        <w:pStyle w:val="Heading1"/>
        <w:spacing w:line="360" w:lineRule="auto"/>
        <w:jc w:val="center"/>
        <w:rPr>
          <w:rFonts w:ascii="Tahoma" w:hAnsi="Tahoma" w:cs="Tahoma"/>
          <w:b/>
          <w:bCs/>
          <w:color w:val="auto"/>
          <w:sz w:val="36"/>
          <w:szCs w:val="36"/>
        </w:rPr>
      </w:pPr>
      <w:r w:rsidRPr="001B6CD6">
        <w:rPr>
          <w:rFonts w:ascii="Tahoma" w:hAnsi="Tahoma" w:cs="Tahoma"/>
          <w:b/>
          <w:bCs/>
          <w:color w:val="auto"/>
          <w:sz w:val="36"/>
          <w:szCs w:val="36"/>
        </w:rPr>
        <w:lastRenderedPageBreak/>
        <w:t>10. Conclusion</w:t>
      </w:r>
    </w:p>
    <w:p w14:paraId="48882D42" w14:textId="28CEAA32" w:rsidR="00AF6EC3" w:rsidRPr="00175E46" w:rsidRDefault="00175E46" w:rsidP="001B6CD6">
      <w:pPr>
        <w:autoSpaceDE w:val="0"/>
        <w:autoSpaceDN w:val="0"/>
        <w:adjustRightInd w:val="0"/>
        <w:spacing w:after="0" w:line="360" w:lineRule="auto"/>
        <w:ind w:firstLine="720"/>
        <w:jc w:val="both"/>
        <w:rPr>
          <w:rFonts w:ascii="Tahoma" w:hAnsi="Tahoma" w:cs="Tahoma"/>
          <w:kern w:val="0"/>
          <w:sz w:val="24"/>
          <w:szCs w:val="24"/>
        </w:rPr>
      </w:pPr>
      <w:r w:rsidRPr="00175E46">
        <w:rPr>
          <w:rFonts w:ascii="Tahoma" w:hAnsi="Tahoma" w:cs="Tahoma"/>
          <w:sz w:val="24"/>
          <w:szCs w:val="24"/>
        </w:rPr>
        <w:br/>
      </w:r>
      <w:r w:rsidR="001B6CD6">
        <w:rPr>
          <w:rFonts w:ascii="Tahoma" w:hAnsi="Tahoma" w:cs="Tahoma"/>
          <w:sz w:val="24"/>
          <w:szCs w:val="24"/>
        </w:rPr>
        <w:t xml:space="preserve">           </w:t>
      </w:r>
      <w:r w:rsidRPr="00175E46">
        <w:rPr>
          <w:rFonts w:ascii="Tahoma" w:hAnsi="Tahoma" w:cs="Tahoma"/>
          <w:sz w:val="24"/>
          <w:szCs w:val="24"/>
        </w:rPr>
        <w:t>The MITRE ATT&amp;CK Framework has transformed the way organizations understand and counter cyber threats. By providing a common language and structured methodology, it bridges the gap between intelligence collection, defen</w:t>
      </w:r>
      <w:r w:rsidRPr="00175E46">
        <w:rPr>
          <w:rFonts w:ascii="Tahoma" w:hAnsi="Tahoma" w:cs="Tahoma"/>
          <w:sz w:val="24"/>
          <w:szCs w:val="24"/>
        </w:rPr>
        <w:t>c</w:t>
      </w:r>
      <w:r w:rsidRPr="00175E46">
        <w:rPr>
          <w:rFonts w:ascii="Tahoma" w:hAnsi="Tahoma" w:cs="Tahoma"/>
          <w:sz w:val="24"/>
          <w:szCs w:val="24"/>
        </w:rPr>
        <w:t>e operations, and threat detection. Its continued evolution will play a vital role in shaping the next generation of cybersecurity strategies, ensuring that defenders remain one step ahead in the ongoing battle against digital adversaries.</w:t>
      </w:r>
    </w:p>
    <w:sectPr w:rsidR="00AF6EC3" w:rsidRPr="00175E46" w:rsidSect="00673F7C">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B5"/>
    <w:rsid w:val="00077D40"/>
    <w:rsid w:val="000A09C7"/>
    <w:rsid w:val="00175E46"/>
    <w:rsid w:val="00183C84"/>
    <w:rsid w:val="001B6CD6"/>
    <w:rsid w:val="002C34C4"/>
    <w:rsid w:val="00654F75"/>
    <w:rsid w:val="00673F7C"/>
    <w:rsid w:val="007E08DB"/>
    <w:rsid w:val="007E6BB5"/>
    <w:rsid w:val="00AF6EC3"/>
    <w:rsid w:val="00B00981"/>
    <w:rsid w:val="00B54A90"/>
    <w:rsid w:val="00BA14F4"/>
    <w:rsid w:val="00FB35C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75B0"/>
  <w15:chartTrackingRefBased/>
  <w15:docId w15:val="{D46D59A4-BD90-404A-BD06-6912A936D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ml-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B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B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B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B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B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B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B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B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B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B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BB5"/>
    <w:rPr>
      <w:rFonts w:eastAsiaTheme="majorEastAsia" w:cstheme="majorBidi"/>
      <w:color w:val="272727" w:themeColor="text1" w:themeTint="D8"/>
    </w:rPr>
  </w:style>
  <w:style w:type="paragraph" w:styleId="Title">
    <w:name w:val="Title"/>
    <w:basedOn w:val="Normal"/>
    <w:next w:val="Normal"/>
    <w:link w:val="TitleChar"/>
    <w:uiPriority w:val="10"/>
    <w:qFormat/>
    <w:rsid w:val="007E6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BB5"/>
    <w:pPr>
      <w:spacing w:before="160"/>
      <w:jc w:val="center"/>
    </w:pPr>
    <w:rPr>
      <w:i/>
      <w:iCs/>
      <w:color w:val="404040" w:themeColor="text1" w:themeTint="BF"/>
    </w:rPr>
  </w:style>
  <w:style w:type="character" w:customStyle="1" w:styleId="QuoteChar">
    <w:name w:val="Quote Char"/>
    <w:basedOn w:val="DefaultParagraphFont"/>
    <w:link w:val="Quote"/>
    <w:uiPriority w:val="29"/>
    <w:rsid w:val="007E6BB5"/>
    <w:rPr>
      <w:i/>
      <w:iCs/>
      <w:color w:val="404040" w:themeColor="text1" w:themeTint="BF"/>
    </w:rPr>
  </w:style>
  <w:style w:type="paragraph" w:styleId="ListParagraph">
    <w:name w:val="List Paragraph"/>
    <w:basedOn w:val="Normal"/>
    <w:uiPriority w:val="34"/>
    <w:qFormat/>
    <w:rsid w:val="007E6BB5"/>
    <w:pPr>
      <w:ind w:left="720"/>
      <w:contextualSpacing/>
    </w:pPr>
  </w:style>
  <w:style w:type="character" w:styleId="IntenseEmphasis">
    <w:name w:val="Intense Emphasis"/>
    <w:basedOn w:val="DefaultParagraphFont"/>
    <w:uiPriority w:val="21"/>
    <w:qFormat/>
    <w:rsid w:val="007E6BB5"/>
    <w:rPr>
      <w:i/>
      <w:iCs/>
      <w:color w:val="2F5496" w:themeColor="accent1" w:themeShade="BF"/>
    </w:rPr>
  </w:style>
  <w:style w:type="paragraph" w:styleId="IntenseQuote">
    <w:name w:val="Intense Quote"/>
    <w:basedOn w:val="Normal"/>
    <w:next w:val="Normal"/>
    <w:link w:val="IntenseQuoteChar"/>
    <w:uiPriority w:val="30"/>
    <w:qFormat/>
    <w:rsid w:val="007E6B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BB5"/>
    <w:rPr>
      <w:i/>
      <w:iCs/>
      <w:color w:val="2F5496" w:themeColor="accent1" w:themeShade="BF"/>
    </w:rPr>
  </w:style>
  <w:style w:type="character" w:styleId="IntenseReference">
    <w:name w:val="Intense Reference"/>
    <w:basedOn w:val="DefaultParagraphFont"/>
    <w:uiPriority w:val="32"/>
    <w:qFormat/>
    <w:rsid w:val="007E6B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1015</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 S Farook</dc:creator>
  <cp:keywords/>
  <dc:description/>
  <cp:lastModifiedBy>Noora S Farook</cp:lastModifiedBy>
  <cp:revision>7</cp:revision>
  <dcterms:created xsi:type="dcterms:W3CDTF">2025-10-21T15:43:00Z</dcterms:created>
  <dcterms:modified xsi:type="dcterms:W3CDTF">2025-10-21T17:44:00Z</dcterms:modified>
</cp:coreProperties>
</file>