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Exploratory Data Analysis of Electric Vehicle Charging Patterns</w:t>
      </w:r>
    </w:p>
    <w:p>
      <w:pPr>
        <w:jc w:val="center"/>
      </w:pPr>
      <w:r>
        <w:rPr>
          <w:b/>
          <w:sz w:val="28"/>
        </w:rPr>
        <w:t>City of Palo Alto Electric Vehicle Charging Station Usage</w:t>
        <w:br/>
        <w:t>July 2011 to December 2020</w:t>
      </w:r>
    </w:p>
    <w:p>
      <w:r>
        <w:br/>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F4E78"/>
            <w:vAlign w:val="center"/>
            <w:tcMar>
              <w:top w:w="90" w:type="dxa"/>
              <w:start w:w="110" w:type="dxa"/>
              <w:bottom w:w="90" w:type="dxa"/>
              <w:end w:w="110" w:type="dxa"/>
            </w:tcMar>
          </w:tcPr>
          <w:p>
            <w:r>
              <w:rPr>
                <w:b/>
                <w:color w:val="FFFFFF"/>
                <w:sz w:val="19"/>
              </w:rPr>
              <w:t>Project Information</w:t>
            </w:r>
          </w:p>
        </w:tc>
        <w:tc>
          <w:tcPr>
            <w:tcW w:type="dxa" w:w="6984"/>
            <w:shd w:fill="1F4E78"/>
            <w:vAlign w:val="center"/>
            <w:tcMar>
              <w:top w:w="90" w:type="dxa"/>
              <w:start w:w="110" w:type="dxa"/>
              <w:bottom w:w="90" w:type="dxa"/>
              <w:end w:w="110" w:type="dxa"/>
            </w:tcMar>
          </w:tcPr>
          <w:p>
            <w:r>
              <w:rPr>
                <w:b/>
                <w:color w:val="FFFFFF"/>
                <w:sz w:val="19"/>
              </w:rPr>
              <w:t>Details</w:t>
            </w:r>
          </w:p>
        </w:tc>
      </w:tr>
      <w:tr>
        <w:tc>
          <w:tcPr>
            <w:tcW w:type="dxa" w:w="2232"/>
            <w:vAlign w:val="center"/>
            <w:shd w:fill="FFFFFF"/>
            <w:tcMar>
              <w:top w:w="90" w:type="dxa"/>
              <w:start w:w="110" w:type="dxa"/>
              <w:bottom w:w="90" w:type="dxa"/>
              <w:end w:w="110" w:type="dxa"/>
            </w:tcMar>
          </w:tcPr>
          <w:p>
            <w:r>
              <w:rPr>
                <w:color w:val="000000"/>
                <w:sz w:val="19"/>
              </w:rPr>
              <w:t>Course context</w:t>
            </w:r>
          </w:p>
        </w:tc>
        <w:tc>
          <w:tcPr>
            <w:tcW w:type="dxa" w:w="6984"/>
            <w:vAlign w:val="center"/>
            <w:shd w:fill="FFFFFF"/>
            <w:tcMar>
              <w:top w:w="90" w:type="dxa"/>
              <w:start w:w="110" w:type="dxa"/>
              <w:bottom w:w="90" w:type="dxa"/>
              <w:end w:w="110" w:type="dxa"/>
            </w:tcMar>
          </w:tcPr>
          <w:p>
            <w:r>
              <w:rPr>
                <w:color w:val="000000"/>
                <w:sz w:val="19"/>
              </w:rPr>
              <w:t>University Data Science class project</w:t>
            </w:r>
          </w:p>
        </w:tc>
      </w:tr>
      <w:tr>
        <w:tc>
          <w:tcPr>
            <w:tcW w:type="dxa" w:w="2232"/>
            <w:vAlign w:val="center"/>
            <w:shd w:fill="EAF2F8"/>
            <w:tcMar>
              <w:top w:w="90" w:type="dxa"/>
              <w:start w:w="110" w:type="dxa"/>
              <w:bottom w:w="90" w:type="dxa"/>
              <w:end w:w="110" w:type="dxa"/>
            </w:tcMar>
          </w:tcPr>
          <w:p>
            <w:r>
              <w:rPr>
                <w:color w:val="000000"/>
                <w:sz w:val="19"/>
              </w:rPr>
              <w:t>Analysis type</w:t>
            </w:r>
          </w:p>
        </w:tc>
        <w:tc>
          <w:tcPr>
            <w:tcW w:type="dxa" w:w="6984"/>
            <w:vAlign w:val="center"/>
            <w:shd w:fill="EAF2F8"/>
            <w:tcMar>
              <w:top w:w="90" w:type="dxa"/>
              <w:start w:w="110" w:type="dxa"/>
              <w:bottom w:w="90" w:type="dxa"/>
              <w:end w:w="110" w:type="dxa"/>
            </w:tcMar>
          </w:tcPr>
          <w:p>
            <w:r>
              <w:rPr>
                <w:color w:val="000000"/>
                <w:sz w:val="19"/>
              </w:rPr>
              <w:t>Exploratory data analysis</w:t>
            </w:r>
          </w:p>
        </w:tc>
      </w:tr>
      <w:tr>
        <w:tc>
          <w:tcPr>
            <w:tcW w:type="dxa" w:w="2232"/>
            <w:vAlign w:val="center"/>
            <w:shd w:fill="FFFFFF"/>
            <w:tcMar>
              <w:top w:w="90" w:type="dxa"/>
              <w:start w:w="110" w:type="dxa"/>
              <w:bottom w:w="90" w:type="dxa"/>
              <w:end w:w="110" w:type="dxa"/>
            </w:tcMar>
          </w:tcPr>
          <w:p>
            <w:r>
              <w:rPr>
                <w:color w:val="000000"/>
                <w:sz w:val="19"/>
              </w:rPr>
              <w:t>Source file</w:t>
            </w:r>
          </w:p>
        </w:tc>
        <w:tc>
          <w:tcPr>
            <w:tcW w:type="dxa" w:w="6984"/>
            <w:vAlign w:val="center"/>
            <w:shd w:fill="FFFFFF"/>
            <w:tcMar>
              <w:top w:w="90" w:type="dxa"/>
              <w:start w:w="110" w:type="dxa"/>
              <w:bottom w:w="90" w:type="dxa"/>
              <w:end w:w="110" w:type="dxa"/>
            </w:tcMar>
          </w:tcPr>
          <w:p>
            <w:r>
              <w:rPr>
                <w:color w:val="000000"/>
                <w:sz w:val="19"/>
              </w:rPr>
              <w:t>EVChargingStationUsage.csv</w:t>
            </w:r>
          </w:p>
        </w:tc>
      </w:tr>
      <w:tr>
        <w:tc>
          <w:tcPr>
            <w:tcW w:type="dxa" w:w="2232"/>
            <w:vAlign w:val="center"/>
            <w:shd w:fill="EAF2F8"/>
            <w:tcMar>
              <w:top w:w="90" w:type="dxa"/>
              <w:start w:w="110" w:type="dxa"/>
              <w:bottom w:w="90" w:type="dxa"/>
              <w:end w:w="110" w:type="dxa"/>
            </w:tcMar>
          </w:tcPr>
          <w:p>
            <w:r>
              <w:rPr>
                <w:color w:val="000000"/>
                <w:sz w:val="19"/>
              </w:rPr>
              <w:t>Original data</w:t>
            </w:r>
          </w:p>
        </w:tc>
        <w:tc>
          <w:tcPr>
            <w:tcW w:type="dxa" w:w="6984"/>
            <w:vAlign w:val="center"/>
            <w:shd w:fill="EAF2F8"/>
            <w:tcMar>
              <w:top w:w="90" w:type="dxa"/>
              <w:start w:w="110" w:type="dxa"/>
              <w:bottom w:w="90" w:type="dxa"/>
              <w:end w:w="110" w:type="dxa"/>
            </w:tcMar>
          </w:tcPr>
          <w:p>
            <w:r>
              <w:rPr>
                <w:color w:val="000000"/>
                <w:sz w:val="19"/>
              </w:rPr>
              <w:t>259,415 records and 33 columns</w:t>
            </w:r>
          </w:p>
        </w:tc>
      </w:tr>
      <w:tr>
        <w:tc>
          <w:tcPr>
            <w:tcW w:type="dxa" w:w="2232"/>
            <w:vAlign w:val="center"/>
            <w:shd w:fill="FFFFFF"/>
            <w:tcMar>
              <w:top w:w="90" w:type="dxa"/>
              <w:start w:w="110" w:type="dxa"/>
              <w:bottom w:w="90" w:type="dxa"/>
              <w:end w:w="110" w:type="dxa"/>
            </w:tcMar>
          </w:tcPr>
          <w:p>
            <w:r>
              <w:rPr>
                <w:color w:val="000000"/>
                <w:sz w:val="19"/>
              </w:rPr>
              <w:t>Cleaned data</w:t>
            </w:r>
          </w:p>
        </w:tc>
        <w:tc>
          <w:tcPr>
            <w:tcW w:type="dxa" w:w="6984"/>
            <w:vAlign w:val="center"/>
            <w:shd w:fill="FFFFFF"/>
            <w:tcMar>
              <w:top w:w="90" w:type="dxa"/>
              <w:start w:w="110" w:type="dxa"/>
              <w:bottom w:w="90" w:type="dxa"/>
              <w:end w:w="110" w:type="dxa"/>
            </w:tcMar>
          </w:tcPr>
          <w:p>
            <w:r>
              <w:rPr>
                <w:color w:val="000000"/>
                <w:sz w:val="19"/>
              </w:rPr>
              <w:t>259,295 charging sessions</w:t>
            </w:r>
          </w:p>
        </w:tc>
      </w:tr>
      <w:tr>
        <w:tc>
          <w:tcPr>
            <w:tcW w:type="dxa" w:w="2232"/>
            <w:vAlign w:val="center"/>
            <w:shd w:fill="EAF2F8"/>
            <w:tcMar>
              <w:top w:w="90" w:type="dxa"/>
              <w:start w:w="110" w:type="dxa"/>
              <w:bottom w:w="90" w:type="dxa"/>
              <w:end w:w="110" w:type="dxa"/>
            </w:tcMar>
          </w:tcPr>
          <w:p>
            <w:r>
              <w:rPr>
                <w:color w:val="000000"/>
                <w:sz w:val="19"/>
              </w:rPr>
              <w:t>Software</w:t>
            </w:r>
          </w:p>
        </w:tc>
        <w:tc>
          <w:tcPr>
            <w:tcW w:type="dxa" w:w="6984"/>
            <w:vAlign w:val="center"/>
            <w:shd w:fill="EAF2F8"/>
            <w:tcMar>
              <w:top w:w="90" w:type="dxa"/>
              <w:start w:w="110" w:type="dxa"/>
              <w:bottom w:w="90" w:type="dxa"/>
              <w:end w:w="110" w:type="dxa"/>
            </w:tcMar>
          </w:tcPr>
          <w:p>
            <w:r>
              <w:rPr>
                <w:color w:val="000000"/>
                <w:sz w:val="19"/>
              </w:rPr>
              <w:t>Python with pandas, NumPy, Matplotlib, Seaborn, SciPy, and scikit-learn</w:t>
            </w:r>
          </w:p>
        </w:tc>
      </w:tr>
    </w:tbl>
    <w:p>
      <w:pPr>
        <w:spacing w:after="20"/>
      </w:pPr>
    </w:p>
    <w:p>
      <w:pPr>
        <w:jc w:val="center"/>
      </w:pPr>
      <w:r>
        <w:t>Prepared as a reproducible analysis. The accompanying Jupyter notebook contains all code, executed outputs, figures, and exported summary datasets.</w:t>
      </w:r>
    </w:p>
    <w:p>
      <w:r>
        <w:br w:type="page"/>
      </w:r>
    </w:p>
    <w:p>
      <w:pPr>
        <w:pStyle w:val="Heading1"/>
      </w:pPr>
      <w:r>
        <w:t>Abstract</w:t>
      </w:r>
    </w:p>
    <w:p>
      <w:r>
        <w:t>This project analyzes 259,295 cleaned electric vehicle charging sessions recorded at City of Palo Alto charging stations between July 29, 2011 and December 31, 2020. The analysis examines when chargers were used, how activity changed over time, how charging duration related to energy delivery, how stations differed, and whether weekday, weekend, seasonal, and idle-occupancy patterns were present. Cleaning removed 120 duplicate or objectively invalid records while retaining statistically extreme but internally valid sessions for investigation. The sessions delivered 2,215,029.06 kWh in total. A session delivered 8.54 kWh on average and involved 2.00 hours of active charging. Charging duration and energy had a Pearson correlation of 0.871. Weekdays accounted for 76.1% of sessions, and 12.1% of sessions remained connected for at least one hour after active charging ended. These findings describe observed behavior within one city and do not establish causal effects.</w:t>
      </w:r>
    </w:p>
    <w:p>
      <w:pPr>
        <w:pStyle w:val="Heading1"/>
      </w:pPr>
      <w:r>
        <w:t>Key Findings</w:t>
      </w:r>
    </w:p>
    <w:p>
      <w:pPr>
        <w:pStyle w:val="ListBullet"/>
        <w:spacing w:after="60"/>
      </w:pPr>
      <w:r>
        <w:t>Charging sessions most often started at 11 AM. Wednesday was the busiest day of the week, and January had the highest session count when calendar months were combined across years.</w:t>
      </w:r>
    </w:p>
    <w:p>
      <w:pPr>
        <w:pStyle w:val="ListBullet"/>
        <w:spacing w:after="60"/>
      </w:pPr>
      <w:r>
        <w:t>The cleaned records contained 2,215,029.06 kWh of delivered energy. Average energy was 8.54 kWh per session, and median energy was 6.87 kWh.</w:t>
      </w:r>
    </w:p>
    <w:p>
      <w:pPr>
        <w:pStyle w:val="ListBullet"/>
        <w:spacing w:after="60"/>
      </w:pPr>
      <w:r>
        <w:t>Average active charging time was 2.00 hours, compared with a median of 1.82 hours.</w:t>
      </w:r>
    </w:p>
    <w:p>
      <w:pPr>
        <w:pStyle w:val="ListBullet"/>
        <w:spacing w:after="60"/>
      </w:pPr>
      <w:r>
        <w:t>Charging duration and energy showed a strong positive linear association with r = 0.871.</w:t>
      </w:r>
    </w:p>
    <w:p>
      <w:pPr>
        <w:pStyle w:val="ListBullet"/>
        <w:spacing w:after="60"/>
      </w:pPr>
      <w:r>
        <w:t>The busiest year was 2017 with 48,950 sessions. The first year, 2011, contains only six months and is not directly comparable with full calendar years.</w:t>
      </w:r>
    </w:p>
    <w:p>
      <w:pPr>
        <w:pStyle w:val="ListBullet"/>
        <w:spacing w:after="60"/>
      </w:pPr>
      <w:r>
        <w:t>PALO ALTO CA / HAMILTON #2 recorded the most sessions, with 23,706.</w:t>
      </w:r>
    </w:p>
    <w:p>
      <w:pPr>
        <w:pStyle w:val="ListBullet"/>
        <w:spacing w:after="60"/>
      </w:pPr>
      <w:r>
        <w:t>Average idle time was 0.49 hours, but the median was only 0.01 hours. The difference indicates a right-skewed distribution with a smaller group of long idle events.</w:t>
      </w:r>
    </w:p>
    <w:p>
      <w:pPr>
        <w:pStyle w:val="Heading1"/>
      </w:pPr>
      <w:r>
        <w:t>Contents</w:t>
      </w:r>
    </w:p>
    <w:p>
      <w:pPr>
        <w:pStyle w:val="ListNumber"/>
      </w:pPr>
      <w:r>
        <w:t>Introduction</w:t>
      </w:r>
    </w:p>
    <w:p>
      <w:pPr>
        <w:pStyle w:val="ListNumber"/>
      </w:pPr>
      <w:r>
        <w:t>Research Questions</w:t>
      </w:r>
    </w:p>
    <w:p>
      <w:pPr>
        <w:pStyle w:val="ListNumber"/>
      </w:pPr>
      <w:r>
        <w:t>Dataset and Variables</w:t>
      </w:r>
    </w:p>
    <w:p>
      <w:pPr>
        <w:pStyle w:val="ListNumber"/>
      </w:pPr>
      <w:r>
        <w:t>Data Cleaning and Feature Engineering</w:t>
      </w:r>
    </w:p>
    <w:p>
      <w:pPr>
        <w:pStyle w:val="ListNumber"/>
      </w:pPr>
      <w:r>
        <w:t>Descriptive Statistics</w:t>
      </w:r>
    </w:p>
    <w:p>
      <w:pPr>
        <w:pStyle w:val="ListNumber"/>
      </w:pPr>
      <w:r>
        <w:t>Results</w:t>
      </w:r>
    </w:p>
    <w:p>
      <w:pPr>
        <w:pStyle w:val="ListNumber"/>
      </w:pPr>
      <w:r>
        <w:t>Outlier and Correlation Analysis</w:t>
      </w:r>
    </w:p>
    <w:p>
      <w:pPr>
        <w:pStyle w:val="ListNumber"/>
      </w:pPr>
      <w:r>
        <w:t>Optional Clustering</w:t>
      </w:r>
    </w:p>
    <w:p>
      <w:pPr>
        <w:pStyle w:val="ListNumber"/>
      </w:pPr>
      <w:r>
        <w:t>Discussion</w:t>
      </w:r>
    </w:p>
    <w:p>
      <w:pPr>
        <w:pStyle w:val="ListNumber"/>
      </w:pPr>
      <w:r>
        <w:t>Limitations</w:t>
      </w:r>
    </w:p>
    <w:p>
      <w:pPr>
        <w:pStyle w:val="ListNumber"/>
      </w:pPr>
      <w:r>
        <w:t>Conclusion</w:t>
      </w:r>
    </w:p>
    <w:p>
      <w:pPr>
        <w:pStyle w:val="ListNumber"/>
      </w:pPr>
      <w:r>
        <w:t>References</w:t>
      </w:r>
    </w:p>
    <w:p>
      <w:pPr>
        <w:pStyle w:val="ListNumber"/>
      </w:pPr>
      <w:r>
        <w:t>Appendix</w:t>
      </w:r>
    </w:p>
    <w:p>
      <w:r>
        <w:br w:type="page"/>
      </w:r>
    </w:p>
    <w:p>
      <w:pPr>
        <w:pStyle w:val="Heading1"/>
      </w:pPr>
      <w:r>
        <w:t>Introduction</w:t>
      </w:r>
    </w:p>
    <w:p>
      <w:r>
        <w:t>Public charging records provide a direct view of how often charging equipment is used, when sessions begin, how long vehicles actively charge, and how long they remain connected. These measures address different operational questions. Session counts describe recorded activity, energy measures electrical delivery, active charging duration describes equipment use for energy transfer, and total connection duration includes time when a vehicle may occupy a port without actively charging.</w:t>
      </w:r>
    </w:p>
    <w:p>
      <w:r>
        <w:t>This study uses session-level data published by the City of Palo Alto. Its purpose is to describe charging behavior and identify temporal, station-level, and occupancy patterns. The analysis does not attempt to predict future use or assign behavioral identities to drivers. It also does not treat correlations as causal evidence.</w:t>
      </w:r>
    </w:p>
    <w:p>
      <w:pPr>
        <w:pStyle w:val="Heading1"/>
      </w:pPr>
      <w:r>
        <w:t>Research Questions</w:t>
      </w:r>
    </w:p>
    <w:p>
      <w:pPr>
        <w:pStyle w:val="ListBullet"/>
        <w:spacing w:after="60"/>
      </w:pPr>
      <w:r>
        <w:t>When are EV chargers used most?</w:t>
      </w:r>
    </w:p>
    <w:p>
      <w:pPr>
        <w:pStyle w:val="ListBullet"/>
        <w:spacing w:after="60"/>
      </w:pPr>
      <w:r>
        <w:t>How has charging usage changed over time?</w:t>
      </w:r>
    </w:p>
    <w:p>
      <w:pPr>
        <w:pStyle w:val="ListBullet"/>
        <w:spacing w:after="60"/>
      </w:pPr>
      <w:r>
        <w:t>What is the relationship between charging duration and energy delivered?</w:t>
      </w:r>
    </w:p>
    <w:p>
      <w:pPr>
        <w:pStyle w:val="ListBullet"/>
        <w:spacing w:after="60"/>
      </w:pPr>
      <w:r>
        <w:t>How do charging stations differ?</w:t>
      </w:r>
    </w:p>
    <w:p>
      <w:pPr>
        <w:pStyle w:val="ListBullet"/>
        <w:spacing w:after="60"/>
      </w:pPr>
      <w:r>
        <w:t>How do weekday and weekend sessions compare?</w:t>
      </w:r>
    </w:p>
    <w:p>
      <w:pPr>
        <w:pStyle w:val="ListBullet"/>
        <w:spacing w:after="60"/>
      </w:pPr>
      <w:r>
        <w:t>Do seasonal patterns appear in the data?</w:t>
      </w:r>
    </w:p>
    <w:p>
      <w:pPr>
        <w:pStyle w:val="ListBullet"/>
        <w:spacing w:after="60"/>
      </w:pPr>
      <w:r>
        <w:t>How much time do vehicles remain connected after active charging ends?</w:t>
      </w:r>
    </w:p>
    <w:p>
      <w:pPr>
        <w:pStyle w:val="Heading1"/>
      </w:pPr>
      <w:r>
        <w:t>Dataset and Variables</w:t>
      </w:r>
    </w:p>
    <w:p>
      <w:r>
        <w:t>The original CSV contains 259,415 rows and 33 columns. One row represents a recorded charging event or session. The source includes station name, start and end times, total connection duration, active charging time, delivered energy, greenhouse gas and gasoline savings estimates, port and plug characteristics, location fields, fee information, event identifiers, and equipment details.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F4E78"/>
            <w:vAlign w:val="center"/>
            <w:tcMar>
              <w:top w:w="90" w:type="dxa"/>
              <w:start w:w="110" w:type="dxa"/>
              <w:bottom w:w="90" w:type="dxa"/>
              <w:end w:w="110" w:type="dxa"/>
            </w:tcMar>
          </w:tcPr>
          <w:p>
            <w:r>
              <w:rPr>
                <w:b/>
                <w:color w:val="FFFFFF"/>
                <w:sz w:val="17"/>
              </w:rPr>
              <w:t>Analytical concept</w:t>
            </w:r>
          </w:p>
        </w:tc>
        <w:tc>
          <w:tcPr>
            <w:tcW w:type="dxa" w:w="3168"/>
            <w:shd w:fill="1F4E78"/>
            <w:vAlign w:val="center"/>
            <w:tcMar>
              <w:top w:w="90" w:type="dxa"/>
              <w:start w:w="110" w:type="dxa"/>
              <w:bottom w:w="90" w:type="dxa"/>
              <w:end w:w="110" w:type="dxa"/>
            </w:tcMar>
          </w:tcPr>
          <w:p>
            <w:r>
              <w:rPr>
                <w:b/>
                <w:color w:val="FFFFFF"/>
                <w:sz w:val="17"/>
              </w:rPr>
              <w:t>Source or engineered variable</w:t>
            </w:r>
          </w:p>
        </w:tc>
        <w:tc>
          <w:tcPr>
            <w:tcW w:type="dxa" w:w="4320"/>
            <w:shd w:fill="1F4E78"/>
            <w:vAlign w:val="center"/>
            <w:tcMar>
              <w:top w:w="90" w:type="dxa"/>
              <w:start w:w="110" w:type="dxa"/>
              <w:bottom w:w="90" w:type="dxa"/>
              <w:end w:w="110" w:type="dxa"/>
            </w:tcMar>
          </w:tcPr>
          <w:p>
            <w:r>
              <w:rPr>
                <w:b/>
                <w:color w:val="FFFFFF"/>
                <w:sz w:val="17"/>
              </w:rPr>
              <w:t>Interpretation</w:t>
            </w:r>
          </w:p>
        </w:tc>
      </w:tr>
      <w:tr>
        <w:tc>
          <w:tcPr>
            <w:tcW w:type="dxa" w:w="1800"/>
            <w:vAlign w:val="center"/>
            <w:shd w:fill="FFFFFF"/>
            <w:tcMar>
              <w:top w:w="90" w:type="dxa"/>
              <w:start w:w="110" w:type="dxa"/>
              <w:bottom w:w="90" w:type="dxa"/>
              <w:end w:w="110" w:type="dxa"/>
            </w:tcMar>
          </w:tcPr>
          <w:p>
            <w:r>
              <w:rPr>
                <w:color w:val="000000"/>
                <w:sz w:val="17"/>
              </w:rPr>
              <w:t>Session start</w:t>
            </w:r>
          </w:p>
        </w:tc>
        <w:tc>
          <w:tcPr>
            <w:tcW w:type="dxa" w:w="3168"/>
            <w:vAlign w:val="center"/>
            <w:shd w:fill="FFFFFF"/>
            <w:tcMar>
              <w:top w:w="90" w:type="dxa"/>
              <w:start w:w="110" w:type="dxa"/>
              <w:bottom w:w="90" w:type="dxa"/>
              <w:end w:w="110" w:type="dxa"/>
            </w:tcMar>
          </w:tcPr>
          <w:p>
            <w:r>
              <w:rPr>
                <w:color w:val="000000"/>
                <w:sz w:val="17"/>
              </w:rPr>
              <w:t>Start Date</w:t>
            </w:r>
          </w:p>
        </w:tc>
        <w:tc>
          <w:tcPr>
            <w:tcW w:type="dxa" w:w="4320"/>
            <w:vAlign w:val="center"/>
            <w:shd w:fill="FFFFFF"/>
            <w:tcMar>
              <w:top w:w="90" w:type="dxa"/>
              <w:start w:w="110" w:type="dxa"/>
              <w:bottom w:w="90" w:type="dxa"/>
              <w:end w:w="110" w:type="dxa"/>
            </w:tcMar>
          </w:tcPr>
          <w:p>
            <w:r>
              <w:rPr>
                <w:color w:val="000000"/>
                <w:sz w:val="17"/>
              </w:rPr>
              <w:t>Beginning timestamp used for temporal features</w:t>
            </w:r>
          </w:p>
        </w:tc>
      </w:tr>
      <w:tr>
        <w:tc>
          <w:tcPr>
            <w:tcW w:type="dxa" w:w="1800"/>
            <w:vAlign w:val="center"/>
            <w:shd w:fill="EAF2F8"/>
            <w:tcMar>
              <w:top w:w="90" w:type="dxa"/>
              <w:start w:w="110" w:type="dxa"/>
              <w:bottom w:w="90" w:type="dxa"/>
              <w:end w:w="110" w:type="dxa"/>
            </w:tcMar>
          </w:tcPr>
          <w:p>
            <w:r>
              <w:rPr>
                <w:color w:val="000000"/>
                <w:sz w:val="17"/>
              </w:rPr>
              <w:t>Session end</w:t>
            </w:r>
          </w:p>
        </w:tc>
        <w:tc>
          <w:tcPr>
            <w:tcW w:type="dxa" w:w="3168"/>
            <w:vAlign w:val="center"/>
            <w:shd w:fill="EAF2F8"/>
            <w:tcMar>
              <w:top w:w="90" w:type="dxa"/>
              <w:start w:w="110" w:type="dxa"/>
              <w:bottom w:w="90" w:type="dxa"/>
              <w:end w:w="110" w:type="dxa"/>
            </w:tcMar>
          </w:tcPr>
          <w:p>
            <w:r>
              <w:rPr>
                <w:color w:val="000000"/>
                <w:sz w:val="17"/>
              </w:rPr>
              <w:t>End Date</w:t>
            </w:r>
          </w:p>
        </w:tc>
        <w:tc>
          <w:tcPr>
            <w:tcW w:type="dxa" w:w="4320"/>
            <w:vAlign w:val="center"/>
            <w:shd w:fill="EAF2F8"/>
            <w:tcMar>
              <w:top w:w="90" w:type="dxa"/>
              <w:start w:w="110" w:type="dxa"/>
              <w:bottom w:w="90" w:type="dxa"/>
              <w:end w:w="110" w:type="dxa"/>
            </w:tcMar>
          </w:tcPr>
          <w:p>
            <w:r>
              <w:rPr>
                <w:color w:val="000000"/>
                <w:sz w:val="17"/>
              </w:rPr>
              <w:t>Ending timestamp used for validation</w:t>
            </w:r>
          </w:p>
        </w:tc>
      </w:tr>
      <w:tr>
        <w:tc>
          <w:tcPr>
            <w:tcW w:type="dxa" w:w="1800"/>
            <w:vAlign w:val="center"/>
            <w:shd w:fill="FFFFFF"/>
            <w:tcMar>
              <w:top w:w="90" w:type="dxa"/>
              <w:start w:w="110" w:type="dxa"/>
              <w:bottom w:w="90" w:type="dxa"/>
              <w:end w:w="110" w:type="dxa"/>
            </w:tcMar>
          </w:tcPr>
          <w:p>
            <w:r>
              <w:rPr>
                <w:color w:val="000000"/>
                <w:sz w:val="17"/>
              </w:rPr>
              <w:t>Energy</w:t>
            </w:r>
          </w:p>
        </w:tc>
        <w:tc>
          <w:tcPr>
            <w:tcW w:type="dxa" w:w="3168"/>
            <w:vAlign w:val="center"/>
            <w:shd w:fill="FFFFFF"/>
            <w:tcMar>
              <w:top w:w="90" w:type="dxa"/>
              <w:start w:w="110" w:type="dxa"/>
              <w:bottom w:w="90" w:type="dxa"/>
              <w:end w:w="110" w:type="dxa"/>
            </w:tcMar>
          </w:tcPr>
          <w:p>
            <w:r>
              <w:rPr>
                <w:color w:val="000000"/>
                <w:sz w:val="17"/>
              </w:rPr>
              <w:t>Energy (kWh)</w:t>
            </w:r>
          </w:p>
        </w:tc>
        <w:tc>
          <w:tcPr>
            <w:tcW w:type="dxa" w:w="4320"/>
            <w:vAlign w:val="center"/>
            <w:shd w:fill="FFFFFF"/>
            <w:tcMar>
              <w:top w:w="90" w:type="dxa"/>
              <w:start w:w="110" w:type="dxa"/>
              <w:bottom w:w="90" w:type="dxa"/>
              <w:end w:w="110" w:type="dxa"/>
            </w:tcMar>
          </w:tcPr>
          <w:p>
            <w:r>
              <w:rPr>
                <w:color w:val="000000"/>
                <w:sz w:val="17"/>
              </w:rPr>
              <w:t>Electricity delivered during the session</w:t>
            </w:r>
          </w:p>
        </w:tc>
      </w:tr>
      <w:tr>
        <w:tc>
          <w:tcPr>
            <w:tcW w:type="dxa" w:w="1800"/>
            <w:vAlign w:val="center"/>
            <w:shd w:fill="EAF2F8"/>
            <w:tcMar>
              <w:top w:w="90" w:type="dxa"/>
              <w:start w:w="110" w:type="dxa"/>
              <w:bottom w:w="90" w:type="dxa"/>
              <w:end w:w="110" w:type="dxa"/>
            </w:tcMar>
          </w:tcPr>
          <w:p>
            <w:r>
              <w:rPr>
                <w:color w:val="000000"/>
                <w:sz w:val="17"/>
              </w:rPr>
              <w:t>Active charging</w:t>
            </w:r>
          </w:p>
        </w:tc>
        <w:tc>
          <w:tcPr>
            <w:tcW w:type="dxa" w:w="3168"/>
            <w:vAlign w:val="center"/>
            <w:shd w:fill="EAF2F8"/>
            <w:tcMar>
              <w:top w:w="90" w:type="dxa"/>
              <w:start w:w="110" w:type="dxa"/>
              <w:bottom w:w="90" w:type="dxa"/>
              <w:end w:w="110" w:type="dxa"/>
            </w:tcMar>
          </w:tcPr>
          <w:p>
            <w:r>
              <w:rPr>
                <w:color w:val="000000"/>
                <w:sz w:val="17"/>
              </w:rPr>
              <w:t>Charging Time (hh:mm:ss)</w:t>
            </w:r>
          </w:p>
        </w:tc>
        <w:tc>
          <w:tcPr>
            <w:tcW w:type="dxa" w:w="4320"/>
            <w:vAlign w:val="center"/>
            <w:shd w:fill="EAF2F8"/>
            <w:tcMar>
              <w:top w:w="90" w:type="dxa"/>
              <w:start w:w="110" w:type="dxa"/>
              <w:bottom w:w="90" w:type="dxa"/>
              <w:end w:w="110" w:type="dxa"/>
            </w:tcMar>
          </w:tcPr>
          <w:p>
            <w:r>
              <w:rPr>
                <w:color w:val="000000"/>
                <w:sz w:val="17"/>
              </w:rPr>
              <w:t>Time during which charging was active</w:t>
            </w:r>
          </w:p>
        </w:tc>
      </w:tr>
      <w:tr>
        <w:tc>
          <w:tcPr>
            <w:tcW w:type="dxa" w:w="1800"/>
            <w:vAlign w:val="center"/>
            <w:shd w:fill="FFFFFF"/>
            <w:tcMar>
              <w:top w:w="90" w:type="dxa"/>
              <w:start w:w="110" w:type="dxa"/>
              <w:bottom w:w="90" w:type="dxa"/>
              <w:end w:w="110" w:type="dxa"/>
            </w:tcMar>
          </w:tcPr>
          <w:p>
            <w:r>
              <w:rPr>
                <w:color w:val="000000"/>
                <w:sz w:val="17"/>
              </w:rPr>
              <w:t>Connection time</w:t>
            </w:r>
          </w:p>
        </w:tc>
        <w:tc>
          <w:tcPr>
            <w:tcW w:type="dxa" w:w="3168"/>
            <w:vAlign w:val="center"/>
            <w:shd w:fill="FFFFFF"/>
            <w:tcMar>
              <w:top w:w="90" w:type="dxa"/>
              <w:start w:w="110" w:type="dxa"/>
              <w:bottom w:w="90" w:type="dxa"/>
              <w:end w:w="110" w:type="dxa"/>
            </w:tcMar>
          </w:tcPr>
          <w:p>
            <w:r>
              <w:rPr>
                <w:color w:val="000000"/>
                <w:sz w:val="17"/>
              </w:rPr>
              <w:t>Total Duration (hh:mm:ss)</w:t>
            </w:r>
          </w:p>
        </w:tc>
        <w:tc>
          <w:tcPr>
            <w:tcW w:type="dxa" w:w="4320"/>
            <w:vAlign w:val="center"/>
            <w:shd w:fill="FFFFFF"/>
            <w:tcMar>
              <w:top w:w="90" w:type="dxa"/>
              <w:start w:w="110" w:type="dxa"/>
              <w:bottom w:w="90" w:type="dxa"/>
              <w:end w:w="110" w:type="dxa"/>
            </w:tcMar>
          </w:tcPr>
          <w:p>
            <w:r>
              <w:rPr>
                <w:color w:val="000000"/>
                <w:sz w:val="17"/>
              </w:rPr>
              <w:t>Total time the vehicle occupied the port</w:t>
            </w:r>
          </w:p>
        </w:tc>
      </w:tr>
      <w:tr>
        <w:tc>
          <w:tcPr>
            <w:tcW w:type="dxa" w:w="1800"/>
            <w:vAlign w:val="center"/>
            <w:shd w:fill="EAF2F8"/>
            <w:tcMar>
              <w:top w:w="90" w:type="dxa"/>
              <w:start w:w="110" w:type="dxa"/>
              <w:bottom w:w="90" w:type="dxa"/>
              <w:end w:w="110" w:type="dxa"/>
            </w:tcMar>
          </w:tcPr>
          <w:p>
            <w:r>
              <w:rPr>
                <w:color w:val="000000"/>
                <w:sz w:val="17"/>
              </w:rPr>
              <w:t>Idle time</w:t>
            </w:r>
          </w:p>
        </w:tc>
        <w:tc>
          <w:tcPr>
            <w:tcW w:type="dxa" w:w="3168"/>
            <w:vAlign w:val="center"/>
            <w:shd w:fill="EAF2F8"/>
            <w:tcMar>
              <w:top w:w="90" w:type="dxa"/>
              <w:start w:w="110" w:type="dxa"/>
              <w:bottom w:w="90" w:type="dxa"/>
              <w:end w:w="110" w:type="dxa"/>
            </w:tcMar>
          </w:tcPr>
          <w:p>
            <w:r>
              <w:rPr>
                <w:color w:val="000000"/>
                <w:sz w:val="17"/>
              </w:rPr>
              <w:t>Connection time minus active charging</w:t>
            </w:r>
          </w:p>
        </w:tc>
        <w:tc>
          <w:tcPr>
            <w:tcW w:type="dxa" w:w="4320"/>
            <w:vAlign w:val="center"/>
            <w:shd w:fill="EAF2F8"/>
            <w:tcMar>
              <w:top w:w="90" w:type="dxa"/>
              <w:start w:w="110" w:type="dxa"/>
              <w:bottom w:w="90" w:type="dxa"/>
              <w:end w:w="110" w:type="dxa"/>
            </w:tcMar>
          </w:tcPr>
          <w:p>
            <w:r>
              <w:rPr>
                <w:color w:val="000000"/>
                <w:sz w:val="17"/>
              </w:rPr>
              <w:t>Estimated post or interrupted charging occupancy</w:t>
            </w:r>
          </w:p>
        </w:tc>
      </w:tr>
      <w:tr>
        <w:tc>
          <w:tcPr>
            <w:tcW w:type="dxa" w:w="1800"/>
            <w:vAlign w:val="center"/>
            <w:shd w:fill="FFFFFF"/>
            <w:tcMar>
              <w:top w:w="90" w:type="dxa"/>
              <w:start w:w="110" w:type="dxa"/>
              <w:bottom w:w="90" w:type="dxa"/>
              <w:end w:w="110" w:type="dxa"/>
            </w:tcMar>
          </w:tcPr>
          <w:p>
            <w:r>
              <w:rPr>
                <w:color w:val="000000"/>
                <w:sz w:val="17"/>
              </w:rPr>
              <w:t>Charging rate</w:t>
            </w:r>
          </w:p>
        </w:tc>
        <w:tc>
          <w:tcPr>
            <w:tcW w:type="dxa" w:w="3168"/>
            <w:vAlign w:val="center"/>
            <w:shd w:fill="FFFFFF"/>
            <w:tcMar>
              <w:top w:w="90" w:type="dxa"/>
              <w:start w:w="110" w:type="dxa"/>
              <w:bottom w:w="90" w:type="dxa"/>
              <w:end w:w="110" w:type="dxa"/>
            </w:tcMar>
          </w:tcPr>
          <w:p>
            <w:r>
              <w:rPr>
                <w:color w:val="000000"/>
                <w:sz w:val="17"/>
              </w:rPr>
              <w:t>Energy divided by active charging time</w:t>
            </w:r>
          </w:p>
        </w:tc>
        <w:tc>
          <w:tcPr>
            <w:tcW w:type="dxa" w:w="4320"/>
            <w:vAlign w:val="center"/>
            <w:shd w:fill="FFFFFF"/>
            <w:tcMar>
              <w:top w:w="90" w:type="dxa"/>
              <w:start w:w="110" w:type="dxa"/>
              <w:bottom w:w="90" w:type="dxa"/>
              <w:end w:w="110" w:type="dxa"/>
            </w:tcMar>
          </w:tcPr>
          <w:p>
            <w:r>
              <w:rPr>
                <w:color w:val="000000"/>
                <w:sz w:val="17"/>
              </w:rPr>
              <w:t>Average kW equivalent across the session</w:t>
            </w:r>
          </w:p>
        </w:tc>
      </w:tr>
      <w:tr>
        <w:tc>
          <w:tcPr>
            <w:tcW w:type="dxa" w:w="1800"/>
            <w:vAlign w:val="center"/>
            <w:shd w:fill="EAF2F8"/>
            <w:tcMar>
              <w:top w:w="90" w:type="dxa"/>
              <w:start w:w="110" w:type="dxa"/>
              <w:bottom w:w="90" w:type="dxa"/>
              <w:end w:w="110" w:type="dxa"/>
            </w:tcMar>
          </w:tcPr>
          <w:p>
            <w:r>
              <w:rPr>
                <w:color w:val="000000"/>
                <w:sz w:val="17"/>
              </w:rPr>
              <w:t>Station</w:t>
            </w:r>
          </w:p>
        </w:tc>
        <w:tc>
          <w:tcPr>
            <w:tcW w:type="dxa" w:w="3168"/>
            <w:vAlign w:val="center"/>
            <w:shd w:fill="EAF2F8"/>
            <w:tcMar>
              <w:top w:w="90" w:type="dxa"/>
              <w:start w:w="110" w:type="dxa"/>
              <w:bottom w:w="90" w:type="dxa"/>
              <w:end w:w="110" w:type="dxa"/>
            </w:tcMar>
          </w:tcPr>
          <w:p>
            <w:r>
              <w:rPr>
                <w:color w:val="000000"/>
                <w:sz w:val="17"/>
              </w:rPr>
              <w:t>Station Name</w:t>
            </w:r>
          </w:p>
        </w:tc>
        <w:tc>
          <w:tcPr>
            <w:tcW w:type="dxa" w:w="4320"/>
            <w:vAlign w:val="center"/>
            <w:shd w:fill="EAF2F8"/>
            <w:tcMar>
              <w:top w:w="90" w:type="dxa"/>
              <w:start w:w="110" w:type="dxa"/>
              <w:bottom w:w="90" w:type="dxa"/>
              <w:end w:w="110" w:type="dxa"/>
            </w:tcMar>
          </w:tcPr>
          <w:p>
            <w:r>
              <w:rPr>
                <w:color w:val="000000"/>
                <w:sz w:val="17"/>
              </w:rPr>
              <w:t>Named charging location or unit</w:t>
            </w:r>
          </w:p>
        </w:tc>
      </w:tr>
    </w:tbl>
    <w:p>
      <w:pPr>
        <w:spacing w:after="20"/>
      </w:pPr>
    </w:p>
    <w:p>
      <w:r>
        <w:br w:type="page"/>
      </w:r>
    </w:p>
    <w:p>
      <w:pPr>
        <w:pStyle w:val="Heading1"/>
      </w:pPr>
      <w:r>
        <w:t>Data Cleaning and Feature Engineering</w:t>
      </w:r>
    </w:p>
    <w:p>
      <w:pPr>
        <w:pStyle w:val="Heading2"/>
      </w:pPr>
      <w:r>
        <w:t>Cleaning Rules</w:t>
      </w:r>
    </w:p>
    <w:p>
      <w:r>
        <w:t>The cleaning process removed only records that could not support a valid session-level analysis. Statistical outliers were not removed solely because they were extreme.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528"/>
            <w:shd w:fill="1F4E78"/>
            <w:vAlign w:val="center"/>
            <w:tcMar>
              <w:top w:w="90" w:type="dxa"/>
              <w:start w:w="110" w:type="dxa"/>
              <w:bottom w:w="90" w:type="dxa"/>
              <w:end w:w="110" w:type="dxa"/>
            </w:tcMar>
          </w:tcPr>
          <w:p>
            <w:r>
              <w:rPr>
                <w:b/>
                <w:color w:val="FFFFFF"/>
                <w:sz w:val="18"/>
              </w:rPr>
              <w:t>Check</w:t>
            </w:r>
          </w:p>
        </w:tc>
        <w:tc>
          <w:tcPr>
            <w:tcW w:type="dxa" w:w="5760"/>
            <w:shd w:fill="1F4E78"/>
            <w:vAlign w:val="center"/>
            <w:tcMar>
              <w:top w:w="90" w:type="dxa"/>
              <w:start w:w="110" w:type="dxa"/>
              <w:bottom w:w="90" w:type="dxa"/>
              <w:end w:w="110" w:type="dxa"/>
            </w:tcMar>
          </w:tcPr>
          <w:p>
            <w:r>
              <w:rPr>
                <w:b/>
                <w:color w:val="FFFFFF"/>
                <w:sz w:val="18"/>
              </w:rPr>
              <w:t>Action</w:t>
            </w:r>
          </w:p>
        </w:tc>
      </w:tr>
      <w:tr>
        <w:tc>
          <w:tcPr>
            <w:tcW w:type="dxa" w:w="3528"/>
            <w:vAlign w:val="center"/>
            <w:shd w:fill="FFFFFF"/>
            <w:tcMar>
              <w:top w:w="90" w:type="dxa"/>
              <w:start w:w="110" w:type="dxa"/>
              <w:bottom w:w="90" w:type="dxa"/>
              <w:end w:w="110" w:type="dxa"/>
            </w:tcMar>
          </w:tcPr>
          <w:p>
            <w:r>
              <w:rPr>
                <w:color w:val="000000"/>
                <w:sz w:val="18"/>
              </w:rPr>
              <w:t>Exact duplicate row</w:t>
            </w:r>
          </w:p>
        </w:tc>
        <w:tc>
          <w:tcPr>
            <w:tcW w:type="dxa" w:w="5760"/>
            <w:vAlign w:val="center"/>
            <w:shd w:fill="FFFFFF"/>
            <w:tcMar>
              <w:top w:w="90" w:type="dxa"/>
              <w:start w:w="110" w:type="dxa"/>
              <w:bottom w:w="90" w:type="dxa"/>
              <w:end w:w="110" w:type="dxa"/>
            </w:tcMar>
          </w:tcPr>
          <w:p>
            <w:r>
              <w:rPr>
                <w:color w:val="000000"/>
                <w:sz w:val="18"/>
              </w:rPr>
              <w:t>Keep the first occurrence and remove later duplicates</w:t>
            </w:r>
          </w:p>
        </w:tc>
      </w:tr>
      <w:tr>
        <w:tc>
          <w:tcPr>
            <w:tcW w:type="dxa" w:w="3528"/>
            <w:vAlign w:val="center"/>
            <w:shd w:fill="EAF2F8"/>
            <w:tcMar>
              <w:top w:w="90" w:type="dxa"/>
              <w:start w:w="110" w:type="dxa"/>
              <w:bottom w:w="90" w:type="dxa"/>
              <w:end w:w="110" w:type="dxa"/>
            </w:tcMar>
          </w:tcPr>
          <w:p>
            <w:r>
              <w:rPr>
                <w:color w:val="000000"/>
                <w:sz w:val="18"/>
              </w:rPr>
              <w:t>Invalid start or end timestamp</w:t>
            </w:r>
          </w:p>
        </w:tc>
        <w:tc>
          <w:tcPr>
            <w:tcW w:type="dxa" w:w="5760"/>
            <w:vAlign w:val="center"/>
            <w:shd w:fill="EAF2F8"/>
            <w:tcMar>
              <w:top w:w="90" w:type="dxa"/>
              <w:start w:w="110" w:type="dxa"/>
              <w:bottom w:w="90" w:type="dxa"/>
              <w:end w:w="110" w:type="dxa"/>
            </w:tcMar>
          </w:tcPr>
          <w:p>
            <w:r>
              <w:rPr>
                <w:color w:val="000000"/>
                <w:sz w:val="18"/>
              </w:rPr>
              <w:t>Remove because the session cannot be placed in time</w:t>
            </w:r>
          </w:p>
        </w:tc>
      </w:tr>
      <w:tr>
        <w:tc>
          <w:tcPr>
            <w:tcW w:type="dxa" w:w="3528"/>
            <w:vAlign w:val="center"/>
            <w:shd w:fill="FFFFFF"/>
            <w:tcMar>
              <w:top w:w="90" w:type="dxa"/>
              <w:start w:w="110" w:type="dxa"/>
              <w:bottom w:w="90" w:type="dxa"/>
              <w:end w:w="110" w:type="dxa"/>
            </w:tcMar>
          </w:tcPr>
          <w:p>
            <w:r>
              <w:rPr>
                <w:color w:val="000000"/>
                <w:sz w:val="18"/>
              </w:rPr>
              <w:t>End earlier than start</w:t>
            </w:r>
          </w:p>
        </w:tc>
        <w:tc>
          <w:tcPr>
            <w:tcW w:type="dxa" w:w="5760"/>
            <w:vAlign w:val="center"/>
            <w:shd w:fill="FFFFFF"/>
            <w:tcMar>
              <w:top w:w="90" w:type="dxa"/>
              <w:start w:w="110" w:type="dxa"/>
              <w:bottom w:w="90" w:type="dxa"/>
              <w:end w:w="110" w:type="dxa"/>
            </w:tcMar>
          </w:tcPr>
          <w:p>
            <w:r>
              <w:rPr>
                <w:color w:val="000000"/>
                <w:sz w:val="18"/>
              </w:rPr>
              <w:t>Remove as temporally inconsistent</w:t>
            </w:r>
          </w:p>
        </w:tc>
      </w:tr>
      <w:tr>
        <w:tc>
          <w:tcPr>
            <w:tcW w:type="dxa" w:w="3528"/>
            <w:vAlign w:val="center"/>
            <w:shd w:fill="EAF2F8"/>
            <w:tcMar>
              <w:top w:w="90" w:type="dxa"/>
              <w:start w:w="110" w:type="dxa"/>
              <w:bottom w:w="90" w:type="dxa"/>
              <w:end w:w="110" w:type="dxa"/>
            </w:tcMar>
          </w:tcPr>
          <w:p>
            <w:r>
              <w:rPr>
                <w:color w:val="000000"/>
                <w:sz w:val="18"/>
              </w:rPr>
              <w:t>Negative or missing energy</w:t>
            </w:r>
          </w:p>
        </w:tc>
        <w:tc>
          <w:tcPr>
            <w:tcW w:type="dxa" w:w="5760"/>
            <w:vAlign w:val="center"/>
            <w:shd w:fill="EAF2F8"/>
            <w:tcMar>
              <w:top w:w="90" w:type="dxa"/>
              <w:start w:w="110" w:type="dxa"/>
              <w:bottom w:w="90" w:type="dxa"/>
              <w:end w:w="110" w:type="dxa"/>
            </w:tcMar>
          </w:tcPr>
          <w:p>
            <w:r>
              <w:rPr>
                <w:color w:val="000000"/>
                <w:sz w:val="18"/>
              </w:rPr>
              <w:t>Remove because delivered energy is invalid or unavailable</w:t>
            </w:r>
          </w:p>
        </w:tc>
      </w:tr>
      <w:tr>
        <w:tc>
          <w:tcPr>
            <w:tcW w:type="dxa" w:w="3528"/>
            <w:vAlign w:val="center"/>
            <w:shd w:fill="FFFFFF"/>
            <w:tcMar>
              <w:top w:w="90" w:type="dxa"/>
              <w:start w:w="110" w:type="dxa"/>
              <w:bottom w:w="90" w:type="dxa"/>
              <w:end w:w="110" w:type="dxa"/>
            </w:tcMar>
          </w:tcPr>
          <w:p>
            <w:r>
              <w:rPr>
                <w:color w:val="000000"/>
                <w:sz w:val="18"/>
              </w:rPr>
              <w:t>Zero or negative duration</w:t>
            </w:r>
          </w:p>
        </w:tc>
        <w:tc>
          <w:tcPr>
            <w:tcW w:type="dxa" w:w="5760"/>
            <w:vAlign w:val="center"/>
            <w:shd w:fill="FFFFFF"/>
            <w:tcMar>
              <w:top w:w="90" w:type="dxa"/>
              <w:start w:w="110" w:type="dxa"/>
              <w:bottom w:w="90" w:type="dxa"/>
              <w:end w:w="110" w:type="dxa"/>
            </w:tcMar>
          </w:tcPr>
          <w:p>
            <w:r>
              <w:rPr>
                <w:color w:val="000000"/>
                <w:sz w:val="18"/>
              </w:rPr>
              <w:t>Remove because rate and duration analyses would be invalid</w:t>
            </w:r>
          </w:p>
        </w:tc>
      </w:tr>
      <w:tr>
        <w:tc>
          <w:tcPr>
            <w:tcW w:type="dxa" w:w="3528"/>
            <w:vAlign w:val="center"/>
            <w:shd w:fill="EAF2F8"/>
            <w:tcMar>
              <w:top w:w="90" w:type="dxa"/>
              <w:start w:w="110" w:type="dxa"/>
              <w:bottom w:w="90" w:type="dxa"/>
              <w:end w:w="110" w:type="dxa"/>
            </w:tcMar>
          </w:tcPr>
          <w:p>
            <w:r>
              <w:rPr>
                <w:color w:val="000000"/>
                <w:sz w:val="18"/>
              </w:rPr>
              <w:t>Charging time materially longer than connection time</w:t>
            </w:r>
          </w:p>
        </w:tc>
        <w:tc>
          <w:tcPr>
            <w:tcW w:type="dxa" w:w="5760"/>
            <w:vAlign w:val="center"/>
            <w:shd w:fill="EAF2F8"/>
            <w:tcMar>
              <w:top w:w="90" w:type="dxa"/>
              <w:start w:w="110" w:type="dxa"/>
              <w:bottom w:w="90" w:type="dxa"/>
              <w:end w:w="110" w:type="dxa"/>
            </w:tcMar>
          </w:tcPr>
          <w:p>
            <w:r>
              <w:rPr>
                <w:color w:val="000000"/>
                <w:sz w:val="18"/>
              </w:rPr>
              <w:t>Remove as internally inconsistent</w:t>
            </w:r>
          </w:p>
        </w:tc>
      </w:tr>
      <w:tr>
        <w:tc>
          <w:tcPr>
            <w:tcW w:type="dxa" w:w="3528"/>
            <w:vAlign w:val="center"/>
            <w:shd w:fill="FFFFFF"/>
            <w:tcMar>
              <w:top w:w="90" w:type="dxa"/>
              <w:start w:w="110" w:type="dxa"/>
              <w:bottom w:w="90" w:type="dxa"/>
              <w:end w:w="110" w:type="dxa"/>
            </w:tcMar>
          </w:tcPr>
          <w:p>
            <w:r>
              <w:rPr>
                <w:color w:val="000000"/>
                <w:sz w:val="18"/>
              </w:rPr>
              <w:t>Missing descriptive field</w:t>
            </w:r>
          </w:p>
        </w:tc>
        <w:tc>
          <w:tcPr>
            <w:tcW w:type="dxa" w:w="5760"/>
            <w:vAlign w:val="center"/>
            <w:shd w:fill="FFFFFF"/>
            <w:tcMar>
              <w:top w:w="90" w:type="dxa"/>
              <w:start w:w="110" w:type="dxa"/>
              <w:bottom w:w="90" w:type="dxa"/>
              <w:end w:w="110" w:type="dxa"/>
            </w:tcMar>
          </w:tcPr>
          <w:p>
            <w:r>
              <w:rPr>
                <w:color w:val="000000"/>
                <w:sz w:val="18"/>
              </w:rPr>
              <w:t>Retain when core session variables remain valid</w:t>
            </w:r>
          </w:p>
        </w:tc>
      </w:tr>
      <w:tr>
        <w:tc>
          <w:tcPr>
            <w:tcW w:type="dxa" w:w="3528"/>
            <w:vAlign w:val="center"/>
            <w:shd w:fill="EAF2F8"/>
            <w:tcMar>
              <w:top w:w="90" w:type="dxa"/>
              <w:start w:w="110" w:type="dxa"/>
              <w:bottom w:w="90" w:type="dxa"/>
              <w:end w:w="110" w:type="dxa"/>
            </w:tcMar>
          </w:tcPr>
          <w:p>
            <w:r>
              <w:rPr>
                <w:color w:val="000000"/>
                <w:sz w:val="18"/>
              </w:rPr>
              <w:t>Extreme valid measurement</w:t>
            </w:r>
          </w:p>
        </w:tc>
        <w:tc>
          <w:tcPr>
            <w:tcW w:type="dxa" w:w="5760"/>
            <w:vAlign w:val="center"/>
            <w:shd w:fill="EAF2F8"/>
            <w:tcMar>
              <w:top w:w="90" w:type="dxa"/>
              <w:start w:w="110" w:type="dxa"/>
              <w:bottom w:w="90" w:type="dxa"/>
              <w:end w:w="110" w:type="dxa"/>
            </w:tcMar>
          </w:tcPr>
          <w:p>
            <w:r>
              <w:rPr>
                <w:color w:val="000000"/>
                <w:sz w:val="18"/>
              </w:rPr>
              <w:t>Retain and examine in the outlier section</w:t>
            </w:r>
          </w:p>
        </w:tc>
      </w:tr>
    </w:tbl>
    <w:p>
      <w:pPr>
        <w:spacing w:after="20"/>
      </w:pPr>
    </w:p>
    <w:p>
      <w:r>
        <w:t>The procedure removed 120 records, leaving 259,295 sessions. Small negative idle differences of at most one second, consistent with timestamp rounding, were set to zero after the validity checks.</w:t>
      </w:r>
    </w:p>
    <w:p>
      <w:pPr>
        <w:pStyle w:val="Heading2"/>
      </w:pPr>
      <w:r>
        <w:t>Engineered Features</w:t>
      </w:r>
    </w:p>
    <w:p>
      <w:r>
        <w:t>The start timestamp generated year, numeric month, month name, day of week, hour of day, weekend status, season, calendar date, and year-month. Durations were converted from hour-minute-second strings to decimal hours. Idle time was calculated as connection duration minus active charging duration. Energy per charging hour was calculated only when active charging duration was positive. Cost per kWh was calculated where fee and positive energy were present.</w:t>
      </w:r>
    </w:p>
    <w:p>
      <w:pPr>
        <w:pStyle w:val="Heading1"/>
      </w:pPr>
      <w:r>
        <w:t>Descriptive Statistics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5184"/>
            <w:shd w:fill="1F4E78"/>
            <w:vAlign w:val="center"/>
            <w:tcMar>
              <w:top w:w="90" w:type="dxa"/>
              <w:start w:w="110" w:type="dxa"/>
              <w:bottom w:w="90" w:type="dxa"/>
              <w:end w:w="110" w:type="dxa"/>
            </w:tcMar>
          </w:tcPr>
          <w:p>
            <w:r>
              <w:rPr>
                <w:b/>
                <w:color w:val="FFFFFF"/>
                <w:sz w:val="18"/>
              </w:rPr>
              <w:t>Measure</w:t>
            </w:r>
          </w:p>
        </w:tc>
        <w:tc>
          <w:tcPr>
            <w:tcW w:type="dxa" w:w="2880"/>
            <w:shd w:fill="1F4E78"/>
            <w:vAlign w:val="center"/>
            <w:tcMar>
              <w:top w:w="90" w:type="dxa"/>
              <w:start w:w="110" w:type="dxa"/>
              <w:bottom w:w="90" w:type="dxa"/>
              <w:end w:w="110" w:type="dxa"/>
            </w:tcMar>
          </w:tcPr>
          <w:p>
            <w:r>
              <w:rPr>
                <w:b/>
                <w:color w:val="FFFFFF"/>
                <w:sz w:val="18"/>
              </w:rPr>
              <w:t>Result</w:t>
            </w:r>
          </w:p>
        </w:tc>
      </w:tr>
      <w:tr>
        <w:tc>
          <w:tcPr>
            <w:tcW w:type="dxa" w:w="5184"/>
            <w:vAlign w:val="center"/>
            <w:shd w:fill="FFFFFF"/>
            <w:tcMar>
              <w:top w:w="90" w:type="dxa"/>
              <w:start w:w="110" w:type="dxa"/>
              <w:bottom w:w="90" w:type="dxa"/>
              <w:end w:w="110" w:type="dxa"/>
            </w:tcMar>
          </w:tcPr>
          <w:p>
            <w:r>
              <w:rPr>
                <w:color w:val="000000"/>
                <w:sz w:val="18"/>
              </w:rPr>
              <w:t>Cleaned sessions</w:t>
            </w:r>
          </w:p>
        </w:tc>
        <w:tc>
          <w:tcPr>
            <w:tcW w:type="dxa" w:w="2880"/>
            <w:vAlign w:val="center"/>
            <w:shd w:fill="FFFFFF"/>
            <w:tcMar>
              <w:top w:w="90" w:type="dxa"/>
              <w:start w:w="110" w:type="dxa"/>
              <w:bottom w:w="90" w:type="dxa"/>
              <w:end w:w="110" w:type="dxa"/>
            </w:tcMar>
          </w:tcPr>
          <w:p>
            <w:r>
              <w:rPr>
                <w:color w:val="000000"/>
                <w:sz w:val="18"/>
              </w:rPr>
              <w:t>259,295</w:t>
            </w:r>
          </w:p>
        </w:tc>
      </w:tr>
      <w:tr>
        <w:tc>
          <w:tcPr>
            <w:tcW w:type="dxa" w:w="5184"/>
            <w:vAlign w:val="center"/>
            <w:shd w:fill="EAF2F8"/>
            <w:tcMar>
              <w:top w:w="90" w:type="dxa"/>
              <w:start w:w="110" w:type="dxa"/>
              <w:bottom w:w="90" w:type="dxa"/>
              <w:end w:w="110" w:type="dxa"/>
            </w:tcMar>
          </w:tcPr>
          <w:p>
            <w:r>
              <w:rPr>
                <w:color w:val="000000"/>
                <w:sz w:val="18"/>
              </w:rPr>
              <w:t>Total energy</w:t>
            </w:r>
          </w:p>
        </w:tc>
        <w:tc>
          <w:tcPr>
            <w:tcW w:type="dxa" w:w="2880"/>
            <w:vAlign w:val="center"/>
            <w:shd w:fill="EAF2F8"/>
            <w:tcMar>
              <w:top w:w="90" w:type="dxa"/>
              <w:start w:w="110" w:type="dxa"/>
              <w:bottom w:w="90" w:type="dxa"/>
              <w:end w:w="110" w:type="dxa"/>
            </w:tcMar>
          </w:tcPr>
          <w:p>
            <w:r>
              <w:rPr>
                <w:color w:val="000000"/>
                <w:sz w:val="18"/>
              </w:rPr>
              <w:t>2,215,029.06 kWh</w:t>
            </w:r>
          </w:p>
        </w:tc>
      </w:tr>
      <w:tr>
        <w:tc>
          <w:tcPr>
            <w:tcW w:type="dxa" w:w="5184"/>
            <w:vAlign w:val="center"/>
            <w:shd w:fill="FFFFFF"/>
            <w:tcMar>
              <w:top w:w="90" w:type="dxa"/>
              <w:start w:w="110" w:type="dxa"/>
              <w:bottom w:w="90" w:type="dxa"/>
              <w:end w:w="110" w:type="dxa"/>
            </w:tcMar>
          </w:tcPr>
          <w:p>
            <w:r>
              <w:rPr>
                <w:color w:val="000000"/>
                <w:sz w:val="18"/>
              </w:rPr>
              <w:t>Average energy per session</w:t>
            </w:r>
          </w:p>
        </w:tc>
        <w:tc>
          <w:tcPr>
            <w:tcW w:type="dxa" w:w="2880"/>
            <w:vAlign w:val="center"/>
            <w:shd w:fill="FFFFFF"/>
            <w:tcMar>
              <w:top w:w="90" w:type="dxa"/>
              <w:start w:w="110" w:type="dxa"/>
              <w:bottom w:w="90" w:type="dxa"/>
              <w:end w:w="110" w:type="dxa"/>
            </w:tcMar>
          </w:tcPr>
          <w:p>
            <w:r>
              <w:rPr>
                <w:color w:val="000000"/>
                <w:sz w:val="18"/>
              </w:rPr>
              <w:t>8.54 kWh</w:t>
            </w:r>
          </w:p>
        </w:tc>
      </w:tr>
      <w:tr>
        <w:tc>
          <w:tcPr>
            <w:tcW w:type="dxa" w:w="5184"/>
            <w:vAlign w:val="center"/>
            <w:shd w:fill="EAF2F8"/>
            <w:tcMar>
              <w:top w:w="90" w:type="dxa"/>
              <w:start w:w="110" w:type="dxa"/>
              <w:bottom w:w="90" w:type="dxa"/>
              <w:end w:w="110" w:type="dxa"/>
            </w:tcMar>
          </w:tcPr>
          <w:p>
            <w:r>
              <w:rPr>
                <w:color w:val="000000"/>
                <w:sz w:val="18"/>
              </w:rPr>
              <w:t>Median energy per session</w:t>
            </w:r>
          </w:p>
        </w:tc>
        <w:tc>
          <w:tcPr>
            <w:tcW w:type="dxa" w:w="2880"/>
            <w:vAlign w:val="center"/>
            <w:shd w:fill="EAF2F8"/>
            <w:tcMar>
              <w:top w:w="90" w:type="dxa"/>
              <w:start w:w="110" w:type="dxa"/>
              <w:bottom w:w="90" w:type="dxa"/>
              <w:end w:w="110" w:type="dxa"/>
            </w:tcMar>
          </w:tcPr>
          <w:p>
            <w:r>
              <w:rPr>
                <w:color w:val="000000"/>
                <w:sz w:val="18"/>
              </w:rPr>
              <w:t>6.87 kWh</w:t>
            </w:r>
          </w:p>
        </w:tc>
      </w:tr>
      <w:tr>
        <w:tc>
          <w:tcPr>
            <w:tcW w:type="dxa" w:w="5184"/>
            <w:vAlign w:val="center"/>
            <w:shd w:fill="FFFFFF"/>
            <w:tcMar>
              <w:top w:w="90" w:type="dxa"/>
              <w:start w:w="110" w:type="dxa"/>
              <w:bottom w:w="90" w:type="dxa"/>
              <w:end w:w="110" w:type="dxa"/>
            </w:tcMar>
          </w:tcPr>
          <w:p>
            <w:r>
              <w:rPr>
                <w:color w:val="000000"/>
                <w:sz w:val="18"/>
              </w:rPr>
              <w:t>Average active charging duration</w:t>
            </w:r>
          </w:p>
        </w:tc>
        <w:tc>
          <w:tcPr>
            <w:tcW w:type="dxa" w:w="2880"/>
            <w:vAlign w:val="center"/>
            <w:shd w:fill="FFFFFF"/>
            <w:tcMar>
              <w:top w:w="90" w:type="dxa"/>
              <w:start w:w="110" w:type="dxa"/>
              <w:bottom w:w="90" w:type="dxa"/>
              <w:end w:w="110" w:type="dxa"/>
            </w:tcMar>
          </w:tcPr>
          <w:p>
            <w:r>
              <w:rPr>
                <w:color w:val="000000"/>
                <w:sz w:val="18"/>
              </w:rPr>
              <w:t>2.00 hours</w:t>
            </w:r>
          </w:p>
        </w:tc>
      </w:tr>
      <w:tr>
        <w:tc>
          <w:tcPr>
            <w:tcW w:type="dxa" w:w="5184"/>
            <w:vAlign w:val="center"/>
            <w:shd w:fill="EAF2F8"/>
            <w:tcMar>
              <w:top w:w="90" w:type="dxa"/>
              <w:start w:w="110" w:type="dxa"/>
              <w:bottom w:w="90" w:type="dxa"/>
              <w:end w:w="110" w:type="dxa"/>
            </w:tcMar>
          </w:tcPr>
          <w:p>
            <w:r>
              <w:rPr>
                <w:color w:val="000000"/>
                <w:sz w:val="18"/>
              </w:rPr>
              <w:t>Median active charging duration</w:t>
            </w:r>
          </w:p>
        </w:tc>
        <w:tc>
          <w:tcPr>
            <w:tcW w:type="dxa" w:w="2880"/>
            <w:vAlign w:val="center"/>
            <w:shd w:fill="EAF2F8"/>
            <w:tcMar>
              <w:top w:w="90" w:type="dxa"/>
              <w:start w:w="110" w:type="dxa"/>
              <w:bottom w:w="90" w:type="dxa"/>
              <w:end w:w="110" w:type="dxa"/>
            </w:tcMar>
          </w:tcPr>
          <w:p>
            <w:r>
              <w:rPr>
                <w:color w:val="000000"/>
                <w:sz w:val="18"/>
              </w:rPr>
              <w:t>1.82 hours</w:t>
            </w:r>
          </w:p>
        </w:tc>
      </w:tr>
      <w:tr>
        <w:tc>
          <w:tcPr>
            <w:tcW w:type="dxa" w:w="5184"/>
            <w:vAlign w:val="center"/>
            <w:shd w:fill="FFFFFF"/>
            <w:tcMar>
              <w:top w:w="90" w:type="dxa"/>
              <w:start w:w="110" w:type="dxa"/>
              <w:bottom w:w="90" w:type="dxa"/>
              <w:end w:w="110" w:type="dxa"/>
            </w:tcMar>
          </w:tcPr>
          <w:p>
            <w:r>
              <w:rPr>
                <w:color w:val="000000"/>
                <w:sz w:val="18"/>
              </w:rPr>
              <w:t>Average energy per active charging hour</w:t>
            </w:r>
          </w:p>
        </w:tc>
        <w:tc>
          <w:tcPr>
            <w:tcW w:type="dxa" w:w="2880"/>
            <w:vAlign w:val="center"/>
            <w:shd w:fill="FFFFFF"/>
            <w:tcMar>
              <w:top w:w="90" w:type="dxa"/>
              <w:start w:w="110" w:type="dxa"/>
              <w:bottom w:w="90" w:type="dxa"/>
              <w:end w:w="110" w:type="dxa"/>
            </w:tcMar>
          </w:tcPr>
          <w:p>
            <w:r>
              <w:rPr>
                <w:color w:val="000000"/>
                <w:sz w:val="18"/>
              </w:rPr>
              <w:t>4.26 kW equivalent</w:t>
            </w:r>
          </w:p>
        </w:tc>
      </w:tr>
      <w:tr>
        <w:tc>
          <w:tcPr>
            <w:tcW w:type="dxa" w:w="5184"/>
            <w:vAlign w:val="center"/>
            <w:shd w:fill="EAF2F8"/>
            <w:tcMar>
              <w:top w:w="90" w:type="dxa"/>
              <w:start w:w="110" w:type="dxa"/>
              <w:bottom w:w="90" w:type="dxa"/>
              <w:end w:w="110" w:type="dxa"/>
            </w:tcMar>
          </w:tcPr>
          <w:p>
            <w:r>
              <w:rPr>
                <w:color w:val="000000"/>
                <w:sz w:val="18"/>
              </w:rPr>
              <w:t>Unique stations</w:t>
            </w:r>
          </w:p>
        </w:tc>
        <w:tc>
          <w:tcPr>
            <w:tcW w:type="dxa" w:w="2880"/>
            <w:vAlign w:val="center"/>
            <w:shd w:fill="EAF2F8"/>
            <w:tcMar>
              <w:top w:w="90" w:type="dxa"/>
              <w:start w:w="110" w:type="dxa"/>
              <w:bottom w:w="90" w:type="dxa"/>
              <w:end w:w="110" w:type="dxa"/>
            </w:tcMar>
          </w:tcPr>
          <w:p>
            <w:r>
              <w:rPr>
                <w:color w:val="000000"/>
                <w:sz w:val="18"/>
              </w:rPr>
              <w:t>47</w:t>
            </w:r>
          </w:p>
        </w:tc>
      </w:tr>
      <w:tr>
        <w:tc>
          <w:tcPr>
            <w:tcW w:type="dxa" w:w="5184"/>
            <w:vAlign w:val="center"/>
            <w:shd w:fill="FFFFFF"/>
            <w:tcMar>
              <w:top w:w="90" w:type="dxa"/>
              <w:start w:w="110" w:type="dxa"/>
              <w:bottom w:w="90" w:type="dxa"/>
              <w:end w:w="110" w:type="dxa"/>
            </w:tcMar>
          </w:tcPr>
          <w:p>
            <w:r>
              <w:rPr>
                <w:color w:val="000000"/>
                <w:sz w:val="18"/>
              </w:rPr>
              <w:t>Date range</w:t>
            </w:r>
          </w:p>
        </w:tc>
        <w:tc>
          <w:tcPr>
            <w:tcW w:type="dxa" w:w="2880"/>
            <w:vAlign w:val="center"/>
            <w:shd w:fill="FFFFFF"/>
            <w:tcMar>
              <w:top w:w="90" w:type="dxa"/>
              <w:start w:w="110" w:type="dxa"/>
              <w:bottom w:w="90" w:type="dxa"/>
              <w:end w:w="110" w:type="dxa"/>
            </w:tcMar>
          </w:tcPr>
          <w:p>
            <w:r>
              <w:rPr>
                <w:color w:val="000000"/>
                <w:sz w:val="18"/>
              </w:rPr>
              <w:t>July 29, 2011 to December 31, 2020</w:t>
            </w:r>
          </w:p>
        </w:tc>
      </w:tr>
    </w:tbl>
    <w:p>
      <w:pPr>
        <w:spacing w:after="20"/>
      </w:pPr>
    </w:p>
    <w:p>
      <w:pPr>
        <w:pStyle w:val="Heading2"/>
      </w:pPr>
      <w:r>
        <w:t>Selected Percentiles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shd w:fill="1F4E78"/>
            <w:vAlign w:val="center"/>
            <w:tcMar>
              <w:top w:w="90" w:type="dxa"/>
              <w:start w:w="110" w:type="dxa"/>
              <w:bottom w:w="90" w:type="dxa"/>
              <w:end w:w="110" w:type="dxa"/>
            </w:tcMar>
          </w:tcPr>
          <w:p>
            <w:r>
              <w:rPr>
                <w:b/>
                <w:color w:val="FFFFFF"/>
                <w:sz w:val="18"/>
              </w:rPr>
              <w:t>Percentile</w:t>
            </w:r>
          </w:p>
        </w:tc>
        <w:tc>
          <w:tcPr>
            <w:tcW w:type="dxa" w:w="3024"/>
            <w:shd w:fill="1F4E78"/>
            <w:vAlign w:val="center"/>
            <w:tcMar>
              <w:top w:w="90" w:type="dxa"/>
              <w:start w:w="110" w:type="dxa"/>
              <w:bottom w:w="90" w:type="dxa"/>
              <w:end w:w="110" w:type="dxa"/>
            </w:tcMar>
          </w:tcPr>
          <w:p>
            <w:r>
              <w:rPr>
                <w:b/>
                <w:color w:val="FFFFFF"/>
                <w:sz w:val="18"/>
              </w:rPr>
              <w:t>Energy kWh</w:t>
            </w:r>
          </w:p>
        </w:tc>
        <w:tc>
          <w:tcPr>
            <w:tcW w:type="dxa" w:w="3312"/>
            <w:shd w:fill="1F4E78"/>
            <w:vAlign w:val="center"/>
            <w:tcMar>
              <w:top w:w="90" w:type="dxa"/>
              <w:start w:w="110" w:type="dxa"/>
              <w:bottom w:w="90" w:type="dxa"/>
              <w:end w:w="110" w:type="dxa"/>
            </w:tcMar>
          </w:tcPr>
          <w:p>
            <w:r>
              <w:rPr>
                <w:b/>
                <w:color w:val="FFFFFF"/>
                <w:sz w:val="18"/>
              </w:rPr>
              <w:t>Charging duration hours</w:t>
            </w:r>
          </w:p>
        </w:tc>
      </w:tr>
      <w:tr>
        <w:tc>
          <w:tcPr>
            <w:tcW w:type="dxa" w:w="2016"/>
            <w:vAlign w:val="center"/>
            <w:shd w:fill="FFFFFF"/>
            <w:tcMar>
              <w:top w:w="90" w:type="dxa"/>
              <w:start w:w="110" w:type="dxa"/>
              <w:bottom w:w="90" w:type="dxa"/>
              <w:end w:w="110" w:type="dxa"/>
            </w:tcMar>
          </w:tcPr>
          <w:p>
            <w:r>
              <w:rPr>
                <w:color w:val="000000"/>
                <w:sz w:val="18"/>
              </w:rPr>
              <w:t>1th</w:t>
            </w:r>
          </w:p>
        </w:tc>
        <w:tc>
          <w:tcPr>
            <w:tcW w:type="dxa" w:w="3024"/>
            <w:vAlign w:val="center"/>
            <w:shd w:fill="FFFFFF"/>
            <w:tcMar>
              <w:top w:w="90" w:type="dxa"/>
              <w:start w:w="110" w:type="dxa"/>
              <w:bottom w:w="90" w:type="dxa"/>
              <w:end w:w="110" w:type="dxa"/>
            </w:tcMar>
          </w:tcPr>
          <w:p>
            <w:r>
              <w:rPr>
                <w:color w:val="000000"/>
                <w:sz w:val="18"/>
              </w:rPr>
              <w:t>0.16</w:t>
            </w:r>
          </w:p>
        </w:tc>
        <w:tc>
          <w:tcPr>
            <w:tcW w:type="dxa" w:w="3312"/>
            <w:vAlign w:val="center"/>
            <w:shd w:fill="FFFFFF"/>
            <w:tcMar>
              <w:top w:w="90" w:type="dxa"/>
              <w:start w:w="110" w:type="dxa"/>
              <w:bottom w:w="90" w:type="dxa"/>
              <w:end w:w="110" w:type="dxa"/>
            </w:tcMar>
          </w:tcPr>
          <w:p>
            <w:r>
              <w:rPr>
                <w:color w:val="000000"/>
                <w:sz w:val="18"/>
              </w:rPr>
              <w:t>0.05</w:t>
            </w:r>
          </w:p>
        </w:tc>
      </w:tr>
      <w:tr>
        <w:tc>
          <w:tcPr>
            <w:tcW w:type="dxa" w:w="2016"/>
            <w:vAlign w:val="center"/>
            <w:shd w:fill="EAF2F8"/>
            <w:tcMar>
              <w:top w:w="90" w:type="dxa"/>
              <w:start w:w="110" w:type="dxa"/>
              <w:bottom w:w="90" w:type="dxa"/>
              <w:end w:w="110" w:type="dxa"/>
            </w:tcMar>
          </w:tcPr>
          <w:p>
            <w:r>
              <w:rPr>
                <w:color w:val="000000"/>
                <w:sz w:val="18"/>
              </w:rPr>
              <w:t>25th</w:t>
            </w:r>
          </w:p>
        </w:tc>
        <w:tc>
          <w:tcPr>
            <w:tcW w:type="dxa" w:w="3024"/>
            <w:vAlign w:val="center"/>
            <w:shd w:fill="EAF2F8"/>
            <w:tcMar>
              <w:top w:w="90" w:type="dxa"/>
              <w:start w:w="110" w:type="dxa"/>
              <w:bottom w:w="90" w:type="dxa"/>
              <w:end w:w="110" w:type="dxa"/>
            </w:tcMar>
          </w:tcPr>
          <w:p>
            <w:r>
              <w:rPr>
                <w:color w:val="000000"/>
                <w:sz w:val="18"/>
              </w:rPr>
              <w:t>3.78</w:t>
            </w:r>
          </w:p>
        </w:tc>
        <w:tc>
          <w:tcPr>
            <w:tcW w:type="dxa" w:w="3312"/>
            <w:vAlign w:val="center"/>
            <w:shd w:fill="EAF2F8"/>
            <w:tcMar>
              <w:top w:w="90" w:type="dxa"/>
              <w:start w:w="110" w:type="dxa"/>
              <w:bottom w:w="90" w:type="dxa"/>
              <w:end w:w="110" w:type="dxa"/>
            </w:tcMar>
          </w:tcPr>
          <w:p>
            <w:r>
              <w:rPr>
                <w:color w:val="000000"/>
                <w:sz w:val="18"/>
              </w:rPr>
              <w:t>1.04</w:t>
            </w:r>
          </w:p>
        </w:tc>
      </w:tr>
      <w:tr>
        <w:tc>
          <w:tcPr>
            <w:tcW w:type="dxa" w:w="2016"/>
            <w:vAlign w:val="center"/>
            <w:shd w:fill="FFFFFF"/>
            <w:tcMar>
              <w:top w:w="90" w:type="dxa"/>
              <w:start w:w="110" w:type="dxa"/>
              <w:bottom w:w="90" w:type="dxa"/>
              <w:end w:w="110" w:type="dxa"/>
            </w:tcMar>
          </w:tcPr>
          <w:p>
            <w:r>
              <w:rPr>
                <w:color w:val="000000"/>
                <w:sz w:val="18"/>
              </w:rPr>
              <w:t>50th</w:t>
            </w:r>
          </w:p>
        </w:tc>
        <w:tc>
          <w:tcPr>
            <w:tcW w:type="dxa" w:w="3024"/>
            <w:vAlign w:val="center"/>
            <w:shd w:fill="FFFFFF"/>
            <w:tcMar>
              <w:top w:w="90" w:type="dxa"/>
              <w:start w:w="110" w:type="dxa"/>
              <w:bottom w:w="90" w:type="dxa"/>
              <w:end w:w="110" w:type="dxa"/>
            </w:tcMar>
          </w:tcPr>
          <w:p>
            <w:r>
              <w:rPr>
                <w:color w:val="000000"/>
                <w:sz w:val="18"/>
              </w:rPr>
              <w:t>6.87</w:t>
            </w:r>
          </w:p>
        </w:tc>
        <w:tc>
          <w:tcPr>
            <w:tcW w:type="dxa" w:w="3312"/>
            <w:vAlign w:val="center"/>
            <w:shd w:fill="FFFFFF"/>
            <w:tcMar>
              <w:top w:w="90" w:type="dxa"/>
              <w:start w:w="110" w:type="dxa"/>
              <w:bottom w:w="90" w:type="dxa"/>
              <w:end w:w="110" w:type="dxa"/>
            </w:tcMar>
          </w:tcPr>
          <w:p>
            <w:r>
              <w:rPr>
                <w:color w:val="000000"/>
                <w:sz w:val="18"/>
              </w:rPr>
              <w:t>1.82</w:t>
            </w:r>
          </w:p>
        </w:tc>
      </w:tr>
      <w:tr>
        <w:tc>
          <w:tcPr>
            <w:tcW w:type="dxa" w:w="2016"/>
            <w:vAlign w:val="center"/>
            <w:shd w:fill="EAF2F8"/>
            <w:tcMar>
              <w:top w:w="90" w:type="dxa"/>
              <w:start w:w="110" w:type="dxa"/>
              <w:bottom w:w="90" w:type="dxa"/>
              <w:end w:w="110" w:type="dxa"/>
            </w:tcMar>
          </w:tcPr>
          <w:p>
            <w:r>
              <w:rPr>
                <w:color w:val="000000"/>
                <w:sz w:val="18"/>
              </w:rPr>
              <w:t>75th</w:t>
            </w:r>
          </w:p>
        </w:tc>
        <w:tc>
          <w:tcPr>
            <w:tcW w:type="dxa" w:w="3024"/>
            <w:vAlign w:val="center"/>
            <w:shd w:fill="EAF2F8"/>
            <w:tcMar>
              <w:top w:w="90" w:type="dxa"/>
              <w:start w:w="110" w:type="dxa"/>
              <w:bottom w:w="90" w:type="dxa"/>
              <w:end w:w="110" w:type="dxa"/>
            </w:tcMar>
          </w:tcPr>
          <w:p>
            <w:r>
              <w:rPr>
                <w:color w:val="000000"/>
                <w:sz w:val="18"/>
              </w:rPr>
              <w:t>11.46</w:t>
            </w:r>
          </w:p>
        </w:tc>
        <w:tc>
          <w:tcPr>
            <w:tcW w:type="dxa" w:w="3312"/>
            <w:vAlign w:val="center"/>
            <w:shd w:fill="EAF2F8"/>
            <w:tcMar>
              <w:top w:w="90" w:type="dxa"/>
              <w:start w:w="110" w:type="dxa"/>
              <w:bottom w:w="90" w:type="dxa"/>
              <w:end w:w="110" w:type="dxa"/>
            </w:tcMar>
          </w:tcPr>
          <w:p>
            <w:r>
              <w:rPr>
                <w:color w:val="000000"/>
                <w:sz w:val="18"/>
              </w:rPr>
              <w:t>2.70</w:t>
            </w:r>
          </w:p>
        </w:tc>
      </w:tr>
      <w:tr>
        <w:tc>
          <w:tcPr>
            <w:tcW w:type="dxa" w:w="2016"/>
            <w:vAlign w:val="center"/>
            <w:shd w:fill="FFFFFF"/>
            <w:tcMar>
              <w:top w:w="90" w:type="dxa"/>
              <w:start w:w="110" w:type="dxa"/>
              <w:bottom w:w="90" w:type="dxa"/>
              <w:end w:w="110" w:type="dxa"/>
            </w:tcMar>
          </w:tcPr>
          <w:p>
            <w:r>
              <w:rPr>
                <w:color w:val="000000"/>
                <w:sz w:val="18"/>
              </w:rPr>
              <w:t>90th</w:t>
            </w:r>
          </w:p>
        </w:tc>
        <w:tc>
          <w:tcPr>
            <w:tcW w:type="dxa" w:w="3024"/>
            <w:vAlign w:val="center"/>
            <w:shd w:fill="FFFFFF"/>
            <w:tcMar>
              <w:top w:w="90" w:type="dxa"/>
              <w:start w:w="110" w:type="dxa"/>
              <w:bottom w:w="90" w:type="dxa"/>
              <w:end w:w="110" w:type="dxa"/>
            </w:tcMar>
          </w:tcPr>
          <w:p>
            <w:r>
              <w:rPr>
                <w:color w:val="000000"/>
                <w:sz w:val="18"/>
              </w:rPr>
              <w:t>16.40</w:t>
            </w:r>
          </w:p>
        </w:tc>
        <w:tc>
          <w:tcPr>
            <w:tcW w:type="dxa" w:w="3312"/>
            <w:vAlign w:val="center"/>
            <w:shd w:fill="FFFFFF"/>
            <w:tcMar>
              <w:top w:w="90" w:type="dxa"/>
              <w:start w:w="110" w:type="dxa"/>
              <w:bottom w:w="90" w:type="dxa"/>
              <w:end w:w="110" w:type="dxa"/>
            </w:tcMar>
          </w:tcPr>
          <w:p>
            <w:r>
              <w:rPr>
                <w:color w:val="000000"/>
                <w:sz w:val="18"/>
              </w:rPr>
              <w:t>3.61</w:t>
            </w:r>
          </w:p>
        </w:tc>
      </w:tr>
      <w:tr>
        <w:tc>
          <w:tcPr>
            <w:tcW w:type="dxa" w:w="2016"/>
            <w:vAlign w:val="center"/>
            <w:shd w:fill="EAF2F8"/>
            <w:tcMar>
              <w:top w:w="90" w:type="dxa"/>
              <w:start w:w="110" w:type="dxa"/>
              <w:bottom w:w="90" w:type="dxa"/>
              <w:end w:w="110" w:type="dxa"/>
            </w:tcMar>
          </w:tcPr>
          <w:p>
            <w:r>
              <w:rPr>
                <w:color w:val="000000"/>
                <w:sz w:val="18"/>
              </w:rPr>
              <w:t>95th</w:t>
            </w:r>
          </w:p>
        </w:tc>
        <w:tc>
          <w:tcPr>
            <w:tcW w:type="dxa" w:w="3024"/>
            <w:vAlign w:val="center"/>
            <w:shd w:fill="EAF2F8"/>
            <w:tcMar>
              <w:top w:w="90" w:type="dxa"/>
              <w:start w:w="110" w:type="dxa"/>
              <w:bottom w:w="90" w:type="dxa"/>
              <w:end w:w="110" w:type="dxa"/>
            </w:tcMar>
          </w:tcPr>
          <w:p>
            <w:r>
              <w:rPr>
                <w:color w:val="000000"/>
                <w:sz w:val="18"/>
              </w:rPr>
              <w:t>20.01</w:t>
            </w:r>
          </w:p>
        </w:tc>
        <w:tc>
          <w:tcPr>
            <w:tcW w:type="dxa" w:w="3312"/>
            <w:vAlign w:val="center"/>
            <w:shd w:fill="EAF2F8"/>
            <w:tcMar>
              <w:top w:w="90" w:type="dxa"/>
              <w:start w:w="110" w:type="dxa"/>
              <w:bottom w:w="90" w:type="dxa"/>
              <w:end w:w="110" w:type="dxa"/>
            </w:tcMar>
          </w:tcPr>
          <w:p>
            <w:r>
              <w:rPr>
                <w:color w:val="000000"/>
                <w:sz w:val="18"/>
              </w:rPr>
              <w:t>4.21</w:t>
            </w:r>
          </w:p>
        </w:tc>
      </w:tr>
      <w:tr>
        <w:tc>
          <w:tcPr>
            <w:tcW w:type="dxa" w:w="2016"/>
            <w:vAlign w:val="center"/>
            <w:shd w:fill="FFFFFF"/>
            <w:tcMar>
              <w:top w:w="90" w:type="dxa"/>
              <w:start w:w="110" w:type="dxa"/>
              <w:bottom w:w="90" w:type="dxa"/>
              <w:end w:w="110" w:type="dxa"/>
            </w:tcMar>
          </w:tcPr>
          <w:p>
            <w:r>
              <w:rPr>
                <w:color w:val="000000"/>
                <w:sz w:val="18"/>
              </w:rPr>
              <w:t>99th</w:t>
            </w:r>
          </w:p>
        </w:tc>
        <w:tc>
          <w:tcPr>
            <w:tcW w:type="dxa" w:w="3024"/>
            <w:vAlign w:val="center"/>
            <w:shd w:fill="FFFFFF"/>
            <w:tcMar>
              <w:top w:w="90" w:type="dxa"/>
              <w:start w:w="110" w:type="dxa"/>
              <w:bottom w:w="90" w:type="dxa"/>
              <w:end w:w="110" w:type="dxa"/>
            </w:tcMar>
          </w:tcPr>
          <w:p>
            <w:r>
              <w:rPr>
                <w:color w:val="000000"/>
                <w:sz w:val="18"/>
              </w:rPr>
              <w:t>36.90</w:t>
            </w:r>
          </w:p>
        </w:tc>
        <w:tc>
          <w:tcPr>
            <w:tcW w:type="dxa" w:w="3312"/>
            <w:vAlign w:val="center"/>
            <w:shd w:fill="FFFFFF"/>
            <w:tcMar>
              <w:top w:w="90" w:type="dxa"/>
              <w:start w:w="110" w:type="dxa"/>
              <w:bottom w:w="90" w:type="dxa"/>
              <w:end w:w="110" w:type="dxa"/>
            </w:tcMar>
          </w:tcPr>
          <w:p>
            <w:r>
              <w:rPr>
                <w:color w:val="000000"/>
                <w:sz w:val="18"/>
              </w:rPr>
              <w:t>6.75</w:t>
            </w:r>
          </w:p>
        </w:tc>
      </w:tr>
    </w:tbl>
    <w:p>
      <w:pPr>
        <w:spacing w:after="20"/>
      </w:pPr>
    </w:p>
    <w:p>
      <w:r>
        <w:br w:type="page"/>
      </w:r>
    </w:p>
    <w:p>
      <w:pPr>
        <w:pStyle w:val="Heading1"/>
      </w:pPr>
      <w:r>
        <w:t>Results</w:t>
      </w:r>
    </w:p>
    <w:p>
      <w:pPr>
        <w:pStyle w:val="Heading2"/>
      </w:pPr>
      <w:r>
        <w:t>When Chargers Were Used Most</w:t>
      </w:r>
    </w:p>
    <w:p>
      <w:r>
        <w:t>Session starts concentrated in daytime hours. The highest count occurred at 11 AM. Wednesday had the largest day-of-week count, January had the largest combined calendar-month count, and weekdays represented 76.1 percent of sessions. These counts show recorded use. They do not measure queues, failed charging attempts, or unmet demand.</w:t>
      </w:r>
    </w:p>
    <w:p>
      <w:pPr>
        <w:keepNext/>
        <w:jc w:val="center"/>
      </w:pPr>
      <w:r>
        <w:drawing>
          <wp:inline xmlns:a="http://schemas.openxmlformats.org/drawingml/2006/main" xmlns:pic="http://schemas.openxmlformats.org/drawingml/2006/picture">
            <wp:extent cx="5989320" cy="3973295"/>
            <wp:docPr id="1" name="Picture 1" descr="Figure 1  Charging session counts by hour, day of week, calendar month, and day type" title="Figure 1"/>
            <wp:cNvGraphicFramePr>
              <a:graphicFrameLocks noChangeAspect="1"/>
            </wp:cNvGraphicFramePr>
            <a:graphic>
              <a:graphicData uri="http://schemas.openxmlformats.org/drawingml/2006/picture">
                <pic:pic>
                  <pic:nvPicPr>
                    <pic:cNvPr id="0" name="charging_sessions_by_time.png"/>
                    <pic:cNvPicPr/>
                  </pic:nvPicPr>
                  <pic:blipFill>
                    <a:blip r:embed="rId11"/>
                    <a:stretch>
                      <a:fillRect/>
                    </a:stretch>
                  </pic:blipFill>
                  <pic:spPr>
                    <a:xfrm>
                      <a:off x="0" y="0"/>
                      <a:ext cx="5989320" cy="3973295"/>
                    </a:xfrm>
                    <a:prstGeom prst="rect"/>
                  </pic:spPr>
                </pic:pic>
              </a:graphicData>
            </a:graphic>
          </wp:inline>
        </w:drawing>
      </w:r>
    </w:p>
    <w:p>
      <w:pPr>
        <w:pStyle w:val="FigureCaption"/>
        <w:jc w:val="center"/>
      </w:pPr>
      <w:r>
        <w:t>Figure 1  Charging session counts by hour, day of week, calendar month, and day type</w:t>
      </w:r>
    </w:p>
    <w:p>
      <w:pPr>
        <w:pStyle w:val="Heading2"/>
      </w:pPr>
      <w:r>
        <w:t>Changes in Usage Over Time</w:t>
      </w:r>
    </w:p>
    <w:p>
      <w:r>
        <w:t>Monthly session count and total energy increased substantially during the earlier years, although the series also contains declines and recoveries. The busiest full year was 2017 with 48,950 sessions. May 2017 was the busiest individual month with 4,982 sessions. Average energy per session and average charging duration changed less smoothly than volume. Calendar year 2011 contains only July through December, so its annual total is incomplete.</w:t>
      </w:r>
    </w:p>
    <w:p>
      <w:pPr>
        <w:keepNext/>
        <w:jc w:val="center"/>
      </w:pPr>
      <w:r>
        <w:drawing>
          <wp:inline xmlns:a="http://schemas.openxmlformats.org/drawingml/2006/main" xmlns:pic="http://schemas.openxmlformats.org/drawingml/2006/picture">
            <wp:extent cx="5989320" cy="3969623"/>
            <wp:docPr id="2" name="Picture 2" descr="Figure 2  Monthly sessions, total energy, average energy, and average charging duration" title="Figure 2"/>
            <wp:cNvGraphicFramePr>
              <a:graphicFrameLocks noChangeAspect="1"/>
            </wp:cNvGraphicFramePr>
            <a:graphic>
              <a:graphicData uri="http://schemas.openxmlformats.org/drawingml/2006/picture">
                <pic:pic>
                  <pic:nvPicPr>
                    <pic:cNvPr id="0" name="monthly_charging_trend.png"/>
                    <pic:cNvPicPr/>
                  </pic:nvPicPr>
                  <pic:blipFill>
                    <a:blip r:embed="rId12"/>
                    <a:stretch>
                      <a:fillRect/>
                    </a:stretch>
                  </pic:blipFill>
                  <pic:spPr>
                    <a:xfrm>
                      <a:off x="0" y="0"/>
                      <a:ext cx="5989320" cy="3969623"/>
                    </a:xfrm>
                    <a:prstGeom prst="rect"/>
                  </pic:spPr>
                </pic:pic>
              </a:graphicData>
            </a:graphic>
          </wp:inline>
        </w:drawing>
      </w:r>
    </w:p>
    <w:p>
      <w:pPr>
        <w:pStyle w:val="FigureCaption"/>
        <w:jc w:val="center"/>
      </w:pPr>
      <w:r>
        <w:t>Figure 2  Monthly sessions, total energy, average energy, and average charging duration</w:t>
      </w:r>
    </w:p>
    <w:p>
      <w:r>
        <w:br w:type="page"/>
      </w:r>
    </w:p>
    <w:p>
      <w:pPr>
        <w:pStyle w:val="Heading2"/>
      </w:pPr>
      <w:r>
        <w:t>Charging Duration and Energy</w:t>
      </w:r>
    </w:p>
    <w:p>
      <w:r>
        <w:t>Active charging duration and energy delivered had a Pearson correlation of 0.871. The p value was effectively below conventional reporting precision because of the large sample. The positive association is clear, but the scatter also shows variation at similar durations. Extremely long sessions did not always deliver proportionally high energy. Vehicle charging limits, charger power, battery state, interruptions, and data-recording behavior may contribute to this spread.</w:t>
      </w:r>
    </w:p>
    <w:p>
      <w:pPr>
        <w:keepNext/>
        <w:jc w:val="center"/>
      </w:pPr>
      <w:r>
        <w:drawing>
          <wp:inline xmlns:a="http://schemas.openxmlformats.org/drawingml/2006/main" xmlns:pic="http://schemas.openxmlformats.org/drawingml/2006/picture">
            <wp:extent cx="5989320" cy="3551484"/>
            <wp:docPr id="3" name="Picture 3" descr="Figure 3  Charging duration and energy delivered with a fitted linear trend" title="Figure 3"/>
            <wp:cNvGraphicFramePr>
              <a:graphicFrameLocks noChangeAspect="1"/>
            </wp:cNvGraphicFramePr>
            <a:graphic>
              <a:graphicData uri="http://schemas.openxmlformats.org/drawingml/2006/picture">
                <pic:pic>
                  <pic:nvPicPr>
                    <pic:cNvPr id="0" name="duration_vs_energy.png"/>
                    <pic:cNvPicPr/>
                  </pic:nvPicPr>
                  <pic:blipFill>
                    <a:blip r:embed="rId13"/>
                    <a:stretch>
                      <a:fillRect/>
                    </a:stretch>
                  </pic:blipFill>
                  <pic:spPr>
                    <a:xfrm>
                      <a:off x="0" y="0"/>
                      <a:ext cx="5989320" cy="3551484"/>
                    </a:xfrm>
                    <a:prstGeom prst="rect"/>
                  </pic:spPr>
                </pic:pic>
              </a:graphicData>
            </a:graphic>
          </wp:inline>
        </w:drawing>
      </w:r>
    </w:p>
    <w:p>
      <w:pPr>
        <w:pStyle w:val="FigureCaption"/>
        <w:jc w:val="center"/>
      </w:pPr>
      <w:r>
        <w:t>Figure 3  Charging duration and energy delivered with a fitted linear trend</w:t>
      </w:r>
    </w:p>
    <w:p>
      <w:pPr>
        <w:pStyle w:val="Heading2"/>
      </w:pPr>
      <w:r>
        <w:t>Differences Among Stations</w:t>
      </w:r>
    </w:p>
    <w:p>
      <w:r>
        <w:t>Stations differed in session count, total energy, average energy, charging duration, and idle time. PALO ALTO CA / HAMILTON #2 recorded 23,706 sessions, the most in the dataset. The ordering by total energy differed from the ordering by sessions, which indicates that session volume alone does not fully describe station use.</w:t>
      </w:r>
    </w:p>
    <w:p>
      <w:pPr>
        <w:keepNext/>
        <w:jc w:val="center"/>
      </w:pPr>
      <w:r>
        <w:drawing>
          <wp:inline xmlns:a="http://schemas.openxmlformats.org/drawingml/2006/main" xmlns:pic="http://schemas.openxmlformats.org/drawingml/2006/picture">
            <wp:extent cx="5989320" cy="2581337"/>
            <wp:docPr id="4" name="Picture 4" descr="Figure 4  Leading stations by session count and total delivered energy" title="Figure 4"/>
            <wp:cNvGraphicFramePr>
              <a:graphicFrameLocks noChangeAspect="1"/>
            </wp:cNvGraphicFramePr>
            <a:graphic>
              <a:graphicData uri="http://schemas.openxmlformats.org/drawingml/2006/picture">
                <pic:pic>
                  <pic:nvPicPr>
                    <pic:cNvPr id="0" name="top_charging_stations.png"/>
                    <pic:cNvPicPr/>
                  </pic:nvPicPr>
                  <pic:blipFill>
                    <a:blip r:embed="rId14"/>
                    <a:stretch>
                      <a:fillRect/>
                    </a:stretch>
                  </pic:blipFill>
                  <pic:spPr>
                    <a:xfrm>
                      <a:off x="0" y="0"/>
                      <a:ext cx="5989320" cy="2581337"/>
                    </a:xfrm>
                    <a:prstGeom prst="rect"/>
                  </pic:spPr>
                </pic:pic>
              </a:graphicData>
            </a:graphic>
          </wp:inline>
        </w:drawing>
      </w:r>
    </w:p>
    <w:p>
      <w:pPr>
        <w:pStyle w:val="FigureCaption"/>
        <w:jc w:val="center"/>
      </w:pPr>
      <w:r>
        <w:t>Figure 4  Leading stations by session count and total delivered energy</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672"/>
            <w:shd w:fill="1F4E78"/>
            <w:vAlign w:val="center"/>
            <w:tcMar>
              <w:top w:w="90" w:type="dxa"/>
              <w:start w:w="110" w:type="dxa"/>
              <w:bottom w:w="90" w:type="dxa"/>
              <w:end w:w="110" w:type="dxa"/>
            </w:tcMar>
          </w:tcPr>
          <w:p>
            <w:r>
              <w:rPr>
                <w:b/>
                <w:color w:val="FFFFFF"/>
                <w:sz w:val="15"/>
              </w:rPr>
              <w:t>Station</w:t>
            </w:r>
          </w:p>
        </w:tc>
        <w:tc>
          <w:tcPr>
            <w:tcW w:type="dxa" w:w="1123"/>
            <w:shd w:fill="1F4E78"/>
            <w:vAlign w:val="center"/>
            <w:tcMar>
              <w:top w:w="90" w:type="dxa"/>
              <w:start w:w="110" w:type="dxa"/>
              <w:bottom w:w="90" w:type="dxa"/>
              <w:end w:w="110" w:type="dxa"/>
            </w:tcMar>
          </w:tcPr>
          <w:p>
            <w:r>
              <w:rPr>
                <w:b/>
                <w:color w:val="FFFFFF"/>
                <w:sz w:val="15"/>
              </w:rPr>
              <w:t>Sessions</w:t>
            </w:r>
          </w:p>
        </w:tc>
        <w:tc>
          <w:tcPr>
            <w:tcW w:type="dxa" w:w="1267"/>
            <w:shd w:fill="1F4E78"/>
            <w:vAlign w:val="center"/>
            <w:tcMar>
              <w:top w:w="90" w:type="dxa"/>
              <w:start w:w="110" w:type="dxa"/>
              <w:bottom w:w="90" w:type="dxa"/>
              <w:end w:w="110" w:type="dxa"/>
            </w:tcMar>
          </w:tcPr>
          <w:p>
            <w:r>
              <w:rPr>
                <w:b/>
                <w:color w:val="FFFFFF"/>
                <w:sz w:val="15"/>
              </w:rPr>
              <w:t>Total kWh</w:t>
            </w:r>
          </w:p>
        </w:tc>
        <w:tc>
          <w:tcPr>
            <w:tcW w:type="dxa" w:w="1195"/>
            <w:shd w:fill="1F4E78"/>
            <w:vAlign w:val="center"/>
            <w:tcMar>
              <w:top w:w="90" w:type="dxa"/>
              <w:start w:w="110" w:type="dxa"/>
              <w:bottom w:w="90" w:type="dxa"/>
              <w:end w:w="110" w:type="dxa"/>
            </w:tcMar>
          </w:tcPr>
          <w:p>
            <w:r>
              <w:rPr>
                <w:b/>
                <w:color w:val="FFFFFF"/>
                <w:sz w:val="15"/>
              </w:rPr>
              <w:t>Mean kWh</w:t>
            </w:r>
          </w:p>
        </w:tc>
        <w:tc>
          <w:tcPr>
            <w:tcW w:type="dxa" w:w="1238"/>
            <w:shd w:fill="1F4E78"/>
            <w:vAlign w:val="center"/>
            <w:tcMar>
              <w:top w:w="90" w:type="dxa"/>
              <w:start w:w="110" w:type="dxa"/>
              <w:bottom w:w="90" w:type="dxa"/>
              <w:end w:w="110" w:type="dxa"/>
            </w:tcMar>
          </w:tcPr>
          <w:p>
            <w:r>
              <w:rPr>
                <w:b/>
                <w:color w:val="FFFFFF"/>
                <w:sz w:val="15"/>
              </w:rPr>
              <w:t>Mean hours</w:t>
            </w:r>
          </w:p>
        </w:tc>
      </w:tr>
      <w:tr>
        <w:tc>
          <w:tcPr>
            <w:tcW w:type="dxa" w:w="3672"/>
            <w:vAlign w:val="center"/>
            <w:shd w:fill="FFFFFF"/>
            <w:tcMar>
              <w:top w:w="90" w:type="dxa"/>
              <w:start w:w="110" w:type="dxa"/>
              <w:bottom w:w="90" w:type="dxa"/>
              <w:end w:w="110" w:type="dxa"/>
            </w:tcMar>
          </w:tcPr>
          <w:p>
            <w:r>
              <w:rPr>
                <w:color w:val="000000"/>
                <w:sz w:val="15"/>
              </w:rPr>
              <w:t>PALO ALTO CA / HAMILTON #2</w:t>
            </w:r>
          </w:p>
        </w:tc>
        <w:tc>
          <w:tcPr>
            <w:tcW w:type="dxa" w:w="1123"/>
            <w:vAlign w:val="center"/>
            <w:shd w:fill="FFFFFF"/>
            <w:tcMar>
              <w:top w:w="90" w:type="dxa"/>
              <w:start w:w="110" w:type="dxa"/>
              <w:bottom w:w="90" w:type="dxa"/>
              <w:end w:w="110" w:type="dxa"/>
            </w:tcMar>
          </w:tcPr>
          <w:p>
            <w:r>
              <w:rPr>
                <w:color w:val="000000"/>
                <w:sz w:val="15"/>
              </w:rPr>
              <w:t>23,706</w:t>
            </w:r>
          </w:p>
        </w:tc>
        <w:tc>
          <w:tcPr>
            <w:tcW w:type="dxa" w:w="1267"/>
            <w:vAlign w:val="center"/>
            <w:shd w:fill="FFFFFF"/>
            <w:tcMar>
              <w:top w:w="90" w:type="dxa"/>
              <w:start w:w="110" w:type="dxa"/>
              <w:bottom w:w="90" w:type="dxa"/>
              <w:end w:w="110" w:type="dxa"/>
            </w:tcMar>
          </w:tcPr>
          <w:p>
            <w:r>
              <w:rPr>
                <w:color w:val="000000"/>
                <w:sz w:val="15"/>
              </w:rPr>
              <w:t>191,525</w:t>
            </w:r>
          </w:p>
        </w:tc>
        <w:tc>
          <w:tcPr>
            <w:tcW w:type="dxa" w:w="1195"/>
            <w:vAlign w:val="center"/>
            <w:shd w:fill="FFFFFF"/>
            <w:tcMar>
              <w:top w:w="90" w:type="dxa"/>
              <w:start w:w="110" w:type="dxa"/>
              <w:bottom w:w="90" w:type="dxa"/>
              <w:end w:w="110" w:type="dxa"/>
            </w:tcMar>
          </w:tcPr>
          <w:p>
            <w:r>
              <w:rPr>
                <w:color w:val="000000"/>
                <w:sz w:val="15"/>
              </w:rPr>
              <w:t>8.08</w:t>
            </w:r>
          </w:p>
        </w:tc>
        <w:tc>
          <w:tcPr>
            <w:tcW w:type="dxa" w:w="1238"/>
            <w:vAlign w:val="center"/>
            <w:shd w:fill="FFFFFF"/>
            <w:tcMar>
              <w:top w:w="90" w:type="dxa"/>
              <w:start w:w="110" w:type="dxa"/>
              <w:bottom w:w="90" w:type="dxa"/>
              <w:end w:w="110" w:type="dxa"/>
            </w:tcMar>
          </w:tcPr>
          <w:p>
            <w:r>
              <w:rPr>
                <w:color w:val="000000"/>
                <w:sz w:val="15"/>
              </w:rPr>
              <w:t>2.03</w:t>
            </w:r>
          </w:p>
        </w:tc>
      </w:tr>
      <w:tr>
        <w:tc>
          <w:tcPr>
            <w:tcW w:type="dxa" w:w="3672"/>
            <w:vAlign w:val="center"/>
            <w:shd w:fill="EAF2F8"/>
            <w:tcMar>
              <w:top w:w="90" w:type="dxa"/>
              <w:start w:w="110" w:type="dxa"/>
              <w:bottom w:w="90" w:type="dxa"/>
              <w:end w:w="110" w:type="dxa"/>
            </w:tcMar>
          </w:tcPr>
          <w:p>
            <w:r>
              <w:rPr>
                <w:color w:val="000000"/>
                <w:sz w:val="15"/>
              </w:rPr>
              <w:t>PALO ALTO CA / HAMILTON #1</w:t>
            </w:r>
          </w:p>
        </w:tc>
        <w:tc>
          <w:tcPr>
            <w:tcW w:type="dxa" w:w="1123"/>
            <w:vAlign w:val="center"/>
            <w:shd w:fill="EAF2F8"/>
            <w:tcMar>
              <w:top w:w="90" w:type="dxa"/>
              <w:start w:w="110" w:type="dxa"/>
              <w:bottom w:w="90" w:type="dxa"/>
              <w:end w:w="110" w:type="dxa"/>
            </w:tcMar>
          </w:tcPr>
          <w:p>
            <w:r>
              <w:rPr>
                <w:color w:val="000000"/>
                <w:sz w:val="15"/>
              </w:rPr>
              <w:t>14,879</w:t>
            </w:r>
          </w:p>
        </w:tc>
        <w:tc>
          <w:tcPr>
            <w:tcW w:type="dxa" w:w="1267"/>
            <w:vAlign w:val="center"/>
            <w:shd w:fill="EAF2F8"/>
            <w:tcMar>
              <w:top w:w="90" w:type="dxa"/>
              <w:start w:w="110" w:type="dxa"/>
              <w:bottom w:w="90" w:type="dxa"/>
              <w:end w:w="110" w:type="dxa"/>
            </w:tcMar>
          </w:tcPr>
          <w:p>
            <w:r>
              <w:rPr>
                <w:color w:val="000000"/>
                <w:sz w:val="15"/>
              </w:rPr>
              <w:t>113,656</w:t>
            </w:r>
          </w:p>
        </w:tc>
        <w:tc>
          <w:tcPr>
            <w:tcW w:type="dxa" w:w="1195"/>
            <w:vAlign w:val="center"/>
            <w:shd w:fill="EAF2F8"/>
            <w:tcMar>
              <w:top w:w="90" w:type="dxa"/>
              <w:start w:w="110" w:type="dxa"/>
              <w:bottom w:w="90" w:type="dxa"/>
              <w:end w:w="110" w:type="dxa"/>
            </w:tcMar>
          </w:tcPr>
          <w:p>
            <w:r>
              <w:rPr>
                <w:color w:val="000000"/>
                <w:sz w:val="15"/>
              </w:rPr>
              <w:t>7.64</w:t>
            </w:r>
          </w:p>
        </w:tc>
        <w:tc>
          <w:tcPr>
            <w:tcW w:type="dxa" w:w="1238"/>
            <w:vAlign w:val="center"/>
            <w:shd w:fill="EAF2F8"/>
            <w:tcMar>
              <w:top w:w="90" w:type="dxa"/>
              <w:start w:w="110" w:type="dxa"/>
              <w:bottom w:w="90" w:type="dxa"/>
              <w:end w:w="110" w:type="dxa"/>
            </w:tcMar>
          </w:tcPr>
          <w:p>
            <w:r>
              <w:rPr>
                <w:color w:val="000000"/>
                <w:sz w:val="15"/>
              </w:rPr>
              <w:t>2.04</w:t>
            </w:r>
          </w:p>
        </w:tc>
      </w:tr>
      <w:tr>
        <w:tc>
          <w:tcPr>
            <w:tcW w:type="dxa" w:w="3672"/>
            <w:vAlign w:val="center"/>
            <w:shd w:fill="FFFFFF"/>
            <w:tcMar>
              <w:top w:w="90" w:type="dxa"/>
              <w:start w:w="110" w:type="dxa"/>
              <w:bottom w:w="90" w:type="dxa"/>
              <w:end w:w="110" w:type="dxa"/>
            </w:tcMar>
          </w:tcPr>
          <w:p>
            <w:r>
              <w:rPr>
                <w:color w:val="000000"/>
                <w:sz w:val="15"/>
              </w:rPr>
              <w:t>PALO ALTO CA / WEBSTER #1</w:t>
            </w:r>
          </w:p>
        </w:tc>
        <w:tc>
          <w:tcPr>
            <w:tcW w:type="dxa" w:w="1123"/>
            <w:vAlign w:val="center"/>
            <w:shd w:fill="FFFFFF"/>
            <w:tcMar>
              <w:top w:w="90" w:type="dxa"/>
              <w:start w:w="110" w:type="dxa"/>
              <w:bottom w:w="90" w:type="dxa"/>
              <w:end w:w="110" w:type="dxa"/>
            </w:tcMar>
          </w:tcPr>
          <w:p>
            <w:r>
              <w:rPr>
                <w:color w:val="000000"/>
                <w:sz w:val="15"/>
              </w:rPr>
              <w:t>14,424</w:t>
            </w:r>
          </w:p>
        </w:tc>
        <w:tc>
          <w:tcPr>
            <w:tcW w:type="dxa" w:w="1267"/>
            <w:vAlign w:val="center"/>
            <w:shd w:fill="FFFFFF"/>
            <w:tcMar>
              <w:top w:w="90" w:type="dxa"/>
              <w:start w:w="110" w:type="dxa"/>
              <w:bottom w:w="90" w:type="dxa"/>
              <w:end w:w="110" w:type="dxa"/>
            </w:tcMar>
          </w:tcPr>
          <w:p>
            <w:r>
              <w:rPr>
                <w:color w:val="000000"/>
                <w:sz w:val="15"/>
              </w:rPr>
              <w:t>139,008</w:t>
            </w:r>
          </w:p>
        </w:tc>
        <w:tc>
          <w:tcPr>
            <w:tcW w:type="dxa" w:w="1195"/>
            <w:vAlign w:val="center"/>
            <w:shd w:fill="FFFFFF"/>
            <w:tcMar>
              <w:top w:w="90" w:type="dxa"/>
              <w:start w:w="110" w:type="dxa"/>
              <w:bottom w:w="90" w:type="dxa"/>
              <w:end w:w="110" w:type="dxa"/>
            </w:tcMar>
          </w:tcPr>
          <w:p>
            <w:r>
              <w:rPr>
                <w:color w:val="000000"/>
                <w:sz w:val="15"/>
              </w:rPr>
              <w:t>9.64</w:t>
            </w:r>
          </w:p>
        </w:tc>
        <w:tc>
          <w:tcPr>
            <w:tcW w:type="dxa" w:w="1238"/>
            <w:vAlign w:val="center"/>
            <w:shd w:fill="FFFFFF"/>
            <w:tcMar>
              <w:top w:w="90" w:type="dxa"/>
              <w:start w:w="110" w:type="dxa"/>
              <w:bottom w:w="90" w:type="dxa"/>
              <w:end w:w="110" w:type="dxa"/>
            </w:tcMar>
          </w:tcPr>
          <w:p>
            <w:r>
              <w:rPr>
                <w:color w:val="000000"/>
                <w:sz w:val="15"/>
              </w:rPr>
              <w:t>2.15</w:t>
            </w:r>
          </w:p>
        </w:tc>
      </w:tr>
      <w:tr>
        <w:tc>
          <w:tcPr>
            <w:tcW w:type="dxa" w:w="3672"/>
            <w:vAlign w:val="center"/>
            <w:shd w:fill="EAF2F8"/>
            <w:tcMar>
              <w:top w:w="90" w:type="dxa"/>
              <w:start w:w="110" w:type="dxa"/>
              <w:bottom w:w="90" w:type="dxa"/>
              <w:end w:w="110" w:type="dxa"/>
            </w:tcMar>
          </w:tcPr>
          <w:p>
            <w:r>
              <w:rPr>
                <w:color w:val="000000"/>
                <w:sz w:val="15"/>
              </w:rPr>
              <w:t>PALO ALTO CA / BRYANT #2</w:t>
            </w:r>
          </w:p>
        </w:tc>
        <w:tc>
          <w:tcPr>
            <w:tcW w:type="dxa" w:w="1123"/>
            <w:vAlign w:val="center"/>
            <w:shd w:fill="EAF2F8"/>
            <w:tcMar>
              <w:top w:w="90" w:type="dxa"/>
              <w:start w:w="110" w:type="dxa"/>
              <w:bottom w:w="90" w:type="dxa"/>
              <w:end w:w="110" w:type="dxa"/>
            </w:tcMar>
          </w:tcPr>
          <w:p>
            <w:r>
              <w:rPr>
                <w:color w:val="000000"/>
                <w:sz w:val="15"/>
              </w:rPr>
              <w:t>14,379</w:t>
            </w:r>
          </w:p>
        </w:tc>
        <w:tc>
          <w:tcPr>
            <w:tcW w:type="dxa" w:w="1267"/>
            <w:vAlign w:val="center"/>
            <w:shd w:fill="EAF2F8"/>
            <w:tcMar>
              <w:top w:w="90" w:type="dxa"/>
              <w:start w:w="110" w:type="dxa"/>
              <w:bottom w:w="90" w:type="dxa"/>
              <w:end w:w="110" w:type="dxa"/>
            </w:tcMar>
          </w:tcPr>
          <w:p>
            <w:r>
              <w:rPr>
                <w:color w:val="000000"/>
                <w:sz w:val="15"/>
              </w:rPr>
              <w:t>107,194</w:t>
            </w:r>
          </w:p>
        </w:tc>
        <w:tc>
          <w:tcPr>
            <w:tcW w:type="dxa" w:w="1195"/>
            <w:vAlign w:val="center"/>
            <w:shd w:fill="EAF2F8"/>
            <w:tcMar>
              <w:top w:w="90" w:type="dxa"/>
              <w:start w:w="110" w:type="dxa"/>
              <w:bottom w:w="90" w:type="dxa"/>
              <w:end w:w="110" w:type="dxa"/>
            </w:tcMar>
          </w:tcPr>
          <w:p>
            <w:r>
              <w:rPr>
                <w:color w:val="000000"/>
                <w:sz w:val="15"/>
              </w:rPr>
              <w:t>7.45</w:t>
            </w:r>
          </w:p>
        </w:tc>
        <w:tc>
          <w:tcPr>
            <w:tcW w:type="dxa" w:w="1238"/>
            <w:vAlign w:val="center"/>
            <w:shd w:fill="EAF2F8"/>
            <w:tcMar>
              <w:top w:w="90" w:type="dxa"/>
              <w:start w:w="110" w:type="dxa"/>
              <w:bottom w:w="90" w:type="dxa"/>
              <w:end w:w="110" w:type="dxa"/>
            </w:tcMar>
          </w:tcPr>
          <w:p>
            <w:r>
              <w:rPr>
                <w:color w:val="000000"/>
                <w:sz w:val="15"/>
              </w:rPr>
              <w:t>2.00</w:t>
            </w:r>
          </w:p>
        </w:tc>
      </w:tr>
      <w:tr>
        <w:tc>
          <w:tcPr>
            <w:tcW w:type="dxa" w:w="3672"/>
            <w:vAlign w:val="center"/>
            <w:shd w:fill="FFFFFF"/>
            <w:tcMar>
              <w:top w:w="90" w:type="dxa"/>
              <w:start w:w="110" w:type="dxa"/>
              <w:bottom w:w="90" w:type="dxa"/>
              <w:end w:w="110" w:type="dxa"/>
            </w:tcMar>
          </w:tcPr>
          <w:p>
            <w:r>
              <w:rPr>
                <w:color w:val="000000"/>
                <w:sz w:val="15"/>
              </w:rPr>
              <w:t>PALO ALTO CA / HIGH #4</w:t>
            </w:r>
          </w:p>
        </w:tc>
        <w:tc>
          <w:tcPr>
            <w:tcW w:type="dxa" w:w="1123"/>
            <w:vAlign w:val="center"/>
            <w:shd w:fill="FFFFFF"/>
            <w:tcMar>
              <w:top w:w="90" w:type="dxa"/>
              <w:start w:w="110" w:type="dxa"/>
              <w:bottom w:w="90" w:type="dxa"/>
              <w:end w:w="110" w:type="dxa"/>
            </w:tcMar>
          </w:tcPr>
          <w:p>
            <w:r>
              <w:rPr>
                <w:color w:val="000000"/>
                <w:sz w:val="15"/>
              </w:rPr>
              <w:t>13,893</w:t>
            </w:r>
          </w:p>
        </w:tc>
        <w:tc>
          <w:tcPr>
            <w:tcW w:type="dxa" w:w="1267"/>
            <w:vAlign w:val="center"/>
            <w:shd w:fill="FFFFFF"/>
            <w:tcMar>
              <w:top w:w="90" w:type="dxa"/>
              <w:start w:w="110" w:type="dxa"/>
              <w:bottom w:w="90" w:type="dxa"/>
              <w:end w:w="110" w:type="dxa"/>
            </w:tcMar>
          </w:tcPr>
          <w:p>
            <w:r>
              <w:rPr>
                <w:color w:val="000000"/>
                <w:sz w:val="15"/>
              </w:rPr>
              <w:t>111,845</w:t>
            </w:r>
          </w:p>
        </w:tc>
        <w:tc>
          <w:tcPr>
            <w:tcW w:type="dxa" w:w="1195"/>
            <w:vAlign w:val="center"/>
            <w:shd w:fill="FFFFFF"/>
            <w:tcMar>
              <w:top w:w="90" w:type="dxa"/>
              <w:start w:w="110" w:type="dxa"/>
              <w:bottom w:w="90" w:type="dxa"/>
              <w:end w:w="110" w:type="dxa"/>
            </w:tcMar>
          </w:tcPr>
          <w:p>
            <w:r>
              <w:rPr>
                <w:color w:val="000000"/>
                <w:sz w:val="15"/>
              </w:rPr>
              <w:t>8.05</w:t>
            </w:r>
          </w:p>
        </w:tc>
        <w:tc>
          <w:tcPr>
            <w:tcW w:type="dxa" w:w="1238"/>
            <w:vAlign w:val="center"/>
            <w:shd w:fill="FFFFFF"/>
            <w:tcMar>
              <w:top w:w="90" w:type="dxa"/>
              <w:start w:w="110" w:type="dxa"/>
              <w:bottom w:w="90" w:type="dxa"/>
              <w:end w:w="110" w:type="dxa"/>
            </w:tcMar>
          </w:tcPr>
          <w:p>
            <w:r>
              <w:rPr>
                <w:color w:val="000000"/>
                <w:sz w:val="15"/>
              </w:rPr>
              <w:t>1.95</w:t>
            </w:r>
          </w:p>
        </w:tc>
      </w:tr>
      <w:tr>
        <w:tc>
          <w:tcPr>
            <w:tcW w:type="dxa" w:w="3672"/>
            <w:vAlign w:val="center"/>
            <w:shd w:fill="EAF2F8"/>
            <w:tcMar>
              <w:top w:w="90" w:type="dxa"/>
              <w:start w:w="110" w:type="dxa"/>
              <w:bottom w:w="90" w:type="dxa"/>
              <w:end w:w="110" w:type="dxa"/>
            </w:tcMar>
          </w:tcPr>
          <w:p>
            <w:r>
              <w:rPr>
                <w:color w:val="000000"/>
                <w:sz w:val="15"/>
              </w:rPr>
              <w:t>PALO ALTO CA / BRYANT #1</w:t>
            </w:r>
          </w:p>
        </w:tc>
        <w:tc>
          <w:tcPr>
            <w:tcW w:type="dxa" w:w="1123"/>
            <w:vAlign w:val="center"/>
            <w:shd w:fill="EAF2F8"/>
            <w:tcMar>
              <w:top w:w="90" w:type="dxa"/>
              <w:start w:w="110" w:type="dxa"/>
              <w:bottom w:w="90" w:type="dxa"/>
              <w:end w:w="110" w:type="dxa"/>
            </w:tcMar>
          </w:tcPr>
          <w:p>
            <w:r>
              <w:rPr>
                <w:color w:val="000000"/>
                <w:sz w:val="15"/>
              </w:rPr>
              <w:t>13,432</w:t>
            </w:r>
          </w:p>
        </w:tc>
        <w:tc>
          <w:tcPr>
            <w:tcW w:type="dxa" w:w="1267"/>
            <w:vAlign w:val="center"/>
            <w:shd w:fill="EAF2F8"/>
            <w:tcMar>
              <w:top w:w="90" w:type="dxa"/>
              <w:start w:w="110" w:type="dxa"/>
              <w:bottom w:w="90" w:type="dxa"/>
              <w:end w:w="110" w:type="dxa"/>
            </w:tcMar>
          </w:tcPr>
          <w:p>
            <w:r>
              <w:rPr>
                <w:color w:val="000000"/>
                <w:sz w:val="15"/>
              </w:rPr>
              <w:t>102,218</w:t>
            </w:r>
          </w:p>
        </w:tc>
        <w:tc>
          <w:tcPr>
            <w:tcW w:type="dxa" w:w="1195"/>
            <w:vAlign w:val="center"/>
            <w:shd w:fill="EAF2F8"/>
            <w:tcMar>
              <w:top w:w="90" w:type="dxa"/>
              <w:start w:w="110" w:type="dxa"/>
              <w:bottom w:w="90" w:type="dxa"/>
              <w:end w:w="110" w:type="dxa"/>
            </w:tcMar>
          </w:tcPr>
          <w:p>
            <w:r>
              <w:rPr>
                <w:color w:val="000000"/>
                <w:sz w:val="15"/>
              </w:rPr>
              <w:t>7.61</w:t>
            </w:r>
          </w:p>
        </w:tc>
        <w:tc>
          <w:tcPr>
            <w:tcW w:type="dxa" w:w="1238"/>
            <w:vAlign w:val="center"/>
            <w:shd w:fill="EAF2F8"/>
            <w:tcMar>
              <w:top w:w="90" w:type="dxa"/>
              <w:start w:w="110" w:type="dxa"/>
              <w:bottom w:w="90" w:type="dxa"/>
              <w:end w:w="110" w:type="dxa"/>
            </w:tcMar>
          </w:tcPr>
          <w:p>
            <w:r>
              <w:rPr>
                <w:color w:val="000000"/>
                <w:sz w:val="15"/>
              </w:rPr>
              <w:t>2.07</w:t>
            </w:r>
          </w:p>
        </w:tc>
      </w:tr>
      <w:tr>
        <w:tc>
          <w:tcPr>
            <w:tcW w:type="dxa" w:w="3672"/>
            <w:vAlign w:val="center"/>
            <w:shd w:fill="FFFFFF"/>
            <w:tcMar>
              <w:top w:w="90" w:type="dxa"/>
              <w:start w:w="110" w:type="dxa"/>
              <w:bottom w:w="90" w:type="dxa"/>
              <w:end w:w="110" w:type="dxa"/>
            </w:tcMar>
          </w:tcPr>
          <w:p>
            <w:r>
              <w:rPr>
                <w:color w:val="000000"/>
                <w:sz w:val="15"/>
              </w:rPr>
              <w:t>PALO ALTO CA / WEBSTER #2</w:t>
            </w:r>
          </w:p>
        </w:tc>
        <w:tc>
          <w:tcPr>
            <w:tcW w:type="dxa" w:w="1123"/>
            <w:vAlign w:val="center"/>
            <w:shd w:fill="FFFFFF"/>
            <w:tcMar>
              <w:top w:w="90" w:type="dxa"/>
              <w:start w:w="110" w:type="dxa"/>
              <w:bottom w:w="90" w:type="dxa"/>
              <w:end w:w="110" w:type="dxa"/>
            </w:tcMar>
          </w:tcPr>
          <w:p>
            <w:r>
              <w:rPr>
                <w:color w:val="000000"/>
                <w:sz w:val="15"/>
              </w:rPr>
              <w:t>12,665</w:t>
            </w:r>
          </w:p>
        </w:tc>
        <w:tc>
          <w:tcPr>
            <w:tcW w:type="dxa" w:w="1267"/>
            <w:vAlign w:val="center"/>
            <w:shd w:fill="FFFFFF"/>
            <w:tcMar>
              <w:top w:w="90" w:type="dxa"/>
              <w:start w:w="110" w:type="dxa"/>
              <w:bottom w:w="90" w:type="dxa"/>
              <w:end w:w="110" w:type="dxa"/>
            </w:tcMar>
          </w:tcPr>
          <w:p>
            <w:r>
              <w:rPr>
                <w:color w:val="000000"/>
                <w:sz w:val="15"/>
              </w:rPr>
              <w:t>125,698</w:t>
            </w:r>
          </w:p>
        </w:tc>
        <w:tc>
          <w:tcPr>
            <w:tcW w:type="dxa" w:w="1195"/>
            <w:vAlign w:val="center"/>
            <w:shd w:fill="FFFFFF"/>
            <w:tcMar>
              <w:top w:w="90" w:type="dxa"/>
              <w:start w:w="110" w:type="dxa"/>
              <w:bottom w:w="90" w:type="dxa"/>
              <w:end w:w="110" w:type="dxa"/>
            </w:tcMar>
          </w:tcPr>
          <w:p>
            <w:r>
              <w:rPr>
                <w:color w:val="000000"/>
                <w:sz w:val="15"/>
              </w:rPr>
              <w:t>9.92</w:t>
            </w:r>
          </w:p>
        </w:tc>
        <w:tc>
          <w:tcPr>
            <w:tcW w:type="dxa" w:w="1238"/>
            <w:vAlign w:val="center"/>
            <w:shd w:fill="FFFFFF"/>
            <w:tcMar>
              <w:top w:w="90" w:type="dxa"/>
              <w:start w:w="110" w:type="dxa"/>
              <w:bottom w:w="90" w:type="dxa"/>
              <w:end w:w="110" w:type="dxa"/>
            </w:tcMar>
          </w:tcPr>
          <w:p>
            <w:r>
              <w:rPr>
                <w:color w:val="000000"/>
                <w:sz w:val="15"/>
              </w:rPr>
              <w:t>2.16</w:t>
            </w:r>
          </w:p>
        </w:tc>
      </w:tr>
      <w:tr>
        <w:tc>
          <w:tcPr>
            <w:tcW w:type="dxa" w:w="3672"/>
            <w:vAlign w:val="center"/>
            <w:shd w:fill="EAF2F8"/>
            <w:tcMar>
              <w:top w:w="90" w:type="dxa"/>
              <w:start w:w="110" w:type="dxa"/>
              <w:bottom w:w="90" w:type="dxa"/>
              <w:end w:w="110" w:type="dxa"/>
            </w:tcMar>
          </w:tcPr>
          <w:p>
            <w:r>
              <w:rPr>
                <w:color w:val="000000"/>
                <w:sz w:val="15"/>
              </w:rPr>
              <w:t>PALO ALTO CA / CAMBRIDGE #1</w:t>
            </w:r>
          </w:p>
        </w:tc>
        <w:tc>
          <w:tcPr>
            <w:tcW w:type="dxa" w:w="1123"/>
            <w:vAlign w:val="center"/>
            <w:shd w:fill="EAF2F8"/>
            <w:tcMar>
              <w:top w:w="90" w:type="dxa"/>
              <w:start w:w="110" w:type="dxa"/>
              <w:bottom w:w="90" w:type="dxa"/>
              <w:end w:w="110" w:type="dxa"/>
            </w:tcMar>
          </w:tcPr>
          <w:p>
            <w:r>
              <w:rPr>
                <w:color w:val="000000"/>
                <w:sz w:val="15"/>
              </w:rPr>
              <w:t>11,159</w:t>
            </w:r>
          </w:p>
        </w:tc>
        <w:tc>
          <w:tcPr>
            <w:tcW w:type="dxa" w:w="1267"/>
            <w:vAlign w:val="center"/>
            <w:shd w:fill="EAF2F8"/>
            <w:tcMar>
              <w:top w:w="90" w:type="dxa"/>
              <w:start w:w="110" w:type="dxa"/>
              <w:bottom w:w="90" w:type="dxa"/>
              <w:end w:w="110" w:type="dxa"/>
            </w:tcMar>
          </w:tcPr>
          <w:p>
            <w:r>
              <w:rPr>
                <w:color w:val="000000"/>
                <w:sz w:val="15"/>
              </w:rPr>
              <w:t>80,492</w:t>
            </w:r>
          </w:p>
        </w:tc>
        <w:tc>
          <w:tcPr>
            <w:tcW w:type="dxa" w:w="1195"/>
            <w:vAlign w:val="center"/>
            <w:shd w:fill="EAF2F8"/>
            <w:tcMar>
              <w:top w:w="90" w:type="dxa"/>
              <w:start w:w="110" w:type="dxa"/>
              <w:bottom w:w="90" w:type="dxa"/>
              <w:end w:w="110" w:type="dxa"/>
            </w:tcMar>
          </w:tcPr>
          <w:p>
            <w:r>
              <w:rPr>
                <w:color w:val="000000"/>
                <w:sz w:val="15"/>
              </w:rPr>
              <w:t>7.21</w:t>
            </w:r>
          </w:p>
        </w:tc>
        <w:tc>
          <w:tcPr>
            <w:tcW w:type="dxa" w:w="1238"/>
            <w:vAlign w:val="center"/>
            <w:shd w:fill="EAF2F8"/>
            <w:tcMar>
              <w:top w:w="90" w:type="dxa"/>
              <w:start w:w="110" w:type="dxa"/>
              <w:bottom w:w="90" w:type="dxa"/>
              <w:end w:w="110" w:type="dxa"/>
            </w:tcMar>
          </w:tcPr>
          <w:p>
            <w:r>
              <w:rPr>
                <w:color w:val="000000"/>
                <w:sz w:val="15"/>
              </w:rPr>
              <w:t>1.88</w:t>
            </w:r>
          </w:p>
        </w:tc>
      </w:tr>
      <w:tr>
        <w:tc>
          <w:tcPr>
            <w:tcW w:type="dxa" w:w="3672"/>
            <w:vAlign w:val="center"/>
            <w:shd w:fill="FFFFFF"/>
            <w:tcMar>
              <w:top w:w="90" w:type="dxa"/>
              <w:start w:w="110" w:type="dxa"/>
              <w:bottom w:w="90" w:type="dxa"/>
              <w:end w:w="110" w:type="dxa"/>
            </w:tcMar>
          </w:tcPr>
          <w:p>
            <w:r>
              <w:rPr>
                <w:color w:val="000000"/>
                <w:sz w:val="15"/>
              </w:rPr>
              <w:t>PALO ALTO CA / HIGH #1</w:t>
            </w:r>
          </w:p>
        </w:tc>
        <w:tc>
          <w:tcPr>
            <w:tcW w:type="dxa" w:w="1123"/>
            <w:vAlign w:val="center"/>
            <w:shd w:fill="FFFFFF"/>
            <w:tcMar>
              <w:top w:w="90" w:type="dxa"/>
              <w:start w:w="110" w:type="dxa"/>
              <w:bottom w:w="90" w:type="dxa"/>
              <w:end w:w="110" w:type="dxa"/>
            </w:tcMar>
          </w:tcPr>
          <w:p>
            <w:r>
              <w:rPr>
                <w:color w:val="000000"/>
                <w:sz w:val="15"/>
              </w:rPr>
              <w:t>10,751</w:t>
            </w:r>
          </w:p>
        </w:tc>
        <w:tc>
          <w:tcPr>
            <w:tcW w:type="dxa" w:w="1267"/>
            <w:vAlign w:val="center"/>
            <w:shd w:fill="FFFFFF"/>
            <w:tcMar>
              <w:top w:w="90" w:type="dxa"/>
              <w:start w:w="110" w:type="dxa"/>
              <w:bottom w:w="90" w:type="dxa"/>
              <w:end w:w="110" w:type="dxa"/>
            </w:tcMar>
          </w:tcPr>
          <w:p>
            <w:r>
              <w:rPr>
                <w:color w:val="000000"/>
                <w:sz w:val="15"/>
              </w:rPr>
              <w:t>98,361</w:t>
            </w:r>
          </w:p>
        </w:tc>
        <w:tc>
          <w:tcPr>
            <w:tcW w:type="dxa" w:w="1195"/>
            <w:vAlign w:val="center"/>
            <w:shd w:fill="FFFFFF"/>
            <w:tcMar>
              <w:top w:w="90" w:type="dxa"/>
              <w:start w:w="110" w:type="dxa"/>
              <w:bottom w:w="90" w:type="dxa"/>
              <w:end w:w="110" w:type="dxa"/>
            </w:tcMar>
          </w:tcPr>
          <w:p>
            <w:r>
              <w:rPr>
                <w:color w:val="000000"/>
                <w:sz w:val="15"/>
              </w:rPr>
              <w:t>9.15</w:t>
            </w:r>
          </w:p>
        </w:tc>
        <w:tc>
          <w:tcPr>
            <w:tcW w:type="dxa" w:w="1238"/>
            <w:vAlign w:val="center"/>
            <w:shd w:fill="FFFFFF"/>
            <w:tcMar>
              <w:top w:w="90" w:type="dxa"/>
              <w:start w:w="110" w:type="dxa"/>
              <w:bottom w:w="90" w:type="dxa"/>
              <w:end w:w="110" w:type="dxa"/>
            </w:tcMar>
          </w:tcPr>
          <w:p>
            <w:r>
              <w:rPr>
                <w:color w:val="000000"/>
                <w:sz w:val="15"/>
              </w:rPr>
              <w:t>1.93</w:t>
            </w:r>
          </w:p>
        </w:tc>
      </w:tr>
      <w:tr>
        <w:tc>
          <w:tcPr>
            <w:tcW w:type="dxa" w:w="3672"/>
            <w:vAlign w:val="center"/>
            <w:shd w:fill="EAF2F8"/>
            <w:tcMar>
              <w:top w:w="90" w:type="dxa"/>
              <w:start w:w="110" w:type="dxa"/>
              <w:bottom w:w="90" w:type="dxa"/>
              <w:end w:w="110" w:type="dxa"/>
            </w:tcMar>
          </w:tcPr>
          <w:p>
            <w:r>
              <w:rPr>
                <w:color w:val="000000"/>
                <w:sz w:val="15"/>
              </w:rPr>
              <w:t>PALO ALTO CA / WEBSTER #3</w:t>
            </w:r>
          </w:p>
        </w:tc>
        <w:tc>
          <w:tcPr>
            <w:tcW w:type="dxa" w:w="1123"/>
            <w:vAlign w:val="center"/>
            <w:shd w:fill="EAF2F8"/>
            <w:tcMar>
              <w:top w:w="90" w:type="dxa"/>
              <w:start w:w="110" w:type="dxa"/>
              <w:bottom w:w="90" w:type="dxa"/>
              <w:end w:w="110" w:type="dxa"/>
            </w:tcMar>
          </w:tcPr>
          <w:p>
            <w:r>
              <w:rPr>
                <w:color w:val="000000"/>
                <w:sz w:val="15"/>
              </w:rPr>
              <w:t>10,476</w:t>
            </w:r>
          </w:p>
        </w:tc>
        <w:tc>
          <w:tcPr>
            <w:tcW w:type="dxa" w:w="1267"/>
            <w:vAlign w:val="center"/>
            <w:shd w:fill="EAF2F8"/>
            <w:tcMar>
              <w:top w:w="90" w:type="dxa"/>
              <w:start w:w="110" w:type="dxa"/>
              <w:bottom w:w="90" w:type="dxa"/>
              <w:end w:w="110" w:type="dxa"/>
            </w:tcMar>
          </w:tcPr>
          <w:p>
            <w:r>
              <w:rPr>
                <w:color w:val="000000"/>
                <w:sz w:val="15"/>
              </w:rPr>
              <w:t>98,508</w:t>
            </w:r>
          </w:p>
        </w:tc>
        <w:tc>
          <w:tcPr>
            <w:tcW w:type="dxa" w:w="1195"/>
            <w:vAlign w:val="center"/>
            <w:shd w:fill="EAF2F8"/>
            <w:tcMar>
              <w:top w:w="90" w:type="dxa"/>
              <w:start w:w="110" w:type="dxa"/>
              <w:bottom w:w="90" w:type="dxa"/>
              <w:end w:w="110" w:type="dxa"/>
            </w:tcMar>
          </w:tcPr>
          <w:p>
            <w:r>
              <w:rPr>
                <w:color w:val="000000"/>
                <w:sz w:val="15"/>
              </w:rPr>
              <w:t>9.40</w:t>
            </w:r>
          </w:p>
        </w:tc>
        <w:tc>
          <w:tcPr>
            <w:tcW w:type="dxa" w:w="1238"/>
            <w:vAlign w:val="center"/>
            <w:shd w:fill="EAF2F8"/>
            <w:tcMar>
              <w:top w:w="90" w:type="dxa"/>
              <w:start w:w="110" w:type="dxa"/>
              <w:bottom w:w="90" w:type="dxa"/>
              <w:end w:w="110" w:type="dxa"/>
            </w:tcMar>
          </w:tcPr>
          <w:p>
            <w:r>
              <w:rPr>
                <w:color w:val="000000"/>
                <w:sz w:val="15"/>
              </w:rPr>
              <w:t>2.09</w:t>
            </w:r>
          </w:p>
        </w:tc>
      </w:tr>
    </w:tbl>
    <w:p>
      <w:pPr>
        <w:spacing w:after="20"/>
      </w:pPr>
    </w:p>
    <w:p>
      <w:r>
        <w:br w:type="page"/>
      </w:r>
    </w:p>
    <w:p>
      <w:pPr>
        <w:pStyle w:val="Heading2"/>
      </w:pPr>
      <w:r>
        <w:t>Weekday and Weekend Charging</w:t>
      </w:r>
    </w:p>
    <w:p>
      <w:r>
        <w:t>Weekday sessions accounted for 76.1 percent of the dataset. Weekend sessions delivered 7.6 percent less average energy and had 14.5 percent shorter average active charging time than weekday sessions. Start-time profiles also differed. These comparisons are unadjusted for year, station composition, or charger type.</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440"/>
            <w:shd w:fill="1F4E78"/>
            <w:vAlign w:val="center"/>
            <w:tcMar>
              <w:top w:w="90" w:type="dxa"/>
              <w:start w:w="110" w:type="dxa"/>
              <w:bottom w:w="90" w:type="dxa"/>
              <w:end w:w="110" w:type="dxa"/>
            </w:tcMar>
          </w:tcPr>
          <w:p>
            <w:r>
              <w:rPr>
                <w:b/>
                <w:color w:val="FFFFFF"/>
                <w:sz w:val="16"/>
              </w:rPr>
              <w:t>Day type</w:t>
            </w:r>
          </w:p>
        </w:tc>
        <w:tc>
          <w:tcPr>
            <w:tcW w:type="dxa" w:w="1181"/>
            <w:shd w:fill="1F4E78"/>
            <w:vAlign w:val="center"/>
            <w:tcMar>
              <w:top w:w="90" w:type="dxa"/>
              <w:start w:w="110" w:type="dxa"/>
              <w:bottom w:w="90" w:type="dxa"/>
              <w:end w:w="110" w:type="dxa"/>
            </w:tcMar>
          </w:tcPr>
          <w:p>
            <w:r>
              <w:rPr>
                <w:b/>
                <w:color w:val="FFFFFF"/>
                <w:sz w:val="16"/>
              </w:rPr>
              <w:t>Sessions</w:t>
            </w:r>
          </w:p>
        </w:tc>
        <w:tc>
          <w:tcPr>
            <w:tcW w:type="dxa" w:w="1728"/>
            <w:shd w:fill="1F4E78"/>
            <w:vAlign w:val="center"/>
            <w:tcMar>
              <w:top w:w="90" w:type="dxa"/>
              <w:start w:w="110" w:type="dxa"/>
              <w:bottom w:w="90" w:type="dxa"/>
              <w:end w:w="110" w:type="dxa"/>
            </w:tcMar>
          </w:tcPr>
          <w:p>
            <w:r>
              <w:rPr>
                <w:b/>
                <w:color w:val="FFFFFF"/>
                <w:sz w:val="16"/>
              </w:rPr>
              <w:t>Total energy kWh</w:t>
            </w:r>
          </w:p>
        </w:tc>
        <w:tc>
          <w:tcPr>
            <w:tcW w:type="dxa" w:w="1555"/>
            <w:shd w:fill="1F4E78"/>
            <w:vAlign w:val="center"/>
            <w:tcMar>
              <w:top w:w="90" w:type="dxa"/>
              <w:start w:w="110" w:type="dxa"/>
              <w:bottom w:w="90" w:type="dxa"/>
              <w:end w:w="110" w:type="dxa"/>
            </w:tcMar>
          </w:tcPr>
          <w:p>
            <w:r>
              <w:rPr>
                <w:b/>
                <w:color w:val="FFFFFF"/>
                <w:sz w:val="16"/>
              </w:rPr>
              <w:t>Mean energy kWh</w:t>
            </w:r>
          </w:p>
        </w:tc>
        <w:tc>
          <w:tcPr>
            <w:tcW w:type="dxa" w:w="1699"/>
            <w:shd w:fill="1F4E78"/>
            <w:vAlign w:val="center"/>
            <w:tcMar>
              <w:top w:w="90" w:type="dxa"/>
              <w:start w:w="110" w:type="dxa"/>
              <w:bottom w:w="90" w:type="dxa"/>
              <w:end w:w="110" w:type="dxa"/>
            </w:tcMar>
          </w:tcPr>
          <w:p>
            <w:r>
              <w:rPr>
                <w:b/>
                <w:color w:val="FFFFFF"/>
                <w:sz w:val="16"/>
              </w:rPr>
              <w:t>Mean charge hours</w:t>
            </w:r>
          </w:p>
        </w:tc>
        <w:tc>
          <w:tcPr>
            <w:tcW w:type="dxa" w:w="1440"/>
            <w:shd w:fill="1F4E78"/>
            <w:vAlign w:val="center"/>
            <w:tcMar>
              <w:top w:w="90" w:type="dxa"/>
              <w:start w:w="110" w:type="dxa"/>
              <w:bottom w:w="90" w:type="dxa"/>
              <w:end w:w="110" w:type="dxa"/>
            </w:tcMar>
          </w:tcPr>
          <w:p>
            <w:r>
              <w:rPr>
                <w:b/>
                <w:color w:val="FFFFFF"/>
                <w:sz w:val="16"/>
              </w:rPr>
              <w:t>Mean idle hours</w:t>
            </w:r>
          </w:p>
        </w:tc>
      </w:tr>
      <w:tr>
        <w:tc>
          <w:tcPr>
            <w:tcW w:type="dxa" w:w="1440"/>
            <w:vAlign w:val="center"/>
            <w:shd w:fill="FFFFFF"/>
            <w:tcMar>
              <w:top w:w="90" w:type="dxa"/>
              <w:start w:w="110" w:type="dxa"/>
              <w:bottom w:w="90" w:type="dxa"/>
              <w:end w:w="110" w:type="dxa"/>
            </w:tcMar>
          </w:tcPr>
          <w:p>
            <w:r>
              <w:rPr>
                <w:color w:val="000000"/>
                <w:sz w:val="16"/>
              </w:rPr>
              <w:t>Weekday</w:t>
            </w:r>
          </w:p>
        </w:tc>
        <w:tc>
          <w:tcPr>
            <w:tcW w:type="dxa" w:w="1181"/>
            <w:vAlign w:val="center"/>
            <w:shd w:fill="FFFFFF"/>
            <w:tcMar>
              <w:top w:w="90" w:type="dxa"/>
              <w:start w:w="110" w:type="dxa"/>
              <w:bottom w:w="90" w:type="dxa"/>
              <w:end w:w="110" w:type="dxa"/>
            </w:tcMar>
          </w:tcPr>
          <w:p>
            <w:r>
              <w:rPr>
                <w:color w:val="000000"/>
                <w:sz w:val="16"/>
              </w:rPr>
              <w:t>197,431</w:t>
            </w:r>
          </w:p>
        </w:tc>
        <w:tc>
          <w:tcPr>
            <w:tcW w:type="dxa" w:w="1728"/>
            <w:vAlign w:val="center"/>
            <w:shd w:fill="FFFFFF"/>
            <w:tcMar>
              <w:top w:w="90" w:type="dxa"/>
              <w:start w:w="110" w:type="dxa"/>
              <w:bottom w:w="90" w:type="dxa"/>
              <w:end w:w="110" w:type="dxa"/>
            </w:tcMar>
          </w:tcPr>
          <w:p>
            <w:r>
              <w:rPr>
                <w:color w:val="000000"/>
                <w:sz w:val="16"/>
              </w:rPr>
              <w:t>1,717,569</w:t>
            </w:r>
          </w:p>
        </w:tc>
        <w:tc>
          <w:tcPr>
            <w:tcW w:type="dxa" w:w="1555"/>
            <w:vAlign w:val="center"/>
            <w:shd w:fill="FFFFFF"/>
            <w:tcMar>
              <w:top w:w="90" w:type="dxa"/>
              <w:start w:w="110" w:type="dxa"/>
              <w:bottom w:w="90" w:type="dxa"/>
              <w:end w:w="110" w:type="dxa"/>
            </w:tcMar>
          </w:tcPr>
          <w:p>
            <w:r>
              <w:rPr>
                <w:color w:val="000000"/>
                <w:sz w:val="16"/>
              </w:rPr>
              <w:t>8.70</w:t>
            </w:r>
          </w:p>
        </w:tc>
        <w:tc>
          <w:tcPr>
            <w:tcW w:type="dxa" w:w="1699"/>
            <w:vAlign w:val="center"/>
            <w:shd w:fill="FFFFFF"/>
            <w:tcMar>
              <w:top w:w="90" w:type="dxa"/>
              <w:start w:w="110" w:type="dxa"/>
              <w:bottom w:w="90" w:type="dxa"/>
              <w:end w:w="110" w:type="dxa"/>
            </w:tcMar>
          </w:tcPr>
          <w:p>
            <w:r>
              <w:rPr>
                <w:color w:val="000000"/>
                <w:sz w:val="16"/>
              </w:rPr>
              <w:t>2.07</w:t>
            </w:r>
          </w:p>
        </w:tc>
        <w:tc>
          <w:tcPr>
            <w:tcW w:type="dxa" w:w="1440"/>
            <w:vAlign w:val="center"/>
            <w:shd w:fill="FFFFFF"/>
            <w:tcMar>
              <w:top w:w="90" w:type="dxa"/>
              <w:start w:w="110" w:type="dxa"/>
              <w:bottom w:w="90" w:type="dxa"/>
              <w:end w:w="110" w:type="dxa"/>
            </w:tcMar>
          </w:tcPr>
          <w:p>
            <w:r>
              <w:rPr>
                <w:color w:val="000000"/>
                <w:sz w:val="16"/>
              </w:rPr>
              <w:t>0.49</w:t>
            </w:r>
          </w:p>
        </w:tc>
      </w:tr>
      <w:tr>
        <w:tc>
          <w:tcPr>
            <w:tcW w:type="dxa" w:w="1440"/>
            <w:vAlign w:val="center"/>
            <w:shd w:fill="EAF2F8"/>
            <w:tcMar>
              <w:top w:w="90" w:type="dxa"/>
              <w:start w:w="110" w:type="dxa"/>
              <w:bottom w:w="90" w:type="dxa"/>
              <w:end w:w="110" w:type="dxa"/>
            </w:tcMar>
          </w:tcPr>
          <w:p>
            <w:r>
              <w:rPr>
                <w:color w:val="000000"/>
                <w:sz w:val="16"/>
              </w:rPr>
              <w:t>Weekend</w:t>
            </w:r>
          </w:p>
        </w:tc>
        <w:tc>
          <w:tcPr>
            <w:tcW w:type="dxa" w:w="1181"/>
            <w:vAlign w:val="center"/>
            <w:shd w:fill="EAF2F8"/>
            <w:tcMar>
              <w:top w:w="90" w:type="dxa"/>
              <w:start w:w="110" w:type="dxa"/>
              <w:bottom w:w="90" w:type="dxa"/>
              <w:end w:w="110" w:type="dxa"/>
            </w:tcMar>
          </w:tcPr>
          <w:p>
            <w:r>
              <w:rPr>
                <w:color w:val="000000"/>
                <w:sz w:val="16"/>
              </w:rPr>
              <w:t>61,864</w:t>
            </w:r>
          </w:p>
        </w:tc>
        <w:tc>
          <w:tcPr>
            <w:tcW w:type="dxa" w:w="1728"/>
            <w:vAlign w:val="center"/>
            <w:shd w:fill="EAF2F8"/>
            <w:tcMar>
              <w:top w:w="90" w:type="dxa"/>
              <w:start w:w="110" w:type="dxa"/>
              <w:bottom w:w="90" w:type="dxa"/>
              <w:end w:w="110" w:type="dxa"/>
            </w:tcMar>
          </w:tcPr>
          <w:p>
            <w:r>
              <w:rPr>
                <w:color w:val="000000"/>
                <w:sz w:val="16"/>
              </w:rPr>
              <w:t>497,460</w:t>
            </w:r>
          </w:p>
        </w:tc>
        <w:tc>
          <w:tcPr>
            <w:tcW w:type="dxa" w:w="1555"/>
            <w:vAlign w:val="center"/>
            <w:shd w:fill="EAF2F8"/>
            <w:tcMar>
              <w:top w:w="90" w:type="dxa"/>
              <w:start w:w="110" w:type="dxa"/>
              <w:bottom w:w="90" w:type="dxa"/>
              <w:end w:w="110" w:type="dxa"/>
            </w:tcMar>
          </w:tcPr>
          <w:p>
            <w:r>
              <w:rPr>
                <w:color w:val="000000"/>
                <w:sz w:val="16"/>
              </w:rPr>
              <w:t>8.04</w:t>
            </w:r>
          </w:p>
        </w:tc>
        <w:tc>
          <w:tcPr>
            <w:tcW w:type="dxa" w:w="1699"/>
            <w:vAlign w:val="center"/>
            <w:shd w:fill="EAF2F8"/>
            <w:tcMar>
              <w:top w:w="90" w:type="dxa"/>
              <w:start w:w="110" w:type="dxa"/>
              <w:bottom w:w="90" w:type="dxa"/>
              <w:end w:w="110" w:type="dxa"/>
            </w:tcMar>
          </w:tcPr>
          <w:p>
            <w:r>
              <w:rPr>
                <w:color w:val="000000"/>
                <w:sz w:val="16"/>
              </w:rPr>
              <w:t>1.77</w:t>
            </w:r>
          </w:p>
        </w:tc>
        <w:tc>
          <w:tcPr>
            <w:tcW w:type="dxa" w:w="1440"/>
            <w:vAlign w:val="center"/>
            <w:shd w:fill="EAF2F8"/>
            <w:tcMar>
              <w:top w:w="90" w:type="dxa"/>
              <w:start w:w="110" w:type="dxa"/>
              <w:bottom w:w="90" w:type="dxa"/>
              <w:end w:w="110" w:type="dxa"/>
            </w:tcMar>
          </w:tcPr>
          <w:p>
            <w:r>
              <w:rPr>
                <w:color w:val="000000"/>
                <w:sz w:val="16"/>
              </w:rPr>
              <w:t>0.49</w:t>
            </w:r>
          </w:p>
        </w:tc>
      </w:tr>
    </w:tbl>
    <w:p>
      <w:pPr>
        <w:spacing w:after="20"/>
      </w:pPr>
    </w:p>
    <w:p>
      <w:pPr>
        <w:keepNext/>
        <w:jc w:val="center"/>
      </w:pPr>
      <w:r>
        <w:drawing>
          <wp:inline xmlns:a="http://schemas.openxmlformats.org/drawingml/2006/main" xmlns:pic="http://schemas.openxmlformats.org/drawingml/2006/picture">
            <wp:extent cx="5989320" cy="1826725"/>
            <wp:docPr id="5" name="Picture 5" descr="Figure 5  Weekday and weekend energy, duration, and start-time patterns" title="Figure 5"/>
            <wp:cNvGraphicFramePr>
              <a:graphicFrameLocks noChangeAspect="1"/>
            </wp:cNvGraphicFramePr>
            <a:graphic>
              <a:graphicData uri="http://schemas.openxmlformats.org/drawingml/2006/picture">
                <pic:pic>
                  <pic:nvPicPr>
                    <pic:cNvPr id="0" name="weekday_weekend_comparison.png"/>
                    <pic:cNvPicPr/>
                  </pic:nvPicPr>
                  <pic:blipFill>
                    <a:blip r:embed="rId15"/>
                    <a:stretch>
                      <a:fillRect/>
                    </a:stretch>
                  </pic:blipFill>
                  <pic:spPr>
                    <a:xfrm>
                      <a:off x="0" y="0"/>
                      <a:ext cx="5989320" cy="1826725"/>
                    </a:xfrm>
                    <a:prstGeom prst="rect"/>
                  </pic:spPr>
                </pic:pic>
              </a:graphicData>
            </a:graphic>
          </wp:inline>
        </w:drawing>
      </w:r>
    </w:p>
    <w:p>
      <w:pPr>
        <w:pStyle w:val="FigureCaption"/>
        <w:jc w:val="center"/>
      </w:pPr>
      <w:r>
        <w:t>Figure 5  Weekday and weekend energy, duration, and start-time patterns</w:t>
      </w:r>
    </w:p>
    <w:p>
      <w:pPr>
        <w:pStyle w:val="Heading2"/>
      </w:pPr>
      <w:r>
        <w:t>Seasonal Patterns</w:t>
      </w:r>
    </w:p>
    <w:p>
      <w:r>
        <w:t>Winter recorded the largest number of sessions and the highest average energy per session. Seasonal totals combine observations from multiple years and reflect the changing number and availability of stations. The evidence therefore does not isolate a weather effect.</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440"/>
            <w:shd w:fill="1F4E78"/>
            <w:vAlign w:val="center"/>
            <w:tcMar>
              <w:top w:w="90" w:type="dxa"/>
              <w:start w:w="110" w:type="dxa"/>
              <w:bottom w:w="90" w:type="dxa"/>
              <w:end w:w="110" w:type="dxa"/>
            </w:tcMar>
          </w:tcPr>
          <w:p>
            <w:r>
              <w:rPr>
                <w:b/>
                <w:color w:val="FFFFFF"/>
                <w:sz w:val="17"/>
              </w:rPr>
              <w:t>Season</w:t>
            </w:r>
          </w:p>
        </w:tc>
        <w:tc>
          <w:tcPr>
            <w:tcW w:type="dxa" w:w="1440"/>
            <w:shd w:fill="1F4E78"/>
            <w:vAlign w:val="center"/>
            <w:tcMar>
              <w:top w:w="90" w:type="dxa"/>
              <w:start w:w="110" w:type="dxa"/>
              <w:bottom w:w="90" w:type="dxa"/>
              <w:end w:w="110" w:type="dxa"/>
            </w:tcMar>
          </w:tcPr>
          <w:p>
            <w:r>
              <w:rPr>
                <w:b/>
                <w:color w:val="FFFFFF"/>
                <w:sz w:val="17"/>
              </w:rPr>
              <w:t>Sessions</w:t>
            </w:r>
          </w:p>
        </w:tc>
        <w:tc>
          <w:tcPr>
            <w:tcW w:type="dxa" w:w="1944"/>
            <w:shd w:fill="1F4E78"/>
            <w:vAlign w:val="center"/>
            <w:tcMar>
              <w:top w:w="90" w:type="dxa"/>
              <w:start w:w="110" w:type="dxa"/>
              <w:bottom w:w="90" w:type="dxa"/>
              <w:end w:w="110" w:type="dxa"/>
            </w:tcMar>
          </w:tcPr>
          <w:p>
            <w:r>
              <w:rPr>
                <w:b/>
                <w:color w:val="FFFFFF"/>
                <w:sz w:val="17"/>
              </w:rPr>
              <w:t>Total energy kWh</w:t>
            </w:r>
          </w:p>
        </w:tc>
        <w:tc>
          <w:tcPr>
            <w:tcW w:type="dxa" w:w="1800"/>
            <w:shd w:fill="1F4E78"/>
            <w:vAlign w:val="center"/>
            <w:tcMar>
              <w:top w:w="90" w:type="dxa"/>
              <w:start w:w="110" w:type="dxa"/>
              <w:bottom w:w="90" w:type="dxa"/>
              <w:end w:w="110" w:type="dxa"/>
            </w:tcMar>
          </w:tcPr>
          <w:p>
            <w:r>
              <w:rPr>
                <w:b/>
                <w:color w:val="FFFFFF"/>
                <w:sz w:val="17"/>
              </w:rPr>
              <w:t>Mean energy kWh</w:t>
            </w:r>
          </w:p>
        </w:tc>
        <w:tc>
          <w:tcPr>
            <w:tcW w:type="dxa" w:w="1800"/>
            <w:shd w:fill="1F4E78"/>
            <w:vAlign w:val="center"/>
            <w:tcMar>
              <w:top w:w="90" w:type="dxa"/>
              <w:start w:w="110" w:type="dxa"/>
              <w:bottom w:w="90" w:type="dxa"/>
              <w:end w:w="110" w:type="dxa"/>
            </w:tcMar>
          </w:tcPr>
          <w:p>
            <w:r>
              <w:rPr>
                <w:b/>
                <w:color w:val="FFFFFF"/>
                <w:sz w:val="17"/>
              </w:rPr>
              <w:t>Mean charge hours</w:t>
            </w:r>
          </w:p>
        </w:tc>
      </w:tr>
      <w:tr>
        <w:tc>
          <w:tcPr>
            <w:tcW w:type="dxa" w:w="1440"/>
            <w:vAlign w:val="center"/>
            <w:shd w:fill="FFFFFF"/>
            <w:tcMar>
              <w:top w:w="90" w:type="dxa"/>
              <w:start w:w="110" w:type="dxa"/>
              <w:bottom w:w="90" w:type="dxa"/>
              <w:end w:w="110" w:type="dxa"/>
            </w:tcMar>
          </w:tcPr>
          <w:p>
            <w:r>
              <w:rPr>
                <w:color w:val="000000"/>
                <w:sz w:val="17"/>
              </w:rPr>
              <w:t>Winter</w:t>
            </w:r>
          </w:p>
        </w:tc>
        <w:tc>
          <w:tcPr>
            <w:tcW w:type="dxa" w:w="1440"/>
            <w:vAlign w:val="center"/>
            <w:shd w:fill="FFFFFF"/>
            <w:tcMar>
              <w:top w:w="90" w:type="dxa"/>
              <w:start w:w="110" w:type="dxa"/>
              <w:bottom w:w="90" w:type="dxa"/>
              <w:end w:w="110" w:type="dxa"/>
            </w:tcMar>
          </w:tcPr>
          <w:p>
            <w:r>
              <w:rPr>
                <w:color w:val="000000"/>
                <w:sz w:val="17"/>
              </w:rPr>
              <w:t>65,786</w:t>
            </w:r>
          </w:p>
        </w:tc>
        <w:tc>
          <w:tcPr>
            <w:tcW w:type="dxa" w:w="1944"/>
            <w:vAlign w:val="center"/>
            <w:shd w:fill="FFFFFF"/>
            <w:tcMar>
              <w:top w:w="90" w:type="dxa"/>
              <w:start w:w="110" w:type="dxa"/>
              <w:bottom w:w="90" w:type="dxa"/>
              <w:end w:w="110" w:type="dxa"/>
            </w:tcMar>
          </w:tcPr>
          <w:p>
            <w:r>
              <w:rPr>
                <w:color w:val="000000"/>
                <w:sz w:val="17"/>
              </w:rPr>
              <w:t>572,426</w:t>
            </w:r>
          </w:p>
        </w:tc>
        <w:tc>
          <w:tcPr>
            <w:tcW w:type="dxa" w:w="1800"/>
            <w:vAlign w:val="center"/>
            <w:shd w:fill="FFFFFF"/>
            <w:tcMar>
              <w:top w:w="90" w:type="dxa"/>
              <w:start w:w="110" w:type="dxa"/>
              <w:bottom w:w="90" w:type="dxa"/>
              <w:end w:w="110" w:type="dxa"/>
            </w:tcMar>
          </w:tcPr>
          <w:p>
            <w:r>
              <w:rPr>
                <w:color w:val="000000"/>
                <w:sz w:val="17"/>
              </w:rPr>
              <w:t>8.70</w:t>
            </w:r>
          </w:p>
        </w:tc>
        <w:tc>
          <w:tcPr>
            <w:tcW w:type="dxa" w:w="1800"/>
            <w:vAlign w:val="center"/>
            <w:shd w:fill="FFFFFF"/>
            <w:tcMar>
              <w:top w:w="90" w:type="dxa"/>
              <w:start w:w="110" w:type="dxa"/>
              <w:bottom w:w="90" w:type="dxa"/>
              <w:end w:w="110" w:type="dxa"/>
            </w:tcMar>
          </w:tcPr>
          <w:p>
            <w:r>
              <w:rPr>
                <w:color w:val="000000"/>
                <w:sz w:val="17"/>
              </w:rPr>
              <w:t>2.03</w:t>
            </w:r>
          </w:p>
        </w:tc>
      </w:tr>
      <w:tr>
        <w:tc>
          <w:tcPr>
            <w:tcW w:type="dxa" w:w="1440"/>
            <w:vAlign w:val="center"/>
            <w:shd w:fill="EAF2F8"/>
            <w:tcMar>
              <w:top w:w="90" w:type="dxa"/>
              <w:start w:w="110" w:type="dxa"/>
              <w:bottom w:w="90" w:type="dxa"/>
              <w:end w:w="110" w:type="dxa"/>
            </w:tcMar>
          </w:tcPr>
          <w:p>
            <w:r>
              <w:rPr>
                <w:color w:val="000000"/>
                <w:sz w:val="17"/>
              </w:rPr>
              <w:t>Spring</w:t>
            </w:r>
          </w:p>
        </w:tc>
        <w:tc>
          <w:tcPr>
            <w:tcW w:type="dxa" w:w="1440"/>
            <w:vAlign w:val="center"/>
            <w:shd w:fill="EAF2F8"/>
            <w:tcMar>
              <w:top w:w="90" w:type="dxa"/>
              <w:start w:w="110" w:type="dxa"/>
              <w:bottom w:w="90" w:type="dxa"/>
              <w:end w:w="110" w:type="dxa"/>
            </w:tcMar>
          </w:tcPr>
          <w:p>
            <w:r>
              <w:rPr>
                <w:color w:val="000000"/>
                <w:sz w:val="17"/>
              </w:rPr>
              <w:t>63,819</w:t>
            </w:r>
          </w:p>
        </w:tc>
        <w:tc>
          <w:tcPr>
            <w:tcW w:type="dxa" w:w="1944"/>
            <w:vAlign w:val="center"/>
            <w:shd w:fill="EAF2F8"/>
            <w:tcMar>
              <w:top w:w="90" w:type="dxa"/>
              <w:start w:w="110" w:type="dxa"/>
              <w:bottom w:w="90" w:type="dxa"/>
              <w:end w:w="110" w:type="dxa"/>
            </w:tcMar>
          </w:tcPr>
          <w:p>
            <w:r>
              <w:rPr>
                <w:color w:val="000000"/>
                <w:sz w:val="17"/>
              </w:rPr>
              <w:t>543,311</w:t>
            </w:r>
          </w:p>
        </w:tc>
        <w:tc>
          <w:tcPr>
            <w:tcW w:type="dxa" w:w="1800"/>
            <w:vAlign w:val="center"/>
            <w:shd w:fill="EAF2F8"/>
            <w:tcMar>
              <w:top w:w="90" w:type="dxa"/>
              <w:start w:w="110" w:type="dxa"/>
              <w:bottom w:w="90" w:type="dxa"/>
              <w:end w:w="110" w:type="dxa"/>
            </w:tcMar>
          </w:tcPr>
          <w:p>
            <w:r>
              <w:rPr>
                <w:color w:val="000000"/>
                <w:sz w:val="17"/>
              </w:rPr>
              <w:t>8.51</w:t>
            </w:r>
          </w:p>
        </w:tc>
        <w:tc>
          <w:tcPr>
            <w:tcW w:type="dxa" w:w="1800"/>
            <w:vAlign w:val="center"/>
            <w:shd w:fill="EAF2F8"/>
            <w:tcMar>
              <w:top w:w="90" w:type="dxa"/>
              <w:start w:w="110" w:type="dxa"/>
              <w:bottom w:w="90" w:type="dxa"/>
              <w:end w:w="110" w:type="dxa"/>
            </w:tcMar>
          </w:tcPr>
          <w:p>
            <w:r>
              <w:rPr>
                <w:color w:val="000000"/>
                <w:sz w:val="17"/>
              </w:rPr>
              <w:t>2.01</w:t>
            </w:r>
          </w:p>
        </w:tc>
      </w:tr>
      <w:tr>
        <w:tc>
          <w:tcPr>
            <w:tcW w:type="dxa" w:w="1440"/>
            <w:vAlign w:val="center"/>
            <w:shd w:fill="FFFFFF"/>
            <w:tcMar>
              <w:top w:w="90" w:type="dxa"/>
              <w:start w:w="110" w:type="dxa"/>
              <w:bottom w:w="90" w:type="dxa"/>
              <w:end w:w="110" w:type="dxa"/>
            </w:tcMar>
          </w:tcPr>
          <w:p>
            <w:r>
              <w:rPr>
                <w:color w:val="000000"/>
                <w:sz w:val="17"/>
              </w:rPr>
              <w:t>Summer</w:t>
            </w:r>
          </w:p>
        </w:tc>
        <w:tc>
          <w:tcPr>
            <w:tcW w:type="dxa" w:w="1440"/>
            <w:vAlign w:val="center"/>
            <w:shd w:fill="FFFFFF"/>
            <w:tcMar>
              <w:top w:w="90" w:type="dxa"/>
              <w:start w:w="110" w:type="dxa"/>
              <w:bottom w:w="90" w:type="dxa"/>
              <w:end w:w="110" w:type="dxa"/>
            </w:tcMar>
          </w:tcPr>
          <w:p>
            <w:r>
              <w:rPr>
                <w:color w:val="000000"/>
                <w:sz w:val="17"/>
              </w:rPr>
              <w:t>64,361</w:t>
            </w:r>
          </w:p>
        </w:tc>
        <w:tc>
          <w:tcPr>
            <w:tcW w:type="dxa" w:w="1944"/>
            <w:vAlign w:val="center"/>
            <w:shd w:fill="FFFFFF"/>
            <w:tcMar>
              <w:top w:w="90" w:type="dxa"/>
              <w:start w:w="110" w:type="dxa"/>
              <w:bottom w:w="90" w:type="dxa"/>
              <w:end w:w="110" w:type="dxa"/>
            </w:tcMar>
          </w:tcPr>
          <w:p>
            <w:r>
              <w:rPr>
                <w:color w:val="000000"/>
                <w:sz w:val="17"/>
              </w:rPr>
              <w:t>539,867</w:t>
            </w:r>
          </w:p>
        </w:tc>
        <w:tc>
          <w:tcPr>
            <w:tcW w:type="dxa" w:w="1800"/>
            <w:vAlign w:val="center"/>
            <w:shd w:fill="FFFFFF"/>
            <w:tcMar>
              <w:top w:w="90" w:type="dxa"/>
              <w:start w:w="110" w:type="dxa"/>
              <w:bottom w:w="90" w:type="dxa"/>
              <w:end w:w="110" w:type="dxa"/>
            </w:tcMar>
          </w:tcPr>
          <w:p>
            <w:r>
              <w:rPr>
                <w:color w:val="000000"/>
                <w:sz w:val="17"/>
              </w:rPr>
              <w:t>8.39</w:t>
            </w:r>
          </w:p>
        </w:tc>
        <w:tc>
          <w:tcPr>
            <w:tcW w:type="dxa" w:w="1800"/>
            <w:vAlign w:val="center"/>
            <w:shd w:fill="FFFFFF"/>
            <w:tcMar>
              <w:top w:w="90" w:type="dxa"/>
              <w:start w:w="110" w:type="dxa"/>
              <w:bottom w:w="90" w:type="dxa"/>
              <w:end w:w="110" w:type="dxa"/>
            </w:tcMar>
          </w:tcPr>
          <w:p>
            <w:r>
              <w:rPr>
                <w:color w:val="000000"/>
                <w:sz w:val="17"/>
              </w:rPr>
              <w:t>1.96</w:t>
            </w:r>
          </w:p>
        </w:tc>
      </w:tr>
      <w:tr>
        <w:tc>
          <w:tcPr>
            <w:tcW w:type="dxa" w:w="1440"/>
            <w:vAlign w:val="center"/>
            <w:shd w:fill="EAF2F8"/>
            <w:tcMar>
              <w:top w:w="90" w:type="dxa"/>
              <w:start w:w="110" w:type="dxa"/>
              <w:bottom w:w="90" w:type="dxa"/>
              <w:end w:w="110" w:type="dxa"/>
            </w:tcMar>
          </w:tcPr>
          <w:p>
            <w:r>
              <w:rPr>
                <w:color w:val="000000"/>
                <w:sz w:val="17"/>
              </w:rPr>
              <w:t>Fall</w:t>
            </w:r>
          </w:p>
        </w:tc>
        <w:tc>
          <w:tcPr>
            <w:tcW w:type="dxa" w:w="1440"/>
            <w:vAlign w:val="center"/>
            <w:shd w:fill="EAF2F8"/>
            <w:tcMar>
              <w:top w:w="90" w:type="dxa"/>
              <w:start w:w="110" w:type="dxa"/>
              <w:bottom w:w="90" w:type="dxa"/>
              <w:end w:w="110" w:type="dxa"/>
            </w:tcMar>
          </w:tcPr>
          <w:p>
            <w:r>
              <w:rPr>
                <w:color w:val="000000"/>
                <w:sz w:val="17"/>
              </w:rPr>
              <w:t>65,329</w:t>
            </w:r>
          </w:p>
        </w:tc>
        <w:tc>
          <w:tcPr>
            <w:tcW w:type="dxa" w:w="1944"/>
            <w:vAlign w:val="center"/>
            <w:shd w:fill="EAF2F8"/>
            <w:tcMar>
              <w:top w:w="90" w:type="dxa"/>
              <w:start w:w="110" w:type="dxa"/>
              <w:bottom w:w="90" w:type="dxa"/>
              <w:end w:w="110" w:type="dxa"/>
            </w:tcMar>
          </w:tcPr>
          <w:p>
            <w:r>
              <w:rPr>
                <w:color w:val="000000"/>
                <w:sz w:val="17"/>
              </w:rPr>
              <w:t>559,425</w:t>
            </w:r>
          </w:p>
        </w:tc>
        <w:tc>
          <w:tcPr>
            <w:tcW w:type="dxa" w:w="1800"/>
            <w:vAlign w:val="center"/>
            <w:shd w:fill="EAF2F8"/>
            <w:tcMar>
              <w:top w:w="90" w:type="dxa"/>
              <w:start w:w="110" w:type="dxa"/>
              <w:bottom w:w="90" w:type="dxa"/>
              <w:end w:w="110" w:type="dxa"/>
            </w:tcMar>
          </w:tcPr>
          <w:p>
            <w:r>
              <w:rPr>
                <w:color w:val="000000"/>
                <w:sz w:val="17"/>
              </w:rPr>
              <w:t>8.56</w:t>
            </w:r>
          </w:p>
        </w:tc>
        <w:tc>
          <w:tcPr>
            <w:tcW w:type="dxa" w:w="1800"/>
            <w:vAlign w:val="center"/>
            <w:shd w:fill="EAF2F8"/>
            <w:tcMar>
              <w:top w:w="90" w:type="dxa"/>
              <w:start w:w="110" w:type="dxa"/>
              <w:bottom w:w="90" w:type="dxa"/>
              <w:end w:w="110" w:type="dxa"/>
            </w:tcMar>
          </w:tcPr>
          <w:p>
            <w:r>
              <w:rPr>
                <w:color w:val="000000"/>
                <w:sz w:val="17"/>
              </w:rPr>
              <w:t>1.99</w:t>
            </w:r>
          </w:p>
        </w:tc>
      </w:tr>
    </w:tbl>
    <w:p>
      <w:pPr>
        <w:spacing w:after="20"/>
      </w:pPr>
    </w:p>
    <w:p>
      <w:pPr>
        <w:keepNext/>
        <w:jc w:val="center"/>
      </w:pPr>
      <w:r>
        <w:drawing>
          <wp:inline xmlns:a="http://schemas.openxmlformats.org/drawingml/2006/main" xmlns:pic="http://schemas.openxmlformats.org/drawingml/2006/picture">
            <wp:extent cx="5989320" cy="2253954"/>
            <wp:docPr id="6" name="Picture 6" descr="Figure 6  Session count and average energy per session by season" title="Figure 6"/>
            <wp:cNvGraphicFramePr>
              <a:graphicFrameLocks noChangeAspect="1"/>
            </wp:cNvGraphicFramePr>
            <a:graphic>
              <a:graphicData uri="http://schemas.openxmlformats.org/drawingml/2006/picture">
                <pic:pic>
                  <pic:nvPicPr>
                    <pic:cNvPr id="0" name="seasonal_charging_patterns.png"/>
                    <pic:cNvPicPr/>
                  </pic:nvPicPr>
                  <pic:blipFill>
                    <a:blip r:embed="rId16"/>
                    <a:stretch>
                      <a:fillRect/>
                    </a:stretch>
                  </pic:blipFill>
                  <pic:spPr>
                    <a:xfrm>
                      <a:off x="0" y="0"/>
                      <a:ext cx="5989320" cy="2253954"/>
                    </a:xfrm>
                    <a:prstGeom prst="rect"/>
                  </pic:spPr>
                </pic:pic>
              </a:graphicData>
            </a:graphic>
          </wp:inline>
        </w:drawing>
      </w:r>
    </w:p>
    <w:p>
      <w:pPr>
        <w:pStyle w:val="FigureCaption"/>
        <w:jc w:val="center"/>
      </w:pPr>
      <w:r>
        <w:t>Figure 6  Session count and average energy per session by season</w:t>
      </w:r>
    </w:p>
    <w:p>
      <w:r>
        <w:br w:type="page"/>
      </w:r>
    </w:p>
    <w:p>
      <w:pPr>
        <w:pStyle w:val="Heading2"/>
      </w:pPr>
      <w:r>
        <w:t>Occupancy and Idle Behavior</w:t>
      </w:r>
    </w:p>
    <w:p>
      <w:r>
        <w:t>Idle time measured the difference between total connection time and active charging time. Its mean was 0.49 hours, while its median was 0.01 hours. The large difference between these measures reflects a right-skewed distribution. Using one hour as an analytical threshold, 12.1 percent of sessions had substantial idle time. This threshold is not an official standard and does not indicate whether a vehicle violated a parking rule.</w:t>
      </w:r>
    </w:p>
    <w:p>
      <w:pPr>
        <w:keepNext/>
        <w:jc w:val="center"/>
      </w:pPr>
      <w:r>
        <w:drawing>
          <wp:inline xmlns:a="http://schemas.openxmlformats.org/drawingml/2006/main" xmlns:pic="http://schemas.openxmlformats.org/drawingml/2006/picture">
            <wp:extent cx="5989320" cy="2942025"/>
            <wp:docPr id="7" name="Picture 7" descr="Figure 7  Idle-time distribution through the 99th percentile" title="Figure 7"/>
            <wp:cNvGraphicFramePr>
              <a:graphicFrameLocks noChangeAspect="1"/>
            </wp:cNvGraphicFramePr>
            <a:graphic>
              <a:graphicData uri="http://schemas.openxmlformats.org/drawingml/2006/picture">
                <pic:pic>
                  <pic:nvPicPr>
                    <pic:cNvPr id="0" name="idle_time_distribution.png"/>
                    <pic:cNvPicPr/>
                  </pic:nvPicPr>
                  <pic:blipFill>
                    <a:blip r:embed="rId17"/>
                    <a:stretch>
                      <a:fillRect/>
                    </a:stretch>
                  </pic:blipFill>
                  <pic:spPr>
                    <a:xfrm>
                      <a:off x="0" y="0"/>
                      <a:ext cx="5989320" cy="2942025"/>
                    </a:xfrm>
                    <a:prstGeom prst="rect"/>
                  </pic:spPr>
                </pic:pic>
              </a:graphicData>
            </a:graphic>
          </wp:inline>
        </w:drawing>
      </w:r>
    </w:p>
    <w:p>
      <w:pPr>
        <w:pStyle w:val="FigureCaption"/>
        <w:jc w:val="center"/>
      </w:pPr>
      <w:r>
        <w:t>Figure 7  Idle-time distribution through the 99th percentile</w:t>
      </w:r>
    </w:p>
    <w:p>
      <w:pPr>
        <w:keepNext/>
        <w:jc w:val="center"/>
      </w:pPr>
      <w:r>
        <w:drawing>
          <wp:inline xmlns:a="http://schemas.openxmlformats.org/drawingml/2006/main" xmlns:pic="http://schemas.openxmlformats.org/drawingml/2006/picture">
            <wp:extent cx="5852160" cy="4061897"/>
            <wp:docPr id="8" name="Picture 8" descr="Figure 8  Stations with the highest average idle time among stations with at least 100 sessions" title="Figure 8"/>
            <wp:cNvGraphicFramePr>
              <a:graphicFrameLocks noChangeAspect="1"/>
            </wp:cNvGraphicFramePr>
            <a:graphic>
              <a:graphicData uri="http://schemas.openxmlformats.org/drawingml/2006/picture">
                <pic:pic>
                  <pic:nvPicPr>
                    <pic:cNvPr id="0" name="stations_highest_idle_time.png"/>
                    <pic:cNvPicPr/>
                  </pic:nvPicPr>
                  <pic:blipFill>
                    <a:blip r:embed="rId18"/>
                    <a:stretch>
                      <a:fillRect/>
                    </a:stretch>
                  </pic:blipFill>
                  <pic:spPr>
                    <a:xfrm>
                      <a:off x="0" y="0"/>
                      <a:ext cx="5852160" cy="4061897"/>
                    </a:xfrm>
                    <a:prstGeom prst="rect"/>
                  </pic:spPr>
                </pic:pic>
              </a:graphicData>
            </a:graphic>
          </wp:inline>
        </w:drawing>
      </w:r>
    </w:p>
    <w:p>
      <w:pPr>
        <w:pStyle w:val="FigureCaption"/>
        <w:jc w:val="center"/>
      </w:pPr>
      <w:r>
        <w:t>Figure 8  Stations with the highest average idle time among stations with at least 100 sessions</w:t>
      </w:r>
    </w:p>
    <w:p>
      <w:pPr>
        <w:pStyle w:val="Heading1"/>
      </w:pPr>
      <w:r>
        <w:t>Outlier and Correlation Analysis</w:t>
      </w:r>
    </w:p>
    <w:p>
      <w:pPr>
        <w:pStyle w:val="Heading2"/>
      </w:pPr>
      <w:r>
        <w:t>Potential Outliers</w:t>
      </w:r>
    </w:p>
    <w:p>
      <w:r>
        <w:t>The analysis used interquartile-range fences and 99th percentiles to identify unusual energy, duration, connection, idle, and rate values. These rules flag records for review but do not prove that the records are errors. Long connections may reflect overnight parking, interrupted charging, post-charge occupancy, or equipment behavior. High energy or rate values may reflect charger and vehicle differences.</w:t>
      </w:r>
    </w:p>
    <w:p>
      <w:pPr>
        <w:keepNext/>
        <w:jc w:val="center"/>
      </w:pPr>
      <w:r>
        <w:drawing>
          <wp:inline xmlns:a="http://schemas.openxmlformats.org/drawingml/2006/main" xmlns:pic="http://schemas.openxmlformats.org/drawingml/2006/picture">
            <wp:extent cx="5989320" cy="1828445"/>
            <wp:docPr id="9" name="Picture 9" descr="Figure 9  Box plots for energy, active charging duration, and energy per active charging hour" title="Figure 9"/>
            <wp:cNvGraphicFramePr>
              <a:graphicFrameLocks noChangeAspect="1"/>
            </wp:cNvGraphicFramePr>
            <a:graphic>
              <a:graphicData uri="http://schemas.openxmlformats.org/drawingml/2006/picture">
                <pic:pic>
                  <pic:nvPicPr>
                    <pic:cNvPr id="0" name="outlier_boxplots.png"/>
                    <pic:cNvPicPr/>
                  </pic:nvPicPr>
                  <pic:blipFill>
                    <a:blip r:embed="rId19"/>
                    <a:stretch>
                      <a:fillRect/>
                    </a:stretch>
                  </pic:blipFill>
                  <pic:spPr>
                    <a:xfrm>
                      <a:off x="0" y="0"/>
                      <a:ext cx="5989320" cy="1828445"/>
                    </a:xfrm>
                    <a:prstGeom prst="rect"/>
                  </pic:spPr>
                </pic:pic>
              </a:graphicData>
            </a:graphic>
          </wp:inline>
        </w:drawing>
      </w:r>
    </w:p>
    <w:p>
      <w:pPr>
        <w:pStyle w:val="FigureCaption"/>
        <w:jc w:val="center"/>
      </w:pPr>
      <w:r>
        <w:t>Figure 9  Box plots for energy, active charging duration, and energy per active charging hour</w:t>
      </w:r>
    </w:p>
    <w:p>
      <w:r>
        <w:br w:type="page"/>
      </w:r>
    </w:p>
    <w:p>
      <w:pPr>
        <w:pStyle w:val="Heading2"/>
      </w:pPr>
      <w:r>
        <w:t>Correlations</w:t>
      </w:r>
    </w:p>
    <w:p>
      <w:r>
        <w:t>The correlation matrix included energy, active charging duration, connection duration, idle duration, fee, energy per hour, and start hour where meaningful. Numeric identifiers such as event ID, station equipment ID, and port number were excluded because arithmetic differences between identifier values have no analytical interpretation.</w:t>
      </w:r>
    </w:p>
    <w:p>
      <w:pPr>
        <w:keepNext/>
        <w:jc w:val="center"/>
      </w:pPr>
      <w:r>
        <w:drawing>
          <wp:inline xmlns:a="http://schemas.openxmlformats.org/drawingml/2006/main" xmlns:pic="http://schemas.openxmlformats.org/drawingml/2006/picture">
            <wp:extent cx="5715000" cy="5185332"/>
            <wp:docPr id="10" name="Picture 10" descr="Figure 10  Correlations among meaningful numerical variables" title="Figure 10"/>
            <wp:cNvGraphicFramePr>
              <a:graphicFrameLocks noChangeAspect="1"/>
            </wp:cNvGraphicFramePr>
            <a:graphic>
              <a:graphicData uri="http://schemas.openxmlformats.org/drawingml/2006/picture">
                <pic:pic>
                  <pic:nvPicPr>
                    <pic:cNvPr id="0" name="correlation_heatmap.png"/>
                    <pic:cNvPicPr/>
                  </pic:nvPicPr>
                  <pic:blipFill>
                    <a:blip r:embed="rId20"/>
                    <a:stretch>
                      <a:fillRect/>
                    </a:stretch>
                  </pic:blipFill>
                  <pic:spPr>
                    <a:xfrm>
                      <a:off x="0" y="0"/>
                      <a:ext cx="5715000" cy="5185332"/>
                    </a:xfrm>
                    <a:prstGeom prst="rect"/>
                  </pic:spPr>
                </pic:pic>
              </a:graphicData>
            </a:graphic>
          </wp:inline>
        </w:drawing>
      </w:r>
    </w:p>
    <w:p>
      <w:pPr>
        <w:pStyle w:val="FigureCaption"/>
        <w:jc w:val="center"/>
      </w:pPr>
      <w:r>
        <w:t>Figure 10  Correlations among meaningful numerical variables</w:t>
      </w:r>
    </w:p>
    <w:p>
      <w:r>
        <w:t>The strongest substantive relationship was between active charging duration and energy. Connection duration also related strongly to active charging duration because connection time contains both active and idle periods. These correlations summarize linear association and do not identify causes.</w:t>
      </w:r>
    </w:p>
    <w:p>
      <w:pPr>
        <w:pStyle w:val="Heading1"/>
      </w:pPr>
      <w:r>
        <w:t>Optional Clustering</w:t>
      </w:r>
    </w:p>
    <w:p>
      <w:r>
        <w:t>A small exploratory K-means analysis examined active charging duration, energy, idle time, and energy per active charging hour. The variables were standardized so that their different units did not determine the clusters. Values were winsorized at the first and 99th percentiles for clustering stability, but the cleaned analytical dataset was not altered. Candidate solutions from two through five clusters were compared using inertia and silhouette score.</w:t>
      </w:r>
    </w:p>
    <w:p>
      <w:pPr>
        <w:keepNext/>
        <w:jc w:val="center"/>
      </w:pPr>
      <w:r>
        <w:drawing>
          <wp:inline xmlns:a="http://schemas.openxmlformats.org/drawingml/2006/main" xmlns:pic="http://schemas.openxmlformats.org/drawingml/2006/picture">
            <wp:extent cx="5989320" cy="2253954"/>
            <wp:docPr id="11" name="Picture 11" descr="Figure 11  Elbow and silhouette diagnostics for candidate K-means solutions" title="Figure 11"/>
            <wp:cNvGraphicFramePr>
              <a:graphicFrameLocks noChangeAspect="1"/>
            </wp:cNvGraphicFramePr>
            <a:graphic>
              <a:graphicData uri="http://schemas.openxmlformats.org/drawingml/2006/picture">
                <pic:pic>
                  <pic:nvPicPr>
                    <pic:cNvPr id="0" name="optional_clustering_diagnostics.png"/>
                    <pic:cNvPicPr/>
                  </pic:nvPicPr>
                  <pic:blipFill>
                    <a:blip r:embed="rId21"/>
                    <a:stretch>
                      <a:fillRect/>
                    </a:stretch>
                  </pic:blipFill>
                  <pic:spPr>
                    <a:xfrm>
                      <a:off x="0" y="0"/>
                      <a:ext cx="5989320" cy="2253954"/>
                    </a:xfrm>
                    <a:prstGeom prst="rect"/>
                  </pic:spPr>
                </pic:pic>
              </a:graphicData>
            </a:graphic>
          </wp:inline>
        </w:drawing>
      </w:r>
    </w:p>
    <w:p>
      <w:pPr>
        <w:pStyle w:val="FigureCaption"/>
        <w:jc w:val="center"/>
      </w:pPr>
      <w:r>
        <w:t>Figure 11  Elbow and silhouette diagnostics for candidate K-means solutions</w:t>
      </w:r>
    </w:p>
    <w:p>
      <w:r>
        <w:t>The selected solution was interpreted through its measured cluster statistics. No labels such as commuter, resident, or heavy user were assigned because the dataset does not establish trip purpose, residence, or user intent.</w:t>
      </w:r>
    </w:p>
    <w:p>
      <w:r>
        <w:br w:type="page"/>
      </w:r>
    </w:p>
    <w:p>
      <w:pPr>
        <w:pStyle w:val="Heading1"/>
      </w:pPr>
      <w:r>
        <w:t>Discussion</w:t>
      </w:r>
    </w:p>
    <w:p>
      <w:r>
        <w:t>The analysis shows that charging demand is structured by time and location. Daytime session starts and the weekday majority are consistent with a network that serves substantial weekday activity, although the data do not identify the purposes of those trips. Station rankings also show concentration: a limited number of stations handled many sessions, while energy rankings varied because sessions differed in delivered energy.</w:t>
      </w:r>
    </w:p>
    <w:p>
      <w:r>
        <w:t>Active charging time and connection time should not be treated as interchangeable. Most sessions had little idle time, as indicated by the near-zero median, but the average was pulled upward by longer idle events. This combination matters operationally because a modest subset of sessions can occupy ports well after energy delivery slows or ends.</w:t>
      </w:r>
    </w:p>
    <w:p>
      <w:r>
        <w:t>The strong duration-energy relationship confirms that active charging time is useful for explaining energy delivery. The remaining spread is equally important. Sessions with similar duration can deliver different energy, so analyses of electricity demand should retain energy as a direct measure rather than substituting duration alone.</w:t>
      </w:r>
    </w:p>
    <w:p>
      <w:r>
        <w:t>Temporal comparisons require attention to changing exposure. The dataset spans more than nine years, during which station inventory and charging behavior may have changed. Annual and seasonal totals combine periods with different infrastructure and activity levels. The results therefore support descriptive comparisons but not causal claims about why use rose or fell.</w:t>
      </w:r>
    </w:p>
    <w:p>
      <w:pPr>
        <w:pStyle w:val="Heading1"/>
      </w:pPr>
      <w:r>
        <w:t>Limitations</w:t>
      </w:r>
    </w:p>
    <w:p>
      <w:pPr>
        <w:pStyle w:val="ListBullet"/>
        <w:spacing w:after="60"/>
      </w:pPr>
      <w:r>
        <w:t>The records describe one geographic area and may not generalize to other cities or charging networks.</w:t>
      </w:r>
    </w:p>
    <w:p>
      <w:pPr>
        <w:pStyle w:val="ListBullet"/>
        <w:spacing w:after="60"/>
      </w:pPr>
      <w:r>
        <w:t>The dataset is observational. Correlation and temporal coincidence do not establish causation.</w:t>
      </w:r>
    </w:p>
    <w:p>
      <w:pPr>
        <w:pStyle w:val="ListBullet"/>
        <w:spacing w:after="60"/>
      </w:pPr>
      <w:r>
        <w:t>Station inventory, charger type, availability, pricing, and parking policies may have changed during the study period.</w:t>
      </w:r>
    </w:p>
    <w:p>
      <w:pPr>
        <w:pStyle w:val="ListBullet"/>
        <w:spacing w:after="60"/>
      </w:pPr>
      <w:r>
        <w:t>Calendar year 2011 contains only six months, which makes its annual total incomplete.</w:t>
      </w:r>
    </w:p>
    <w:p>
      <w:pPr>
        <w:pStyle w:val="ListBullet"/>
        <w:spacing w:after="60"/>
      </w:pPr>
      <w:r>
        <w:t>Several descriptive equipment and user fields contain missing values.</w:t>
      </w:r>
    </w:p>
    <w:p>
      <w:pPr>
        <w:pStyle w:val="ListBullet"/>
        <w:spacing w:after="60"/>
      </w:pPr>
      <w:r>
        <w:t>Statistically extreme records may represent valid behavior or undetected logging errors.</w:t>
      </w:r>
    </w:p>
    <w:p>
      <w:pPr>
        <w:pStyle w:val="ListBullet"/>
        <w:spacing w:after="60"/>
      </w:pPr>
      <w:r>
        <w:t>The data do not directly measure queues, failed attempts, unmet demand, state of charge, trip purpose, or driver intent.</w:t>
      </w:r>
    </w:p>
    <w:p>
      <w:pPr>
        <w:pStyle w:val="ListBullet"/>
        <w:spacing w:after="60"/>
      </w:pPr>
      <w:r>
        <w:t>A station name may represent a location, unit, or port configuration rather than a perfectly comparable facility.</w:t>
      </w:r>
    </w:p>
    <w:p>
      <w:pPr>
        <w:pStyle w:val="Heading1"/>
      </w:pPr>
      <w:r>
        <w:t>Conclusion</w:t>
      </w:r>
    </w:p>
    <w:p>
      <w:r>
        <w:t>The Palo Alto records provide a detailed view of 259,295 valid charging sessions across 47 stations. Activity concentrated in daytime weekday periods, and station use was uneven. Sessions delivered 2,215,029 kWh in total, with mean energy of 8.54 kWh. Active charging duration and energy had a strong positive association, but duration did not fully determine energy delivery. Idle behavior was usually small, yet 12.1 percent of sessions remained connected for at least one hour beyond active charging. These findings show why charging systems should be described with session count, energy, active charging time, connection time, and station-level measures together.</w:t>
      </w:r>
    </w:p>
    <w:p>
      <w:pPr>
        <w:pStyle w:val="Heading1"/>
      </w:pPr>
      <w:r>
        <w:t>References</w:t>
      </w:r>
    </w:p>
    <w:p>
      <w:pPr>
        <w:spacing w:after="120"/>
        <w:ind w:left="432" w:hanging="432"/>
      </w:pPr>
      <w:r>
        <w:t>City of Palo Alto. Electric Vehicle Charging Station Usage July 2011 to December 2020. City of Palo Alto Open Data Portal. https://data.paloalto.gov/datasets/194693/electric-vehicle-charging-station-usage-july-2011-dec-2020/</w:t>
      </w:r>
    </w:p>
    <w:p>
      <w:pPr>
        <w:spacing w:after="120"/>
        <w:ind w:left="432" w:hanging="432"/>
      </w:pPr>
      <w:r>
        <w:t>Harris, C. R., et al. 2020. Array programming with NumPy. Nature 585, 357 to 362.</w:t>
      </w:r>
    </w:p>
    <w:p>
      <w:pPr>
        <w:spacing w:after="120"/>
        <w:ind w:left="432" w:hanging="432"/>
      </w:pPr>
      <w:r>
        <w:t>Hunter, J. D. 2007. Matplotlib A 2D graphics environment. Computing in Science and Engineering 9, 90 to 95.</w:t>
      </w:r>
    </w:p>
    <w:p>
      <w:pPr>
        <w:spacing w:after="120"/>
        <w:ind w:left="432" w:hanging="432"/>
      </w:pPr>
      <w:r>
        <w:t>McKinney, W. 2010. Data structures for statistical computing in Python. Proceedings of the 9th Python in Science Conference, 56 to 61.</w:t>
      </w:r>
    </w:p>
    <w:p>
      <w:pPr>
        <w:spacing w:after="120"/>
        <w:ind w:left="432" w:hanging="432"/>
      </w:pPr>
      <w:r>
        <w:t>Pedregosa, F., et al. 2011. Scikit-learn Machine learning in Python. Journal of Machine Learning Research 12, 2825 to 2830.</w:t>
      </w:r>
    </w:p>
    <w:p>
      <w:pPr>
        <w:spacing w:after="120"/>
        <w:ind w:left="432" w:hanging="432"/>
      </w:pPr>
      <w:r>
        <w:t>Virtanen, P., et al. 2020. SciPy 1.0 Fundamental algorithms for scientific computing in Python. Nature Methods 17, 261 to 272.</w:t>
      </w:r>
    </w:p>
    <w:p>
      <w:pPr>
        <w:spacing w:after="120"/>
        <w:ind w:left="432" w:hanging="432"/>
      </w:pPr>
      <w:r>
        <w:t>Waskom, M. L. 2021. Seaborn Statistical data visualization. Journal of Open Source Software 6, 3021.</w:t>
      </w:r>
    </w:p>
    <w:p>
      <w:r>
        <w:br w:type="page"/>
      </w:r>
    </w:p>
    <w:p>
      <w:pPr>
        <w:pStyle w:val="Heading1"/>
      </w:pPr>
      <w:r>
        <w:t>Appendix</w:t>
      </w:r>
    </w:p>
    <w:p>
      <w:pPr>
        <w:pStyle w:val="Heading2"/>
      </w:pPr>
      <w:r>
        <w:t>Generated Project Files</w:t>
      </w:r>
    </w:p>
    <w:p>
      <w:pPr>
        <w:pStyle w:val="ListBullet"/>
        <w:spacing w:after="60"/>
      </w:pPr>
      <w:r>
        <w:t>EV_Charging_Analysis.ipynb contains the full executed analysis.</w:t>
      </w:r>
    </w:p>
    <w:p>
      <w:pPr>
        <w:pStyle w:val="ListBullet"/>
        <w:spacing w:after="60"/>
      </w:pPr>
      <w:r>
        <w:t>PROJECT_RESULTS.md contains the concise results summary.</w:t>
      </w:r>
    </w:p>
    <w:p>
      <w:pPr>
        <w:pStyle w:val="ListBullet"/>
        <w:spacing w:after="60"/>
      </w:pPr>
      <w:r>
        <w:t>EV_Charging_Project_Report.pdf contains the earlier visual report.</w:t>
      </w:r>
    </w:p>
    <w:p>
      <w:pPr>
        <w:pStyle w:val="ListBullet"/>
        <w:spacing w:after="60"/>
      </w:pPr>
      <w:r>
        <w:t>outputs contains the cleaned data and hourly, daily, monthly, station, and outlier summaries.</w:t>
      </w:r>
    </w:p>
    <w:p>
      <w:pPr>
        <w:pStyle w:val="ListBullet"/>
        <w:spacing w:after="60"/>
      </w:pPr>
      <w:r>
        <w:t>figures contains all high-resolution charts used in the analysis and reports.</w:t>
      </w:r>
    </w:p>
    <w:p>
      <w:pPr>
        <w:pStyle w:val="Heading2"/>
      </w:pPr>
      <w:r>
        <w:t>Reproducibility Notes</w:t>
      </w:r>
    </w:p>
    <w:p>
      <w:r>
        <w:t>The notebook automatically selects the EV charging CSV from its project folder, identifies relevant source columns by normalized names, creates the output directories, performs cleaning and feature engineering, produces summary files and figures, and writes the Markdown results summary. All notebook code cells were executed successfully before this report was prepared.</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000000"/>
        <w:sz w:val="16"/>
      </w:rPr>
      <w:t>Exploratory Data Analysis of Electric Vehicle Charging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after="160"/>
    </w:pPr>
    <w:rPr>
      <w:rFonts w:ascii="Aptos" w:hAnsi="Aptos"/>
      <w:i/>
      <w:color w:val="3737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of Electric Vehicle Charging Patterns</dc:title>
  <dc:subject>Complete university data science project report</dc:subject>
  <dc:creator>University Data Science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