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29B"/>
          <w:sz w:val="56"/>
        </w:rPr>
        <w:t>ForteBank</w:t>
      </w:r>
    </w:p>
    <w:p>
      <w:pPr>
        <w:jc w:val="center"/>
      </w:pPr>
      <w:r>
        <w:rPr>
          <w:rFonts w:ascii="Arial" w:hAnsi="Arial"/>
          <w:color w:val="666666"/>
          <w:sz w:val="24"/>
        </w:rPr>
        <w:t>Business Analysis Department</w:t>
      </w:r>
    </w:p>
    <w:p>
      <w:r>
        <w:t>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Тип документа: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Business Requirements 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Дата создания: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27.11.2025 19:51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Автор: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AI Business Analyst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Статус: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Draft - На согласовании</w:t>
            </w:r>
          </w:p>
        </w:tc>
      </w:tr>
    </w:tbl>
    <w:p/>
    <w:p>
      <w:pPr>
        <w:pStyle w:val="CorporateHeading1"/>
      </w:pPr>
      <w:r>
        <w:t>Business Requirements Document</w:t>
      </w:r>
    </w:p>
    <w:p>
      <w:pPr>
        <w:pStyle w:val="CorporateHeading2"/>
      </w:pPr>
      <w:r>
        <w:t>Автоплатежи по Расписанию для Коммунальных Услуг</w:t>
      </w:r>
    </w:p>
    <w:p>
      <w:r/>
      <w:r>
        <w:rPr>
          <w:b/>
        </w:rPr>
        <w:t>Дата создания:</w:t>
      </w:r>
      <w:r>
        <w:t xml:space="preserve"> 2025-11-27  </w:t>
      </w:r>
    </w:p>
    <w:p>
      <w:r/>
      <w:r>
        <w:rPr>
          <w:b/>
        </w:rPr>
        <w:t>Автор:</w:t>
      </w:r>
      <w:r>
        <w:t xml:space="preserve"> AI Business Analyst  </w:t>
      </w:r>
    </w:p>
    <w:p>
      <w:r/>
      <w:r>
        <w:rPr>
          <w:b/>
        </w:rPr>
        <w:t>Статус:</w:t>
      </w:r>
      <w:r>
        <w:t xml:space="preserve"> Draft  </w:t>
      </w:r>
    </w:p>
    <w:p>
      <w:r/>
      <w:r>
        <w:rPr>
          <w:b/>
        </w:rPr>
        <w:t>Версия:</w:t>
      </w:r>
      <w:r>
        <w:t xml:space="preserve"> 1.0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1. Executive Summary</w:t>
      </w:r>
    </w:p>
    <w:p>
      <w:r>
        <w:t>Автоплатежи по расписанию для коммунальных услуг - это новая функциональность, призванная облегчить жизнь наших клиентов, автоматизируя регулярные платежи за коммунальные услуги. Эта функция позволит пользователям устанавливать расписание платежей один раз, после чего платежи будут осуществляться автоматически в указанные даты, исключая необходимость ручного повторения платежей каждый месяц.</w:t>
      </w:r>
    </w:p>
    <w:p>
      <w:r>
        <w:t>Эта функция решает проблему регулярных просрочек и лишних действий при оплате коммунальных услуг, экономя время, снижая стресс и делая использование интернет-банка более удобным и надёжным. Пользователи смогут настраивать и управлять своими автоплатежами через мобильное приложение, получая уведомления о предстоящих и выполненных платежах.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2. Business Objective</w:t>
      </w:r>
    </w:p>
    <w:p>
      <w:pPr>
        <w:pStyle w:val="CorporateHeading3"/>
      </w:pPr>
      <w:r>
        <w:t>Problem Statement</w:t>
      </w:r>
    </w:p>
    <w:p>
      <w:r>
        <w:t>Пользователи интернет-банка испытывают неудобства из-за необходимости регулярно вручную производить платежи за коммунальные услуги, что может привести к просрочкам и дополнительным штрафам.</w:t>
      </w:r>
    </w:p>
    <w:p>
      <w:pPr>
        <w:pStyle w:val="CorporateHeading3"/>
      </w:pPr>
      <w:r>
        <w:t>Success Criteria</w:t>
      </w:r>
    </w:p>
    <w:p>
      <w:pPr>
        <w:pStyle w:val="ListBullet"/>
        <w:ind w:left="360"/>
      </w:pPr>
      <w:r>
        <w:t>**KPI 1:** Увеличение количества пользователей, активно использующих автоплатежи, на 30% в течение первых 6 месяцев после запуска.</w:t>
      </w:r>
    </w:p>
    <w:p>
      <w:pPr>
        <w:pStyle w:val="ListBullet"/>
        <w:ind w:left="360"/>
      </w:pPr>
      <w:r>
        <w:t>**KPI 2:** Снижение количества просроченных платежей на 25% в течение первых 3 месяцев после запуска.</w:t>
      </w:r>
    </w:p>
    <w:p>
      <w:pPr>
        <w:pStyle w:val="ListBullet"/>
        <w:ind w:left="360"/>
      </w:pPr>
      <w:r>
        <w:t>**KPI 3:** Повышение удовлетворенности клиентов, измеряемое через опросы и обратную связь, на 20% в течение первого года после запуска.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3. Scope</w:t>
      </w:r>
    </w:p>
    <w:p>
      <w:pPr>
        <w:pStyle w:val="CorporateHeading3"/>
      </w:pPr>
      <w:r>
        <w:t>In Scope</w:t>
      </w:r>
    </w:p>
    <w:p>
      <w:pPr>
        <w:pStyle w:val="ListBullet"/>
        <w:ind w:left="360"/>
      </w:pPr>
      <w:r>
        <w:t>Разработка функциональности автоплатежей по расписанию для коммунальных услуг в мобильном приложении.</w:t>
      </w:r>
    </w:p>
    <w:p>
      <w:pPr>
        <w:pStyle w:val="ListBullet"/>
        <w:ind w:left="360"/>
      </w:pPr>
      <w:r>
        <w:t>Интеграция с существующими системами оплаты и базами данных для обеспечения точных и своевременных платежей.</w:t>
      </w:r>
    </w:p>
    <w:p>
      <w:pPr>
        <w:pStyle w:val="ListBullet"/>
        <w:ind w:left="360"/>
      </w:pPr>
      <w:r>
        <w:t>Разработка пользовательского интерфейса для настройки и управления автоплатежами.</w:t>
      </w:r>
    </w:p>
    <w:p>
      <w:pPr>
        <w:pStyle w:val="CorporateHeading3"/>
      </w:pPr>
      <w:r>
        <w:t>Out of Scope</w:t>
      </w:r>
    </w:p>
    <w:p>
      <w:pPr>
        <w:pStyle w:val="ListBullet"/>
        <w:ind w:left="360"/>
      </w:pPr>
      <w:r>
        <w:t>Разработка новых систем оплаты или модификация существующих внешних систем.</w:t>
      </w:r>
    </w:p>
    <w:p>
      <w:pPr>
        <w:pStyle w:val="ListBullet"/>
        <w:ind w:left="360"/>
      </w:pPr>
      <w:r>
        <w:t>Интеграция с системами, не связанными с коммунальными услугами.</w:t>
      </w:r>
    </w:p>
    <w:p>
      <w:pPr>
        <w:pStyle w:val="CorporateHeading3"/>
      </w:pPr>
      <w:r>
        <w:t>Future Considerations</w:t>
      </w:r>
    </w:p>
    <w:p>
      <w:pPr>
        <w:pStyle w:val="ListBullet"/>
        <w:ind w:left="360"/>
      </w:pPr>
      <w:r>
        <w:t>Расширение функциональности автоплатежей на другие типы регулярных платежей (абонементы, подписки и т.д.).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529B"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color w:val="00529B"/>
                <w:sz w:val="20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b/>
                <w:color w:val="00529B"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 ownership &amp; vision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&amp; 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Risk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Compliance Officer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Regulatory approval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CorporateHeading2"/>
      </w:pPr>
      <w:r>
        <w:t>5. Target Audience</w:t>
      </w:r>
    </w:p>
    <w:p>
      <w:r/>
      <w:r>
        <w:rPr>
          <w:b/>
        </w:rPr>
        <w:t>Primary Users:</w:t>
      </w:r>
      <w:r>
        <w:t xml:space="preserve"> Пользователи мобильного приложения интернет-банка, регулярно производящие платежи за коммунальные услуги.</w:t>
      </w:r>
    </w:p>
    <w:p>
      <w:r/>
      <w:r>
        <w:rPr>
          <w:b/>
        </w:rPr>
        <w:t>User Segments:</w:t>
      </w:r>
      <w:r/>
    </w:p>
    <w:p>
      <w:pPr>
        <w:pStyle w:val="ListBullet"/>
        <w:ind w:left="360"/>
      </w:pPr>
      <w:r>
        <w:t>**Segment 1:** Физические лица, владеющие недвижимостью и производящие регулярные платежи за коммунальные услуги.</w:t>
      </w:r>
    </w:p>
    <w:p>
      <w:pPr>
        <w:pStyle w:val="ListBullet"/>
        <w:ind w:left="360"/>
      </w:pPr>
      <w:r>
        <w:t>**Segment 2:** Юридические лица, оплачивающие коммунальные услуги для своих офисов или предприятий.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6. Functional Requirements</w:t>
      </w:r>
    </w:p>
    <w:p>
      <w:pPr>
        <w:pStyle w:val="CorporateHeading3"/>
      </w:pPr>
      <w:r>
        <w:t>FR-001: Настройка Автоплатежей</w:t>
      </w:r>
    </w:p>
    <w:p>
      <w:pPr>
        <w:pStyle w:val="ListBullet"/>
        <w:ind w:left="360"/>
      </w:pPr>
      <w:r>
        <w:t>**Priority:** Critical</w:t>
      </w:r>
    </w:p>
    <w:p>
      <w:pPr>
        <w:pStyle w:val="ListBullet"/>
        <w:ind w:left="360"/>
      </w:pPr>
      <w:r>
        <w:t>**Description:** Пользователь должен иметь возможность настроить автоплатежи для коммунальных услуг, указав дату платежа, сумму и периодичность.</w:t>
      </w:r>
    </w:p>
    <w:p>
      <w:pPr>
        <w:pStyle w:val="ListBullet"/>
        <w:ind w:left="360"/>
      </w:pPr>
      <w:r>
        <w:t>**User Story:** As a пользователь, I want иметь возможность настроить автоплатежи для коммунальных услуг, so that я не забуду произвести платеж и не столкнусь с просрочками.</w:t>
      </w:r>
    </w:p>
    <w:p>
      <w:pPr>
        <w:pStyle w:val="ListBullet"/>
        <w:ind w:left="360"/>
      </w:pPr>
      <w:r>
        <w:t>**Acceptance Criteria:**</w:t>
      </w:r>
    </w:p>
    <w:p>
      <w:pPr>
        <w:pStyle w:val="ListBullet"/>
        <w:ind w:left="360"/>
      </w:pPr>
      <w:r>
        <w:t>AC1: Система позволяет пользователю выбрать тип коммунальной услуги.</w:t>
      </w:r>
    </w:p>
    <w:p>
      <w:pPr>
        <w:pStyle w:val="ListBullet"/>
        <w:ind w:left="360"/>
      </w:pPr>
      <w:r>
        <w:t>AC2: Система позволяет пользователю указать дату платежа.</w:t>
      </w:r>
    </w:p>
    <w:p>
      <w:pPr>
        <w:pStyle w:val="ListBullet"/>
        <w:ind w:left="360"/>
      </w:pPr>
      <w:r>
        <w:t>AC3: Система позволяет пользователю указать сумму платежа.</w:t>
      </w:r>
    </w:p>
    <w:p>
      <w:pPr>
        <w:pStyle w:val="CorporateHeading3"/>
      </w:pPr>
      <w:r>
        <w:t>FR-002: Управление Автоплатежами</w:t>
      </w:r>
    </w:p>
    <w:p>
      <w:r>
        <w:t>[... аналогично для всех FR]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7. Non-Functional Requirements</w:t>
      </w:r>
    </w:p>
    <w:p>
      <w:pPr>
        <w:pStyle w:val="CorporateHeading3"/>
      </w:pPr>
      <w:r>
        <w:t>Performance</w:t>
      </w:r>
    </w:p>
    <w:p>
      <w:pPr>
        <w:pStyle w:val="ListBullet"/>
        <w:ind w:left="360"/>
      </w:pPr>
      <w:r>
        <w:t>NFR-001: Response time &lt; 2 seconds для операций по настройке и управлению автоплатежами.</w:t>
      </w:r>
    </w:p>
    <w:p>
      <w:pPr>
        <w:pStyle w:val="ListBullet"/>
        <w:ind w:left="360"/>
      </w:pPr>
      <w:r>
        <w:t>NFR-002: Support 10,000 concurrent users.</w:t>
      </w:r>
    </w:p>
    <w:p>
      <w:pPr>
        <w:pStyle w:val="ListBullet"/>
        <w:ind w:left="360"/>
      </w:pPr>
      <w:r>
        <w:t>NFR-003: 99.9% availability.</w:t>
      </w:r>
    </w:p>
    <w:p>
      <w:pPr>
        <w:pStyle w:val="CorporateHeading3"/>
      </w:pPr>
      <w:r>
        <w:t>Security</w:t>
      </w:r>
    </w:p>
    <w:p>
      <w:pPr>
        <w:pStyle w:val="ListBullet"/>
        <w:ind w:left="360"/>
      </w:pPr>
      <w:r>
        <w:t>NFR-004: Data encryption at rest and in transit.</w:t>
      </w:r>
    </w:p>
    <w:p>
      <w:pPr>
        <w:pStyle w:val="ListBullet"/>
        <w:ind w:left="360"/>
      </w:pPr>
      <w:r>
        <w:t>NFR-005: PCI DSS compliance.</w:t>
      </w:r>
    </w:p>
    <w:p>
      <w:pPr>
        <w:pStyle w:val="ListBullet"/>
        <w:ind w:left="360"/>
      </w:pPr>
      <w:r>
        <w:t>NFR-006: Multi-factor authentication support.</w:t>
      </w:r>
    </w:p>
    <w:p>
      <w:pPr>
        <w:pStyle w:val="CorporateHeading3"/>
      </w:pPr>
      <w:r>
        <w:t>Usability</w:t>
      </w:r>
    </w:p>
    <w:p>
      <w:pPr>
        <w:pStyle w:val="ListBullet"/>
        <w:ind w:left="360"/>
      </w:pPr>
      <w:r>
        <w:t>NFR-007: Intuitive UX, no training required.</w:t>
      </w:r>
    </w:p>
    <w:p>
      <w:pPr>
        <w:pStyle w:val="ListBullet"/>
        <w:ind w:left="360"/>
      </w:pPr>
      <w:r>
        <w:t>NFR-008: WCAG 2.1 Level AA accessibility.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8. Use Cases</w:t>
      </w:r>
    </w:p>
    <w:p>
      <w:pPr>
        <w:pStyle w:val="CorporateHeading3"/>
      </w:pPr>
      <w:r>
        <w:t>UC-001: Настройка Автоплатежа</w:t>
      </w:r>
    </w:p>
    <w:p>
      <w:r/>
      <w:r>
        <w:rPr>
          <w:b/>
        </w:rPr>
        <w:t>Actor:</w:t>
      </w:r>
      <w:r>
        <w:t xml:space="preserve"> Пользователь мобильного приложения.</w:t>
      </w:r>
    </w:p>
    <w:p>
      <w:r/>
      <w:r>
        <w:rPr>
          <w:b/>
        </w:rPr>
        <w:t>Preconditions:</w:t>
      </w:r>
      <w:r/>
    </w:p>
    <w:p>
      <w:pPr>
        <w:pStyle w:val="ListBullet"/>
        <w:ind w:left="360"/>
      </w:pPr>
      <w:r>
        <w:t>Пользователь авторизован в системе.</w:t>
      </w:r>
    </w:p>
    <w:p>
      <w:pPr>
        <w:pStyle w:val="ListBullet"/>
        <w:ind w:left="360"/>
      </w:pPr>
      <w:r>
        <w:t>Пользователь имеет доступ к функциональности автоплатежей.</w:t>
      </w:r>
    </w:p>
    <w:p>
      <w:r/>
      <w:r>
        <w:rPr>
          <w:b/>
        </w:rPr>
        <w:t>Main Flow:</w:t>
      </w:r>
      <w:r/>
    </w:p>
    <w:p>
      <w:pPr>
        <w:pStyle w:val="ListNumber"/>
        <w:ind w:left="360"/>
      </w:pPr>
      <w:r>
        <w:t>Пользователь открывает раздел автоплатежей.</w:t>
      </w:r>
    </w:p>
    <w:p>
      <w:pPr>
        <w:pStyle w:val="ListNumber"/>
        <w:ind w:left="360"/>
      </w:pPr>
      <w:r>
        <w:t>Пользователь выбирает тип коммунальной услуги.</w:t>
      </w:r>
    </w:p>
    <w:p>
      <w:pPr>
        <w:pStyle w:val="ListNumber"/>
        <w:ind w:left="360"/>
      </w:pPr>
      <w:r>
        <w:t>Пользователь указывает дату платежа, сумму и периодичность.</w:t>
      </w:r>
    </w:p>
    <w:p>
      <w:r/>
      <w:r>
        <w:rPr>
          <w:b/>
        </w:rPr>
        <w:t>Alternative Flows:</w:t>
      </w:r>
      <w:r/>
    </w:p>
    <w:p>
      <w:pPr>
        <w:pStyle w:val="ListBullet"/>
        <w:ind w:left="360"/>
      </w:pPr>
      <w:r>
        <w:t>A1: Пользователь отменяет операцию настройки автоплатежа.</w:t>
      </w:r>
    </w:p>
    <w:p>
      <w:r/>
      <w:r>
        <w:rPr>
          <w:b/>
        </w:rPr>
        <w:t>Exception Flows:</w:t>
      </w:r>
      <w:r/>
    </w:p>
    <w:p>
      <w:pPr>
        <w:pStyle w:val="ListBullet"/>
        <w:ind w:left="360"/>
      </w:pPr>
      <w:r>
        <w:t>E1: Система не может обработать запрос из-за технических проблем.</w:t>
      </w:r>
    </w:p>
    <w:p>
      <w:r/>
      <w:r>
        <w:rPr>
          <w:b/>
        </w:rPr>
        <w:t>Postconditions:</w:t>
      </w:r>
      <w:r/>
    </w:p>
    <w:p>
      <w:pPr>
        <w:pStyle w:val="ListBullet"/>
        <w:ind w:left="360"/>
      </w:pPr>
      <w:r>
        <w:t>Автоплатеж успешно настроен.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9. Process Flow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flowchart TD</w:t>
        <w:br/>
        <w:t xml:space="preserve">    A[Пользователь открывает раздел автоплатежей] --&gt; B{Выбор коммунальной услуги}</w:t>
        <w:br/>
        <w:t xml:space="preserve">    B --&gt;|Услуга выбрана| C[Настройка автоплатежа]</w:t>
        <w:br/>
        <w:t xml:space="preserve">    C --&gt; E[Сохранение настроек]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10. Data Requirements</w:t>
      </w:r>
    </w:p>
    <w:p>
      <w:pPr>
        <w:pStyle w:val="CorporateHeading3"/>
      </w:pPr>
      <w:r>
        <w:t>Data Entities</w:t>
      </w:r>
    </w:p>
    <w:p>
      <w:pPr>
        <w:pStyle w:val="ListBullet"/>
        <w:ind w:left="360"/>
      </w:pPr>
      <w:r>
        <w:t>**Автоплатеж:** Содержит информацию о настроенном автоплатеже (дата, сумма, периодичность).</w:t>
      </w:r>
    </w:p>
    <w:p>
      <w:pPr>
        <w:pStyle w:val="ListBullet"/>
        <w:ind w:left="360"/>
      </w:pPr>
      <w:r>
        <w:t>**Коммунальная Услуга:** Содержит информацию о коммунальной услуге (название, тип).</w:t>
      </w:r>
    </w:p>
    <w:p>
      <w:pPr>
        <w:pStyle w:val="CorporateHeading3"/>
      </w:pPr>
      <w:r>
        <w:t>Data Sources</w:t>
      </w:r>
    </w:p>
    <w:p>
      <w:pPr>
        <w:pStyle w:val="ListBullet"/>
        <w:ind w:left="360"/>
      </w:pPr>
      <w:r>
        <w:t>**База Данных Автоплатежей:** Хранит информацию о всех настроенных автоплатежах.</w:t>
      </w:r>
    </w:p>
    <w:p>
      <w:pPr>
        <w:pStyle w:val="ListBullet"/>
        <w:ind w:left="360"/>
      </w:pPr>
      <w:r>
        <w:t>**База Данных Коммунальных Услуг:** Хранит информацию о всех доступных коммунальных услугах.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11. Integration Points</w:t>
      </w:r>
    </w:p>
    <w:p>
      <w:pPr>
        <w:pStyle w:val="CorporateHeading3"/>
      </w:pPr>
      <w:r>
        <w:t>Internal Systems</w:t>
      </w:r>
    </w:p>
    <w:p>
      <w:pPr>
        <w:pStyle w:val="ListBullet"/>
        <w:ind w:left="360"/>
      </w:pPr>
      <w:r>
        <w:t>**Система Оплаты:** Интегрируется для осуществления платежей.</w:t>
      </w:r>
    </w:p>
    <w:p>
      <w:pPr>
        <w:pStyle w:val="ListBullet"/>
        <w:ind w:left="360"/>
      </w:pPr>
      <w:r>
        <w:t>**База Данных Пользователей:** Интегрируется для аутентификации и авторизации пользователей.</w:t>
      </w:r>
    </w:p>
    <w:p>
      <w:pPr>
        <w:pStyle w:val="CorporateHeading3"/>
      </w:pPr>
      <w:r>
        <w:t>External Systems</w:t>
      </w:r>
    </w:p>
    <w:p>
      <w:pPr>
        <w:pStyle w:val="ListBullet"/>
        <w:ind w:left="360"/>
      </w:pPr>
      <w:r>
        <w:t>**Платежные Шлюзы:** Интегрируются для обработки платежей.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12. Compliance &amp; Legal</w:t>
      </w:r>
    </w:p>
    <w:p>
      <w:pPr>
        <w:pStyle w:val="CorporateHeading3"/>
      </w:pPr>
      <w:r>
        <w:t>Regulatory Requirements</w:t>
      </w:r>
    </w:p>
    <w:p>
      <w:pPr>
        <w:pStyle w:val="ListBullet"/>
        <w:ind w:left="360"/>
      </w:pPr>
      <w:r>
        <w:t>**НБ РК Требование 1:** Соблюдение требований по защите данных.</w:t>
      </w:r>
    </w:p>
    <w:p>
      <w:pPr>
        <w:pStyle w:val="ListBullet"/>
        <w:ind w:left="360"/>
      </w:pPr>
      <w:r>
        <w:t>**GDPR/Data Protection:** Соблюдение требований по защите персональных данных.</w:t>
      </w:r>
    </w:p>
    <w:p>
      <w:pPr>
        <w:pStyle w:val="CorporateHeading3"/>
      </w:pPr>
      <w:r>
        <w:t>Legal Considerations</w:t>
      </w:r>
    </w:p>
    <w:p>
      <w:pPr>
        <w:pStyle w:val="ListBullet"/>
        <w:ind w:left="360"/>
      </w:pPr>
      <w:r>
        <w:t>**Контракты с Поставщиками Услуг:** Соблюдение условий контрактов.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13. Dependencies &amp; Assumptions</w:t>
      </w:r>
    </w:p>
    <w:p>
      <w:r/>
      <w:r>
        <w:rPr>
          <w:b/>
        </w:rPr>
        <w:t>Dependencies:</w:t>
      </w:r>
      <w:r/>
    </w:p>
    <w:p>
      <w:pPr>
        <w:pStyle w:val="ListBullet"/>
        <w:ind w:left="360"/>
      </w:pPr>
      <w:r>
        <w:t>**Техническая Зависимость 1:** Интеграция с системой оплаты.</w:t>
      </w:r>
    </w:p>
    <w:p>
      <w:pPr>
        <w:pStyle w:val="ListBullet"/>
        <w:ind w:left="360"/>
      </w:pPr>
      <w:r>
        <w:t>**Внешняя Зависимость 2:** Доступность платежных шлюзов.</w:t>
      </w:r>
    </w:p>
    <w:p>
      <w:r/>
      <w:r>
        <w:rPr>
          <w:b/>
        </w:rPr>
        <w:t>Assumptions:</w:t>
      </w:r>
      <w:r/>
    </w:p>
    <w:p>
      <w:pPr>
        <w:pStyle w:val="ListBullet"/>
        <w:ind w:left="360"/>
      </w:pPr>
      <w:r>
        <w:t>**Предположение 1:** Пользователи будут использовать функциональность автоплатежей регулярно.</w:t>
      </w:r>
    </w:p>
    <w:p>
      <w:pPr>
        <w:pStyle w:val="ListBullet"/>
        <w:ind w:left="360"/>
      </w:pPr>
      <w:r>
        <w:t>**Предположение 2:** Техническая инфраструктура будет готова к запуску функциональности.</w:t>
      </w:r>
    </w:p>
    <w:p>
      <w:r/>
      <w:r>
        <w:rPr>
          <w:b/>
        </w:rPr>
        <w:t>Constraints:</w:t>
      </w:r>
      <w:r/>
    </w:p>
    <w:p>
      <w:pPr>
        <w:pStyle w:val="ListBullet"/>
        <w:ind w:left="360"/>
      </w:pPr>
      <w:r>
        <w:t>**Ограничение 1:** Сроки разработки и запуска.</w:t>
      </w:r>
    </w:p>
    <w:p>
      <w:pPr>
        <w:pStyle w:val="ListBullet"/>
        <w:ind w:left="360"/>
      </w:pPr>
      <w:r>
        <w:t>**Ограничение 2:** Бюджетные ограничения.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14.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Risk ID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Probability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Mitigation Strategy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Технические проблемы при интеграции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Провести тщательное тестирование интеграции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R-002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Недостаточная документация для пользователей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Разработать подробную документацию и руководство для пользователей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CorporateHeading2"/>
      </w:pPr>
      <w:r>
        <w:t>15. Implementation Plan</w:t>
      </w:r>
    </w:p>
    <w:p>
      <w:pPr>
        <w:pStyle w:val="CorporateHeading3"/>
      </w:pPr>
      <w:r>
        <w:t>Timeline: 12 weeks</w:t>
      </w:r>
    </w:p>
    <w:p>
      <w:r/>
      <w:r>
        <w:rPr>
          <w:b/>
        </w:rPr>
        <w:t>Phase 1: Discovery &amp; Design</w:t>
      </w:r>
      <w:r>
        <w:t xml:space="preserve"> (2 weeks)</w:t>
      </w:r>
    </w:p>
    <w:p>
      <w:pPr>
        <w:pStyle w:val="ListBullet"/>
        <w:ind w:left="360"/>
      </w:pPr>
      <w:r>
        <w:t>Week 1: Requirements finalization, UX design</w:t>
      </w:r>
    </w:p>
    <w:p>
      <w:pPr>
        <w:pStyle w:val="ListBullet"/>
        <w:ind w:left="360"/>
      </w:pPr>
      <w:r>
        <w:t>Week 2: Technical design, API specifications</w:t>
      </w:r>
    </w:p>
    <w:p>
      <w:r/>
      <w:r>
        <w:rPr>
          <w:b/>
        </w:rPr>
        <w:t>Phase 2: Development</w:t>
      </w:r>
      <w:r>
        <w:t xml:space="preserve"> (4-6 weeks)</w:t>
      </w:r>
    </w:p>
    <w:p>
      <w:pPr>
        <w:pStyle w:val="ListBullet"/>
        <w:ind w:left="360"/>
      </w:pPr>
      <w:r>
        <w:t>Week 3-4: Frontend development</w:t>
      </w:r>
    </w:p>
    <w:p>
      <w:pPr>
        <w:pStyle w:val="ListBullet"/>
        <w:ind w:left="360"/>
      </w:pPr>
      <w:r>
        <w:t>Week 5-6: Backend development</w:t>
      </w:r>
    </w:p>
    <w:p>
      <w:pPr>
        <w:pStyle w:val="ListBullet"/>
        <w:ind w:left="360"/>
      </w:pPr>
      <w:r>
        <w:t>Week 7-8: Integration &amp; testing</w:t>
      </w:r>
    </w:p>
    <w:p>
      <w:r/>
      <w:r>
        <w:rPr>
          <w:b/>
        </w:rPr>
        <w:t>Phase 3: Testing &amp; QA</w:t>
      </w:r>
      <w:r>
        <w:t xml:space="preserve"> (2 weeks)</w:t>
      </w:r>
    </w:p>
    <w:p>
      <w:pPr>
        <w:pStyle w:val="ListBullet"/>
        <w:ind w:left="360"/>
      </w:pPr>
      <w:r>
        <w:t>Week 9: QA testing, bug fixes</w:t>
      </w:r>
    </w:p>
    <w:p>
      <w:pPr>
        <w:pStyle w:val="ListBullet"/>
        <w:ind w:left="360"/>
      </w:pPr>
      <w:r>
        <w:t>Week 10: UAT with beta users</w:t>
      </w:r>
    </w:p>
    <w:p>
      <w:r/>
      <w:r>
        <w:rPr>
          <w:b/>
        </w:rPr>
        <w:t>Phase 4: Deployment</w:t>
      </w:r>
      <w:r>
        <w:t xml:space="preserve"> (1 week)</w:t>
      </w:r>
    </w:p>
    <w:p>
      <w:pPr>
        <w:pStyle w:val="ListBullet"/>
        <w:ind w:left="360"/>
      </w:pPr>
      <w:r>
        <w:t>Week 11: Phased rollout (10% → 50% → 100%)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16. Success Metrics &amp; KPIs</w:t>
      </w:r>
    </w:p>
    <w:p>
      <w:r/>
      <w:r>
        <w:rPr>
          <w:b/>
        </w:rPr>
        <w:t>Launch Metrics:</w:t>
      </w:r>
      <w:r/>
    </w:p>
    <w:p>
      <w:pPr>
        <w:pStyle w:val="ListBullet"/>
        <w:ind w:left="360"/>
      </w:pPr>
      <w:r>
        <w:t>**Метрика 1:** Увеличение количества пользователей, активно использующих автоплатежи.</w:t>
      </w:r>
    </w:p>
    <w:p>
      <w:pPr>
        <w:pStyle w:val="ListBullet"/>
        <w:ind w:left="360"/>
      </w:pPr>
      <w:r>
        <w:t>**Метрика 2:** Снижение количества просроченных платежей.</w:t>
      </w:r>
    </w:p>
    <w:p>
      <w:r/>
      <w:r>
        <w:rPr>
          <w:b/>
        </w:rPr>
        <w:t>Post-Launch Tracking:</w:t>
      </w:r>
      <w:r/>
    </w:p>
    <w:p>
      <w:pPr>
        <w:pStyle w:val="ListBullet"/>
        <w:ind w:left="360"/>
      </w:pPr>
      <w:r>
        <w:t>Daily dashboard monitoring</w:t>
      </w:r>
    </w:p>
    <w:p>
      <w:pPr>
        <w:pStyle w:val="ListBullet"/>
        <w:ind w:left="360"/>
      </w:pPr>
      <w:r>
        <w:t>Weekly stakeholder reviews</w:t>
      </w:r>
    </w:p>
    <w:p>
      <w:pPr>
        <w:pStyle w:val="ListBullet"/>
        <w:ind w:left="360"/>
      </w:pPr>
      <w:r>
        <w:t>Monthly performance reports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17. Budget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529B"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color w:val="00529B"/>
                <w:sz w:val="20"/>
              </w:rPr>
              <w:t>Cost (тг)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5,000,000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1,000,000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Testing &amp; QA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**6,500,000**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CorporateHeading2"/>
      </w:pPr>
      <w:r>
        <w:t>18. Appendix</w:t>
      </w:r>
    </w:p>
    <w:p>
      <w:pPr>
        <w:pStyle w:val="CorporateHeading3"/>
      </w:pPr>
      <w:r>
        <w:t>A. Glossary</w:t>
      </w:r>
    </w:p>
    <w:p>
      <w:pPr>
        <w:pStyle w:val="ListBullet"/>
        <w:ind w:left="360"/>
      </w:pPr>
      <w:r>
        <w:t>**Автоплатеж:** Автоматически осуществляемый платеж.</w:t>
      </w:r>
    </w:p>
    <w:p>
      <w:pPr>
        <w:pStyle w:val="ListBullet"/>
        <w:ind w:left="360"/>
      </w:pPr>
      <w:r>
        <w:t>**Коммунальная Услуга:** Услуга, предоставляемая коммунальными предприятиями (электричество, вода, газ и т.д.).</w:t>
      </w:r>
    </w:p>
    <w:p>
      <w:pPr>
        <w:pStyle w:val="CorporateHeading3"/>
      </w:pPr>
      <w:r>
        <w:t>B. References</w:t>
      </w:r>
    </w:p>
    <w:p>
      <w:pPr>
        <w:pStyle w:val="ListBullet"/>
        <w:ind w:left="360"/>
      </w:pPr>
      <w:r>
        <w:t>[Документ 1]</w:t>
      </w:r>
    </w:p>
    <w:p>
      <w:pPr>
        <w:pStyle w:val="ListBullet"/>
        <w:ind w:left="360"/>
      </w:pPr>
      <w:r>
        <w:t>[Документ 2]</w:t>
      </w:r>
    </w:p>
    <w:p>
      <w:pPr>
        <w:pStyle w:val="CorporateHeading3"/>
      </w:pPr>
      <w:r>
        <w:t>C.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2025-11-27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BA Assistant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document</w:t>
            </w:r>
          </w:p>
        </w:tc>
      </w:tr>
    </w:tbl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i/>
          <w:color w:val="666666"/>
          <w:sz w:val="16"/>
        </w:rPr>
        <w:t>ForteBank JSC | Almaty, Kazakhstan</w:t>
        <w:br/>
        <w:t>Business Analysis Department</w:t>
        <w:br/>
        <w:t>Document generated: 27.11.2025 19:51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rateHeading1">
    <w:name w:val="Corporate Heading 1"/>
    <w:pPr>
      <w:spacing w:before="240" w:after="120"/>
    </w:pPr>
    <w:rPr>
      <w:rFonts w:ascii="Arial" w:hAnsi="Arial"/>
      <w:b/>
      <w:color w:val="00529B"/>
      <w:sz w:val="48"/>
    </w:rPr>
  </w:style>
  <w:style w:type="paragraph" w:customStyle="1" w:styleId="CorporateHeading2">
    <w:name w:val="Corporate Heading 2"/>
    <w:pPr>
      <w:spacing w:before="200" w:after="80"/>
    </w:pPr>
    <w:rPr>
      <w:rFonts w:ascii="Arial" w:hAnsi="Arial"/>
      <w:b/>
      <w:color w:val="222222"/>
      <w:sz w:val="36"/>
    </w:rPr>
  </w:style>
  <w:style w:type="paragraph" w:customStyle="1" w:styleId="CorporateHeading3">
    <w:name w:val="Corporate Heading 3"/>
    <w:pPr>
      <w:spacing w:before="160" w:after="60"/>
    </w:pPr>
    <w:rPr>
      <w:rFonts w:ascii="Arial" w:hAnsi="Arial"/>
      <w:b/>
      <w:color w:val="666666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