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02FFB" w14:textId="5742FE29" w:rsidR="00162311" w:rsidRPr="00D4435C" w:rsidRDefault="00CD58D0" w:rsidP="00811F5F">
      <w:pPr>
        <w:spacing w:after="0" w:line="240" w:lineRule="auto"/>
        <w:jc w:val="center"/>
        <w:rPr>
          <w:rFonts w:ascii="Neue Einstellung Medium" w:eastAsia="Times New Roman" w:hAnsi="Neue Einstellung Medium"/>
          <w:color w:val="7030A0"/>
          <w:kern w:val="0"/>
          <w:sz w:val="40"/>
          <w:szCs w:val="40"/>
          <w14:ligatures w14:val="none"/>
        </w:rPr>
      </w:pPr>
      <w:r w:rsidRPr="00D4435C">
        <w:rPr>
          <w:rFonts w:ascii="Neue Einstellung Medium" w:eastAsia="Times New Roman" w:hAnsi="Neue Einstellung Medium"/>
          <w:b/>
          <w:bCs/>
          <w:color w:val="7030A0"/>
          <w:kern w:val="0"/>
          <w:sz w:val="40"/>
          <w:szCs w:val="40"/>
          <w14:ligatures w14:val="none"/>
        </w:rPr>
        <w:t>[</w:t>
      </w:r>
      <w:r w:rsidR="002A5E41" w:rsidRPr="00D4435C">
        <w:rPr>
          <w:rFonts w:ascii="Neue Einstellung Medium" w:eastAsia="Times New Roman" w:hAnsi="Neue Einstellung Medium"/>
          <w:b/>
          <w:bCs/>
          <w:color w:val="7030A0"/>
          <w:kern w:val="0"/>
          <w:sz w:val="40"/>
          <w:szCs w:val="40"/>
          <w14:ligatures w14:val="none"/>
        </w:rPr>
        <w:t>PHÂN TÍCH C</w:t>
      </w:r>
      <w:r w:rsidR="002A5E41" w:rsidRPr="00D4435C">
        <w:rPr>
          <w:rFonts w:ascii="Neue Einstellung Medium" w:eastAsia="Times New Roman" w:hAnsi="Neue Einstellung Medium" w:cs="Cambria"/>
          <w:b/>
          <w:bCs/>
          <w:color w:val="7030A0"/>
          <w:kern w:val="0"/>
          <w:sz w:val="40"/>
          <w:szCs w:val="40"/>
          <w14:ligatures w14:val="none"/>
        </w:rPr>
        <w:t>Ổ</w:t>
      </w:r>
      <w:r w:rsidR="002A5E41" w:rsidRPr="00D4435C">
        <w:rPr>
          <w:rFonts w:ascii="Neue Einstellung Medium" w:eastAsia="Times New Roman" w:hAnsi="Neue Einstellung Medium"/>
          <w:b/>
          <w:bCs/>
          <w:color w:val="7030A0"/>
          <w:kern w:val="0"/>
          <w:sz w:val="40"/>
          <w:szCs w:val="40"/>
          <w14:ligatures w14:val="none"/>
        </w:rPr>
        <w:t xml:space="preserve"> PHI</w:t>
      </w:r>
      <w:r w:rsidR="002A5E41" w:rsidRPr="00D4435C">
        <w:rPr>
          <w:rFonts w:ascii="Neue Einstellung Medium" w:eastAsia="Times New Roman" w:hAnsi="Neue Einstellung Medium" w:cs="Cambria"/>
          <w:b/>
          <w:bCs/>
          <w:color w:val="7030A0"/>
          <w:kern w:val="0"/>
          <w:sz w:val="40"/>
          <w:szCs w:val="40"/>
          <w14:ligatures w14:val="none"/>
        </w:rPr>
        <w:t>Ế</w:t>
      </w:r>
      <w:r w:rsidR="002A5E41" w:rsidRPr="00D4435C">
        <w:rPr>
          <w:rFonts w:ascii="Neue Einstellung Medium" w:eastAsia="Times New Roman" w:hAnsi="Neue Einstellung Medium"/>
          <w:b/>
          <w:bCs/>
          <w:color w:val="7030A0"/>
          <w:kern w:val="0"/>
          <w:sz w:val="40"/>
          <w:szCs w:val="40"/>
          <w14:ligatures w14:val="none"/>
        </w:rPr>
        <w:t>U NGÀNH THÉP</w:t>
      </w:r>
      <w:r w:rsidRPr="00D4435C">
        <w:rPr>
          <w:rFonts w:ascii="Neue Einstellung Medium" w:eastAsia="Times New Roman" w:hAnsi="Neue Einstellung Medium"/>
          <w:b/>
          <w:bCs/>
          <w:color w:val="7030A0"/>
          <w:kern w:val="0"/>
          <w:sz w:val="40"/>
          <w:szCs w:val="40"/>
          <w14:ligatures w14:val="none"/>
        </w:rPr>
        <w:t>]</w:t>
      </w:r>
    </w:p>
    <w:p w14:paraId="46EFEBEF" w14:textId="77777777" w:rsidR="00811F5F" w:rsidRPr="00D4435C" w:rsidRDefault="00811F5F" w:rsidP="00811F5F">
      <w:pPr>
        <w:spacing w:after="0" w:line="240" w:lineRule="auto"/>
        <w:rPr>
          <w:rFonts w:ascii="Calibri Light" w:eastAsia="Times New Roman" w:hAnsi="Calibri Light" w:cs="Calibri Light"/>
          <w:b/>
          <w:bCs/>
          <w:color w:val="7030A0"/>
          <w:kern w:val="0"/>
          <w:sz w:val="24"/>
          <w:szCs w:val="24"/>
          <w14:ligatures w14:val="none"/>
        </w:rPr>
      </w:pPr>
    </w:p>
    <w:p w14:paraId="6C721806" w14:textId="4268BB8D" w:rsidR="00162311" w:rsidRPr="00D4435C" w:rsidRDefault="002A5E41" w:rsidP="00811F5F">
      <w:pPr>
        <w:spacing w:after="0" w:line="360" w:lineRule="auto"/>
        <w:rPr>
          <w:rFonts w:ascii="Neue Einstellung Light" w:eastAsia="Times New Roman" w:hAnsi="Neue Einstellung Light" w:cs="Calibri Light"/>
          <w:color w:val="7030A0"/>
          <w:kern w:val="0"/>
          <w:sz w:val="28"/>
          <w:szCs w:val="28"/>
          <w14:ligatures w14:val="none"/>
        </w:rPr>
      </w:pPr>
      <w:r w:rsidRPr="00D4435C">
        <w:rPr>
          <w:rFonts w:ascii="Neue Einstellung Light" w:eastAsia="Times New Roman" w:hAnsi="Neue Einstellung Light" w:cs="Calibri Light"/>
          <w:b/>
          <w:bCs/>
          <w:color w:val="7030A0"/>
          <w:kern w:val="0"/>
          <w:sz w:val="28"/>
          <w:szCs w:val="28"/>
          <w14:ligatures w14:val="none"/>
        </w:rPr>
        <w:t xml:space="preserve">Cổ phiếu tiềm năng: HPG HSG </w:t>
      </w:r>
    </w:p>
    <w:p w14:paraId="3DD92BD5" w14:textId="7758AAD7" w:rsidR="00E5384E" w:rsidRPr="00D4435C" w:rsidRDefault="00D4435C" w:rsidP="00811F5F">
      <w:pPr>
        <w:spacing w:after="0" w:line="360" w:lineRule="auto"/>
        <w:rPr>
          <w:rFonts w:ascii="Neue Einstellung Light" w:eastAsia="Times New Roman" w:hAnsi="Neue Einstellung Light"/>
          <w:b/>
          <w:bCs/>
          <w:color w:val="7030A0"/>
          <w:kern w:val="0"/>
          <w:sz w:val="28"/>
          <w:szCs w:val="28"/>
          <w14:ligatures w14:val="none"/>
        </w:rPr>
      </w:pPr>
      <w:r w:rsidRPr="00D4435C">
        <w:rPr>
          <w:rFonts w:ascii="Neue Einstellung Light" w:eastAsia="Times New Roman" w:hAnsi="Neue Einstellung Light"/>
          <w:b/>
          <w:bCs/>
          <w:color w:val="7030A0"/>
          <w:kern w:val="0"/>
          <w:sz w:val="28"/>
          <w:szCs w:val="28"/>
          <w14:ligatures w14:val="none"/>
        </w:rPr>
        <w:t>Tóm tắt xu hướng</w:t>
      </w:r>
      <w:r w:rsidR="002A5E41" w:rsidRPr="00D4435C">
        <w:rPr>
          <w:rFonts w:ascii="Neue Einstellung Light" w:eastAsia="Times New Roman" w:hAnsi="Neue Einstellung Light"/>
          <w:b/>
          <w:bCs/>
          <w:color w:val="7030A0"/>
          <w:kern w:val="0"/>
          <w:sz w:val="28"/>
          <w:szCs w:val="28"/>
          <w14:ligatures w14:val="none"/>
        </w:rPr>
        <w:t xml:space="preserve"> kỹ thuật</w:t>
      </w:r>
    </w:p>
    <w:p w14:paraId="5E6481B1" w14:textId="77777777" w:rsidR="00D4435C" w:rsidRPr="00D4435C" w:rsidRDefault="002A5E41" w:rsidP="00D4435C">
      <w:pPr>
        <w:spacing w:after="0" w:line="360" w:lineRule="auto"/>
        <w:ind w:firstLine="720"/>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kern w:val="0"/>
          <w:sz w:val="20"/>
          <w:szCs w:val="20"/>
          <w14:ligatures w14:val="none"/>
        </w:rPr>
        <w:t xml:space="preserve">Dựa trên biểu đồ giá, </w:t>
      </w:r>
      <w:r w:rsidR="00D4435C" w:rsidRPr="00D4435C">
        <w:rPr>
          <w:rFonts w:ascii="Neue Einstellung Light" w:eastAsia="Times New Roman" w:hAnsi="Neue Einstellung Light"/>
          <w:kern w:val="0"/>
          <w:sz w:val="20"/>
          <w:szCs w:val="20"/>
          <w14:ligatures w14:val="none"/>
        </w:rPr>
        <w:t>HPG, HSG và NKG vẫn tiếp tục duy trì trong xu hướng tăng dài hạn. Các đợt giảm giá gần đây đi kèm với thanh khoản thấp, cho thấy lực bán không mạnh và tiềm năng phục hồi. Đây có thể là cơ hội tốt để các nhà đầu tư mua thăm dò khi giá cổ phiếu tiếp cận các mức hỗ trợ trong kênh tăng giá dài hạn. Trong khi đó, cổ phiếu TLH vẫn trong giai đoạn đi ngang (sideways), dù có những phiên tăng giá mạnh với khối lượng giao dịch lớn nhưng chưa vượt qua được nền giá. Cổ phiếu TVN sau khi vượt nền và tăng 50% đã quay đầu giảm, điều này có thể gợi ý rằng mức giá đã đạt đến ngưỡng kháng cự mạnh, cần theo dõi thêm để đánh giá tiềm năng tăng trưởng tiếp theo.</w:t>
      </w:r>
      <w:r w:rsidR="00D4435C">
        <w:rPr>
          <w:rFonts w:ascii="Neue Einstellung Light" w:eastAsia="Times New Roman" w:hAnsi="Neue Einstellung Light"/>
          <w:kern w:val="0"/>
          <w:sz w:val="24"/>
          <w:szCs w:val="24"/>
          <w14:ligatures w14:val="none"/>
        </w:rPr>
        <w:br/>
      </w:r>
      <w:r w:rsidR="00D4435C">
        <w:rPr>
          <w:rFonts w:ascii="Neue Einstellung Light" w:eastAsia="Times New Roman" w:hAnsi="Neue Einstellung Light"/>
          <w:kern w:val="0"/>
          <w:sz w:val="24"/>
          <w:szCs w:val="24"/>
          <w14:ligatures w14:val="none"/>
        </w:rPr>
        <w:br/>
      </w:r>
      <w:r w:rsidR="00D4435C" w:rsidRPr="00D4435C">
        <w:rPr>
          <w:rFonts w:ascii="Neue Einstellung Light" w:eastAsia="Times New Roman" w:hAnsi="Neue Einstellung Light"/>
          <w:b/>
          <w:bCs/>
          <w:color w:val="7030A0"/>
          <w:kern w:val="0"/>
          <w:sz w:val="28"/>
          <w:szCs w:val="28"/>
          <w14:ligatures w14:val="none"/>
        </w:rPr>
        <w:t>Phân tích chỉ số tài chính</w:t>
      </w:r>
      <w:r w:rsidR="00D4435C">
        <w:rPr>
          <w:rFonts w:ascii="Neue Einstellung Light" w:eastAsia="Times New Roman" w:hAnsi="Neue Einstellung Light"/>
          <w:b/>
          <w:bCs/>
          <w:kern w:val="0"/>
          <w:sz w:val="24"/>
          <w:szCs w:val="24"/>
          <w14:ligatures w14:val="none"/>
        </w:rPr>
        <w:br/>
      </w:r>
      <w:r w:rsidR="00D4435C" w:rsidRPr="00D4435C">
        <w:rPr>
          <w:rFonts w:ascii="Neue Einstellung Light" w:eastAsia="Times New Roman" w:hAnsi="Neue Einstellung Light"/>
          <w:b/>
          <w:bCs/>
          <w:kern w:val="0"/>
          <w:sz w:val="20"/>
          <w:szCs w:val="20"/>
          <w14:ligatures w14:val="none"/>
        </w:rPr>
        <w:t>1. Khả năng hoạt động</w:t>
      </w:r>
    </w:p>
    <w:p w14:paraId="50D04EBF" w14:textId="7777777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TVN có chỉ số vòng quay hàng tồn kho cao nhất trong ngành, đạt 1.52, cho thấy khả năng tiêu thụ hàng tồn kho nhanh. HSG có vòng quay tổng tài sản cao nhất với 0.48, chỉ ra hiệu quả sử dụng tài sản của công ty. NKG dẫn đầu về vòng quay vốn chủ sở hữu với 0.96, tiếp theo là HSG với 0.84, cho thấy khả năng tạo ra lợi nhuận trên vốn chủ sở hữu của các công ty này.</w:t>
      </w:r>
    </w:p>
    <w:p w14:paraId="6269E15B" w14:textId="77777777" w:rsidR="00D4435C" w:rsidRPr="00D4435C" w:rsidRDefault="00D4435C" w:rsidP="00D4435C">
      <w:pPr>
        <w:spacing w:after="0" w:line="360" w:lineRule="auto"/>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b/>
          <w:bCs/>
          <w:kern w:val="0"/>
          <w:sz w:val="20"/>
          <w:szCs w:val="20"/>
          <w14:ligatures w14:val="none"/>
        </w:rPr>
        <w:t>2. Chỉ tiêu định giá</w:t>
      </w:r>
    </w:p>
    <w:p w14:paraId="12F75673" w14:textId="7777777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PE trung bình của ngành thép là 28.8, với HPG và HSG lần lượt có PE là 19 và 16, cho thấy định giá của HPG và HSG thấp hơn so với trung bình ngành, có thể là cơ hội đầu tư hấp dẫn. PB của HPG là 1.7, cao nhất trong ngành, so với mức trung bình là 1.4, cho thấy sự đánh giá cao của thị trường đối với giá trị sổ sách của HPG.</w:t>
      </w:r>
    </w:p>
    <w:p w14:paraId="35BC2CF4" w14:textId="77777777" w:rsidR="00D4435C" w:rsidRPr="00D4435C" w:rsidRDefault="00D4435C" w:rsidP="00D4435C">
      <w:pPr>
        <w:spacing w:after="0" w:line="360" w:lineRule="auto"/>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b/>
          <w:bCs/>
          <w:kern w:val="0"/>
          <w:sz w:val="20"/>
          <w:szCs w:val="20"/>
          <w14:ligatures w14:val="none"/>
        </w:rPr>
        <w:t>3. Khả năng quản lý</w:t>
      </w:r>
    </w:p>
    <w:p w14:paraId="0F1568CE" w14:textId="7777777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ROE của HSG và HPG lần lượt đạt 2.9% và 2.75%, cho thấy khả năng sinh lợi trên vốn chủ sở hữu của các công ty này là tốt nhất trong ngành. ROA của HPG đạt 1.75%, cao nhất trong ngành, tiếp theo là HSG với 1.67%.</w:t>
      </w:r>
    </w:p>
    <w:p w14:paraId="43626A59" w14:textId="77777777" w:rsidR="00D4435C" w:rsidRPr="00D4435C" w:rsidRDefault="00D4435C" w:rsidP="00D4435C">
      <w:pPr>
        <w:spacing w:after="0" w:line="360" w:lineRule="auto"/>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b/>
          <w:bCs/>
          <w:kern w:val="0"/>
          <w:sz w:val="20"/>
          <w:szCs w:val="20"/>
          <w14:ligatures w14:val="none"/>
        </w:rPr>
        <w:t>4. Tốc độ tăng trưởng</w:t>
      </w:r>
    </w:p>
    <w:p w14:paraId="3196A50F" w14:textId="48C4BCA1"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NKG dẫn đầu về tăng trưởng lợi nhuận sau thuế với 568.65%, cho thấy sự cải thiện mạnh mẽ trong hiệu suất kinh doanh. HSG cũng có mức tăng trưởng ấn tượng với 208.85%, trong khi TVN có mức giảm -510.45%.</w:t>
      </w:r>
    </w:p>
    <w:p w14:paraId="7B470A49" w14:textId="77777777" w:rsidR="00D4435C" w:rsidRPr="00D4435C" w:rsidRDefault="00D4435C" w:rsidP="00D4435C">
      <w:pPr>
        <w:spacing w:after="0" w:line="360" w:lineRule="auto"/>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b/>
          <w:bCs/>
          <w:kern w:val="0"/>
          <w:sz w:val="20"/>
          <w:szCs w:val="20"/>
          <w14:ligatures w14:val="none"/>
        </w:rPr>
        <w:t>5. Khả năng sinh lợi</w:t>
      </w:r>
    </w:p>
    <w:p w14:paraId="6F628A8D" w14:textId="0C03B470"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lastRenderedPageBreak/>
        <w:t>Tỷ suất EBIT của HPG là 13%, cao nhất trong ngành, cho thấy khả năng sinh lợi từ hoạt động kinh doanh chính của công ty. NKG và HSG đều có tỷ suất EBIT là 4%,</w:t>
      </w:r>
      <w:r w:rsidR="00063845">
        <w:rPr>
          <w:rFonts w:ascii="Neue Einstellung Light" w:eastAsia="Times New Roman" w:hAnsi="Neue Einstellung Light"/>
          <w:kern w:val="0"/>
          <w:sz w:val="20"/>
          <w:szCs w:val="20"/>
          <w14:ligatures w14:val="none"/>
        </w:rPr>
        <w:t xml:space="preserve"> một mức tích cực</w:t>
      </w:r>
      <w:r w:rsidRPr="00D4435C">
        <w:rPr>
          <w:rFonts w:ascii="Neue Einstellung Light" w:eastAsia="Times New Roman" w:hAnsi="Neue Einstellung Light"/>
          <w:kern w:val="0"/>
          <w:sz w:val="20"/>
          <w:szCs w:val="20"/>
          <w14:ligatures w14:val="none"/>
        </w:rPr>
        <w:t>. Tỷ suất lãi hoạt động kinh doanh của HPG đạt 9%, cao hơn hẳn so với NKG và HSG (đều là 4% và 3%).</w:t>
      </w:r>
    </w:p>
    <w:p w14:paraId="326A4320" w14:textId="77777777" w:rsidR="00D4435C" w:rsidRPr="00D4435C" w:rsidRDefault="00D4435C" w:rsidP="00D4435C">
      <w:pPr>
        <w:spacing w:after="0" w:line="360" w:lineRule="auto"/>
        <w:rPr>
          <w:rFonts w:ascii="Neue Einstellung Light" w:eastAsia="Times New Roman" w:hAnsi="Neue Einstellung Light"/>
          <w:b/>
          <w:bCs/>
          <w:kern w:val="0"/>
          <w:sz w:val="20"/>
          <w:szCs w:val="20"/>
          <w14:ligatures w14:val="none"/>
        </w:rPr>
      </w:pPr>
      <w:r w:rsidRPr="00D4435C">
        <w:rPr>
          <w:rFonts w:ascii="Neue Einstellung Light" w:eastAsia="Times New Roman" w:hAnsi="Neue Einstellung Light"/>
          <w:b/>
          <w:bCs/>
          <w:kern w:val="0"/>
          <w:sz w:val="20"/>
          <w:szCs w:val="20"/>
          <w14:ligatures w14:val="none"/>
        </w:rPr>
        <w:t>6. Khả năng thanh toán</w:t>
      </w:r>
    </w:p>
    <w:p w14:paraId="319DFEDD" w14:textId="5BB62A96"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 xml:space="preserve">TLH và HSG có chỉ số thanh toán hiện hành cao nhất (~1.5), thể hiện </w:t>
      </w:r>
      <w:r w:rsidR="00063845" w:rsidRPr="00063845">
        <w:rPr>
          <w:rFonts w:ascii="Neue Einstellung Light" w:eastAsia="Times New Roman" w:hAnsi="Neue Einstellung Light"/>
          <w:kern w:val="0"/>
          <w:sz w:val="20"/>
          <w:szCs w:val="20"/>
          <w14:ligatures w14:val="none"/>
        </w:rPr>
        <w:t>mức độ an toàn tài chính</w:t>
      </w:r>
      <w:r w:rsidR="00063845">
        <w:rPr>
          <w:rFonts w:ascii="Neue Einstellung Light" w:eastAsia="Times New Roman" w:hAnsi="Neue Einstellung Light"/>
          <w:kern w:val="0"/>
          <w:sz w:val="20"/>
          <w:szCs w:val="20"/>
          <w14:ligatures w14:val="none"/>
        </w:rPr>
        <w:t xml:space="preserve"> ổn của 2 DN</w:t>
      </w:r>
      <w:r w:rsidRPr="00D4435C">
        <w:rPr>
          <w:rFonts w:ascii="Neue Einstellung Light" w:eastAsia="Times New Roman" w:hAnsi="Neue Einstellung Light"/>
          <w:kern w:val="0"/>
          <w:sz w:val="20"/>
          <w:szCs w:val="20"/>
          <w14:ligatures w14:val="none"/>
        </w:rPr>
        <w:t>. HPG có chỉ số thanh toán nhanh cao nhất (0.65), cho thấy khả năng thanh toán nợ ngắn hạn mà không cần bán hàng tồn kho. Chỉ số thanh toán tức thời nhanh của HPG cũng dẫn đầu với 0.16, cho thấy tình trạng tài chính lành mạnh.</w:t>
      </w:r>
    </w:p>
    <w:p w14:paraId="7746693A" w14:textId="77777777" w:rsidR="00D4435C" w:rsidRDefault="00D4435C" w:rsidP="00D4435C">
      <w:pPr>
        <w:spacing w:after="0" w:line="360" w:lineRule="auto"/>
        <w:rPr>
          <w:rFonts w:ascii="Neue Einstellung Light" w:eastAsia="Times New Roman" w:hAnsi="Neue Einstellung Light"/>
          <w:b/>
          <w:bCs/>
          <w:kern w:val="0"/>
          <w:sz w:val="20"/>
          <w:szCs w:val="20"/>
          <w14:ligatures w14:val="none"/>
        </w:rPr>
      </w:pPr>
      <w:r>
        <w:rPr>
          <w:rFonts w:ascii="Neue Einstellung Light" w:eastAsia="Times New Roman" w:hAnsi="Neue Einstellung Light"/>
          <w:b/>
          <w:bCs/>
          <w:kern w:val="0"/>
          <w:sz w:val="20"/>
          <w:szCs w:val="20"/>
          <w14:ligatures w14:val="none"/>
        </w:rPr>
        <w:t xml:space="preserve">Kết luận: </w:t>
      </w:r>
    </w:p>
    <w:p w14:paraId="66D9DDCE" w14:textId="12CAEA6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Dựa trên các chỉ số kỹ thuật và tài chính</w:t>
      </w:r>
      <w:r w:rsidRPr="00D4435C">
        <w:rPr>
          <w:rFonts w:ascii="Neue Einstellung Light" w:eastAsia="Times New Roman" w:hAnsi="Neue Einstellung Light"/>
          <w:kern w:val="0"/>
          <w:sz w:val="20"/>
          <w:szCs w:val="20"/>
          <w14:ligatures w14:val="none"/>
        </w:rPr>
        <w:t>,</w:t>
      </w:r>
      <w:r w:rsidRPr="00D4435C">
        <w:rPr>
          <w:rFonts w:ascii="Neue Einstellung Light" w:eastAsia="Times New Roman" w:hAnsi="Neue Einstellung Light"/>
          <w:kern w:val="0"/>
          <w:sz w:val="20"/>
          <w:szCs w:val="20"/>
          <w14:ligatures w14:val="none"/>
        </w:rPr>
        <w:t xml:space="preserve"> HPG và HSG là những cổ phiếu tiềm năng cho quý 1/2024. HPG có tỷ suất EBIT và tỷ suất lãi hoạt động kinh doanh cao nhất trong ngành, cùng với khả năng quản lý tài chính hiệu quả và khả năng thanh khoản tốt. HSG nổi bật với khả năng quay vòng tài sản và vốn chủ sở hữu, cũng như tốc độ tăng trưởng lợi nhuận mạnh mẽ. Các yếu tố này làm cho HPG và HSG</w:t>
      </w:r>
      <w:r>
        <w:rPr>
          <w:rFonts w:ascii="Neue Einstellung Light" w:eastAsia="Times New Roman" w:hAnsi="Neue Einstellung Light"/>
          <w:kern w:val="0"/>
          <w:sz w:val="20"/>
          <w:szCs w:val="20"/>
          <w14:ligatures w14:val="none"/>
        </w:rPr>
        <w:t xml:space="preserve"> có tiềm năng</w:t>
      </w:r>
      <w:r w:rsidRPr="00D4435C">
        <w:rPr>
          <w:rFonts w:ascii="Neue Einstellung Light" w:eastAsia="Times New Roman" w:hAnsi="Neue Einstellung Light"/>
          <w:kern w:val="0"/>
          <w:sz w:val="20"/>
          <w:szCs w:val="20"/>
          <w14:ligatures w14:val="none"/>
        </w:rPr>
        <w:t xml:space="preserve"> trở thành các lựa chọn đầu tư hấp dẫn trong bối cảnh ngành thép hiện tại.</w:t>
      </w:r>
    </w:p>
    <w:p w14:paraId="2B23D0A7" w14:textId="7777777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p>
    <w:p w14:paraId="7C3C74E8" w14:textId="77777777"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br/>
      </w:r>
      <w:r w:rsidRPr="00D4435C">
        <w:rPr>
          <w:rFonts w:ascii="Neue Einstellung Light" w:eastAsia="Times New Roman" w:hAnsi="Neue Einstellung Light"/>
          <w:color w:val="FF0000"/>
          <w:kern w:val="0"/>
          <w:sz w:val="20"/>
          <w:szCs w:val="20"/>
          <w14:ligatures w14:val="none"/>
        </w:rPr>
        <w:t>Lưu ý</w:t>
      </w:r>
      <w:r w:rsidRPr="00D4435C">
        <w:rPr>
          <w:rFonts w:ascii="Neue Einstellung Light" w:eastAsia="Times New Roman" w:hAnsi="Neue Einstellung Light"/>
          <w:kern w:val="0"/>
          <w:sz w:val="20"/>
          <w:szCs w:val="20"/>
          <w14:ligatures w14:val="none"/>
        </w:rPr>
        <w:t xml:space="preserve">: </w:t>
      </w:r>
    </w:p>
    <w:p w14:paraId="75129932" w14:textId="139F08D1"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Báo cáo này chỉ nhằm mục đích cung cấp thông tin và không nên được xem như là lời khuyên đầu tư.</w:t>
      </w:r>
      <w:r w:rsidRPr="00D4435C">
        <w:rPr>
          <w:rFonts w:ascii="Neue Einstellung Light" w:eastAsia="Times New Roman" w:hAnsi="Neue Einstellung Light"/>
          <w:kern w:val="0"/>
          <w:sz w:val="20"/>
          <w:szCs w:val="20"/>
          <w14:ligatures w14:val="none"/>
        </w:rPr>
        <w:t xml:space="preserve"> Người đọc</w:t>
      </w:r>
      <w:r w:rsidRPr="00D4435C">
        <w:rPr>
          <w:rFonts w:ascii="Neue Einstellung Light" w:eastAsia="Times New Roman" w:hAnsi="Neue Einstellung Light"/>
          <w:kern w:val="0"/>
          <w:sz w:val="20"/>
          <w:szCs w:val="20"/>
          <w14:ligatures w14:val="none"/>
        </w:rPr>
        <w:t xml:space="preserve"> nên thận trọng và tự nghiên cứu kỹ lưỡng trước khi đưa ra quyết định đầu tư.</w:t>
      </w:r>
    </w:p>
    <w:p w14:paraId="136FC3D4" w14:textId="0A992BC1" w:rsidR="00D4435C" w:rsidRPr="00D4435C" w:rsidRDefault="00D4435C" w:rsidP="00D4435C">
      <w:pPr>
        <w:spacing w:after="0" w:line="360" w:lineRule="auto"/>
        <w:ind w:firstLine="720"/>
        <w:rPr>
          <w:rFonts w:ascii="Neue Einstellung Light" w:eastAsia="Times New Roman" w:hAnsi="Neue Einstellung Light"/>
          <w:kern w:val="0"/>
          <w:sz w:val="20"/>
          <w:szCs w:val="20"/>
          <w14:ligatures w14:val="none"/>
        </w:rPr>
      </w:pPr>
      <w:r w:rsidRPr="00D4435C">
        <w:rPr>
          <w:rFonts w:ascii="Neue Einstellung Light" w:eastAsia="Times New Roman" w:hAnsi="Neue Einstellung Light"/>
          <w:kern w:val="0"/>
          <w:sz w:val="20"/>
          <w:szCs w:val="20"/>
          <w14:ligatures w14:val="none"/>
        </w:rPr>
        <w:t>Ngoài các số liệu và chỉ số tài chính, việc đánh giá cổ phiếu và ngành công nghiệp cần có nhiều insight và câu chuyện nền tảng. Những yếu tố này bao gồm chiến lược phát triển của doanh nghiệp, tình hình cạnh tranh, xu hướng thị trường, và những yếu tố kinh tế vĩ mô khác. Các yếu tố này có thể không được phản ánh đầy đủ qua số liệu đơn thuần và đòi hỏi sự phân tích sâu sắc từ các chuyên gia và nhà đầu tư.</w:t>
      </w:r>
    </w:p>
    <w:sectPr w:rsidR="00D4435C" w:rsidRPr="00D4435C" w:rsidSect="006A767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ue Einstellung Medium">
    <w:panose1 w:val="01000000000000000000"/>
    <w:charset w:val="00"/>
    <w:family w:val="modern"/>
    <w:notTrueType/>
    <w:pitch w:val="variable"/>
    <w:sig w:usb0="2000000F" w:usb1="1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Neue Einstellung Light">
    <w:panose1 w:val="01000000000000000000"/>
    <w:charset w:val="00"/>
    <w:family w:val="modern"/>
    <w:notTrueType/>
    <w:pitch w:val="variable"/>
    <w:sig w:usb0="2000000F" w:usb1="1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836"/>
    <w:multiLevelType w:val="multilevel"/>
    <w:tmpl w:val="ECD2D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2686"/>
    <w:multiLevelType w:val="multilevel"/>
    <w:tmpl w:val="483A3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7430D"/>
    <w:multiLevelType w:val="multilevel"/>
    <w:tmpl w:val="FA3C9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938631">
    <w:abstractNumId w:val="2"/>
  </w:num>
  <w:num w:numId="2" w16cid:durableId="1926110402">
    <w:abstractNumId w:val="1"/>
  </w:num>
  <w:num w:numId="3" w16cid:durableId="142294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D"/>
    <w:rsid w:val="00063845"/>
    <w:rsid w:val="00085F0D"/>
    <w:rsid w:val="000F325B"/>
    <w:rsid w:val="00162311"/>
    <w:rsid w:val="001921AA"/>
    <w:rsid w:val="00195B39"/>
    <w:rsid w:val="002A5E41"/>
    <w:rsid w:val="003A5009"/>
    <w:rsid w:val="003B71B4"/>
    <w:rsid w:val="003E2691"/>
    <w:rsid w:val="00497BC7"/>
    <w:rsid w:val="00681B15"/>
    <w:rsid w:val="006A7679"/>
    <w:rsid w:val="0072168D"/>
    <w:rsid w:val="007764B2"/>
    <w:rsid w:val="00811F5F"/>
    <w:rsid w:val="00822981"/>
    <w:rsid w:val="00840C42"/>
    <w:rsid w:val="008F047B"/>
    <w:rsid w:val="009E15DB"/>
    <w:rsid w:val="00A027B0"/>
    <w:rsid w:val="00A8252B"/>
    <w:rsid w:val="00A8618F"/>
    <w:rsid w:val="00AE28E9"/>
    <w:rsid w:val="00CD58D0"/>
    <w:rsid w:val="00D4435C"/>
    <w:rsid w:val="00DA52A5"/>
    <w:rsid w:val="00E5384E"/>
    <w:rsid w:val="00F3448C"/>
    <w:rsid w:val="00F55931"/>
    <w:rsid w:val="00F8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B22C"/>
  <w15:chartTrackingRefBased/>
  <w15:docId w15:val="{955F4137-84A0-4737-AC4E-A3F41800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11"/>
  </w:style>
  <w:style w:type="paragraph" w:styleId="Heading1">
    <w:name w:val="heading 1"/>
    <w:basedOn w:val="Normal"/>
    <w:next w:val="Normal"/>
    <w:link w:val="Heading1Char"/>
    <w:uiPriority w:val="9"/>
    <w:qFormat/>
    <w:rsid w:val="00721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168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168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68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216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16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16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16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6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168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72168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2168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216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16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16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16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6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6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168D"/>
    <w:pPr>
      <w:spacing w:before="160"/>
      <w:jc w:val="center"/>
    </w:pPr>
    <w:rPr>
      <w:i/>
      <w:iCs/>
      <w:color w:val="404040" w:themeColor="text1" w:themeTint="BF"/>
    </w:rPr>
  </w:style>
  <w:style w:type="character" w:customStyle="1" w:styleId="QuoteChar">
    <w:name w:val="Quote Char"/>
    <w:basedOn w:val="DefaultParagraphFont"/>
    <w:link w:val="Quote"/>
    <w:uiPriority w:val="29"/>
    <w:rsid w:val="0072168D"/>
    <w:rPr>
      <w:i/>
      <w:iCs/>
      <w:color w:val="404040" w:themeColor="text1" w:themeTint="BF"/>
    </w:rPr>
  </w:style>
  <w:style w:type="paragraph" w:styleId="ListParagraph">
    <w:name w:val="List Paragraph"/>
    <w:basedOn w:val="Normal"/>
    <w:uiPriority w:val="34"/>
    <w:qFormat/>
    <w:rsid w:val="0072168D"/>
    <w:pPr>
      <w:ind w:left="720"/>
      <w:contextualSpacing/>
    </w:pPr>
  </w:style>
  <w:style w:type="character" w:styleId="IntenseEmphasis">
    <w:name w:val="Intense Emphasis"/>
    <w:basedOn w:val="DefaultParagraphFont"/>
    <w:uiPriority w:val="21"/>
    <w:qFormat/>
    <w:rsid w:val="0072168D"/>
    <w:rPr>
      <w:i/>
      <w:iCs/>
      <w:color w:val="2F5496" w:themeColor="accent1" w:themeShade="BF"/>
    </w:rPr>
  </w:style>
  <w:style w:type="paragraph" w:styleId="IntenseQuote">
    <w:name w:val="Intense Quote"/>
    <w:basedOn w:val="Normal"/>
    <w:next w:val="Normal"/>
    <w:link w:val="IntenseQuoteChar"/>
    <w:uiPriority w:val="30"/>
    <w:qFormat/>
    <w:rsid w:val="00721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68D"/>
    <w:rPr>
      <w:i/>
      <w:iCs/>
      <w:color w:val="2F5496" w:themeColor="accent1" w:themeShade="BF"/>
    </w:rPr>
  </w:style>
  <w:style w:type="character" w:styleId="IntenseReference">
    <w:name w:val="Intense Reference"/>
    <w:basedOn w:val="DefaultParagraphFont"/>
    <w:uiPriority w:val="32"/>
    <w:qFormat/>
    <w:rsid w:val="0072168D"/>
    <w:rPr>
      <w:b/>
      <w:bCs/>
      <w:smallCaps/>
      <w:color w:val="2F5496" w:themeColor="accent1" w:themeShade="BF"/>
      <w:spacing w:val="5"/>
    </w:rPr>
  </w:style>
  <w:style w:type="paragraph" w:styleId="NormalWeb">
    <w:name w:val="Normal (Web)"/>
    <w:basedOn w:val="Normal"/>
    <w:uiPriority w:val="99"/>
    <w:semiHidden/>
    <w:unhideWhenUsed/>
    <w:rsid w:val="00162311"/>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162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8804">
      <w:bodyDiv w:val="1"/>
      <w:marLeft w:val="0"/>
      <w:marRight w:val="0"/>
      <w:marTop w:val="0"/>
      <w:marBottom w:val="0"/>
      <w:divBdr>
        <w:top w:val="none" w:sz="0" w:space="0" w:color="auto"/>
        <w:left w:val="none" w:sz="0" w:space="0" w:color="auto"/>
        <w:bottom w:val="none" w:sz="0" w:space="0" w:color="auto"/>
        <w:right w:val="none" w:sz="0" w:space="0" w:color="auto"/>
      </w:divBdr>
    </w:div>
    <w:div w:id="720446341">
      <w:bodyDiv w:val="1"/>
      <w:marLeft w:val="0"/>
      <w:marRight w:val="0"/>
      <w:marTop w:val="0"/>
      <w:marBottom w:val="0"/>
      <w:divBdr>
        <w:top w:val="none" w:sz="0" w:space="0" w:color="auto"/>
        <w:left w:val="none" w:sz="0" w:space="0" w:color="auto"/>
        <w:bottom w:val="none" w:sz="0" w:space="0" w:color="auto"/>
        <w:right w:val="none" w:sz="0" w:space="0" w:color="auto"/>
      </w:divBdr>
    </w:div>
    <w:div w:id="1259173609">
      <w:bodyDiv w:val="1"/>
      <w:marLeft w:val="0"/>
      <w:marRight w:val="0"/>
      <w:marTop w:val="0"/>
      <w:marBottom w:val="0"/>
      <w:divBdr>
        <w:top w:val="none" w:sz="0" w:space="0" w:color="auto"/>
        <w:left w:val="none" w:sz="0" w:space="0" w:color="auto"/>
        <w:bottom w:val="none" w:sz="0" w:space="0" w:color="auto"/>
        <w:right w:val="none" w:sz="0" w:space="0" w:color="auto"/>
      </w:divBdr>
    </w:div>
    <w:div w:id="1688823332">
      <w:bodyDiv w:val="1"/>
      <w:marLeft w:val="0"/>
      <w:marRight w:val="0"/>
      <w:marTop w:val="0"/>
      <w:marBottom w:val="0"/>
      <w:divBdr>
        <w:top w:val="none" w:sz="0" w:space="0" w:color="auto"/>
        <w:left w:val="none" w:sz="0" w:space="0" w:color="auto"/>
        <w:bottom w:val="none" w:sz="0" w:space="0" w:color="auto"/>
        <w:right w:val="none" w:sz="0" w:space="0" w:color="auto"/>
      </w:divBdr>
    </w:div>
    <w:div w:id="206112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 Hồ Thị Minh</dc:creator>
  <cp:keywords/>
  <dc:description/>
  <cp:lastModifiedBy>Ngân - Hồ Thị Minh</cp:lastModifiedBy>
  <cp:revision>2</cp:revision>
  <dcterms:created xsi:type="dcterms:W3CDTF">2024-07-25T19:06:00Z</dcterms:created>
  <dcterms:modified xsi:type="dcterms:W3CDTF">2024-07-25T19:06:00Z</dcterms:modified>
</cp:coreProperties>
</file>