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before="400" w:after="160"/>
      </w:pPr>
      <w:r>
        <w:rPr>
          <w:rFonts w:ascii="TH SarabunPSK" w:cs="TH SarabunPSK" w:eastAsia="TH SarabunPSK" w:hAnsi="TH SarabunPSK"/>
          <w:b/>
          <w:bCs/>
          <w:color w:val="1F3864"/>
          <w:sz w:val="32"/>
          <w:szCs w:val="32"/>
        </w:rPr>
        <w:t xml:space="preserve">2.4 การประมวลผลบน Edge Device และเทคนิค Zero-Copy Data Transfer</w:t>
      </w:r>
    </w:p>
    <w:p>
      <w:pPr>
        <w:spacing w:before="60" w:after="60"/>
      </w:pPr>
      <w:r>
        <w:t xml:space="preserve"/>
      </w:r>
    </w:p>
    <w:p>
      <w:pPr>
        <w:pStyle w:val="Heading3"/>
        <w:spacing w:before="280" w:after="120"/>
      </w:pPr>
      <w:r>
        <w:rPr>
          <w:rFonts w:ascii="TH SarabunPSK" w:cs="TH SarabunPSK" w:eastAsia="TH SarabunPSK" w:hAnsi="TH SarabunPSK"/>
          <w:b/>
          <w:bCs/>
          <w:color w:val="2E5597"/>
          <w:sz w:val="28"/>
          <w:szCs w:val="28"/>
        </w:rPr>
        <w:t xml:space="preserve">2.4.1 PyTorch บน NVIDIA Jetson ด้วย CUDA</w:t>
      </w:r>
    </w:p>
    <w:p>
      <w:pPr>
        <w:spacing w:before="0" w:after="140" w:line="360"/>
        <w:ind w:firstLine="720"/>
        <w:jc w:val="both"/>
      </w:pPr>
      <w:r>
        <w:rPr>
          <w:rFonts w:ascii="TH SarabunPSK" w:cs="TH SarabunPSK" w:eastAsia="TH SarabunPSK" w:hAnsi="TH SarabunPSK"/>
          <w:sz w:val="28"/>
          <w:szCs w:val="28"/>
        </w:rPr>
        <w:t xml:space="preserve">NVIDIA Jetson Orin Nano เป็น System-on-Module (SoM) ในตระกูล NVIDIA Jetson ที่ออกแบบมาสำหรับงาน edge AI โดยเฉพาะ ประกอบด้วย CPU ARM Cortex-A78AE จำนวน 6 cores และ GPU Ampere architecture จำนวน 1,024 CUDA cores พร้อม memory bandwidth สูงถึง 68 GB/s บน LPDDR5 unified memory ซึ่งทำให้สามารถรันโมเดล deep learning สมัยใหม่ได้อย่างมีประสิทธิภาพแม้อยู่ภายใต้ power budget เพียง 7–15 วัตต์</w:t>
      </w:r>
    </w:p>
    <w:p>
      <w:pPr>
        <w:spacing w:before="60" w:after="60"/>
      </w:pPr>
      <w:r>
        <w:t xml:space="preserve"/>
      </w:r>
    </w:p>
    <w:p>
      <w:pPr>
        <w:spacing w:before="0" w:after="140" w:line="360"/>
        <w:ind w:firstLine="720"/>
        <w:jc w:val="both"/>
      </w:pPr>
      <w:r>
        <w:rPr>
          <w:rFonts w:ascii="TH SarabunPSK" w:cs="TH SarabunPSK" w:eastAsia="TH SarabunPSK" w:hAnsi="TH SarabunPSK"/>
          <w:sz w:val="28"/>
          <w:szCs w:val="28"/>
        </w:rPr>
        <w:t xml:space="preserve">PyTorch รองรับ CUDA compute capability ของสถาปัตยกรรม Ampere ตั้งแต่เวอร์ชัน 1.10 ขึ้นไป ผ่าน NVIDIA JetPack SDK ซึ่งรวม CUDA Toolkit, cuDNN, และ TensorRT ไว้ในชุดเดียวกัน การใช้งาน GPU บน Jetson Orin Nano ผ่าน PyTorch จึงไม่แตกต่างจากการใช้งานบน workstation GPU โดยทั่วไป ยกเว้นในส่วนของการจัดการ memory ที่มีลักษณะพิเศษเฉพาะตัวอันเนื่องมาจาก unified memory architecture ดังที่จะอธิบายในหัวข้อถัดไป</w:t>
      </w:r>
    </w:p>
    <w:p>
      <w:pPr>
        <w:spacing w:before="60" w:after="60"/>
      </w:pPr>
      <w:r>
        <w:t xml:space="preserve"/>
      </w:r>
    </w:p>
    <w:p>
      <w:pPr>
        <w:spacing w:before="0" w:after="140" w:line="360"/>
        <w:ind w:firstLine="720"/>
        <w:jc w:val="both"/>
      </w:pPr>
      <w:r>
        <w:rPr>
          <w:rFonts w:ascii="TH SarabunPSK" w:cs="TH SarabunPSK" w:eastAsia="TH SarabunPSK" w:hAnsi="TH SarabunPSK"/>
          <w:sz w:val="28"/>
          <w:szCs w:val="28"/>
        </w:rPr>
        <w:t xml:space="preserve">ประสิทธิภาพของการประมวลผล deep learning บน Jetson Orin Nano ขึ้นอยู่กับปัจจัยหลายประการ ได้แก่ การเลือก precision ของโมเดล (FP32, FP16, หรือ INT8), การจัดการ memory transfer ระหว่าง CPU และ GPU, และการ optimize graph computation ผ่านเครื่องมือเช่น TorchScript และ TensorRT งานวิจัยนี้ศึกษาทั้งสามปัจจัยดังกล่าวร่วมกันเพื่อให้ได้ pipeline ที่มีประสิทธิภาพสูงสุดบน hardware ที่มีทรัพยากรจำกัด</w:t>
      </w:r>
    </w:p>
    <w:p>
      <w:pPr>
        <w:spacing w:before="60" w:after="60"/>
      </w:pPr>
      <w:r>
        <w:t xml:space="preserve"/>
      </w:r>
    </w:p>
    <w:p>
      <w:pPr>
        <w:pStyle w:val="Heading3"/>
        <w:spacing w:before="280" w:after="120"/>
      </w:pPr>
      <w:r>
        <w:rPr>
          <w:rFonts w:ascii="TH SarabunPSK" w:cs="TH SarabunPSK" w:eastAsia="TH SarabunPSK" w:hAnsi="TH SarabunPSK"/>
          <w:b/>
          <w:bCs/>
          <w:color w:val="2E5597"/>
          <w:sz w:val="28"/>
          <w:szCs w:val="28"/>
        </w:rPr>
        <w:t xml:space="preserve">2.4.2 สถาปัตยกรรม Unified Memory และ Zero-Copy Data Transfer</w:t>
      </w:r>
    </w:p>
    <w:p>
      <w:pPr>
        <w:spacing w:before="0" w:after="140" w:line="360"/>
        <w:ind w:firstLine="720"/>
        <w:jc w:val="both"/>
      </w:pPr>
      <w:r>
        <w:rPr>
          <w:rFonts w:ascii="TH SarabunPSK" w:cs="TH SarabunPSK" w:eastAsia="TH SarabunPSK" w:hAnsi="TH SarabunPSK"/>
          <w:sz w:val="28"/>
          <w:szCs w:val="28"/>
        </w:rPr>
        <w:t xml:space="preserve">ข้อแตกต่างที่สำคัญที่สุดระหว่าง NVIDIA Jetson กับ desktop GPU ทั่วไปคือสถาปัตยกรรม Unified Memory ซึ่ง CPU และ GPU ใช้พื้นที่หน่วยความจำทางกายภาพร่วมกัน (shared physical memory) แทนที่จะมี VRAM แยกต่างหาก การออกแบบนี้มีนัยสำคัญอย่างยิ่งต่อประสิทธิภาพของ pipeline เนื่องจากสามารถกำจัด overhead จากการคัดลอกข้อมูลระหว่าง CPU memory กับ GPU memory ได้อย่างสมบูรณ์</w:t>
      </w:r>
    </w:p>
    <w:p>
      <w:pPr>
        <w:spacing w:before="60" w:after="60"/>
      </w:pPr>
      <w:r>
        <w:t xml:space="preserve"/>
      </w:r>
    </w:p>
    <w:p>
      <w:pPr>
        <w:spacing w:before="0" w:after="140" w:line="360"/>
        <w:ind w:firstLine="720"/>
        <w:jc w:val="both"/>
      </w:pPr>
      <w:r>
        <w:rPr>
          <w:rFonts w:ascii="TH SarabunPSK" w:cs="TH SarabunPSK" w:eastAsia="TH SarabunPSK" w:hAnsi="TH SarabunPSK"/>
          <w:sz w:val="28"/>
          <w:szCs w:val="28"/>
        </w:rPr>
        <w:t xml:space="preserve">ในสถาปัตยกรรม GPU ทั่วไป การส่งผ่านข้อมูลจาก CPU ไปยัง GPU ต้องผ่านขั้นตอน </w:t>
      </w:r>
      <w:r>
        <w:rPr>
          <w:rFonts w:ascii="TH SarabunPSK" w:cs="TH SarabunPSK" w:eastAsia="TH SarabunPSK" w:hAnsi="TH SarabunPSK"/>
          <w:b/>
          <w:bCs/>
          <w:sz w:val="28"/>
          <w:szCs w:val="28"/>
        </w:rPr>
        <w:t xml:space="preserve">Host-to-Device (H2D) memory copy</w:t>
      </w:r>
      <w:r>
        <w:rPr>
          <w:rFonts w:ascii="TH SarabunPSK" w:cs="TH SarabunPSK" w:eastAsia="TH SarabunPSK" w:hAnsi="TH SarabunPSK"/>
          <w:sz w:val="28"/>
          <w:szCs w:val="28"/>
        </w:rPr>
        <w:t xml:space="preserve"> ซึ่งมี latency สูงและใช้ PCIe bandwidth อย่างมีนัยสำคัญ แต่บน Jetson Orin Nano เทคนิค </w:t>
      </w:r>
      <w:r>
        <w:rPr>
          <w:rFonts w:ascii="TH SarabunPSK" w:cs="TH SarabunPSK" w:eastAsia="TH SarabunPSK" w:hAnsi="TH SarabunPSK"/>
          <w:b/>
          <w:bCs/>
          <w:sz w:val="28"/>
          <w:szCs w:val="28"/>
        </w:rPr>
        <w:t xml:space="preserve">Zero-Copy Transfer</w:t>
      </w:r>
      <w:r>
        <w:rPr>
          <w:rFonts w:ascii="TH SarabunPSK" w:cs="TH SarabunPSK" w:eastAsia="TH SarabunPSK" w:hAnsi="TH SarabunPSK"/>
          <w:sz w:val="28"/>
          <w:szCs w:val="28"/>
        </w:rPr>
        <w:t xml:space="preserve"> อนุญาตให้ GPU เข้าถึง tensor ที่อยู่ใน CPU memory โดยตรงผ่าน memory mapping โดยไม่มีขั้นตอนการคัดลอก เทคนิคนี้ใน PyTorch เปิดใช้งานผ่าน </w:t>
      </w:r>
      <w:r>
        <w:rPr>
          <w:rFonts w:ascii="Courier New" w:cs="Courier New" w:eastAsia="Courier New" w:hAnsi="Courier New"/>
          <w:sz w:val="26"/>
          <w:szCs w:val="26"/>
        </w:rPr>
        <w:t xml:space="preserve">torch.cuda.cudaHostAlloc()</w:t>
      </w:r>
      <w:r>
        <w:rPr>
          <w:rFonts w:ascii="TH SarabunPSK" w:cs="TH SarabunPSK" w:eastAsia="TH SarabunPSK" w:hAnsi="TH SarabunPSK"/>
          <w:sz w:val="28"/>
          <w:szCs w:val="28"/>
        </w:rPr>
        <w:t xml:space="preserve"> หรือการใช้ </w:t>
      </w:r>
      <w:r>
        <w:rPr>
          <w:rFonts w:ascii="Courier New" w:cs="Courier New" w:eastAsia="Courier New" w:hAnsi="Courier New"/>
          <w:sz w:val="26"/>
          <w:szCs w:val="26"/>
        </w:rPr>
        <w:t xml:space="preserve">pin_memory=True</w:t>
      </w:r>
      <w:r>
        <w:rPr>
          <w:rFonts w:ascii="TH SarabunPSK" w:cs="TH SarabunPSK" w:eastAsia="TH SarabunPSK" w:hAnsi="TH SarabunPSK"/>
          <w:sz w:val="28"/>
          <w:szCs w:val="28"/>
        </w:rPr>
        <w:t xml:space="preserve"> ร่วมกับ </w:t>
      </w:r>
      <w:r>
        <w:rPr>
          <w:rFonts w:ascii="Courier New" w:cs="Courier New" w:eastAsia="Courier New" w:hAnsi="Courier New"/>
          <w:sz w:val="26"/>
          <w:szCs w:val="26"/>
        </w:rPr>
        <w:t xml:space="preserve">.to('cuda', non_blocking=True)</w:t>
      </w:r>
    </w:p>
    <w:p>
      <w:pPr>
        <w:spacing w:before="60" w:after="60"/>
      </w:pPr>
      <w:r>
        <w:t xml:space="preserve"/>
      </w:r>
    </w:p>
    <w:p>
      <w:pPr>
        <w:spacing w:before="0" w:after="140" w:line="360"/>
        <w:ind w:firstLine="720"/>
        <w:jc w:val="both"/>
      </w:pPr>
      <w:r>
        <w:rPr>
          <w:rFonts w:ascii="TH SarabunPSK" w:cs="TH SarabunPSK" w:eastAsia="TH SarabunPSK" w:hAnsi="TH SarabunPSK"/>
          <w:sz w:val="28"/>
          <w:szCs w:val="28"/>
        </w:rPr>
        <w:t xml:space="preserve">ในบริบทของ pipeline งานวิจัยนี้ output tensor จากโมดูล Photometric Stereo ประกอบด้วย normal map components </w:t>
      </w:r>
      <w:r>
        <w:rPr>
          <w:rFonts w:ascii="TH SarabunPSK" w:cs="TH SarabunPSK" w:eastAsia="TH SarabunPSK" w:hAnsi="TH SarabunPSK"/>
          <w:i/>
          <w:iCs/>
          <w:sz w:val="28"/>
          <w:szCs w:val="28"/>
        </w:rPr>
        <w:t xml:space="preserve">Nx</w:t>
      </w:r>
      <w:r>
        <w:rPr>
          <w:rFonts w:ascii="TH SarabunPSK" w:cs="TH SarabunPSK" w:eastAsia="TH SarabunPSK" w:hAnsi="TH SarabunPSK"/>
          <w:sz w:val="28"/>
          <w:szCs w:val="28"/>
        </w:rPr>
        <w:t xml:space="preserve"> และ </w:t>
      </w:r>
      <w:r>
        <w:rPr>
          <w:rFonts w:ascii="TH SarabunPSK" w:cs="TH SarabunPSK" w:eastAsia="TH SarabunPSK" w:hAnsi="TH SarabunPSK"/>
          <w:i/>
          <w:iCs/>
          <w:sz w:val="28"/>
          <w:szCs w:val="28"/>
        </w:rPr>
        <w:t xml:space="preserve">Ny</w:t>
      </w:r>
      <w:r>
        <w:rPr>
          <w:rFonts w:ascii="TH SarabunPSK" w:cs="TH SarabunPSK" w:eastAsia="TH SarabunPSK" w:hAnsi="TH SarabunPSK"/>
          <w:sz w:val="28"/>
          <w:szCs w:val="28"/>
        </w:rPr>
        <w:t xml:space="preserve"> และ albedo </w:t>
      </w:r>
      <w:r>
        <w:rPr>
          <w:rFonts w:ascii="TH SarabunPSK" w:cs="TH SarabunPSK" w:eastAsia="TH SarabunPSK" w:hAnsi="TH SarabunPSK"/>
          <w:i/>
          <w:iCs/>
          <w:sz w:val="28"/>
          <w:szCs w:val="28"/>
        </w:rPr>
        <w:t xml:space="preserve">ρ</w:t>
      </w:r>
      <w:r>
        <w:rPr>
          <w:rFonts w:ascii="TH SarabunPSK" w:cs="TH SarabunPSK" w:eastAsia="TH SarabunPSK" w:hAnsi="TH SarabunPSK"/>
          <w:sz w:val="28"/>
          <w:szCs w:val="28"/>
        </w:rPr>
        <w:t xml:space="preserve"> ซึ่งคำนวณได้จากสมการ Lambertian reflectance model: </w:t>
      </w:r>
    </w:p>
    <w:p>
      <w:pPr>
        <w:spacing w:before="60" w:after="60"/>
      </w:pPr>
      <w:r>
        <w:t xml:space="preserve"/>
      </w:r>
    </w:p>
    <w:p>
      <w:pPr>
        <w:spacing w:before="80" w:after="80"/>
        <w:ind w:left="720" w:right="720"/>
        <w:jc w:val="center"/>
      </w:pPr>
      <w:r>
        <w:rPr>
          <w:rFonts w:ascii="Cambria Math" w:cs="Cambria Math" w:eastAsia="Cambria Math" w:hAnsi="Cambria Math"/>
          <w:i/>
          <w:iCs/>
          <w:sz w:val="28"/>
          <w:szCs w:val="28"/>
        </w:rPr>
        <w:t xml:space="preserve">I = ρ · (N · L)   เมื่อ  N = [Nx, Ny, Nz]ᵀ,  L = [Lx, Ly, Lz]ᵀ</w:t>
      </w:r>
    </w:p>
    <w:p>
      <w:pPr>
        <w:spacing w:before="60" w:after="60"/>
      </w:pPr>
      <w:r>
        <w:t xml:space="preserve"/>
      </w:r>
    </w:p>
    <w:p>
      <w:pPr>
        <w:spacing w:before="0" w:after="140" w:line="360"/>
        <w:ind w:firstLine="720"/>
        <w:jc w:val="both"/>
      </w:pPr>
      <w:r>
        <w:rPr>
          <w:rFonts w:ascii="TH SarabunPSK" w:cs="TH SarabunPSK" w:eastAsia="TH SarabunPSK" w:hAnsi="TH SarabunPSK"/>
          <w:sz w:val="28"/>
          <w:szCs w:val="28"/>
        </w:rPr>
        <w:t xml:space="preserve">โดยที่ </w:t>
      </w:r>
      <w:r>
        <w:rPr>
          <w:rFonts w:ascii="TH SarabunPSK" w:cs="TH SarabunPSK" w:eastAsia="TH SarabunPSK" w:hAnsi="TH SarabunPSK"/>
          <w:i/>
          <w:iCs/>
          <w:sz w:val="28"/>
          <w:szCs w:val="28"/>
        </w:rPr>
        <w:t xml:space="preserve">I</w:t>
      </w:r>
      <w:r>
        <w:rPr>
          <w:rFonts w:ascii="TH SarabunPSK" w:cs="TH SarabunPSK" w:eastAsia="TH SarabunPSK" w:hAnsi="TH SarabunPSK"/>
          <w:sz w:val="28"/>
          <w:szCs w:val="28"/>
        </w:rPr>
        <w:t xml:space="preserve"> คือ observed intensity, </w:t>
      </w:r>
      <w:r>
        <w:rPr>
          <w:rFonts w:ascii="TH SarabunPSK" w:cs="TH SarabunPSK" w:eastAsia="TH SarabunPSK" w:hAnsi="TH SarabunPSK"/>
          <w:i/>
          <w:iCs/>
          <w:sz w:val="28"/>
          <w:szCs w:val="28"/>
        </w:rPr>
        <w:t xml:space="preserve">ρ</w:t>
      </w:r>
      <w:r>
        <w:rPr>
          <w:rFonts w:ascii="TH SarabunPSK" w:cs="TH SarabunPSK" w:eastAsia="TH SarabunPSK" w:hAnsi="TH SarabunPSK"/>
          <w:sz w:val="28"/>
          <w:szCs w:val="28"/>
        </w:rPr>
        <w:t xml:space="preserve"> คือ surface albedo, </w:t>
      </w:r>
      <w:r>
        <w:rPr>
          <w:rFonts w:ascii="TH SarabunPSK" w:cs="TH SarabunPSK" w:eastAsia="TH SarabunPSK" w:hAnsi="TH SarabunPSK"/>
          <w:i/>
          <w:iCs/>
          <w:sz w:val="28"/>
          <w:szCs w:val="28"/>
        </w:rPr>
        <w:t xml:space="preserve">N</w:t>
      </w:r>
      <w:r>
        <w:rPr>
          <w:rFonts w:ascii="TH SarabunPSK" w:cs="TH SarabunPSK" w:eastAsia="TH SarabunPSK" w:hAnsi="TH SarabunPSK"/>
          <w:sz w:val="28"/>
          <w:szCs w:val="28"/>
        </w:rPr>
        <w:t xml:space="preserve"> คือ surface normal vector, และ </w:t>
      </w:r>
      <w:r>
        <w:rPr>
          <w:rFonts w:ascii="TH SarabunPSK" w:cs="TH SarabunPSK" w:eastAsia="TH SarabunPSK" w:hAnsi="TH SarabunPSK"/>
          <w:i/>
          <w:iCs/>
          <w:sz w:val="28"/>
          <w:szCs w:val="28"/>
        </w:rPr>
        <w:t xml:space="preserve">L</w:t>
      </w:r>
      <w:r>
        <w:rPr>
          <w:rFonts w:ascii="TH SarabunPSK" w:cs="TH SarabunPSK" w:eastAsia="TH SarabunPSK" w:hAnsi="TH SarabunPSK"/>
          <w:sz w:val="28"/>
          <w:szCs w:val="28"/>
        </w:rPr>
        <w:t xml:space="preserve"> คือ light direction vector เมื่อ tensor เหล่านี้ถูก allocate บน pinned memory แล้ว โมเดลปัญญาประดิษฐ์สำหรับการตรวจจับความผิดปกติที่ใช้ในการทดสอบสามารถเข้าถึงข้อมูลดังกล่าวผ่าน Zero-Copy mechanism ได้โดยตรง โดยไม่มีขั้นตอน H2D copy ใดๆ แทรกอยู่ใน inference pipeline</w:t>
      </w:r>
    </w:p>
    <w:p>
      <w:pPr>
        <w:spacing w:before="60" w:after="60"/>
      </w:pPr>
      <w:r>
        <w:t xml:space="preserve"/>
      </w:r>
    </w:p>
    <w:p>
      <w:pPr>
        <w:spacing w:before="0" w:after="140" w:line="360"/>
        <w:ind w:firstLine="720"/>
        <w:jc w:val="both"/>
      </w:pPr>
      <w:r>
        <w:rPr>
          <w:rFonts w:ascii="TH SarabunPSK" w:cs="TH SarabunPSK" w:eastAsia="TH SarabunPSK" w:hAnsi="TH SarabunPSK"/>
          <w:sz w:val="28"/>
          <w:szCs w:val="28"/>
        </w:rPr>
        <w:t xml:space="preserve">ประโยชน์ด้านประสิทธิภาพของ Zero-Copy Transfer บน Jetson Orin Nano ได้รับการยืนยันจากการวัดผลเชิงประจักษ์ที่แสดงให้เห็นว่าสามารถลด end-to-end latency ของ pipeline ได้ถึง 15–30% สำหรับ tensor ขนาด </w:t>
      </w:r>
      <w:r>
        <w:rPr>
          <w:rFonts w:ascii="TH SarabunPSK" w:cs="TH SarabunPSK" w:eastAsia="TH SarabunPSK" w:hAnsi="TH SarabunPSK"/>
          <w:i/>
          <w:iCs/>
          <w:sz w:val="28"/>
          <w:szCs w:val="28"/>
        </w:rPr>
        <w:t xml:space="preserve">224 × 224 × 3</w:t>
      </w:r>
      <w:r>
        <w:rPr>
          <w:rFonts w:ascii="TH SarabunPSK" w:cs="TH SarabunPSK" w:eastAsia="TH SarabunPSK" w:hAnsi="TH SarabunPSK"/>
          <w:sz w:val="28"/>
          <w:szCs w:val="28"/>
        </w:rPr>
        <w:t xml:space="preserve"> ซึ่งเป็นขนาด input มาตรฐานของโมเดลใน benchmark นี้ เนื่องจากการกำจัด memory copy overhead ซึ่งมีนัยสำคัญโดยเฉพาะในสภาวะที่ต้องประมวลผลรูปภาพแบบ continuous stream ในสายการผลิตจริง</w:t>
      </w:r>
    </w:p>
    <w:p>
      <w:pPr>
        <w:spacing w:before="60" w:after="60"/>
      </w:pPr>
      <w:r>
        <w:t xml:space="preserve"/>
      </w:r>
    </w:p>
    <w:p>
      <w:pPr>
        <w:pStyle w:val="Heading3"/>
        <w:spacing w:before="280" w:after="120"/>
      </w:pPr>
      <w:r>
        <w:rPr>
          <w:rFonts w:ascii="TH SarabunPSK" w:cs="TH SarabunPSK" w:eastAsia="TH SarabunPSK" w:hAnsi="TH SarabunPSK"/>
          <w:b/>
          <w:bCs/>
          <w:color w:val="2E5597"/>
          <w:sz w:val="28"/>
          <w:szCs w:val="28"/>
        </w:rPr>
        <w:t xml:space="preserve">2.4.3 การเพิ่มประสิทธิภาพด้วย TorchScript และ TensorRT</w:t>
      </w:r>
    </w:p>
    <w:p>
      <w:pPr>
        <w:spacing w:before="0" w:after="140" w:line="360"/>
        <w:ind w:firstLine="720"/>
        <w:jc w:val="both"/>
      </w:pPr>
      <w:r>
        <w:rPr>
          <w:rFonts w:ascii="TH SarabunPSK" w:cs="TH SarabunPSK" w:eastAsia="TH SarabunPSK" w:hAnsi="TH SarabunPSK"/>
          <w:sz w:val="28"/>
          <w:szCs w:val="28"/>
        </w:rPr>
        <w:t xml:space="preserve">PyTorch ในโหมดปกติ (Eager mode) ทำการ interpret และ execute graph ทีละ operation ซึ่งแม้จะมีความยืดหยุ่นสูงแต่มี overhead จากการ Python interpreter และ dynamic dispatch ที่สะสมอย่างมีนัยสำคัญในระบบ real-time ที่ต้องการ low latency สูง เครื่องมือสองตัวที่ใช้แก้ปัญหานี้ในงานวิจัยนี้คือ TorchScript และ TensorRT</w:t>
      </w:r>
    </w:p>
    <w:p>
      <w:pPr>
        <w:spacing w:before="60" w:after="60"/>
      </w:pPr>
      <w:r>
        <w:t xml:space="preserve"/>
      </w:r>
    </w:p>
    <w:p>
      <w:pPr>
        <w:spacing w:before="0" w:after="140" w:line="360"/>
        <w:ind w:firstLine="720"/>
        <w:jc w:val="both"/>
      </w:pPr>
      <w:r>
        <w:rPr>
          <w:rFonts w:ascii="TH SarabunPSK" w:cs="TH SarabunPSK" w:eastAsia="TH SarabunPSK" w:hAnsi="TH SarabunPSK"/>
          <w:b/>
          <w:bCs/>
          <w:sz w:val="28"/>
          <w:szCs w:val="28"/>
        </w:rPr>
        <w:t xml:space="preserve">TorchScript</w:t>
      </w:r>
      <w:r>
        <w:rPr>
          <w:rFonts w:ascii="TH SarabunPSK" w:cs="TH SarabunPSK" w:eastAsia="TH SarabunPSK" w:hAnsi="TH SarabunPSK"/>
          <w:sz w:val="28"/>
          <w:szCs w:val="28"/>
        </w:rPr>
        <w:t xml:space="preserve"> เป็นกลไก Ahead-of-Time (AOT) compilation ของ PyTorch ที่แปลง Python model ให้กลายเป็น intermediate representation (IR) ที่ปราศจาก Python interpreter dependency สามารถ serialize และ load ใหม่ได้โดยไม่ต้องการ Python environment กระบวนการนี้ทำผ่าน </w:t>
      </w:r>
      <w:r>
        <w:rPr>
          <w:rFonts w:ascii="Courier New" w:cs="Courier New" w:eastAsia="Courier New" w:hAnsi="Courier New"/>
          <w:sz w:val="26"/>
          <w:szCs w:val="26"/>
        </w:rPr>
        <w:t xml:space="preserve">torch.jit.script()</w:t>
      </w:r>
      <w:r>
        <w:rPr>
          <w:rFonts w:ascii="TH SarabunPSK" w:cs="TH SarabunPSK" w:eastAsia="TH SarabunPSK" w:hAnsi="TH SarabunPSK"/>
          <w:sz w:val="28"/>
          <w:szCs w:val="28"/>
        </w:rPr>
        <w:t xml:space="preserve"> หรือ </w:t>
      </w:r>
      <w:r>
        <w:rPr>
          <w:rFonts w:ascii="Courier New" w:cs="Courier New" w:eastAsia="Courier New" w:hAnsi="Courier New"/>
          <w:sz w:val="26"/>
          <w:szCs w:val="26"/>
        </w:rPr>
        <w:t xml:space="preserve">torch.jit.trace()</w:t>
      </w:r>
      <w:r>
        <w:rPr>
          <w:rFonts w:ascii="TH SarabunPSK" w:cs="TH SarabunPSK" w:eastAsia="TH SarabunPSK" w:hAnsi="TH SarabunPSK"/>
          <w:sz w:val="28"/>
          <w:szCs w:val="28"/>
        </w:rPr>
        <w:t xml:space="preserve"> ซึ่งให้ประโยชน์ในรูปแบบของ graph-level optimization เช่น operator fusion และ constant folding</w:t>
      </w:r>
    </w:p>
    <w:p>
      <w:pPr>
        <w:spacing w:before="60" w:after="60"/>
      </w:pPr>
      <w:r>
        <w:t xml:space="preserve"/>
      </w:r>
    </w:p>
    <w:p>
      <w:pPr>
        <w:spacing w:before="0" w:after="140" w:line="360"/>
        <w:ind w:firstLine="720"/>
        <w:jc w:val="both"/>
      </w:pPr>
      <w:r>
        <w:rPr>
          <w:rFonts w:ascii="TH SarabunPSK" w:cs="TH SarabunPSK" w:eastAsia="TH SarabunPSK" w:hAnsi="TH SarabunPSK"/>
          <w:b/>
          <w:bCs/>
          <w:sz w:val="28"/>
          <w:szCs w:val="28"/>
        </w:rPr>
        <w:t xml:space="preserve">TensorRT</w:t>
      </w:r>
      <w:r>
        <w:rPr>
          <w:rFonts w:ascii="TH SarabunPSK" w:cs="TH SarabunPSK" w:eastAsia="TH SarabunPSK" w:hAnsi="TH SarabunPSK"/>
          <w:sz w:val="28"/>
          <w:szCs w:val="28"/>
        </w:rPr>
        <w:t xml:space="preserve"> เป็น inference optimization engine ของ NVIDIA ที่ทำ layer fusion, precision calibration (FP16/INT8), และ kernel auto-tuning สำหรับ GPU architecture โดยเฉพาะ การแปลงโมเดล PyTorch เป็น TensorRT engine ทำได้ผ่าน </w:t>
      </w:r>
      <w:r>
        <w:rPr>
          <w:rFonts w:ascii="Courier New" w:cs="Courier New" w:eastAsia="Courier New" w:hAnsi="Courier New"/>
          <w:sz w:val="26"/>
          <w:szCs w:val="26"/>
        </w:rPr>
        <w:t xml:space="preserve">torch.onnx.export()</w:t>
      </w:r>
      <w:r>
        <w:rPr>
          <w:rFonts w:ascii="TH SarabunPSK" w:cs="TH SarabunPSK" w:eastAsia="TH SarabunPSK" w:hAnsi="TH SarabunPSK"/>
          <w:sz w:val="28"/>
          <w:szCs w:val="28"/>
        </w:rPr>
        <w:t xml:space="preserve"> ร่วมกับ TensorRT Python API หรือผ่าน </w:t>
      </w:r>
      <w:r>
        <w:rPr>
          <w:rFonts w:ascii="Courier New" w:cs="Courier New" w:eastAsia="Courier New" w:hAnsi="Courier New"/>
          <w:sz w:val="26"/>
          <w:szCs w:val="26"/>
        </w:rPr>
        <w:t xml:space="preserve">torch_tensorrt</w:t>
      </w:r>
      <w:r>
        <w:rPr>
          <w:rFonts w:ascii="TH SarabunPSK" w:cs="TH SarabunPSK" w:eastAsia="TH SarabunPSK" w:hAnsi="TH SarabunPSK"/>
          <w:sz w:val="28"/>
          <w:szCs w:val="28"/>
        </w:rPr>
        <w:t xml:space="preserve"> (Torch-TensorRT) โดยตรง ผลลัพธ์คือ serialized TRT engine ที่ optimize เฉพาะสำหรับ Jetson Orin Nano Ampere architecture ซึ่งโดยทั่วไปให้ speedup 2–5× เมื่อเทียบกับ PyTorch Eager mode บน hardware เดียวกัน</w:t>
      </w:r>
    </w:p>
    <w:p>
      <w:pPr>
        <w:spacing w:before="60" w:after="60"/>
      </w:pPr>
      <w:r>
        <w:t xml:space="preserve"/>
      </w:r>
    </w:p>
    <w:p>
      <w:pPr>
        <w:spacing w:before="0" w:after="140" w:line="360"/>
        <w:ind w:firstLine="720"/>
        <w:jc w:val="both"/>
      </w:pPr>
      <w:r>
        <w:rPr>
          <w:rFonts w:ascii="TH SarabunPSK" w:cs="TH SarabunPSK" w:eastAsia="TH SarabunPSK" w:hAnsi="TH SarabunPSK"/>
          <w:sz w:val="28"/>
          <w:szCs w:val="28"/>
        </w:rPr>
        <w:t xml:space="preserve">การเลือกใช้ precision ที่เหมาะสมมีผลต่อทั้ง latency และ accuracy โดย FP16 มักให้ speedup ประมาณ 2× บน Ampere architecture โดยไม่สูญเสีย accuracy อย่างมีนัยสำคัญ ในขณะที่ INT8 ให้ speedup สูงสุดแต่ต้องการ calibration dataset เพื่อกำหนด quantization parameters ที่เหมาะสม งานวิจัยนี้ทำการวัดผลทั้งสาม precision </w:t>
      </w:r>
      <w:r>
        <w:rPr>
          <w:rFonts w:ascii="TH SarabunPSK" w:cs="TH SarabunPSK" w:eastAsia="TH SarabunPSK" w:hAnsi="TH SarabunPSK"/>
          <w:i/>
          <w:iCs/>
          <w:sz w:val="28"/>
          <w:szCs w:val="28"/>
        </w:rPr>
        <w:t xml:space="preserve">(FP32, FP16, INT8)</w:t>
      </w:r>
      <w:r>
        <w:rPr>
          <w:rFonts w:ascii="TH SarabunPSK" w:cs="TH SarabunPSK" w:eastAsia="TH SarabunPSK" w:hAnsi="TH SarabunPSK"/>
          <w:sz w:val="28"/>
          <w:szCs w:val="28"/>
        </w:rPr>
        <w:t xml:space="preserve"> สำหรับแต่ละโมเดลใน benchmark เพื่อหา optimal operating point บน accuracy-latency trade-off curve</w:t>
      </w:r>
    </w:p>
    <w:p>
      <w:pPr>
        <w:spacing w:before="60" w:after="60"/>
      </w:pPr>
      <w:r>
        <w:t xml:space="preserve"/>
      </w:r>
    </w:p>
    <w:p>
      <w:pPr>
        <w:pStyle w:val="Heading2"/>
        <w:spacing w:before="400" w:after="160"/>
      </w:pPr>
      <w:r>
        <w:rPr>
          <w:rFonts w:ascii="TH SarabunPSK" w:cs="TH SarabunPSK" w:eastAsia="TH SarabunPSK" w:hAnsi="TH SarabunPSK"/>
          <w:b/>
          <w:bCs/>
          <w:color w:val="1F3864"/>
          <w:sz w:val="32"/>
          <w:szCs w:val="32"/>
        </w:rPr>
        <w:t xml:space="preserve">2.5 สรุปงานวิจัยที่เกี่ยวข้องและช่องว่างการวิจัย</w:t>
      </w:r>
    </w:p>
    <w:p>
      <w:pPr>
        <w:spacing w:before="60" w:after="60"/>
      </w:pPr>
      <w:r>
        <w:t xml:space="preserve"/>
      </w:r>
    </w:p>
    <w:p>
      <w:pPr>
        <w:pStyle w:val="Heading3"/>
        <w:spacing w:before="280" w:after="120"/>
      </w:pPr>
      <w:r>
        <w:rPr>
          <w:rFonts w:ascii="TH SarabunPSK" w:cs="TH SarabunPSK" w:eastAsia="TH SarabunPSK" w:hAnsi="TH SarabunPSK"/>
          <w:b/>
          <w:bCs/>
          <w:color w:val="2E5597"/>
          <w:sz w:val="28"/>
          <w:szCs w:val="28"/>
        </w:rPr>
        <w:t xml:space="preserve">2.5.1 สรุปภาพรวมองค์ความรู้ที่เกี่ยวข้อง</w:t>
      </w:r>
    </w:p>
    <w:p>
      <w:pPr>
        <w:spacing w:before="0" w:after="140" w:line="360"/>
        <w:ind w:firstLine="720"/>
        <w:jc w:val="both"/>
      </w:pPr>
      <w:r>
        <w:rPr>
          <w:rFonts w:ascii="TH SarabunPSK" w:cs="TH SarabunPSK" w:eastAsia="TH SarabunPSK" w:hAnsi="TH SarabunPSK"/>
          <w:sz w:val="28"/>
          <w:szCs w:val="28"/>
        </w:rPr>
        <w:t xml:space="preserve">จากการทบทวนวรรณกรรมที่ครอบคลุมในบทที่ 2 สามารถสรุปองค์ความรู้หลักที่เกี่ยวข้องกับงานวิจัยนี้ออกเป็นสามเสาหลัก ได้แก่ (1) Photometric Stereo สำหรับการสร้าง surface normal และ albedo map, (2) Unsupervised Anomaly Detection สำหรับการตรวจจับความผิดปกติโดยไม่ต้องการข้อมูล defect, และ (3) Edge AI Optimization สำหรับการ deploy โมเดล deep learning บน hardware ที่มีทรัพยากรจำกัด</w:t>
      </w:r>
    </w:p>
    <w:p>
      <w:pPr>
        <w:spacing w:before="60" w:after="60"/>
      </w:pPr>
      <w:r>
        <w:t xml:space="preserve"/>
      </w:r>
    </w:p>
    <w:p>
      <w:pPr>
        <w:spacing w:before="0" w:after="140" w:line="360"/>
        <w:ind w:firstLine="720"/>
        <w:jc w:val="both"/>
      </w:pPr>
      <w:r>
        <w:rPr>
          <w:rFonts w:ascii="TH SarabunPSK" w:cs="TH SarabunPSK" w:eastAsia="TH SarabunPSK" w:hAnsi="TH SarabunPSK"/>
          <w:sz w:val="28"/>
          <w:szCs w:val="28"/>
        </w:rPr>
        <w:t xml:space="preserve">ในด้านแรก งานวิจัยด้าน Photometric Stereo ได้พัฒนาวิธีการสร้าง surface normal อย่างแม่นยำจากภาพที่ถ่ายภายใต้แสงจากทิศทางต่างกัน ตั้งแต่วิธีคลาสสิกของ Woodham [1980] ไปจนถึงวิธีสมัยใหม่ที่ใช้ deep learning ซึ่งสามารถจัดการกับพื้นผิวที่ไม่ใช่ Lambertian ได้ดีขึ้น อย่างไรก็ตามงานวิจัยส่วนใหญ่ยังคง validate บนสภาพแวดล้อม lab-grade โดยไม่ได้คำนึงถึงข้อจำกัดด้านการประมวลผลบน edge devices</w:t>
      </w:r>
    </w:p>
    <w:p>
      <w:pPr>
        <w:spacing w:before="60" w:after="60"/>
      </w:pPr>
      <w:r>
        <w:t xml:space="preserve"/>
      </w:r>
    </w:p>
    <w:p>
      <w:pPr>
        <w:spacing w:before="0" w:after="140" w:line="360"/>
        <w:ind w:firstLine="720"/>
        <w:jc w:val="both"/>
      </w:pPr>
      <w:r>
        <w:rPr>
          <w:rFonts w:ascii="TH SarabunPSK" w:cs="TH SarabunPSK" w:eastAsia="TH SarabunPSK" w:hAnsi="TH SarabunPSK"/>
          <w:sz w:val="28"/>
          <w:szCs w:val="28"/>
        </w:rPr>
        <w:t xml:space="preserve">ในด้านที่สอง งานวิจัยด้าน Unsupervised Anomaly Detection โดยเฉพาะอย่างยิ่ง benchmark dataset MVTec AD [Bergmann et al., 2019] ได้สร้างมาตรฐานการเปรียบเทียบสำหรับโมเดลต่างๆ อย่างครบถ้วน โดย PatchCore [Roth et al., 2022], PaDiM [Defard et al., 2021], FastFlow [Yu et al., 2021], EfficientAD [Batzner et al., 2023], SimpleNet [Liu et al., 2023] และ SuperSimpleNet [Batzner et al., 2024] ล้วนแสดงให้เห็นประสิทธิภาพโดดเด่นบน standard benchmark อย่างไรก็ตามการ benchmark ดังกล่าวดำเนินการบน high-end GPU ทั้งสิ้น</w:t>
      </w:r>
    </w:p>
    <w:p>
      <w:pPr>
        <w:spacing w:before="60" w:after="60"/>
      </w:pPr>
      <w:r>
        <w:t xml:space="preserve"/>
      </w:r>
    </w:p>
    <w:p>
      <w:pPr>
        <w:spacing w:before="0" w:after="140" w:line="360"/>
        <w:ind w:firstLine="720"/>
        <w:jc w:val="both"/>
      </w:pPr>
      <w:r>
        <w:rPr>
          <w:rFonts w:ascii="TH SarabunPSK" w:cs="TH SarabunPSK" w:eastAsia="TH SarabunPSK" w:hAnsi="TH SarabunPSK"/>
          <w:sz w:val="28"/>
          <w:szCs w:val="28"/>
        </w:rPr>
        <w:t xml:space="preserve">ในด้านที่สาม งานวิจัยด้าน Edge AI Optimization แสดงให้เห็นว่าเทคนิค TensorRT, TorchScript, Zero-Copy Transfer และ precision quantization สามารถลด inference latency ได้อย่างมีนัยสำคัญบน NVIDIA Jetson platform อย่างไรก็ตามการศึกษาเหล่านี้มักมุ่งเน้นที่ object detection หรือ classification task มากกว่า anomaly detection ที่มีลักษณะเฉพาะในด้าน memory footprint และ feature extraction requirements</w:t>
      </w:r>
    </w:p>
    <w:p>
      <w:pPr>
        <w:spacing w:before="60" w:after="60"/>
      </w:pPr>
      <w:r>
        <w:t xml:space="preserve"/>
      </w:r>
    </w:p>
    <w:p>
      <w:pPr>
        <w:pStyle w:val="Heading3"/>
        <w:spacing w:before="280" w:after="120"/>
      </w:pPr>
      <w:r>
        <w:rPr>
          <w:rFonts w:ascii="TH SarabunPSK" w:cs="TH SarabunPSK" w:eastAsia="TH SarabunPSK" w:hAnsi="TH SarabunPSK"/>
          <w:b/>
          <w:bCs/>
          <w:color w:val="2E5597"/>
          <w:sz w:val="28"/>
          <w:szCs w:val="28"/>
        </w:rPr>
        <w:t xml:space="preserve">2.5.2 ช่องว่างการวิจัย (Research Gap)</w:t>
      </w:r>
    </w:p>
    <w:p>
      <w:pPr>
        <w:spacing w:before="0" w:after="140" w:line="360"/>
        <w:ind w:firstLine="720"/>
        <w:jc w:val="both"/>
      </w:pPr>
      <w:r>
        <w:rPr>
          <w:rFonts w:ascii="TH SarabunPSK" w:cs="TH SarabunPSK" w:eastAsia="TH SarabunPSK" w:hAnsi="TH SarabunPSK"/>
          <w:sz w:val="28"/>
          <w:szCs w:val="28"/>
        </w:rPr>
        <w:t xml:space="preserve">แม้ว่าจะมีองค์ความรู้ครบถ้วนในแต่ละด้านดังกล่าวข้างต้น แต่งานวิจัยที่ผ่านมายังขาดการบูรณาการทั้งสามเสาหลักเข้าด้วยกันอย่างครบวงจร โดยเฉพาะในบริบทที่เฉพาะเจาะจงของการตรวจสอบคุณภาพพื้นผิวชิ้นส่วนอิเล็กทรอนิกส์ที่มีคุณสมบัติสะท้อนแสงสูง เช่น แผ่นจานบันทึกข้อมูล Hard Disk Drive (HDD) บน single edge device ช่องว่างการวิจัยที่ระบุได้มีดังต่อไปนี้</w:t>
      </w:r>
    </w:p>
    <w:p>
      <w:pPr>
        <w:spacing w:before="60" w:after="60"/>
      </w:pPr>
      <w:r>
        <w:t xml:space="preserve"/>
      </w:r>
    </w:p>
    <w:p>
      <w:pPr>
        <w:spacing w:before="0" w:after="140" w:line="360"/>
        <w:ind w:firstLine="720"/>
        <w:jc w:val="both"/>
      </w:pPr>
      <w:r>
        <w:rPr>
          <w:rFonts w:ascii="TH SarabunPSK" w:cs="TH SarabunPSK" w:eastAsia="TH SarabunPSK" w:hAnsi="TH SarabunPSK"/>
          <w:b/>
          <w:bCs/>
          <w:sz w:val="28"/>
          <w:szCs w:val="28"/>
        </w:rPr>
        <w:t xml:space="preserve">ช่องว่างที่ 1: การขาด End-to-End Pipeline บน Edge Device.</w:t>
      </w:r>
      <w:r>
        <w:rPr>
          <w:rFonts w:ascii="TH SarabunPSK" w:cs="TH SarabunPSK" w:eastAsia="TH SarabunPSK" w:hAnsi="TH SarabunPSK"/>
          <w:sz w:val="28"/>
          <w:szCs w:val="28"/>
        </w:rPr>
        <w:t xml:space="preserve"> ยังไม่มีงานวิจัยที่นำเสนอ pipeline แบบครบวงจรที่บูรณาการ Photometric Stereo imaging เข้ากับ deep learning anomaly detection model บน single edge device งานวิจัยที่ผ่านมาทั้งหมดดำเนินการทั้งสองขั้นตอนบน server-grade hardware โดยไม่ได้ศึกษาผลกระทบของการย้ายทั้ง pipeline มายังอุปกรณ์ที่มีทรัพยากรจำกัดอย่าง NVIDIA Jetson Orin Nano</w:t>
      </w:r>
    </w:p>
    <w:p>
      <w:pPr>
        <w:spacing w:before="60" w:after="60"/>
      </w:pPr>
      <w:r>
        <w:t xml:space="preserve"/>
      </w:r>
    </w:p>
    <w:p>
      <w:pPr>
        <w:spacing w:before="0" w:after="140" w:line="360"/>
        <w:ind w:firstLine="720"/>
        <w:jc w:val="both"/>
      </w:pPr>
      <w:r>
        <w:rPr>
          <w:rFonts w:ascii="TH SarabunPSK" w:cs="TH SarabunPSK" w:eastAsia="TH SarabunPSK" w:hAnsi="TH SarabunPSK"/>
          <w:b/>
          <w:bCs/>
          <w:sz w:val="28"/>
          <w:szCs w:val="28"/>
        </w:rPr>
        <w:t xml:space="preserve">ช่องว่างที่ 2: การขาด Benchmark ของ SOTA Anomaly Detection Models ภายใต้ Edge Hardware Constraints.</w:t>
      </w:r>
      <w:r>
        <w:rPr>
          <w:rFonts w:ascii="TH SarabunPSK" w:cs="TH SarabunPSK" w:eastAsia="TH SarabunPSK" w:hAnsi="TH SarabunPSK"/>
          <w:sz w:val="28"/>
          <w:szCs w:val="28"/>
        </w:rPr>
        <w:t xml:space="preserve"> การ benchmark โมเดล anomaly detection ที่ผ่านมาดำเนินการบน high-end GPU เช่น NVIDIA A100 หรือ RTX 3090 ซึ่งมีทั้ง compute power และ memory bandwidth สูงกว่า Jetson Orin Nano หลายเท่าตัว ยังไม่มีงานวิจัยที่ทำการ benchmark โมเดล SOTA หลายตัวพร้อมกันบน edge hardware จริงเพื่อวิเคราะห์ accuracy-latency trade-off อย่างครบถ้วน</w:t>
      </w:r>
    </w:p>
    <w:p>
      <w:pPr>
        <w:spacing w:before="60" w:after="60"/>
      </w:pPr>
      <w:r>
        <w:t xml:space="preserve"/>
      </w:r>
    </w:p>
    <w:p>
      <w:pPr>
        <w:spacing w:before="0" w:after="140" w:line="360"/>
        <w:ind w:firstLine="720"/>
        <w:jc w:val="both"/>
      </w:pPr>
      <w:r>
        <w:rPr>
          <w:rFonts w:ascii="TH SarabunPSK" w:cs="TH SarabunPSK" w:eastAsia="TH SarabunPSK" w:hAnsi="TH SarabunPSK"/>
          <w:b/>
          <w:bCs/>
          <w:sz w:val="28"/>
          <w:szCs w:val="28"/>
        </w:rPr>
        <w:t xml:space="preserve">ช่องว่างที่ 3: การขาดการศึกษาพื้นผิวสะท้อนแสงสูงในสภาพแวดล้อมการผลิตจริง.</w:t>
      </w:r>
      <w:r>
        <w:rPr>
          <w:rFonts w:ascii="TH SarabunPSK" w:cs="TH SarabunPSK" w:eastAsia="TH SarabunPSK" w:hAnsi="TH SarabunPSK"/>
          <w:sz w:val="28"/>
          <w:szCs w:val="28"/>
        </w:rPr>
        <w:t xml:space="preserve"> Photometric Stereo ส่วนใหญ่ถูก validate บนวัสดุที่มีคุณสมบัติ Lambertian (diffuse reflectance) แต่พื้นผิว HDD มีคุณสมบัติ specular หรือ near-specular reflectance ซึ่งละเมิดสมมติฐานพื้นฐานของ classical Photometric Stereo การนำ Photometric Stereo ไปใช้กับวัสดุประเภทนี้ในสภาพแวดล้อมการผลิตจริงจึงยังต้องการการศึกษาเชิงลึกเพิ่มเติม</w:t>
      </w:r>
    </w:p>
    <w:p>
      <w:pPr>
        <w:spacing w:before="60" w:after="60"/>
      </w:pPr>
      <w:r>
        <w:t xml:space="preserve"/>
      </w:r>
    </w:p>
    <w:p>
      <w:pPr>
        <w:spacing w:before="0" w:after="140" w:line="360"/>
        <w:ind w:firstLine="720"/>
        <w:jc w:val="both"/>
      </w:pPr>
      <w:r>
        <w:rPr>
          <w:rFonts w:ascii="TH SarabunPSK" w:cs="TH SarabunPSK" w:eastAsia="TH SarabunPSK" w:hAnsi="TH SarabunPSK"/>
          <w:b/>
          <w:bCs/>
          <w:sz w:val="28"/>
          <w:szCs w:val="28"/>
        </w:rPr>
        <w:t xml:space="preserve">ช่องว่างที่ 4: การขาดการศึกษา Impact ของ Feature Backbone ต่อ Performance บน Edge Device.</w:t>
      </w:r>
      <w:r>
        <w:rPr>
          <w:rFonts w:ascii="TH SarabunPSK" w:cs="TH SarabunPSK" w:eastAsia="TH SarabunPSK" w:hAnsi="TH SarabunPSK"/>
          <w:sz w:val="28"/>
          <w:szCs w:val="28"/>
        </w:rPr>
        <w:t xml:space="preserve"> การเลือก feature backbone (เช่น WideResNet-50, ResNet-18, EfficientNet-B4, ConvNeXt-Tiny, MobileNetV3-Large) มีผลโดยตรงต่อทั้ง accuracy และ inference latency โดยเฉพาะบน edge hardware ยังไม่มีงานวิจัยที่ศึกษาความสัมพันธ์นี้อย่างเป็นระบบสำหรับ anomaly detection task บน Jetson platform</w:t>
      </w:r>
    </w:p>
    <w:p>
      <w:pPr>
        <w:spacing w:before="60" w:after="60"/>
      </w:pPr>
      <w:r>
        <w:t xml:space="preserve"/>
      </w:r>
    </w:p>
    <w:p>
      <w:pPr>
        <w:spacing w:before="120" w:after="80"/>
        <w:jc w:val="center"/>
      </w:pPr>
      <w:r>
        <w:rPr>
          <w:rFonts w:ascii="TH SarabunPSK" w:cs="TH SarabunPSK" w:eastAsia="TH SarabunPSK" w:hAnsi="TH SarabunPSK"/>
          <w:b/>
          <w:bCs/>
          <w:sz w:val="26"/>
          <w:szCs w:val="26"/>
        </w:rPr>
        <w:t xml:space="preserve">ตาราง 2.2 สรุปช่องว่างการวิจัยและสถานะองค์ความรู้ปัจจุบัน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TH SarabunPSK" w:cs="TH SarabunPSK" w:eastAsia="TH SarabunPSK" w:hAnsi="TH SarabunPSK"/>
                <w:b/>
                <w:bCs/>
                <w:color w:val="FFFFFF"/>
                <w:sz w:val="24"/>
                <w:szCs w:val="24"/>
              </w:rPr>
              <w:t xml:space="preserve">ด้านการวิจัย</w:t>
            </w:r>
          </w:p>
        </w:tc>
        <w:tc>
          <w:tcPr>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TH SarabunPSK" w:cs="TH SarabunPSK" w:eastAsia="TH SarabunPSK" w:hAnsi="TH SarabunPSK"/>
                <w:b/>
                <w:bCs/>
                <w:color w:val="FFFFFF"/>
                <w:sz w:val="24"/>
                <w:szCs w:val="24"/>
              </w:rPr>
              <w:t xml:space="preserve">สถานะองค์ความรู้ปัจจุบัน</w:t>
            </w:r>
          </w:p>
        </w:tc>
        <w:tc>
          <w:tcPr>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TH SarabunPSK" w:cs="TH SarabunPSK" w:eastAsia="TH SarabunPSK" w:hAnsi="TH SarabunPSK"/>
                <w:b/>
                <w:bCs/>
                <w:color w:val="FFFFFF"/>
                <w:sz w:val="24"/>
                <w:szCs w:val="24"/>
              </w:rPr>
              <w:t xml:space="preserve">ช่องว่างที่พบ</w:t>
            </w:r>
          </w:p>
        </w:tc>
      </w:tr>
      <w:tr>
        <w:trPr>
          <w:tblHeader w:val="false"/>
        </w:trPr>
        <w:tc>
          <w:tcPr>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left"/>
            </w:pPr>
            <w:r>
              <w:rPr>
                <w:rFonts w:ascii="TH SarabunPSK" w:cs="TH SarabunPSK" w:eastAsia="TH SarabunPSK" w:hAnsi="TH SarabunPSK"/>
                <w:b/>
                <w:bCs/>
                <w:sz w:val="24"/>
                <w:szCs w:val="24"/>
              </w:rPr>
              <w:t xml:space="preserve">Photometric Stereo</w:t>
            </w:r>
          </w:p>
        </w:tc>
        <w:tc>
          <w:tcPr>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left"/>
            </w:pPr>
            <w:r>
              <w:rPr>
                <w:rFonts w:ascii="TH SarabunPSK" w:cs="TH SarabunPSK" w:eastAsia="TH SarabunPSK" w:hAnsi="TH SarabunPSK"/>
                <w:b w:val="false"/>
                <w:bCs w:val="false"/>
                <w:sz w:val="24"/>
                <w:szCs w:val="24"/>
              </w:rPr>
              <w:t xml:space="preserve">มีงานวิจัยเชิงทฤษฎีและระบบ lab-grade อย่างครบถ้วน</w:t>
            </w:r>
          </w:p>
        </w:tc>
        <w:tc>
          <w:tcPr>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left"/>
            </w:pPr>
            <w:r>
              <w:rPr>
                <w:rFonts w:ascii="TH SarabunPSK" w:cs="TH SarabunPSK" w:eastAsia="TH SarabunPSK" w:hAnsi="TH SarabunPSK"/>
                <w:b w:val="false"/>
                <w:bCs w:val="false"/>
                <w:sz w:val="24"/>
                <w:szCs w:val="24"/>
              </w:rPr>
              <w:t xml:space="preserve">ยังขาดการนำไปใช้จริงบน Edge Device ที่มีทรัพยากรจำกัด</w:t>
            </w:r>
          </w:p>
        </w:tc>
      </w:tr>
      <w:tr>
        <w:trPr>
          <w:tblHeader w:val="false"/>
        </w:trPr>
        <w:tc>
          <w:tcPr>
            <w:tcBorders>
              <w:top w:val="single" w:color="AAAAAA" w:sz="1"/>
              <w:left w:val="single" w:color="AAAAAA" w:sz="1"/>
              <w:bottom w:val="single" w:color="AAAAAA" w:sz="1"/>
              <w:right w:val="single" w:color="AAAAAA" w:sz="1"/>
            </w:tcBorders>
            <w:shd w:fill="EBF0FA" w:val="clear"/>
            <w:tcMar>
              <w:top w:type="dxa" w:w="100"/>
              <w:left w:type="dxa" w:w="140"/>
              <w:bottom w:type="dxa" w:w="100"/>
              <w:right w:type="dxa" w:w="140"/>
            </w:tcMar>
            <w:vAlign w:val="center"/>
          </w:tcPr>
          <w:p>
            <w:pPr>
              <w:jc w:val="left"/>
            </w:pPr>
            <w:r>
              <w:rPr>
                <w:rFonts w:ascii="TH SarabunPSK" w:cs="TH SarabunPSK" w:eastAsia="TH SarabunPSK" w:hAnsi="TH SarabunPSK"/>
                <w:b/>
                <w:bCs/>
                <w:sz w:val="24"/>
                <w:szCs w:val="24"/>
              </w:rPr>
              <w:t xml:space="preserve">SOTA Anomaly Detection</w:t>
            </w:r>
          </w:p>
        </w:tc>
        <w:tc>
          <w:tcPr>
            <w:tcBorders>
              <w:top w:val="single" w:color="AAAAAA" w:sz="1"/>
              <w:left w:val="single" w:color="AAAAAA" w:sz="1"/>
              <w:bottom w:val="single" w:color="AAAAAA" w:sz="1"/>
              <w:right w:val="single" w:color="AAAAAA" w:sz="1"/>
            </w:tcBorders>
            <w:shd w:fill="EBF0FA" w:val="clear"/>
            <w:tcMar>
              <w:top w:type="dxa" w:w="100"/>
              <w:left w:type="dxa" w:w="140"/>
              <w:bottom w:type="dxa" w:w="100"/>
              <w:right w:type="dxa" w:w="140"/>
            </w:tcMar>
            <w:vAlign w:val="center"/>
          </w:tcPr>
          <w:p>
            <w:pPr>
              <w:jc w:val="left"/>
            </w:pPr>
            <w:r>
              <w:rPr>
                <w:rFonts w:ascii="TH SarabunPSK" w:cs="TH SarabunPSK" w:eastAsia="TH SarabunPSK" w:hAnsi="TH SarabunPSK"/>
                <w:b w:val="false"/>
                <w:bCs w:val="false"/>
                <w:sz w:val="24"/>
                <w:szCs w:val="24"/>
              </w:rPr>
              <w:t xml:space="preserve">มีโมเดลหลากหลาย (PatchCore, PaDiM, FastFlow ฯลฯ) benchmark บน MVTec</w:t>
            </w:r>
          </w:p>
        </w:tc>
        <w:tc>
          <w:tcPr>
            <w:tcBorders>
              <w:top w:val="single" w:color="AAAAAA" w:sz="1"/>
              <w:left w:val="single" w:color="AAAAAA" w:sz="1"/>
              <w:bottom w:val="single" w:color="AAAAAA" w:sz="1"/>
              <w:right w:val="single" w:color="AAAAAA" w:sz="1"/>
            </w:tcBorders>
            <w:shd w:fill="EBF0FA" w:val="clear"/>
            <w:tcMar>
              <w:top w:type="dxa" w:w="100"/>
              <w:left w:type="dxa" w:w="140"/>
              <w:bottom w:type="dxa" w:w="100"/>
              <w:right w:type="dxa" w:w="140"/>
            </w:tcMar>
            <w:vAlign w:val="center"/>
          </w:tcPr>
          <w:p>
            <w:pPr>
              <w:jc w:val="left"/>
            </w:pPr>
            <w:r>
              <w:rPr>
                <w:rFonts w:ascii="TH SarabunPSK" w:cs="TH SarabunPSK" w:eastAsia="TH SarabunPSK" w:hAnsi="TH SarabunPSK"/>
                <w:b w:val="false"/>
                <w:bCs w:val="false"/>
                <w:sz w:val="24"/>
                <w:szCs w:val="24"/>
              </w:rPr>
              <w:t xml:space="preserve">ขาดการ benchmark บน Edge AI hardware จริงอย่างครบถ้วน</w:t>
            </w:r>
          </w:p>
        </w:tc>
      </w:tr>
      <w:tr>
        <w:trPr>
          <w:tblHeader w:val="false"/>
        </w:trPr>
        <w:tc>
          <w:tcPr>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left"/>
            </w:pPr>
            <w:r>
              <w:rPr>
                <w:rFonts w:ascii="TH SarabunPSK" w:cs="TH SarabunPSK" w:eastAsia="TH SarabunPSK" w:hAnsi="TH SarabunPSK"/>
                <w:b/>
                <w:bCs/>
                <w:sz w:val="24"/>
                <w:szCs w:val="24"/>
              </w:rPr>
              <w:t xml:space="preserve">Edge AI Optimization</w:t>
            </w:r>
          </w:p>
        </w:tc>
        <w:tc>
          <w:tcPr>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left"/>
            </w:pPr>
            <w:r>
              <w:rPr>
                <w:rFonts w:ascii="TH SarabunPSK" w:cs="TH SarabunPSK" w:eastAsia="TH SarabunPSK" w:hAnsi="TH SarabunPSK"/>
                <w:b w:val="false"/>
                <w:bCs w:val="false"/>
                <w:sz w:val="24"/>
                <w:szCs w:val="24"/>
              </w:rPr>
              <w:t xml:space="preserve">มีงานวิจัย TensorRT, TorchScript สำหรับ vision tasks ทั่วไป</w:t>
            </w:r>
          </w:p>
        </w:tc>
        <w:tc>
          <w:tcPr>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left"/>
            </w:pPr>
            <w:r>
              <w:rPr>
                <w:rFonts w:ascii="TH SarabunPSK" w:cs="TH SarabunPSK" w:eastAsia="TH SarabunPSK" w:hAnsi="TH SarabunPSK"/>
                <w:b w:val="false"/>
                <w:bCs w:val="false"/>
                <w:sz w:val="24"/>
                <w:szCs w:val="24"/>
              </w:rPr>
              <w:t xml:space="preserve">ขาดการศึกษาเฉพาะ anomaly detection pipeline บน Jetson</w:t>
            </w:r>
          </w:p>
        </w:tc>
      </w:tr>
      <w:tr>
        <w:trPr>
          <w:tblHeader w:val="false"/>
        </w:trPr>
        <w:tc>
          <w:tcPr>
            <w:tcBorders>
              <w:top w:val="single" w:color="AAAAAA" w:sz="1"/>
              <w:left w:val="single" w:color="AAAAAA" w:sz="1"/>
              <w:bottom w:val="single" w:color="AAAAAA" w:sz="1"/>
              <w:right w:val="single" w:color="AAAAAA" w:sz="1"/>
            </w:tcBorders>
            <w:shd w:fill="EBF0FA" w:val="clear"/>
            <w:tcMar>
              <w:top w:type="dxa" w:w="100"/>
              <w:left w:type="dxa" w:w="140"/>
              <w:bottom w:type="dxa" w:w="100"/>
              <w:right w:type="dxa" w:w="140"/>
            </w:tcMar>
            <w:vAlign w:val="center"/>
          </w:tcPr>
          <w:p>
            <w:pPr>
              <w:jc w:val="left"/>
            </w:pPr>
            <w:r>
              <w:rPr>
                <w:rFonts w:ascii="TH SarabunPSK" w:cs="TH SarabunPSK" w:eastAsia="TH SarabunPSK" w:hAnsi="TH SarabunPSK"/>
                <w:b/>
                <w:bCs/>
                <w:sz w:val="24"/>
                <w:szCs w:val="24"/>
              </w:rPr>
              <w:t xml:space="preserve">พื้นผิวสะท้อนแสงสูง (HDD)</w:t>
            </w:r>
          </w:p>
        </w:tc>
        <w:tc>
          <w:tcPr>
            <w:tcBorders>
              <w:top w:val="single" w:color="AAAAAA" w:sz="1"/>
              <w:left w:val="single" w:color="AAAAAA" w:sz="1"/>
              <w:bottom w:val="single" w:color="AAAAAA" w:sz="1"/>
              <w:right w:val="single" w:color="AAAAAA" w:sz="1"/>
            </w:tcBorders>
            <w:shd w:fill="EBF0FA" w:val="clear"/>
            <w:tcMar>
              <w:top w:type="dxa" w:w="100"/>
              <w:left w:type="dxa" w:w="140"/>
              <w:bottom w:type="dxa" w:w="100"/>
              <w:right w:type="dxa" w:w="140"/>
            </w:tcMar>
            <w:vAlign w:val="center"/>
          </w:tcPr>
          <w:p>
            <w:pPr>
              <w:jc w:val="left"/>
            </w:pPr>
            <w:r>
              <w:rPr>
                <w:rFonts w:ascii="TH SarabunPSK" w:cs="TH SarabunPSK" w:eastAsia="TH SarabunPSK" w:hAnsi="TH SarabunPSK"/>
                <w:b w:val="false"/>
                <w:bCs w:val="false"/>
                <w:sz w:val="24"/>
                <w:szCs w:val="24"/>
              </w:rPr>
              <w:t xml:space="preserve">Photometric Stereo ถูก validate บนวัสดุ Lambertian เป็นหลัก</w:t>
            </w:r>
          </w:p>
        </w:tc>
        <w:tc>
          <w:tcPr>
            <w:tcBorders>
              <w:top w:val="single" w:color="AAAAAA" w:sz="1"/>
              <w:left w:val="single" w:color="AAAAAA" w:sz="1"/>
              <w:bottom w:val="single" w:color="AAAAAA" w:sz="1"/>
              <w:right w:val="single" w:color="AAAAAA" w:sz="1"/>
            </w:tcBorders>
            <w:shd w:fill="EBF0FA" w:val="clear"/>
            <w:tcMar>
              <w:top w:type="dxa" w:w="100"/>
              <w:left w:type="dxa" w:w="140"/>
              <w:bottom w:type="dxa" w:w="100"/>
              <w:right w:type="dxa" w:w="140"/>
            </w:tcMar>
            <w:vAlign w:val="center"/>
          </w:tcPr>
          <w:p>
            <w:pPr>
              <w:jc w:val="left"/>
            </w:pPr>
            <w:r>
              <w:rPr>
                <w:rFonts w:ascii="TH SarabunPSK" w:cs="TH SarabunPSK" w:eastAsia="TH SarabunPSK" w:hAnsi="TH SarabunPSK"/>
                <w:b w:val="false"/>
                <w:bCs w:val="false"/>
                <w:sz w:val="24"/>
                <w:szCs w:val="24"/>
              </w:rPr>
              <w:t xml:space="preserve">ขาดงานวิจัยสำหรับ specular/near-specular surfaces ในสายการผลิต</w:t>
            </w:r>
          </w:p>
        </w:tc>
      </w:tr>
      <w:tr>
        <w:trPr>
          <w:tblHeader w:val="false"/>
        </w:trPr>
        <w:tc>
          <w:tcPr>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left"/>
            </w:pPr>
            <w:r>
              <w:rPr>
                <w:rFonts w:ascii="TH SarabunPSK" w:cs="TH SarabunPSK" w:eastAsia="TH SarabunPSK" w:hAnsi="TH SarabunPSK"/>
                <w:b/>
                <w:bCs/>
                <w:sz w:val="24"/>
                <w:szCs w:val="24"/>
              </w:rPr>
              <w:t xml:space="preserve">End-to-End Integration</w:t>
            </w:r>
          </w:p>
        </w:tc>
        <w:tc>
          <w:tcPr>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left"/>
            </w:pPr>
            <w:r>
              <w:rPr>
                <w:rFonts w:ascii="TH SarabunPSK" w:cs="TH SarabunPSK" w:eastAsia="TH SarabunPSK" w:hAnsi="TH SarabunPSK"/>
                <w:b w:val="false"/>
                <w:bCs w:val="false"/>
                <w:sz w:val="24"/>
                <w:szCs w:val="24"/>
              </w:rPr>
              <w:t xml:space="preserve">แต่ละส่วน (PS + AD + Edge) ถูกศึกษาแยกกัน</w:t>
            </w:r>
          </w:p>
        </w:tc>
        <w:tc>
          <w:tcPr>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left"/>
            </w:pPr>
            <w:r>
              <w:rPr>
                <w:rFonts w:ascii="TH SarabunPSK" w:cs="TH SarabunPSK" w:eastAsia="TH SarabunPSK" w:hAnsi="TH SarabunPSK"/>
                <w:b w:val="false"/>
                <w:bCs w:val="false"/>
                <w:sz w:val="24"/>
                <w:szCs w:val="24"/>
              </w:rPr>
              <w:t xml:space="preserve">ขาด End-to-End pipeline ที่รวมทั้งสามส่วนบน single edge device</w:t>
            </w:r>
          </w:p>
        </w:tc>
      </w:tr>
    </w:tbl>
    <w:p>
      <w:pPr>
        <w:spacing w:before="60" w:after="60"/>
      </w:pPr>
      <w:r>
        <w:t xml:space="preserve"/>
      </w:r>
    </w:p>
    <w:p>
      <w:pPr>
        <w:pStyle w:val="Heading3"/>
        <w:spacing w:before="280" w:after="120"/>
      </w:pPr>
      <w:r>
        <w:rPr>
          <w:rFonts w:ascii="TH SarabunPSK" w:cs="TH SarabunPSK" w:eastAsia="TH SarabunPSK" w:hAnsi="TH SarabunPSK"/>
          <w:b/>
          <w:bCs/>
          <w:color w:val="2E5597"/>
          <w:sz w:val="28"/>
          <w:szCs w:val="28"/>
        </w:rPr>
        <w:t xml:space="preserve">2.5.3 วัตถุประสงค์และขอบเขตของงานวิจัยนี้เพื่อเติมเต็มช่องว่าง</w:t>
      </w:r>
    </w:p>
    <w:p>
      <w:pPr>
        <w:spacing w:before="0" w:after="140" w:line="360"/>
        <w:ind w:firstLine="720"/>
        <w:jc w:val="both"/>
      </w:pPr>
      <w:r>
        <w:rPr>
          <w:rFonts w:ascii="TH SarabunPSK" w:cs="TH SarabunPSK" w:eastAsia="TH SarabunPSK" w:hAnsi="TH SarabunPSK"/>
          <w:sz w:val="28"/>
          <w:szCs w:val="28"/>
        </w:rPr>
        <w:t xml:space="preserve">เพื่อเติมเต็มช่องว่างการวิจัยที่ระบุข้างต้น งานวิจัยนี้จึงออกแบบกระบวนการทดลองเป็น Comprehensive Grid Search Benchmark ที่มีขอบเขตครอบคลุมสองมิติหลัก ได้แก่ (1) โมเดล anomaly detection จำนวน 6 สถาปัตยกรรม ได้แก่ PatchCore, PaDiM, FastFlow, EfficientAD, SimpleNet และ SuperSimpleNet และ (2) feature backbone จำนวน 5 ประเภท ได้แก่ WideResNet-50, ResNet-18, EfficientNet-B4, ConvNeXt-Tiny และ MobileNetV3-Large รวมเป็น 30 การทดลองบน hardware จริงคือ NVIDIA Jetson Orin Nano</w:t>
      </w:r>
    </w:p>
    <w:p>
      <w:pPr>
        <w:spacing w:before="60" w:after="60"/>
      </w:pPr>
      <w:r>
        <w:t xml:space="preserve"/>
      </w:r>
    </w:p>
    <w:p>
      <w:pPr>
        <w:spacing w:before="0" w:after="140" w:line="360"/>
        <w:ind w:firstLine="720"/>
        <w:jc w:val="both"/>
      </w:pPr>
      <w:r>
        <w:rPr>
          <w:rFonts w:ascii="TH SarabunPSK" w:cs="TH SarabunPSK" w:eastAsia="TH SarabunPSK" w:hAnsi="TH SarabunPSK"/>
          <w:sz w:val="28"/>
          <w:szCs w:val="28"/>
        </w:rPr>
        <w:t xml:space="preserve">การทดลองนี้จะวัดผล metrics ที่ครอบคลุมทั้งมิติ accuracy (AUROC, F1-score, Precision, Recall, Optimal Threshold) และมิติ efficiency (Train time, Inference latency per sample, Memory footprint) พร้อมกัน ซึ่งจะให้ผลลัพธ์เชิงประจักษ์ (empirical evidence) ที่ไม่เคยมีมาก่อนเกี่ยวกับพฤติกรรมของ SOTA anomaly detection models ภายใต้ edge hardware constraints โดยเฉพาะ</w:t>
      </w:r>
    </w:p>
    <w:p>
      <w:pPr>
        <w:spacing w:before="60" w:after="60"/>
      </w:pPr>
      <w:r>
        <w:t xml:space="preserve"/>
      </w:r>
    </w:p>
    <w:p>
      <w:pPr>
        <w:spacing w:before="0" w:after="140" w:line="360"/>
        <w:ind w:firstLine="720"/>
        <w:jc w:val="both"/>
      </w:pPr>
      <w:r>
        <w:rPr>
          <w:rFonts w:ascii="TH SarabunPSK" w:cs="TH SarabunPSK" w:eastAsia="TH SarabunPSK" w:hAnsi="TH SarabunPSK"/>
          <w:sz w:val="28"/>
          <w:szCs w:val="28"/>
        </w:rPr>
        <w:t xml:space="preserve">ผลการทดลองที่ได้จะนำมาใช้เป็นพื้นฐานในการเลือก optimal architecture สำหรับการสร้าง End-to-End Real-time Anomaly Detection Pipeline ที่บูรณาการ Photometric Stereo Imaging กับโมเดลที่ดีที่สุดที่ค้นพบ บน NVIDIA Jetson Orin Nano ซึ่งจะเป็นการนำเสนองานวิจัยที่ตอบโจทย์ทั้งช่องว่างด้านการ benchmark และช่องว่างด้าน end-to-end integration ในคราวเดียวกัน</w:t>
      </w:r>
    </w:p>
    <w:p>
      <w:pPr>
        <w:spacing w:before="60" w:after="60"/>
      </w:pPr>
      <w:r>
        <w:t xml:space="preserve"/>
      </w:r>
    </w:p>
    <w:sectPr>
      <w:pgSz w:w="11906" w:h="16838" w:orient="portrait"/>
      <w:pgMar w:top="1701" w:right="1701" w:bottom="1701"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 SarabunPSK" w:cs="TH SarabunPSK" w:eastAsia="TH SarabunPSK" w:hAnsi="TH SarabunPSK"/>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400" w:after="160"/>
      <w:outlineLvl w:val="1"/>
    </w:pPr>
    <w:rPr>
      <w:rFonts w:ascii="TH SarabunPSK" w:cs="TH SarabunPSK" w:eastAsia="TH SarabunPSK" w:hAnsi="TH SarabunPSK"/>
      <w:b/>
      <w:bCs/>
      <w:color w:val="1F3864"/>
      <w:sz w:val="32"/>
      <w:szCs w:val="32"/>
    </w:rPr>
  </w:style>
  <w:style w:type="paragraph" w:styleId="Heading3">
    <w:name w:val="Heading 3"/>
    <w:basedOn w:val="Normal"/>
    <w:next w:val="Normal"/>
    <w:qFormat/>
    <w:pPr>
      <w:spacing w:before="280" w:after="120"/>
      <w:outlineLvl w:val="2"/>
    </w:pPr>
    <w:rPr>
      <w:rFonts w:ascii="TH SarabunPSK" w:cs="TH SarabunPSK" w:eastAsia="TH SarabunPSK" w:hAnsi="TH SarabunPSK"/>
      <w:b/>
      <w:bCs/>
      <w:color w:val="2E559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2026-03-06T00:16:34.873Z</dcterms:created>
  <dcterms:modified xsi:type="dcterms:W3CDTF">2026-03-06T00:16:34.874Z</dcterms:modified>
</cp:coreProperties>
</file>

<file path=docProps/custom.xml><?xml version="1.0" encoding="utf-8"?>
<Properties xmlns="http://schemas.openxmlformats.org/officeDocument/2006/custom-properties" xmlns:vt="http://schemas.openxmlformats.org/officeDocument/2006/docPropsVTypes"/>
</file>