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Préparé par </w:t>
      </w:r>
      <w:r w:rsidDel="00000000" w:rsidR="00000000" w:rsidRPr="00000000">
        <w:rPr>
          <w:rFonts w:ascii="Economica" w:cs="Economica" w:eastAsia="Economica" w:hAnsi="Economica"/>
          <w:b w:val="1"/>
          <w:bCs w:val="1"/>
          <w:color w:val="666666"/>
          <w:sz w:val="28"/>
          <w:szCs w:val="28"/>
          <w:rtl w:val="0"/>
        </w:rPr>
        <w:t xml:space="preserve">ANANIVI Komlanvi </w:t>
      </w:r>
      <w:r w:rsidDel="00000000" w:rsidR="00000000" w:rsidRPr="00000000">
        <w:rPr>
          <w:rFonts w:ascii="Economica" w:cs="Economica" w:eastAsia="Economica" w:hAnsi="Economica"/>
          <w:color w:val="666666"/>
          <w:sz w:val="28"/>
          <w:szCs w:val="28"/>
          <w:rtl w:val="0"/>
        </w:rPr>
        <w:tab/>
        <w:t xml:space="preserve">Consultant en Cybersécurité (Stagiaire)</w:t>
      </w:r>
    </w:p>
    <w:p w:rsidR="00000000" w:rsidDel="00000000" w:rsidP="00000000" w:rsidRDefault="00000000" w:rsidRPr="00000000" w14:paraId="00000002">
      <w:pPr>
        <w:pStyle w:val="Title"/>
        <w:rPr>
          <w:rFonts w:ascii="Comic Sans MS" w:cs="Comic Sans MS" w:eastAsia="Comic Sans MS" w:hAnsi="Comic Sans MS"/>
        </w:rPr>
      </w:pPr>
      <w:bookmarkStart w:colFirst="0" w:colLast="0" w:name="_mbjsiz6n6jlo" w:id="0"/>
      <w:bookmarkEnd w:id="0"/>
      <w:r w:rsidDel="00000000" w:rsidR="00000000" w:rsidRPr="00000000">
        <w:rPr>
          <w:rFonts w:ascii="Comic Sans MS" w:cs="Comic Sans MS" w:eastAsia="Comic Sans MS" w:hAnsi="Comic Sans MS"/>
          <w:rtl w:val="0"/>
        </w:rPr>
        <w:t xml:space="preserve">Analyse des risques liées à la sécurité des API (Compétence SaaS moderne)</w:t>
      </w:r>
    </w:p>
    <w:p w:rsidR="00000000" w:rsidDel="00000000" w:rsidP="00000000" w:rsidRDefault="00000000" w:rsidRPr="00000000" w14:paraId="00000003">
      <w:pPr>
        <w:rPr>
          <w:b w:val="1"/>
          <w:bCs w:val="1"/>
        </w:rPr>
      </w:pPr>
      <w:r w:rsidDel="00000000" w:rsidR="00000000" w:rsidRPr="00000000">
        <w:rPr>
          <w:b w:val="1"/>
          <w:bCs w:val="1"/>
          <w:u w:val="single"/>
          <w:rtl w:val="0"/>
        </w:rPr>
        <w:t xml:space="preserve">Objet</w:t>
      </w:r>
      <w:r w:rsidDel="00000000" w:rsidR="00000000" w:rsidRPr="00000000">
        <w:rPr>
          <w:rtl w:val="0"/>
        </w:rPr>
        <w:t xml:space="preserve">: </w:t>
      </w:r>
      <w:r w:rsidDel="00000000" w:rsidR="00000000" w:rsidRPr="00000000">
        <w:rPr>
          <w:b w:val="1"/>
          <w:bCs w:val="1"/>
          <w:rtl w:val="0"/>
        </w:rPr>
        <w:t xml:space="preserve">Rapport d’analyse des risques de sécurité des API</w:t>
      </w:r>
    </w:p>
    <w:p w:rsidR="00000000" w:rsidDel="00000000" w:rsidP="00000000" w:rsidRDefault="00000000" w:rsidRPr="00000000" w14:paraId="00000004">
      <w:pPr>
        <w:rPr>
          <w:b w:val="1"/>
          <w:bCs w:val="1"/>
        </w:rPr>
      </w:pPr>
      <w:r w:rsidDel="00000000" w:rsidR="00000000" w:rsidRPr="00000000">
        <w:rPr>
          <w:b w:val="1"/>
          <w:bCs w:val="1"/>
          <w:u w:val="single"/>
          <w:rtl w:val="0"/>
        </w:rPr>
        <w:t xml:space="preserve">Outil utilisé </w:t>
      </w:r>
      <w:r w:rsidDel="00000000" w:rsidR="00000000" w:rsidRPr="00000000">
        <w:rPr>
          <w:b w:val="1"/>
          <w:bCs w:val="1"/>
          <w:rtl w:val="0"/>
        </w:rPr>
        <w:t xml:space="preserve">: Postman</w:t>
      </w:r>
      <w:r w:rsidDel="00000000" w:rsidR="00000000" w:rsidRPr="00000000">
        <w:rPr>
          <w:rtl w:val="0"/>
        </w:rPr>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0" w:before="60" w:lineRule="auto"/>
        <w:rPr/>
      </w:pPr>
      <w:r w:rsidDel="00000000" w:rsidR="00000000" w:rsidRPr="00000000">
        <w:rPr>
          <w:sz w:val="24"/>
          <w:szCs w:val="24"/>
        </w:rPr>
        <w:drawing>
          <wp:inline distB="114300" distT="114300" distL="114300" distR="114300">
            <wp:extent cx="5943600" cy="38100"/>
            <wp:effectExtent b="0" l="0" r="0" t="0"/>
            <wp:docPr descr="ligne horizontale" id="5" name="image1.png"/>
            <a:graphic>
              <a:graphicData uri="http://schemas.openxmlformats.org/drawingml/2006/picture">
                <pic:pic>
                  <pic:nvPicPr>
                    <pic:cNvPr descr="ligne horizontale" id="0" name="image1.png"/>
                    <pic:cNvPicPr preferRelativeResize="0"/>
                  </pic:nvPicPr>
                  <pic:blipFill>
                    <a:blip r:embed="rId6"/>
                    <a:srcRect b="0" l="0" r="0" t="0"/>
                    <a:stretch>
                      <a:fillRect/>
                    </a:stretch>
                  </pic:blipFill>
                  <pic:spPr>
                    <a:xfrm>
                      <a:off x="0" y="0"/>
                      <a:ext cx="5943600" cy="381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pStyle w:val="Heading1"/>
        <w:pageBreakBefore w:val="0"/>
        <w:pBdr>
          <w:top w:space="0" w:sz="0" w:val="nil"/>
          <w:left w:space="0" w:sz="0" w:val="nil"/>
          <w:bottom w:space="0" w:sz="0" w:val="nil"/>
          <w:right w:space="0" w:sz="0" w:val="nil"/>
          <w:between w:space="0" w:sz="0" w:val="nil"/>
        </w:pBdr>
        <w:shd w:fill="auto" w:val="clear"/>
        <w:spacing w:before="120" w:lineRule="auto"/>
        <w:rPr>
          <w:b w:val="0"/>
          <w:bCs w:val="0"/>
          <w:sz w:val="22"/>
          <w:szCs w:val="22"/>
        </w:rPr>
      </w:pPr>
      <w:bookmarkStart w:colFirst="0" w:colLast="0" w:name="_vydniszftb1n" w:id="1"/>
      <w:bookmarkEnd w:id="1"/>
      <w:r w:rsidDel="00000000" w:rsidR="00000000" w:rsidRPr="00000000">
        <w:rPr>
          <w:b w:val="0"/>
          <w:bCs w:val="0"/>
          <w:sz w:val="22"/>
          <w:szCs w:val="22"/>
        </w:rPr>
        <w:drawing>
          <wp:inline distB="114300" distT="114300" distL="114300" distR="114300">
            <wp:extent cx="5943600" cy="4279900"/>
            <wp:effectExtent b="0" l="0" r="0" t="0"/>
            <wp:docPr id="8" name="image8.jpg"/>
            <a:graphic>
              <a:graphicData uri="http://schemas.openxmlformats.org/drawingml/2006/picture">
                <pic:pic>
                  <pic:nvPicPr>
                    <pic:cNvPr id="0" name="image8.jpg"/>
                    <pic:cNvPicPr preferRelativeResize="0"/>
                  </pic:nvPicPr>
                  <pic:blipFill>
                    <a:blip r:embed="rId7"/>
                    <a:srcRect b="0" l="0" r="0" t="0"/>
                    <a:stretch>
                      <a:fillRect/>
                    </a:stretch>
                  </pic:blipFill>
                  <pic:spPr>
                    <a:xfrm>
                      <a:off x="0" y="0"/>
                      <a:ext cx="5943600" cy="42799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pStyle w:val="Heading1"/>
        <w:pageBreakBefore w:val="0"/>
        <w:numPr>
          <w:ilvl w:val="0"/>
          <w:numId w:val="5"/>
        </w:numPr>
        <w:pBdr>
          <w:top w:space="0" w:sz="0" w:val="nil"/>
          <w:left w:space="0" w:sz="0" w:val="nil"/>
          <w:bottom w:space="0" w:sz="0" w:val="nil"/>
          <w:right w:space="0" w:sz="0" w:val="nil"/>
          <w:between w:space="0" w:sz="0" w:val="nil"/>
        </w:pBdr>
        <w:shd w:fill="auto" w:val="clear"/>
        <w:ind w:left="720" w:hanging="360"/>
        <w:rPr>
          <w:u w:val="none"/>
        </w:rPr>
      </w:pPr>
      <w:bookmarkStart w:colFirst="0" w:colLast="0" w:name="_arolcxe0i15c" w:id="2"/>
      <w:bookmarkEnd w:id="2"/>
      <w:r w:rsidDel="00000000" w:rsidR="00000000" w:rsidRPr="00000000">
        <w:rPr>
          <w:rtl w:val="0"/>
        </w:rPr>
        <w:t xml:space="preserve">-</w:t>
        <w:tab/>
        <w:t xml:space="preserve">Introduction</w:t>
      </w: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Dans les entreprises aujourd’hui, les API sont vues comme une porte d’accès interne. Elles permettent aux applications de communiquer directement avec les systèmes et les bases de données. Si cette “porte” est mal sécurisée (authentification faible, absence de contrôle d’accès, mauvaise validation des requêtes), elle devient une porte dérobée pour les attaquants, résultant d’une exposition ou d’une fuite massive de données sensibles (clients, comptes, informations internes) parfois à grande échelle et sans être immédiatement détectée.</w:t>
        <w:br w:type="textWrapping"/>
        <w:t xml:space="preserve">L’objectif est de faire des analyses afin d’identifier les risques de sécurité courants des API et de suggérer des mesures correctives claires.</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pStyle w:val="Heading1"/>
        <w:numPr>
          <w:ilvl w:val="0"/>
          <w:numId w:val="5"/>
        </w:numPr>
        <w:ind w:left="720" w:hanging="360"/>
        <w:rPr>
          <w:sz w:val="32"/>
          <w:szCs w:val="32"/>
        </w:rPr>
      </w:pPr>
      <w:bookmarkStart w:colFirst="0" w:colLast="0" w:name="_jyzugnnr9r6k" w:id="3"/>
      <w:bookmarkEnd w:id="3"/>
      <w:r w:rsidDel="00000000" w:rsidR="00000000" w:rsidRPr="00000000">
        <w:rPr>
          <w:rtl w:val="0"/>
        </w:rPr>
        <w:t xml:space="preserve">-</w:t>
        <w:tab/>
        <w:t xml:space="preserve">Analyses et Inspection sur l’API (WEATHERSTACK)</w:t>
      </w:r>
    </w:p>
    <w:p w:rsidR="00000000" w:rsidDel="00000000" w:rsidP="00000000" w:rsidRDefault="00000000" w:rsidRPr="00000000" w14:paraId="0000000B">
      <w:pPr>
        <w:rPr/>
      </w:pPr>
      <w:r w:rsidDel="00000000" w:rsidR="00000000" w:rsidRPr="00000000">
        <w:rPr>
          <w:b w:val="1"/>
          <w:bCs w:val="1"/>
          <w:i w:val="1"/>
          <w:iCs w:val="1"/>
          <w:u w:val="single"/>
          <w:rtl w:val="0"/>
        </w:rPr>
        <w:t xml:space="preserve">Description</w:t>
      </w:r>
      <w:r w:rsidDel="00000000" w:rsidR="00000000" w:rsidRPr="00000000">
        <w:rPr>
          <w:rtl w:val="0"/>
        </w:rPr>
        <w:t xml:space="preserve"> : API de récupération de données météo en temps réel.</w:t>
      </w:r>
    </w:p>
    <w:p w:rsidR="00000000" w:rsidDel="00000000" w:rsidP="00000000" w:rsidRDefault="00000000" w:rsidRPr="00000000" w14:paraId="0000000C">
      <w:pPr>
        <w:pStyle w:val="Heading3"/>
        <w:numPr>
          <w:ilvl w:val="0"/>
          <w:numId w:val="1"/>
        </w:numPr>
        <w:ind w:left="720" w:hanging="360"/>
        <w:rPr>
          <w:u w:val="none"/>
        </w:rPr>
      </w:pPr>
      <w:bookmarkStart w:colFirst="0" w:colLast="0" w:name="_gkyv771amevq" w:id="4"/>
      <w:bookmarkEnd w:id="4"/>
      <w:r w:rsidDel="00000000" w:rsidR="00000000" w:rsidRPr="00000000">
        <w:rPr>
          <w:rtl w:val="0"/>
        </w:rPr>
        <w:t xml:space="preserve">-</w:t>
        <w:tab/>
        <w:t xml:space="preserve">Risques Identifiés</w:t>
      </w:r>
      <w:r w:rsidDel="00000000" w:rsidR="00000000" w:rsidRPr="00000000">
        <w:rPr>
          <w:rtl w:val="0"/>
        </w:rPr>
      </w:r>
    </w:p>
    <w:p w:rsidR="00000000" w:rsidDel="00000000" w:rsidP="00000000" w:rsidRDefault="00000000" w:rsidRPr="00000000" w14:paraId="0000000D">
      <w:pPr>
        <w:ind w:left="0" w:firstLine="0"/>
        <w:rPr/>
      </w:pPr>
      <w:r w:rsidDel="00000000" w:rsidR="00000000" w:rsidRPr="00000000">
        <w:rPr/>
        <w:drawing>
          <wp:inline distB="114300" distT="114300" distL="114300" distR="114300">
            <wp:extent cx="5943600" cy="3340100"/>
            <wp:effectExtent b="0" l="0" r="0" t="0"/>
            <wp:docPr id="4"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numPr>
          <w:ilvl w:val="0"/>
          <w:numId w:val="3"/>
        </w:numPr>
        <w:ind w:left="720" w:hanging="360"/>
        <w:rPr>
          <w:b w:val="1"/>
          <w:bCs w:val="1"/>
        </w:rPr>
      </w:pPr>
      <w:r w:rsidDel="00000000" w:rsidR="00000000" w:rsidRPr="00000000">
        <w:rPr>
          <w:b w:val="1"/>
          <w:bCs w:val="1"/>
          <w:rtl w:val="0"/>
        </w:rPr>
        <w:t xml:space="preserve">Authentification via URL (Broken Authentification)</w:t>
      </w:r>
    </w:p>
    <w:p w:rsidR="00000000" w:rsidDel="00000000" w:rsidP="00000000" w:rsidRDefault="00000000" w:rsidRPr="00000000" w14:paraId="0000000F">
      <w:pPr>
        <w:ind w:left="720" w:firstLine="0"/>
        <w:rPr/>
      </w:pPr>
      <w:r w:rsidDel="00000000" w:rsidR="00000000" w:rsidRPr="00000000">
        <w:rPr>
          <w:rtl w:val="0"/>
        </w:rPr>
        <w:t xml:space="preserve">-</w:t>
        <w:tab/>
      </w:r>
      <w:r w:rsidDel="00000000" w:rsidR="00000000" w:rsidRPr="00000000">
        <w:rPr>
          <w:b w:val="1"/>
          <w:bCs w:val="1"/>
          <w:rtl w:val="0"/>
        </w:rPr>
        <w:t xml:space="preserve">Observation</w:t>
      </w:r>
      <w:r w:rsidDel="00000000" w:rsidR="00000000" w:rsidRPr="00000000">
        <w:rPr>
          <w:rtl w:val="0"/>
        </w:rPr>
        <w:t xml:space="preserve">: La clé d’accés (acces_key) est transmise comme paramètre de requète dans l’URL.</w:t>
      </w:r>
    </w:p>
    <w:p w:rsidR="00000000" w:rsidDel="00000000" w:rsidP="00000000" w:rsidRDefault="00000000" w:rsidRPr="00000000" w14:paraId="00000010">
      <w:pPr>
        <w:ind w:left="720" w:firstLine="0"/>
        <w:rPr/>
      </w:pPr>
      <w:r w:rsidDel="00000000" w:rsidR="00000000" w:rsidRPr="00000000">
        <w:rPr>
          <w:rtl w:val="0"/>
        </w:rPr>
        <w:t xml:space="preserve">-</w:t>
        <w:tab/>
      </w:r>
      <w:r w:rsidDel="00000000" w:rsidR="00000000" w:rsidRPr="00000000">
        <w:rPr>
          <w:b w:val="1"/>
          <w:bCs w:val="1"/>
          <w:rtl w:val="0"/>
        </w:rPr>
        <w:t xml:space="preserve">Gravité</w:t>
      </w:r>
      <w:r w:rsidDel="00000000" w:rsidR="00000000" w:rsidRPr="00000000">
        <w:rPr>
          <w:rtl w:val="0"/>
        </w:rPr>
        <w:t xml:space="preserve"> : Moyenne.</w:t>
      </w:r>
    </w:p>
    <w:p w:rsidR="00000000" w:rsidDel="00000000" w:rsidP="00000000" w:rsidRDefault="00000000" w:rsidRPr="00000000" w14:paraId="00000011">
      <w:pPr>
        <w:ind w:left="720" w:firstLine="0"/>
        <w:rPr/>
      </w:pPr>
      <w:r w:rsidDel="00000000" w:rsidR="00000000" w:rsidRPr="00000000">
        <w:rPr>
          <w:rtl w:val="0"/>
        </w:rPr>
        <w:t xml:space="preserve">-</w:t>
        <w:tab/>
      </w:r>
      <w:r w:rsidDel="00000000" w:rsidR="00000000" w:rsidRPr="00000000">
        <w:rPr>
          <w:b w:val="1"/>
          <w:bCs w:val="1"/>
          <w:rtl w:val="0"/>
        </w:rPr>
        <w:t xml:space="preserve">Impact Business </w:t>
      </w:r>
      <w:r w:rsidDel="00000000" w:rsidR="00000000" w:rsidRPr="00000000">
        <w:rPr>
          <w:rtl w:val="0"/>
        </w:rPr>
        <w:t xml:space="preserve">: Les clés présentes dans les URLs sont souvent enrégistrées dans l’historique des navigateurs ou les logs des serveurs. Une fuite de clé permet à un tiers de consommer le quota payant de l’entreprise.</w:t>
      </w:r>
    </w:p>
    <w:p w:rsidR="00000000" w:rsidDel="00000000" w:rsidP="00000000" w:rsidRDefault="00000000" w:rsidRPr="00000000" w14:paraId="00000012">
      <w:pPr>
        <w:numPr>
          <w:ilvl w:val="0"/>
          <w:numId w:val="3"/>
        </w:numPr>
        <w:ind w:left="720" w:hanging="360"/>
        <w:rPr>
          <w:b w:val="1"/>
          <w:bCs w:val="1"/>
        </w:rPr>
      </w:pPr>
      <w:r w:rsidDel="00000000" w:rsidR="00000000" w:rsidRPr="00000000">
        <w:rPr>
          <w:b w:val="1"/>
          <w:bCs w:val="1"/>
          <w:rtl w:val="0"/>
        </w:rPr>
        <w:t xml:space="preserve">Messages d’erreur trop explicites (Improper Error Handling) </w:t>
      </w:r>
    </w:p>
    <w:p w:rsidR="00000000" w:rsidDel="00000000" w:rsidP="00000000" w:rsidRDefault="00000000" w:rsidRPr="00000000" w14:paraId="00000013">
      <w:pPr>
        <w:ind w:left="720" w:firstLine="0"/>
        <w:rPr>
          <w:b w:val="1"/>
          <w:bCs w:val="1"/>
        </w:rPr>
      </w:pPr>
      <w:r w:rsidDel="00000000" w:rsidR="00000000" w:rsidRPr="00000000">
        <w:rPr>
          <w:b w:val="1"/>
          <w:bCs w:val="1"/>
        </w:rPr>
        <w:drawing>
          <wp:inline distB="114300" distT="114300" distL="114300" distR="114300">
            <wp:extent cx="5943600" cy="3340100"/>
            <wp:effectExtent b="0" l="0" r="0" t="0"/>
            <wp:docPr id="2"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ind w:left="720" w:firstLine="0"/>
        <w:rPr/>
      </w:pPr>
      <w:r w:rsidDel="00000000" w:rsidR="00000000" w:rsidRPr="00000000">
        <w:rPr>
          <w:b w:val="1"/>
          <w:bCs w:val="1"/>
          <w:rtl w:val="0"/>
        </w:rPr>
        <w:t xml:space="preserve">-</w:t>
        <w:tab/>
        <w:t xml:space="preserve">Observation</w:t>
      </w:r>
      <w:r w:rsidDel="00000000" w:rsidR="00000000" w:rsidRPr="00000000">
        <w:rPr>
          <w:rtl w:val="0"/>
        </w:rPr>
        <w:t xml:space="preserve"> :Lors d’un test avec des caractères spéciaux, l’API renvoie un code </w:t>
      </w:r>
      <w:r w:rsidDel="00000000" w:rsidR="00000000" w:rsidRPr="00000000">
        <w:rPr>
          <w:b w:val="1"/>
          <w:bCs w:val="1"/>
          <w:rtl w:val="0"/>
        </w:rPr>
        <w:t xml:space="preserve">604</w:t>
      </w:r>
      <w:r w:rsidDel="00000000" w:rsidR="00000000" w:rsidRPr="00000000">
        <w:rPr>
          <w:rtl w:val="0"/>
        </w:rPr>
        <w:t xml:space="preserve"> détaillant précisément la restriction liée au “plan” de l’utilisateur.</w:t>
      </w:r>
    </w:p>
    <w:p w:rsidR="00000000" w:rsidDel="00000000" w:rsidP="00000000" w:rsidRDefault="00000000" w:rsidRPr="00000000" w14:paraId="00000015">
      <w:pPr>
        <w:ind w:left="720" w:firstLine="0"/>
        <w:rPr/>
      </w:pPr>
      <w:r w:rsidDel="00000000" w:rsidR="00000000" w:rsidRPr="00000000">
        <w:rPr>
          <w:rtl w:val="0"/>
        </w:rPr>
        <w:t xml:space="preserve">-</w:t>
        <w:tab/>
      </w:r>
      <w:r w:rsidDel="00000000" w:rsidR="00000000" w:rsidRPr="00000000">
        <w:rPr>
          <w:b w:val="1"/>
          <w:bCs w:val="1"/>
          <w:rtl w:val="0"/>
        </w:rPr>
        <w:t xml:space="preserve">Gravité </w:t>
      </w:r>
      <w:r w:rsidDel="00000000" w:rsidR="00000000" w:rsidRPr="00000000">
        <w:rPr>
          <w:rtl w:val="0"/>
        </w:rPr>
        <w:t xml:space="preserve">: </w:t>
      </w:r>
      <w:r w:rsidDel="00000000" w:rsidR="00000000" w:rsidRPr="00000000">
        <w:rPr>
          <w:color w:val="ff0000"/>
          <w:rtl w:val="0"/>
        </w:rPr>
        <w:t xml:space="preserve">Faible.</w:t>
      </w:r>
      <w:r w:rsidDel="00000000" w:rsidR="00000000" w:rsidRPr="00000000">
        <w:rPr>
          <w:rtl w:val="0"/>
        </w:rPr>
      </w:r>
    </w:p>
    <w:p w:rsidR="00000000" w:rsidDel="00000000" w:rsidP="00000000" w:rsidRDefault="00000000" w:rsidRPr="00000000" w14:paraId="00000016">
      <w:pPr>
        <w:ind w:left="720" w:firstLine="0"/>
        <w:rPr/>
      </w:pPr>
      <w:r w:rsidDel="00000000" w:rsidR="00000000" w:rsidRPr="00000000">
        <w:rPr>
          <w:rtl w:val="0"/>
        </w:rPr>
        <w:t xml:space="preserve">-</w:t>
        <w:tab/>
      </w:r>
      <w:r w:rsidDel="00000000" w:rsidR="00000000" w:rsidRPr="00000000">
        <w:rPr>
          <w:b w:val="1"/>
          <w:bCs w:val="1"/>
          <w:rtl w:val="0"/>
        </w:rPr>
        <w:t xml:space="preserve">Impact </w:t>
      </w:r>
      <w:r w:rsidDel="00000000" w:rsidR="00000000" w:rsidRPr="00000000">
        <w:rPr>
          <w:rtl w:val="0"/>
        </w:rPr>
        <w:t xml:space="preserve">: Cela aide un attaquant à comprendre la logique métier interne et les limitations du système pour affiner ses prochaines tentatives.</w:t>
      </w:r>
    </w:p>
    <w:p w:rsidR="00000000" w:rsidDel="00000000" w:rsidP="00000000" w:rsidRDefault="00000000" w:rsidRPr="00000000" w14:paraId="00000017">
      <w:pPr>
        <w:pStyle w:val="Heading3"/>
        <w:numPr>
          <w:ilvl w:val="0"/>
          <w:numId w:val="1"/>
        </w:numPr>
        <w:ind w:left="720" w:hanging="360"/>
        <w:rPr>
          <w:b w:val="1"/>
          <w:bCs w:val="1"/>
          <w:color w:val="8c7252"/>
          <w:sz w:val="24"/>
          <w:szCs w:val="24"/>
        </w:rPr>
      </w:pPr>
      <w:bookmarkStart w:colFirst="0" w:colLast="0" w:name="_sspeuqgp681y" w:id="5"/>
      <w:bookmarkEnd w:id="5"/>
      <w:r w:rsidDel="00000000" w:rsidR="00000000" w:rsidRPr="00000000">
        <w:rPr>
          <w:rtl w:val="0"/>
        </w:rPr>
        <w:t xml:space="preserve">-</w:t>
        <w:tab/>
        <w:t xml:space="preserve">Mesures Correctives</w:t>
      </w:r>
    </w:p>
    <w:p w:rsidR="00000000" w:rsidDel="00000000" w:rsidP="00000000" w:rsidRDefault="00000000" w:rsidRPr="00000000" w14:paraId="00000018">
      <w:pPr>
        <w:ind w:left="720" w:firstLine="0"/>
        <w:rPr/>
      </w:pPr>
      <w:r w:rsidDel="00000000" w:rsidR="00000000" w:rsidRPr="00000000">
        <w:rPr>
          <w:rtl w:val="0"/>
        </w:rPr>
        <w:t xml:space="preserve">-</w:t>
        <w:tab/>
        <w:t xml:space="preserve">Transférer la clé d’authentification dans les En-têtes HTTP (Headers).</w:t>
      </w:r>
    </w:p>
    <w:p w:rsidR="00000000" w:rsidDel="00000000" w:rsidP="00000000" w:rsidRDefault="00000000" w:rsidRPr="00000000" w14:paraId="00000019">
      <w:pPr>
        <w:ind w:left="720" w:firstLine="0"/>
        <w:rPr/>
      </w:pPr>
      <w:r w:rsidDel="00000000" w:rsidR="00000000" w:rsidRPr="00000000">
        <w:rPr>
          <w:rtl w:val="0"/>
        </w:rPr>
        <w:t xml:space="preserve">-</w:t>
        <w:tab/>
        <w:t xml:space="preserve">Configuration l’API pour renvoyer des messages d’erreur génériques.</w:t>
      </w:r>
    </w:p>
    <w:p w:rsidR="00000000" w:rsidDel="00000000" w:rsidP="00000000" w:rsidRDefault="00000000" w:rsidRPr="00000000" w14:paraId="0000001A">
      <w:pPr>
        <w:ind w:left="720" w:firstLine="0"/>
        <w:rPr/>
      </w:pPr>
      <w:r w:rsidDel="00000000" w:rsidR="00000000" w:rsidRPr="00000000">
        <w:rPr>
          <w:rtl w:val="0"/>
        </w:rPr>
      </w:r>
    </w:p>
    <w:p w:rsidR="00000000" w:rsidDel="00000000" w:rsidP="00000000" w:rsidRDefault="00000000" w:rsidRPr="00000000" w14:paraId="0000001B">
      <w:pPr>
        <w:pStyle w:val="Heading1"/>
        <w:numPr>
          <w:ilvl w:val="0"/>
          <w:numId w:val="5"/>
        </w:numPr>
        <w:ind w:left="720" w:hanging="360"/>
        <w:rPr>
          <w:b w:val="1"/>
          <w:bCs w:val="1"/>
          <w:sz w:val="32"/>
          <w:szCs w:val="32"/>
        </w:rPr>
      </w:pPr>
      <w:bookmarkStart w:colFirst="0" w:colLast="0" w:name="_1n5nt9pawu0g" w:id="6"/>
      <w:bookmarkEnd w:id="6"/>
      <w:r w:rsidDel="00000000" w:rsidR="00000000" w:rsidRPr="00000000">
        <w:rPr>
          <w:rtl w:val="0"/>
        </w:rPr>
        <w:t xml:space="preserve">-</w:t>
        <w:tab/>
        <w:t xml:space="preserve">Analyses et Inspection sur l’API (IPSTACK)</w:t>
      </w:r>
    </w:p>
    <w:p w:rsidR="00000000" w:rsidDel="00000000" w:rsidP="00000000" w:rsidRDefault="00000000" w:rsidRPr="00000000" w14:paraId="0000001C">
      <w:pPr>
        <w:ind w:left="0" w:firstLine="0"/>
        <w:rPr/>
      </w:pPr>
      <w:r w:rsidDel="00000000" w:rsidR="00000000" w:rsidRPr="00000000">
        <w:rPr>
          <w:b w:val="1"/>
          <w:bCs w:val="1"/>
          <w:i w:val="1"/>
          <w:iCs w:val="1"/>
          <w:u w:val="single"/>
          <w:rtl w:val="0"/>
        </w:rPr>
        <w:t xml:space="preserve">Description</w:t>
      </w:r>
      <w:r w:rsidDel="00000000" w:rsidR="00000000" w:rsidRPr="00000000">
        <w:rPr>
          <w:i w:val="1"/>
          <w:iCs w:val="1"/>
          <w:u w:val="single"/>
          <w:rtl w:val="0"/>
        </w:rPr>
        <w:t xml:space="preserve"> </w:t>
      </w:r>
      <w:r w:rsidDel="00000000" w:rsidR="00000000" w:rsidRPr="00000000">
        <w:rPr>
          <w:rtl w:val="0"/>
        </w:rPr>
        <w:t xml:space="preserve">: API de géolocalisation par adresse IP</w:t>
      </w:r>
    </w:p>
    <w:p w:rsidR="00000000" w:rsidDel="00000000" w:rsidP="00000000" w:rsidRDefault="00000000" w:rsidRPr="00000000" w14:paraId="0000001D">
      <w:pPr>
        <w:pStyle w:val="Heading3"/>
        <w:numPr>
          <w:ilvl w:val="0"/>
          <w:numId w:val="4"/>
        </w:numPr>
        <w:ind w:left="720" w:hanging="360"/>
        <w:rPr>
          <w:u w:val="none"/>
        </w:rPr>
      </w:pPr>
      <w:bookmarkStart w:colFirst="0" w:colLast="0" w:name="_qa99w7p03lqh" w:id="7"/>
      <w:bookmarkEnd w:id="7"/>
      <w:r w:rsidDel="00000000" w:rsidR="00000000" w:rsidRPr="00000000">
        <w:rPr>
          <w:rtl w:val="0"/>
        </w:rPr>
        <w:t xml:space="preserve">Risques Identifiés</w:t>
      </w:r>
    </w:p>
    <w:p w:rsidR="00000000" w:rsidDel="00000000" w:rsidP="00000000" w:rsidRDefault="00000000" w:rsidRPr="00000000" w14:paraId="0000001E">
      <w:pPr>
        <w:ind w:left="720" w:firstLine="0"/>
        <w:rPr/>
      </w:pPr>
      <w:r w:rsidDel="00000000" w:rsidR="00000000" w:rsidRPr="00000000">
        <w:rPr/>
        <w:drawing>
          <wp:inline distB="114300" distT="114300" distL="114300" distR="114300">
            <wp:extent cx="5943600" cy="3340100"/>
            <wp:effectExtent b="0" l="0" r="0" t="0"/>
            <wp:docPr id="9"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numPr>
          <w:ilvl w:val="0"/>
          <w:numId w:val="3"/>
        </w:numPr>
        <w:ind w:left="720" w:hanging="360"/>
        <w:rPr>
          <w:b w:val="1"/>
          <w:bCs w:val="1"/>
        </w:rPr>
      </w:pPr>
      <w:r w:rsidDel="00000000" w:rsidR="00000000" w:rsidRPr="00000000">
        <w:rPr>
          <w:b w:val="1"/>
          <w:bCs w:val="1"/>
          <w:rtl w:val="0"/>
        </w:rPr>
        <w:t xml:space="preserve">Exposition excessive de données (Excessive Data Exposure) </w:t>
      </w:r>
    </w:p>
    <w:p w:rsidR="00000000" w:rsidDel="00000000" w:rsidP="00000000" w:rsidRDefault="00000000" w:rsidRPr="00000000" w14:paraId="00000020">
      <w:pPr>
        <w:ind w:left="720" w:firstLine="0"/>
        <w:rPr/>
      </w:pPr>
      <w:r w:rsidDel="00000000" w:rsidR="00000000" w:rsidRPr="00000000">
        <w:rPr>
          <w:b w:val="1"/>
          <w:bCs w:val="1"/>
          <w:rtl w:val="0"/>
        </w:rPr>
        <w:t xml:space="preserve">-</w:t>
        <w:tab/>
        <w:t xml:space="preserve">Observation : </w:t>
      </w:r>
      <w:r w:rsidDel="00000000" w:rsidR="00000000" w:rsidRPr="00000000">
        <w:rPr>
          <w:rtl w:val="0"/>
        </w:rPr>
        <w:t xml:space="preserve">Pour une simple requête de localisation, l’API renvoie des informations très précises : latitude, longitude, code postal et détails complets du continent.</w:t>
      </w:r>
    </w:p>
    <w:p w:rsidR="00000000" w:rsidDel="00000000" w:rsidP="00000000" w:rsidRDefault="00000000" w:rsidRPr="00000000" w14:paraId="00000021">
      <w:pPr>
        <w:ind w:left="720" w:firstLine="0"/>
        <w:rPr/>
      </w:pPr>
      <w:r w:rsidDel="00000000" w:rsidR="00000000" w:rsidRPr="00000000">
        <w:rPr>
          <w:rtl w:val="0"/>
        </w:rPr>
        <w:t xml:space="preserve">-</w:t>
        <w:tab/>
      </w:r>
      <w:r w:rsidDel="00000000" w:rsidR="00000000" w:rsidRPr="00000000">
        <w:rPr>
          <w:b w:val="1"/>
          <w:bCs w:val="1"/>
          <w:rtl w:val="0"/>
        </w:rPr>
        <w:t xml:space="preserve">Gravité</w:t>
      </w:r>
      <w:r w:rsidDel="00000000" w:rsidR="00000000" w:rsidRPr="00000000">
        <w:rPr>
          <w:rtl w:val="0"/>
        </w:rPr>
        <w:t xml:space="preserve"> : Moyenne.</w:t>
      </w:r>
    </w:p>
    <w:p w:rsidR="00000000" w:rsidDel="00000000" w:rsidP="00000000" w:rsidRDefault="00000000" w:rsidRPr="00000000" w14:paraId="00000022">
      <w:pPr>
        <w:ind w:left="720" w:firstLine="0"/>
        <w:rPr/>
      </w:pPr>
      <w:r w:rsidDel="00000000" w:rsidR="00000000" w:rsidRPr="00000000">
        <w:rPr>
          <w:rtl w:val="0"/>
        </w:rPr>
        <w:t xml:space="preserve">-</w:t>
        <w:tab/>
      </w:r>
      <w:r w:rsidDel="00000000" w:rsidR="00000000" w:rsidRPr="00000000">
        <w:rPr>
          <w:b w:val="1"/>
          <w:bCs w:val="1"/>
          <w:rtl w:val="0"/>
        </w:rPr>
        <w:t xml:space="preserve">Impact</w:t>
      </w:r>
      <w:r w:rsidDel="00000000" w:rsidR="00000000" w:rsidRPr="00000000">
        <w:rPr>
          <w:rtl w:val="0"/>
        </w:rPr>
        <w:t xml:space="preserve"> : Risque de non-conformité au RGPD si l’application manipule plus de données personnelles que nécessaire au service rendu.</w:t>
      </w:r>
    </w:p>
    <w:p w:rsidR="00000000" w:rsidDel="00000000" w:rsidP="00000000" w:rsidRDefault="00000000" w:rsidRPr="00000000" w14:paraId="00000023">
      <w:pPr>
        <w:pStyle w:val="Heading3"/>
        <w:numPr>
          <w:ilvl w:val="0"/>
          <w:numId w:val="4"/>
        </w:numPr>
        <w:ind w:left="720" w:hanging="360"/>
        <w:rPr>
          <w:b w:val="1"/>
          <w:bCs w:val="1"/>
          <w:color w:val="8c7252"/>
          <w:sz w:val="24"/>
          <w:szCs w:val="24"/>
        </w:rPr>
      </w:pPr>
      <w:bookmarkStart w:colFirst="0" w:colLast="0" w:name="_h64i22yh8kfq" w:id="8"/>
      <w:bookmarkEnd w:id="8"/>
      <w:r w:rsidDel="00000000" w:rsidR="00000000" w:rsidRPr="00000000">
        <w:rPr>
          <w:rtl w:val="0"/>
        </w:rPr>
        <w:t xml:space="preserve">Mesures correctives</w:t>
      </w:r>
    </w:p>
    <w:p w:rsidR="00000000" w:rsidDel="00000000" w:rsidP="00000000" w:rsidRDefault="00000000" w:rsidRPr="00000000" w14:paraId="00000024">
      <w:pPr>
        <w:ind w:left="720" w:firstLine="0"/>
        <w:rPr/>
      </w:pPr>
      <w:r w:rsidDel="00000000" w:rsidR="00000000" w:rsidRPr="00000000">
        <w:rPr>
          <w:rtl w:val="0"/>
        </w:rPr>
        <w:t xml:space="preserve">Mettre en place un </w:t>
      </w:r>
      <w:r w:rsidDel="00000000" w:rsidR="00000000" w:rsidRPr="00000000">
        <w:rPr>
          <w:b w:val="1"/>
          <w:bCs w:val="1"/>
          <w:rtl w:val="0"/>
        </w:rPr>
        <w:t xml:space="preserve">filtrage des réponses</w:t>
      </w:r>
      <w:r w:rsidDel="00000000" w:rsidR="00000000" w:rsidRPr="00000000">
        <w:rPr>
          <w:rtl w:val="0"/>
        </w:rPr>
        <w:t xml:space="preserve"> côté serveur pour ne renvoyer que les champs strictement nécessaires au client.</w:t>
      </w:r>
    </w:p>
    <w:p w:rsidR="00000000" w:rsidDel="00000000" w:rsidP="00000000" w:rsidRDefault="00000000" w:rsidRPr="00000000" w14:paraId="00000025">
      <w:pPr>
        <w:ind w:left="0" w:firstLine="0"/>
        <w:rPr/>
      </w:pPr>
      <w:r w:rsidDel="00000000" w:rsidR="00000000" w:rsidRPr="00000000">
        <w:rPr>
          <w:rtl w:val="0"/>
        </w:rPr>
      </w:r>
    </w:p>
    <w:p w:rsidR="00000000" w:rsidDel="00000000" w:rsidP="00000000" w:rsidRDefault="00000000" w:rsidRPr="00000000" w14:paraId="00000026">
      <w:pPr>
        <w:pStyle w:val="Heading1"/>
        <w:numPr>
          <w:ilvl w:val="0"/>
          <w:numId w:val="5"/>
        </w:numPr>
        <w:ind w:left="720" w:hanging="360"/>
        <w:rPr>
          <w:b w:val="1"/>
          <w:bCs w:val="1"/>
          <w:sz w:val="32"/>
          <w:szCs w:val="32"/>
        </w:rPr>
      </w:pPr>
      <w:bookmarkStart w:colFirst="0" w:colLast="0" w:name="_kcpbfsmre09t" w:id="9"/>
      <w:bookmarkEnd w:id="9"/>
      <w:r w:rsidDel="00000000" w:rsidR="00000000" w:rsidRPr="00000000">
        <w:rPr>
          <w:rtl w:val="0"/>
        </w:rPr>
        <w:t xml:space="preserve">-</w:t>
        <w:tab/>
        <w:t xml:space="preserve">TEST DE ROBUSTESSE (Validation des entrées)</w:t>
      </w:r>
    </w:p>
    <w:p w:rsidR="00000000" w:rsidDel="00000000" w:rsidP="00000000" w:rsidRDefault="00000000" w:rsidRPr="00000000" w14:paraId="00000027">
      <w:pPr>
        <w:ind w:left="720" w:firstLine="0"/>
        <w:rPr/>
      </w:pPr>
      <w:r w:rsidDel="00000000" w:rsidR="00000000" w:rsidRPr="00000000">
        <w:rPr/>
        <w:drawing>
          <wp:inline distB="114300" distT="114300" distL="114300" distR="114300">
            <wp:extent cx="5943600" cy="3340100"/>
            <wp:effectExtent b="0" l="0" r="0" t="0"/>
            <wp:docPr id="7" name="image10.png"/>
            <a:graphic>
              <a:graphicData uri="http://schemas.openxmlformats.org/drawingml/2006/picture">
                <pic:pic>
                  <pic:nvPicPr>
                    <pic:cNvPr id="0" name="image10.png"/>
                    <pic:cNvPicPr preferRelativeResize="0"/>
                  </pic:nvPicPr>
                  <pic:blipFill>
                    <a:blip r:embed="rId11"/>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ind w:left="0" w:firstLine="0"/>
        <w:rPr/>
      </w:pPr>
      <w:r w:rsidDel="00000000" w:rsidR="00000000" w:rsidRPr="00000000">
        <w:rPr>
          <w:rtl w:val="0"/>
        </w:rPr>
      </w:r>
    </w:p>
    <w:p w:rsidR="00000000" w:rsidDel="00000000" w:rsidP="00000000" w:rsidRDefault="00000000" w:rsidRPr="00000000" w14:paraId="00000029">
      <w:pPr>
        <w:ind w:left="0" w:firstLine="0"/>
        <w:rPr/>
      </w:pPr>
      <w:r w:rsidDel="00000000" w:rsidR="00000000" w:rsidRPr="00000000">
        <w:rPr/>
        <w:drawing>
          <wp:inline distB="114300" distT="114300" distL="114300" distR="114300">
            <wp:extent cx="5943600" cy="3340100"/>
            <wp:effectExtent b="0" l="0" r="0" t="0"/>
            <wp:docPr id="10"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ind w:left="0" w:firstLine="0"/>
        <w:rPr/>
      </w:pPr>
      <w:r w:rsidDel="00000000" w:rsidR="00000000" w:rsidRPr="00000000">
        <w:rPr>
          <w:rtl w:val="0"/>
        </w:rPr>
        <w:t xml:space="preserve">Un test d’injection a été réalisé sur le point de terminaison query en insérant des caractères de type SQL ( New Delhi;-- ).</w:t>
      </w:r>
    </w:p>
    <w:p w:rsidR="00000000" w:rsidDel="00000000" w:rsidP="00000000" w:rsidRDefault="00000000" w:rsidRPr="00000000" w14:paraId="0000002B">
      <w:pPr>
        <w:numPr>
          <w:ilvl w:val="0"/>
          <w:numId w:val="2"/>
        </w:numPr>
        <w:spacing w:after="0" w:afterAutospacing="0"/>
        <w:ind w:left="720" w:hanging="360"/>
        <w:rPr>
          <w:u w:val="none"/>
        </w:rPr>
      </w:pPr>
      <w:r w:rsidDel="00000000" w:rsidR="00000000" w:rsidRPr="00000000">
        <w:rPr>
          <w:b w:val="1"/>
          <w:bCs w:val="1"/>
          <w:rtl w:val="0"/>
        </w:rPr>
        <w:t xml:space="preserve">Résultat </w:t>
      </w:r>
      <w:r w:rsidDel="00000000" w:rsidR="00000000" w:rsidRPr="00000000">
        <w:rPr>
          <w:rtl w:val="0"/>
        </w:rPr>
        <w:t xml:space="preserve">: L’API a rejeté la requête avec un code 400 Bad Request.</w:t>
      </w:r>
    </w:p>
    <w:p w:rsidR="00000000" w:rsidDel="00000000" w:rsidP="00000000" w:rsidRDefault="00000000" w:rsidRPr="00000000" w14:paraId="0000002C">
      <w:pPr>
        <w:numPr>
          <w:ilvl w:val="0"/>
          <w:numId w:val="2"/>
        </w:numPr>
        <w:spacing w:before="0" w:beforeAutospacing="0"/>
        <w:ind w:left="720" w:hanging="360"/>
        <w:rPr>
          <w:u w:val="none"/>
        </w:rPr>
      </w:pPr>
      <w:r w:rsidDel="00000000" w:rsidR="00000000" w:rsidRPr="00000000">
        <w:rPr>
          <w:b w:val="1"/>
          <w:bCs w:val="1"/>
          <w:rtl w:val="0"/>
        </w:rPr>
        <w:t xml:space="preserve">Analyse du Consultant</w:t>
      </w:r>
      <w:r w:rsidDel="00000000" w:rsidR="00000000" w:rsidRPr="00000000">
        <w:rPr>
          <w:rtl w:val="0"/>
        </w:rPr>
        <w:t xml:space="preserve"> : Le système de validation est efficace contre les injections basiques. Cependant, la réponse JSON obtenue confirme que le point-virgule est interprété comme une tentative de “requête groupée”, ce qui révèle des indices sur le fonctionnement du moteur de requête.</w:t>
      </w:r>
    </w:p>
    <w:p w:rsidR="00000000" w:rsidDel="00000000" w:rsidP="00000000" w:rsidRDefault="00000000" w:rsidRPr="00000000" w14:paraId="0000002D">
      <w:pPr>
        <w:ind w:left="0" w:firstLine="0"/>
        <w:rPr/>
      </w:pPr>
      <w:r w:rsidDel="00000000" w:rsidR="00000000" w:rsidRPr="00000000">
        <w:rPr>
          <w:rtl w:val="0"/>
        </w:rPr>
      </w:r>
    </w:p>
    <w:p w:rsidR="00000000" w:rsidDel="00000000" w:rsidP="00000000" w:rsidRDefault="00000000" w:rsidRPr="00000000" w14:paraId="0000002E">
      <w:pPr>
        <w:pStyle w:val="Heading1"/>
        <w:numPr>
          <w:ilvl w:val="0"/>
          <w:numId w:val="5"/>
        </w:numPr>
        <w:ind w:left="720" w:hanging="360"/>
        <w:rPr>
          <w:b w:val="1"/>
          <w:bCs w:val="1"/>
          <w:sz w:val="32"/>
          <w:szCs w:val="32"/>
        </w:rPr>
      </w:pPr>
      <w:bookmarkStart w:colFirst="0" w:colLast="0" w:name="_qfsml2d0db4c" w:id="10"/>
      <w:bookmarkEnd w:id="10"/>
      <w:r w:rsidDel="00000000" w:rsidR="00000000" w:rsidRPr="00000000">
        <w:rPr>
          <w:rtl w:val="0"/>
        </w:rPr>
        <w:t xml:space="preserve">-</w:t>
        <w:tab/>
        <w:t xml:space="preserve">SYNTHÈSE DES RECOMMANDATIONS  GÉNÉRALES</w:t>
      </w:r>
    </w:p>
    <w:p w:rsidR="00000000" w:rsidDel="00000000" w:rsidP="00000000" w:rsidRDefault="00000000" w:rsidRPr="00000000" w14:paraId="0000002F">
      <w:pPr>
        <w:ind w:left="720" w:firstLine="0"/>
        <w:rPr/>
      </w:pPr>
      <w:r w:rsidDel="00000000" w:rsidR="00000000" w:rsidRPr="00000000">
        <w:rPr>
          <w:rtl w:val="0"/>
        </w:rPr>
        <w:t xml:space="preserve">Pour sécuriser l’ensemble de l’écosystème API, les bonnes pratiques suivantes doivent être adoptées.</w:t>
      </w:r>
    </w:p>
    <w:p w:rsidR="00000000" w:rsidDel="00000000" w:rsidP="00000000" w:rsidRDefault="00000000" w:rsidRPr="00000000" w14:paraId="00000030">
      <w:pPr>
        <w:numPr>
          <w:ilvl w:val="0"/>
          <w:numId w:val="6"/>
        </w:numPr>
        <w:spacing w:after="0" w:afterAutospacing="0"/>
        <w:ind w:left="1440" w:hanging="360"/>
        <w:rPr>
          <w:u w:val="none"/>
        </w:rPr>
      </w:pPr>
      <w:r w:rsidDel="00000000" w:rsidR="00000000" w:rsidRPr="00000000">
        <w:rPr>
          <w:b w:val="1"/>
          <w:bCs w:val="1"/>
          <w:rtl w:val="0"/>
        </w:rPr>
        <w:t xml:space="preserve">Chiffrement</w:t>
      </w:r>
      <w:r w:rsidDel="00000000" w:rsidR="00000000" w:rsidRPr="00000000">
        <w:rPr>
          <w:rtl w:val="0"/>
        </w:rPr>
        <w:t xml:space="preserve"> : Forcer l’utilisation exclusive du protocole HTTPS pour éviter l’interception des données en transit.</w:t>
      </w:r>
    </w:p>
    <w:p w:rsidR="00000000" w:rsidDel="00000000" w:rsidP="00000000" w:rsidRDefault="00000000" w:rsidRPr="00000000" w14:paraId="00000031">
      <w:pPr>
        <w:numPr>
          <w:ilvl w:val="0"/>
          <w:numId w:val="6"/>
        </w:numPr>
        <w:spacing w:after="0" w:afterAutospacing="0" w:before="0" w:beforeAutospacing="0"/>
        <w:ind w:left="1440" w:hanging="360"/>
        <w:rPr>
          <w:u w:val="none"/>
        </w:rPr>
      </w:pPr>
      <w:r w:rsidDel="00000000" w:rsidR="00000000" w:rsidRPr="00000000">
        <w:rPr>
          <w:b w:val="1"/>
          <w:bCs w:val="1"/>
          <w:rtl w:val="0"/>
        </w:rPr>
        <w:t xml:space="preserve">Limitation de débit (Rate Limiting)</w:t>
      </w:r>
      <w:r w:rsidDel="00000000" w:rsidR="00000000" w:rsidRPr="00000000">
        <w:rPr>
          <w:rtl w:val="0"/>
        </w:rPr>
        <w:t xml:space="preserve"> : Implémenter des quotas pour empêcher les attaques par force brute sur les clés API.</w:t>
      </w:r>
    </w:p>
    <w:p w:rsidR="00000000" w:rsidDel="00000000" w:rsidP="00000000" w:rsidRDefault="00000000" w:rsidRPr="00000000" w14:paraId="00000032">
      <w:pPr>
        <w:numPr>
          <w:ilvl w:val="0"/>
          <w:numId w:val="6"/>
        </w:numPr>
        <w:spacing w:before="0" w:beforeAutospacing="0"/>
        <w:ind w:left="1440" w:hanging="360"/>
        <w:rPr>
          <w:u w:val="none"/>
        </w:rPr>
      </w:pPr>
      <w:r w:rsidDel="00000000" w:rsidR="00000000" w:rsidRPr="00000000">
        <w:rPr>
          <w:b w:val="1"/>
          <w:bCs w:val="1"/>
          <w:rtl w:val="0"/>
        </w:rPr>
        <w:t xml:space="preserve">Journalisation sécurisée </w:t>
      </w:r>
      <w:r w:rsidDel="00000000" w:rsidR="00000000" w:rsidRPr="00000000">
        <w:rPr>
          <w:rtl w:val="0"/>
        </w:rPr>
        <w:t xml:space="preserve">: S’assurer que les clés secrètes ne sont jamais écrites dans les fichiers de logs.</w:t>
      </w:r>
    </w:p>
    <w:p w:rsidR="00000000" w:rsidDel="00000000" w:rsidP="00000000" w:rsidRDefault="00000000" w:rsidRPr="00000000" w14:paraId="00000033">
      <w:pPr>
        <w:ind w:left="0" w:firstLine="0"/>
        <w:rPr/>
      </w:pPr>
      <w:r w:rsidDel="00000000" w:rsidR="00000000" w:rsidRPr="00000000">
        <w:rPr>
          <w:rtl w:val="0"/>
        </w:rPr>
      </w:r>
    </w:p>
    <w:p w:rsidR="00000000" w:rsidDel="00000000" w:rsidP="00000000" w:rsidRDefault="00000000" w:rsidRPr="00000000" w14:paraId="00000034">
      <w:pPr>
        <w:pStyle w:val="Heading1"/>
        <w:numPr>
          <w:ilvl w:val="0"/>
          <w:numId w:val="5"/>
        </w:numPr>
        <w:ind w:left="720" w:hanging="360"/>
        <w:rPr>
          <w:b w:val="1"/>
          <w:bCs w:val="1"/>
          <w:sz w:val="32"/>
          <w:szCs w:val="32"/>
        </w:rPr>
      </w:pPr>
      <w:bookmarkStart w:colFirst="0" w:colLast="0" w:name="_v0641i38lub3" w:id="11"/>
      <w:bookmarkEnd w:id="11"/>
      <w:r w:rsidDel="00000000" w:rsidR="00000000" w:rsidRPr="00000000">
        <w:rPr>
          <w:rtl w:val="0"/>
        </w:rPr>
        <w:t xml:space="preserve">-</w:t>
        <w:tab/>
        <w:t xml:space="preserve">CONCLUSION</w:t>
      </w:r>
    </w:p>
    <w:p w:rsidR="00000000" w:rsidDel="00000000" w:rsidP="00000000" w:rsidRDefault="00000000" w:rsidRPr="00000000" w14:paraId="00000035">
      <w:pPr>
        <w:ind w:left="720" w:firstLine="0"/>
        <w:rPr/>
      </w:pPr>
      <w:r w:rsidDel="00000000" w:rsidR="00000000" w:rsidRPr="00000000">
        <w:rPr>
          <w:rtl w:val="0"/>
        </w:rPr>
        <w:t xml:space="preserve">L'audit a révélé que si les APIs testées disposent de protections contre les injections, elles présentent des faiblesses concernant la </w:t>
      </w:r>
      <w:r w:rsidDel="00000000" w:rsidR="00000000" w:rsidRPr="00000000">
        <w:rPr>
          <w:b w:val="1"/>
          <w:bCs w:val="1"/>
          <w:rtl w:val="0"/>
        </w:rPr>
        <w:t xml:space="preserve">confidentialité des identifiants</w:t>
      </w:r>
      <w:r w:rsidDel="00000000" w:rsidR="00000000" w:rsidRPr="00000000">
        <w:rPr>
          <w:rtl w:val="0"/>
        </w:rPr>
        <w:t xml:space="preserve"> et la </w:t>
      </w:r>
      <w:r w:rsidDel="00000000" w:rsidR="00000000" w:rsidRPr="00000000">
        <w:rPr>
          <w:b w:val="1"/>
          <w:bCs w:val="1"/>
          <w:rtl w:val="0"/>
        </w:rPr>
        <w:t xml:space="preserve">gestion de l'exposition des données</w:t>
      </w:r>
      <w:r w:rsidDel="00000000" w:rsidR="00000000" w:rsidRPr="00000000">
        <w:rPr>
          <w:rtl w:val="0"/>
        </w:rPr>
        <w:t xml:space="preserve">. L'application des mesures correctives proposées permettrait de réduire significativement la surface d'attaque de l'organisation.</w:t>
      </w:r>
    </w:p>
    <w:p w:rsidR="00000000" w:rsidDel="00000000" w:rsidP="00000000" w:rsidRDefault="00000000" w:rsidRPr="00000000" w14:paraId="00000036">
      <w:pPr>
        <w:ind w:left="0" w:firstLine="0"/>
        <w:rPr/>
      </w:pPr>
      <w:r w:rsidDel="00000000" w:rsidR="00000000" w:rsidRPr="00000000">
        <w:rPr>
          <w:rtl w:val="0"/>
        </w:rPr>
      </w:r>
    </w:p>
    <w:p w:rsidR="00000000" w:rsidDel="00000000" w:rsidP="00000000" w:rsidRDefault="00000000" w:rsidRPr="00000000" w14:paraId="00000037">
      <w:pPr>
        <w:ind w:left="0" w:firstLine="0"/>
        <w:rPr/>
      </w:pPr>
      <w:r w:rsidDel="00000000" w:rsidR="00000000" w:rsidRPr="00000000">
        <w:rPr>
          <w:rtl w:val="0"/>
        </w:rPr>
      </w:r>
    </w:p>
    <w:p w:rsidR="00000000" w:rsidDel="00000000" w:rsidP="00000000" w:rsidRDefault="00000000" w:rsidRPr="00000000" w14:paraId="00000038">
      <w:pPr>
        <w:ind w:left="0" w:firstLine="0"/>
        <w:rPr/>
      </w:pPr>
      <w:r w:rsidDel="00000000" w:rsidR="00000000" w:rsidRPr="00000000">
        <w:rPr>
          <w:rtl w:val="0"/>
        </w:rPr>
        <w:br w:type="textWrapping"/>
      </w:r>
    </w:p>
    <w:p w:rsidR="00000000" w:rsidDel="00000000" w:rsidP="00000000" w:rsidRDefault="00000000" w:rsidRPr="00000000" w14:paraId="00000039">
      <w:pPr>
        <w:ind w:left="0" w:firstLine="0"/>
        <w:rPr/>
      </w:pPr>
      <w:r w:rsidDel="00000000" w:rsidR="00000000" w:rsidRPr="00000000">
        <w:rPr>
          <w:rtl w:val="0"/>
        </w:rPr>
      </w:r>
    </w:p>
    <w:p w:rsidR="00000000" w:rsidDel="00000000" w:rsidP="00000000" w:rsidRDefault="00000000" w:rsidRPr="00000000" w14:paraId="0000003A">
      <w:pPr>
        <w:ind w:left="720" w:firstLine="0"/>
        <w:rPr/>
      </w:pPr>
      <w:r w:rsidDel="00000000" w:rsidR="00000000" w:rsidRPr="00000000">
        <w:rPr>
          <w:rtl w:val="0"/>
        </w:rPr>
      </w:r>
    </w:p>
    <w:p w:rsidR="00000000" w:rsidDel="00000000" w:rsidP="00000000" w:rsidRDefault="00000000" w:rsidRPr="00000000" w14:paraId="0000003B">
      <w:pPr>
        <w:ind w:left="0" w:firstLine="0"/>
        <w:rPr/>
      </w:pPr>
      <w:r w:rsidDel="00000000" w:rsidR="00000000" w:rsidRPr="00000000">
        <w:rPr>
          <w:rtl w:val="0"/>
        </w:rPr>
      </w:r>
    </w:p>
    <w:p w:rsidR="00000000" w:rsidDel="00000000" w:rsidP="00000000" w:rsidRDefault="00000000" w:rsidRPr="00000000" w14:paraId="0000003C">
      <w:pPr>
        <w:ind w:left="1440" w:firstLine="0"/>
        <w:rPr/>
      </w:pPr>
      <w:r w:rsidDel="00000000" w:rsidR="00000000" w:rsidRPr="00000000">
        <w:rPr>
          <w:rtl w:val="0"/>
        </w:rPr>
      </w:r>
    </w:p>
    <w:p w:rsidR="00000000" w:rsidDel="00000000" w:rsidP="00000000" w:rsidRDefault="00000000" w:rsidRPr="00000000" w14:paraId="0000003D">
      <w:pPr>
        <w:ind w:left="0" w:firstLine="0"/>
        <w:rPr/>
      </w:pPr>
      <w:r w:rsidDel="00000000" w:rsidR="00000000" w:rsidRPr="00000000">
        <w:rPr>
          <w:rtl w:val="0"/>
        </w:rPr>
      </w:r>
    </w:p>
    <w:p w:rsidR="00000000" w:rsidDel="00000000" w:rsidP="00000000" w:rsidRDefault="00000000" w:rsidRPr="00000000" w14:paraId="0000003E">
      <w:pPr>
        <w:ind w:left="720" w:firstLine="0"/>
        <w:rPr/>
      </w:pPr>
      <w:r w:rsidDel="00000000" w:rsidR="00000000" w:rsidRPr="00000000">
        <w:rPr>
          <w:rtl w:val="0"/>
        </w:rPr>
      </w:r>
    </w:p>
    <w:p w:rsidR="00000000" w:rsidDel="00000000" w:rsidP="00000000" w:rsidRDefault="00000000" w:rsidRPr="00000000" w14:paraId="0000003F">
      <w:pPr>
        <w:ind w:left="720" w:firstLine="0"/>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sectPr>
      <w:headerReference r:id="rId12" w:type="default"/>
      <w:headerReference r:id="rId13" w:type="first"/>
      <w:footerReference r:id="rId14" w:type="first"/>
      <w:footerReference r:id="rId15" w:type="default"/>
      <w:pgSz w:h="15840" w:w="12240" w:orient="portrait"/>
      <w:pgMar w:bottom="1440" w:top="1440" w:left="1440" w:right="1440" w:header="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Comic Sans MS"/>
  <w:font w:name="Economic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Open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2">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drawing>
        <wp:inline distB="114300" distT="114300" distL="114300" distR="114300">
          <wp:extent cx="5943600" cy="25400"/>
          <wp:effectExtent b="0" l="0" r="0" t="0"/>
          <wp:docPr descr="ligne horizontale" id="1" name="image2.png"/>
          <a:graphic>
            <a:graphicData uri="http://schemas.openxmlformats.org/drawingml/2006/picture">
              <pic:pic>
                <pic:nvPicPr>
                  <pic:cNvPr descr="ligne horizontale" id="0" name="image2.png"/>
                  <pic:cNvPicPr preferRelativeResize="0"/>
                </pic:nvPicPr>
                <pic:blipFill>
                  <a:blip r:embed="rId1"/>
                  <a:srcRect b="0" l="0" r="0" t="0"/>
                  <a:stretch>
                    <a:fillRect/>
                  </a:stretch>
                </pic:blipFill>
                <pic:spPr>
                  <a:xfrm>
                    <a:off x="0" y="0"/>
                    <a:ext cx="5943600" cy="25400"/>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pageBreakBefore w:val="0"/>
      <w:pBdr>
        <w:top w:space="0" w:sz="0" w:val="nil"/>
        <w:left w:space="0" w:sz="0" w:val="nil"/>
        <w:bottom w:space="0" w:sz="0" w:val="nil"/>
        <w:right w:space="0" w:sz="0" w:val="nil"/>
        <w:between w:space="0" w:sz="0" w:val="nil"/>
      </w:pBdr>
      <w:shd w:fill="auto" w:val="clear"/>
      <w:spacing w:after="0" w:before="0" w:line="240" w:lineRule="auto"/>
      <w:ind w:firstLine="75"/>
      <w:rPr>
        <w:rFonts w:ascii="Economica" w:cs="Economica" w:eastAsia="Economica" w:hAnsi="Economica"/>
      </w:rPr>
    </w:pPr>
    <w:r w:rsidDel="00000000" w:rsidR="00000000" w:rsidRPr="00000000">
      <w:rPr>
        <w:rFonts w:ascii="Economica" w:cs="Economica" w:eastAsia="Economica" w:hAnsi="Economica"/>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7">
    <w:pPr>
      <w:pageBreakBefore w:val="0"/>
      <w:pBdr>
        <w:top w:space="0" w:sz="0" w:val="nil"/>
        <w:left w:space="0" w:sz="0" w:val="nil"/>
        <w:bottom w:space="0" w:sz="0" w:val="nil"/>
        <w:right w:space="0" w:sz="0" w:val="nil"/>
        <w:between w:space="0" w:sz="0" w:val="nil"/>
      </w:pBdr>
      <w:shd w:fill="auto" w:val="clear"/>
      <w:spacing w:before="0" w:lineRule="auto"/>
      <w:rPr/>
    </w:pPr>
    <w:r w:rsidDel="00000000" w:rsidR="00000000" w:rsidRPr="00000000">
      <w:rPr/>
      <w:drawing>
        <wp:inline distB="114300" distT="114300" distL="114300" distR="114300">
          <wp:extent cx="5943600" cy="25400"/>
          <wp:effectExtent b="0" l="0" r="0" t="0"/>
          <wp:docPr descr="ligne horizontale" id="6" name="image3.png"/>
          <a:graphic>
            <a:graphicData uri="http://schemas.openxmlformats.org/drawingml/2006/picture">
              <pic:pic>
                <pic:nvPicPr>
                  <pic:cNvPr descr="ligne horizontale" id="0" name="image3.png"/>
                  <pic:cNvPicPr preferRelativeResize="0"/>
                </pic:nvPicPr>
                <pic:blipFill>
                  <a:blip r:embed="rId1"/>
                  <a:srcRect b="0" l="0" r="0" t="0"/>
                  <a:stretch>
                    <a:fillRect/>
                  </a:stretch>
                </pic:blipFill>
                <pic:spPr>
                  <a:xfrm>
                    <a:off x="0" y="0"/>
                    <a:ext cx="5943600" cy="25400"/>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pStyle w:val="Subtitle"/>
      <w:pageBreakBefore w:val="0"/>
      <w:pBdr>
        <w:top w:space="0" w:sz="0" w:val="nil"/>
        <w:left w:space="0" w:sz="0" w:val="nil"/>
        <w:bottom w:space="0" w:sz="0" w:val="nil"/>
        <w:right w:space="0" w:sz="0" w:val="nil"/>
        <w:between w:space="0" w:sz="0" w:val="nil"/>
      </w:pBdr>
      <w:shd w:fill="auto" w:val="clear"/>
      <w:spacing w:before="0" w:lineRule="auto"/>
      <w:rPr/>
    </w:pPr>
    <w:bookmarkStart w:colFirst="0" w:colLast="0" w:name="_w494w0yg8rg0" w:id="13"/>
    <w:bookmarkEnd w:id="13"/>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4">
    <w:pPr>
      <w:pStyle w:val="Subtitle"/>
      <w:pageBreakBefore w:val="0"/>
      <w:pBdr>
        <w:top w:space="0" w:sz="0" w:val="nil"/>
        <w:left w:space="0" w:sz="0" w:val="nil"/>
        <w:bottom w:space="0" w:sz="0" w:val="nil"/>
        <w:right w:space="0" w:sz="0" w:val="nil"/>
        <w:between w:space="0" w:sz="0" w:val="nil"/>
      </w:pBdr>
      <w:shd w:fill="auto" w:val="clear"/>
      <w:spacing w:before="600" w:lineRule="auto"/>
      <w:rPr/>
    </w:pPr>
    <w:bookmarkStart w:colFirst="0" w:colLast="0" w:name="_leajue2ys1lr" w:id="12"/>
    <w:bookmarkEnd w:id="12"/>
    <w:r w:rsidDel="00000000" w:rsidR="00000000" w:rsidRPr="00000000">
      <w:rPr>
        <w:rtl w:val="0"/>
      </w:rPr>
    </w:r>
  </w:p>
  <w:p w:rsidR="00000000" w:rsidDel="00000000" w:rsidP="00000000" w:rsidRDefault="00000000" w:rsidRPr="00000000" w14:paraId="00000045">
    <w:pPr>
      <w:pageBreakBefore w:val="0"/>
      <w:pBdr>
        <w:top w:space="0" w:sz="0" w:val="nil"/>
        <w:left w:space="0" w:sz="0" w:val="nil"/>
        <w:bottom w:space="0" w:sz="0" w:val="nil"/>
        <w:right w:space="0" w:sz="0" w:val="nil"/>
        <w:between w:space="0" w:sz="0" w:val="nil"/>
      </w:pBdr>
      <w:shd w:fill="auto" w:val="clear"/>
      <w:spacing w:before="0" w:line="240" w:lineRule="auto"/>
      <w:rPr/>
    </w:pPr>
    <w:r w:rsidDel="00000000" w:rsidR="00000000" w:rsidRPr="00000000">
      <w:rPr/>
      <w:drawing>
        <wp:inline distB="114300" distT="114300" distL="114300" distR="114300">
          <wp:extent cx="5943600" cy="25400"/>
          <wp:effectExtent b="0" l="0" r="0" t="0"/>
          <wp:docPr descr="ligne horizontale" id="3" name="image4.png"/>
          <a:graphic>
            <a:graphicData uri="http://schemas.openxmlformats.org/drawingml/2006/picture">
              <pic:pic>
                <pic:nvPicPr>
                  <pic:cNvPr descr="ligne horizontale" id="0" name="image4.png"/>
                  <pic:cNvPicPr preferRelativeResize="0"/>
                </pic:nvPicPr>
                <pic:blipFill>
                  <a:blip r:embed="rId1"/>
                  <a:srcRect b="0" l="0" r="0" t="0"/>
                  <a:stretch>
                    <a:fillRect/>
                  </a:stretch>
                </pic:blipFill>
                <pic:spPr>
                  <a:xfrm>
                    <a:off x="0" y="0"/>
                    <a:ext cx="5943600" cy="2540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sz w:val="22"/>
        <w:szCs w:val="22"/>
        <w:lang w:val="fr"/>
      </w:rPr>
    </w:rPrDefault>
    <w:pPrDefault>
      <w:pPr>
        <w:spacing w:before="200" w:line="360" w:lineRule="auto"/>
        <w:ind w:left="-15"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spacing w:after="0" w:lineRule="auto"/>
    </w:pPr>
    <w:rPr>
      <w:b w:val="1"/>
      <w:bCs w:val="1"/>
      <w:sz w:val="32"/>
      <w:szCs w:val="32"/>
    </w:rPr>
  </w:style>
  <w:style w:type="paragraph" w:styleId="Heading2">
    <w:name w:val="heading 2"/>
    <w:basedOn w:val="Normal"/>
    <w:next w:val="Normal"/>
    <w:pPr>
      <w:pageBreakBefore w:val="0"/>
      <w:spacing w:after="0" w:before="480" w:line="240" w:lineRule="auto"/>
      <w:ind w:right="1785"/>
    </w:pPr>
    <w:rPr>
      <w:b w:val="1"/>
      <w:bCs w:val="1"/>
      <w:sz w:val="26"/>
      <w:szCs w:val="26"/>
    </w:rPr>
  </w:style>
  <w:style w:type="paragraph" w:styleId="Heading3">
    <w:name w:val="heading 3"/>
    <w:basedOn w:val="Normal"/>
    <w:next w:val="Normal"/>
    <w:pPr>
      <w:pageBreakBefore w:val="0"/>
    </w:pPr>
    <w:rPr>
      <w:b w:val="1"/>
      <w:bCs w:val="1"/>
      <w:color w:val="8c7252"/>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pageBreakBefore w:val="0"/>
      <w:spacing w:before="0" w:line="240" w:lineRule="auto"/>
      <w:ind w:left="0" w:firstLine="15"/>
    </w:pPr>
    <w:rPr>
      <w:rFonts w:ascii="Economica" w:cs="Economica" w:eastAsia="Economica" w:hAnsi="Economica"/>
      <w:sz w:val="60"/>
      <w:szCs w:val="60"/>
    </w:rPr>
  </w:style>
  <w:style w:type="paragraph" w:styleId="Subtitle">
    <w:name w:val="Subtitle"/>
    <w:basedOn w:val="Normal"/>
    <w:next w:val="Normal"/>
    <w:pPr>
      <w:pageBreakBefore w:val="0"/>
      <w:spacing w:before="0" w:line="240" w:lineRule="auto"/>
    </w:pPr>
    <w:rPr>
      <w:rFonts w:ascii="Economica" w:cs="Economica" w:eastAsia="Economica" w:hAnsi="Economica"/>
      <w:color w:val="999999"/>
      <w:sz w:val="28"/>
      <w:szCs w:val="28"/>
    </w:rPr>
  </w:style>
</w:styles>
</file>

<file path=word/_rels/document.xml.rels><?xml version="1.0" encoding="UTF-8" standalone="yes"?><Relationships xmlns="http://schemas.openxmlformats.org/package/2006/relationships"><Relationship Id="rId11" Type="http://schemas.openxmlformats.org/officeDocument/2006/relationships/image" Target="media/image10.png"/><Relationship Id="rId10" Type="http://schemas.openxmlformats.org/officeDocument/2006/relationships/image" Target="media/image9.png"/><Relationship Id="rId13" Type="http://schemas.openxmlformats.org/officeDocument/2006/relationships/header" Target="header2.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5" Type="http://schemas.openxmlformats.org/officeDocument/2006/relationships/footer" Target="footer1.xml"/><Relationship Id="rId14"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8.jp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Economica-regular.ttf"/><Relationship Id="rId2" Type="http://schemas.openxmlformats.org/officeDocument/2006/relationships/font" Target="fonts/Economica-bold.ttf"/><Relationship Id="rId3" Type="http://schemas.openxmlformats.org/officeDocument/2006/relationships/font" Target="fonts/Economica-italic.ttf"/><Relationship Id="rId4" Type="http://schemas.openxmlformats.org/officeDocument/2006/relationships/font" Target="fonts/Economica-boldItalic.ttf"/><Relationship Id="rId5" Type="http://schemas.openxmlformats.org/officeDocument/2006/relationships/font" Target="fonts/OpenSans-regular.ttf"/><Relationship Id="rId6" Type="http://schemas.openxmlformats.org/officeDocument/2006/relationships/font" Target="fonts/OpenSans-bold.ttf"/><Relationship Id="rId7" Type="http://schemas.openxmlformats.org/officeDocument/2006/relationships/font" Target="fonts/OpenSans-italic.ttf"/><Relationship Id="rId8" Type="http://schemas.openxmlformats.org/officeDocument/2006/relationships/font" Target="fonts/OpenSans-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