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6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StreamFab Netflix Downloader 商店全维度综合数据分析报告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报告基本信息与生命周期定位</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报告生成日期</w:t>
      </w:r>
      <w:r w:rsidDel="00000000" w:rsidR="00000000" w:rsidRPr="00000000">
        <w:rPr>
          <w:rFonts w:ascii="Google Sans" w:cs="Google Sans" w:eastAsia="Google Sans" w:hAnsi="Google Sans"/>
          <w:color w:val="1f1f1f"/>
          <w:rtl w:val="0"/>
        </w:rPr>
        <w:t xml:space="preserve">：2026年5月27日</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数据统计周期</w:t>
      </w:r>
      <w:r w:rsidDel="00000000" w:rsidR="00000000" w:rsidRPr="00000000">
        <w:rPr>
          <w:rFonts w:ascii="Google Sans" w:cs="Google Sans" w:eastAsia="Google Sans" w:hAnsi="Google Sans"/>
          <w:color w:val="1f1f1f"/>
          <w:rtl w:val="0"/>
        </w:rPr>
        <w:t xml:space="preserve">：最近30天（2026年4月26日 至 2026年5月26日）</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产品生命周期定位</w:t>
      </w:r>
      <w:r w:rsidDel="00000000" w:rsidR="00000000" w:rsidRPr="00000000">
        <w:rPr>
          <w:rFonts w:ascii="Google Sans" w:cs="Google Sans" w:eastAsia="Google Sans" w:hAnsi="Google Sans"/>
          <w:color w:val="1f1f1f"/>
          <w:rtl w:val="0"/>
        </w:rPr>
        <w:t xml:space="preserve">：成熟在架运营期（具备稳定的内生型公域流量和健康的用户资产沉淀）</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技术架构约束</w:t>
      </w:r>
      <w:r w:rsidDel="00000000" w:rsidR="00000000" w:rsidRPr="00000000">
        <w:rPr>
          <w:rFonts w:ascii="Google Sans" w:cs="Google Sans" w:eastAsia="Google Sans" w:hAnsi="Google Sans"/>
          <w:color w:val="1f1f1f"/>
          <w:rtl w:val="0"/>
        </w:rPr>
        <w:t xml:space="preserve">：前端浏览器 UI 嗅探 + 电脑底层服务进程协作（仅支持 Windows 系统）</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一、 📊 核心数据大盘</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核心指标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绝对数值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环比大盘趋势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数据机理与业务核心表现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总下载安装 (Installs)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265 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30天内公域自然搜索的平稳转化，产品自带刚需长尾流量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总卸载流失 (Uninstalls)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125 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伴随安装量上升，流失率反而逆势收窄，留存资产质量优化</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周活跃用户 (WAU)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337 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38.63%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常驻激活设备数在矩阵中表现抢眼，存量老客粘性极强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综合评分 (Ratings)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 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暂无有效评价，口碑基本盘处于空白防御期</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二、 🔍 核心维度深度诊断</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6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流量入口：重度依赖内生搜索，工具型“直接安装”特征明显</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渠道结构</w:t>
      </w:r>
      <w:r w:rsidDel="00000000" w:rsidR="00000000" w:rsidRPr="00000000">
        <w:rPr>
          <w:rFonts w:ascii="Google Sans" w:cs="Google Sans" w:eastAsia="Google Sans" w:hAnsi="Google Sans"/>
          <w:color w:val="1f1f1f"/>
          <w:rtl w:val="0"/>
        </w:rPr>
        <w:t xml:space="preserve">：ext_sidebar（浏览器扩展管理侧边栏）独立贡献了超过 </w:t>
      </w:r>
      <w:r w:rsidDel="00000000" w:rsidR="00000000" w:rsidRPr="00000000">
        <w:rPr>
          <w:rFonts w:ascii="Google Sans" w:cs="Google Sans" w:eastAsia="Google Sans" w:hAnsi="Google Sans"/>
          <w:b w:val="1"/>
          <w:bCs w:val="1"/>
          <w:color w:val="1f1f1f"/>
          <w:rtl w:val="0"/>
        </w:rPr>
        <w:t xml:space="preserve">82%</w:t>
      </w:r>
      <w:r w:rsidDel="00000000" w:rsidR="00000000" w:rsidRPr="00000000">
        <w:rPr>
          <w:rFonts w:ascii="Google Sans" w:cs="Google Sans" w:eastAsia="Google Sans" w:hAnsi="Google Sans"/>
          <w:color w:val="1f1f1f"/>
          <w:rtl w:val="0"/>
        </w:rPr>
        <w:t xml:space="preserve"> 的详情页访问量，曝光高度依赖用户在浏览器内部的原生检索。</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倒挂现象</w:t>
      </w:r>
      <w:r w:rsidDel="00000000" w:rsidR="00000000" w:rsidRPr="00000000">
        <w:rPr>
          <w:rFonts w:ascii="Google Sans" w:cs="Google Sans" w:eastAsia="Google Sans" w:hAnsi="Google Sans"/>
          <w:color w:val="1f1f1f"/>
          <w:rtl w:val="0"/>
        </w:rPr>
        <w:t xml:space="preserve">：全月总安装量（265次）显著高于详情页访问量的累计值。这表明绝大多数精准需求用户在商店搜索结果中，直接点击列表卡片上的“添加至 Chrome”完成安装，</w:t>
      </w:r>
      <w:r w:rsidDel="00000000" w:rsidR="00000000" w:rsidRPr="00000000">
        <w:rPr>
          <w:rFonts w:ascii="Google Sans" w:cs="Google Sans" w:eastAsia="Google Sans" w:hAnsi="Google Sans"/>
          <w:b w:val="1"/>
          <w:bCs w:val="1"/>
          <w:color w:val="1f1f1f"/>
          <w:rtl w:val="0"/>
        </w:rPr>
        <w:t xml:space="preserve">不进店浏览详情页</w:t>
      </w:r>
      <w:r w:rsidDel="00000000" w:rsidR="00000000" w:rsidRPr="00000000">
        <w:rPr>
          <w:rFonts w:ascii="Google Sans" w:cs="Google Sans" w:eastAsia="Google Sans" w:hAnsi="Google Sans"/>
          <w:color w:val="1f1f1f"/>
          <w:rtl w:val="0"/>
        </w:rPr>
        <w:t xml:space="preserve">。因此，搜索结果页的“第一眼视觉（图标、标题、简短摘要）”是实质上的核心转化触点。</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60" w:before="1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活跃留存：Windows 用户构成高粘性基本盘</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系统结构</w:t>
      </w:r>
      <w:r w:rsidDel="00000000" w:rsidR="00000000" w:rsidRPr="00000000">
        <w:rPr>
          <w:rFonts w:ascii="Google Sans" w:cs="Google Sans" w:eastAsia="Google Sans" w:hAnsi="Google Sans"/>
          <w:color w:val="1f1f1f"/>
          <w:rtl w:val="0"/>
        </w:rPr>
        <w:t xml:space="preserve">：根据 </w:t>
      </w:r>
      <w:hyperlink r:id="rId6">
        <w:r w:rsidDel="00000000" w:rsidR="00000000" w:rsidRPr="00000000">
          <w:rPr>
            <w:rFonts w:ascii="Google Sans" w:cs="Google Sans" w:eastAsia="Google Sans" w:hAnsi="Google Sans"/>
            <w:color w:val="0b57d0"/>
            <w:u w:val="single"/>
            <w:rtl w:val="0"/>
          </w:rPr>
          <w:t xml:space="preserve">Users 看板</w:t>
        </w:r>
      </w:hyperlink>
      <w:r w:rsidDel="00000000" w:rsidR="00000000" w:rsidRPr="00000000">
        <w:rPr>
          <w:rFonts w:ascii="Google Sans" w:cs="Google Sans" w:eastAsia="Google Sans" w:hAnsi="Google Sans"/>
          <w:color w:val="1f1f1f"/>
          <w:rtl w:val="0"/>
        </w:rPr>
        <w:t xml:space="preserve"> 数据，在 WAU 构成中 </w:t>
      </w:r>
      <w:r w:rsidDel="00000000" w:rsidR="00000000" w:rsidRPr="00000000">
        <w:rPr>
          <w:rFonts w:ascii="Google Sans" w:cs="Google Sans" w:eastAsia="Google Sans" w:hAnsi="Google Sans"/>
          <w:b w:val="1"/>
          <w:bCs w:val="1"/>
          <w:color w:val="1f1f1f"/>
          <w:rtl w:val="0"/>
        </w:rPr>
        <w:t xml:space="preserve">Windows 占比高达 84%</w:t>
      </w:r>
      <w:r w:rsidDel="00000000" w:rsidR="00000000" w:rsidRPr="00000000">
        <w:rPr>
          <w:rFonts w:ascii="Google Sans" w:cs="Google Sans" w:eastAsia="Google Sans" w:hAnsi="Google Sans"/>
          <w:color w:val="1f1f1f"/>
          <w:rtl w:val="0"/>
        </w:rPr>
        <w:t xml:space="preserve">，构成了产品绝对的使用主力；Mac OS 留存占比 11%；ChromeOS 活跃度几近归零。</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留存质量</w:t>
      </w:r>
      <w:r w:rsidDel="00000000" w:rsidR="00000000" w:rsidRPr="00000000">
        <w:rPr>
          <w:rFonts w:ascii="Google Sans" w:cs="Google Sans" w:eastAsia="Google Sans" w:hAnsi="Google Sans"/>
          <w:color w:val="1f1f1f"/>
          <w:rtl w:val="0"/>
        </w:rPr>
        <w:t xml:space="preserve">：38.63% 的 WAU 环比增速极为健康，证明通过 Windows 环境成功激活 Coapp 协作的核心受众使用粘性极高，产品已成功沉淀出一批重度的工具依赖型老客。</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60" w:before="1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客群分布：高价值变现市场的多点开花</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地域与语言画像</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美国（United States）占比 20%</w:t>
      </w:r>
      <w:r w:rsidDel="00000000" w:rsidR="00000000" w:rsidRPr="00000000">
        <w:rPr>
          <w:rFonts w:ascii="Google Sans" w:cs="Google Sans" w:eastAsia="Google Sans" w:hAnsi="Google Sans"/>
          <w:color w:val="1f1f1f"/>
          <w:rtl w:val="0"/>
        </w:rPr>
        <w:t xml:space="preserve"> 维持大盘基本盘；</w:t>
      </w:r>
      <w:r w:rsidDel="00000000" w:rsidR="00000000" w:rsidRPr="00000000">
        <w:rPr>
          <w:rFonts w:ascii="Google Sans" w:cs="Google Sans" w:eastAsia="Google Sans" w:hAnsi="Google Sans"/>
          <w:b w:val="1"/>
          <w:bCs w:val="1"/>
          <w:color w:val="1f1f1f"/>
          <w:rtl w:val="0"/>
        </w:rPr>
        <w:t xml:space="preserve">日本（Japan）占比 11%</w:t>
      </w:r>
      <w:r w:rsidDel="00000000" w:rsidR="00000000" w:rsidRPr="00000000">
        <w:rPr>
          <w:rFonts w:ascii="Google Sans" w:cs="Google Sans" w:eastAsia="Google Sans" w:hAnsi="Google Sans"/>
          <w:color w:val="1f1f1f"/>
          <w:rtl w:val="0"/>
        </w:rPr>
        <w:t xml:space="preserve"> 稳居第二；</w:t>
      </w:r>
      <w:r w:rsidDel="00000000" w:rsidR="00000000" w:rsidRPr="00000000">
        <w:rPr>
          <w:rFonts w:ascii="Google Sans" w:cs="Google Sans" w:eastAsia="Google Sans" w:hAnsi="Google Sans"/>
          <w:b w:val="1"/>
          <w:bCs w:val="1"/>
          <w:color w:val="1f1f1f"/>
          <w:rtl w:val="0"/>
        </w:rPr>
        <w:t xml:space="preserve">德国（Germany）占比 9%</w:t>
      </w:r>
      <w:r w:rsidDel="00000000" w:rsidR="00000000" w:rsidRPr="00000000">
        <w:rPr>
          <w:rFonts w:ascii="Google Sans" w:cs="Google Sans" w:eastAsia="Google Sans" w:hAnsi="Google Sans"/>
          <w:color w:val="1f1f1f"/>
          <w:rtl w:val="0"/>
        </w:rPr>
        <w:t xml:space="preserve"> 位列第三。</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业务洞察</w:t>
      </w:r>
      <w:r w:rsidDel="00000000" w:rsidR="00000000" w:rsidRPr="00000000">
        <w:rPr>
          <w:rFonts w:ascii="Google Sans" w:cs="Google Sans" w:eastAsia="Google Sans" w:hAnsi="Google Sans"/>
          <w:color w:val="1f1f1f"/>
          <w:rtl w:val="0"/>
        </w:rPr>
        <w:t xml:space="preserve">：Netflix 下载器展现出了极强的跨洲际破圈能力。核心亮点在于</w:t>
      </w:r>
      <w:r w:rsidDel="00000000" w:rsidR="00000000" w:rsidRPr="00000000">
        <w:rPr>
          <w:rFonts w:ascii="Google Sans" w:cs="Google Sans" w:eastAsia="Google Sans" w:hAnsi="Google Sans"/>
          <w:b w:val="1"/>
          <w:bCs w:val="1"/>
          <w:color w:val="1f1f1f"/>
          <w:rtl w:val="0"/>
        </w:rPr>
        <w:t xml:space="preserve">日本市场（11% 周活占比）</w:t>
      </w:r>
      <w:r w:rsidDel="00000000" w:rsidR="00000000" w:rsidRPr="00000000">
        <w:rPr>
          <w:rFonts w:ascii="Google Sans" w:cs="Google Sans" w:eastAsia="Google Sans" w:hAnsi="Google Sans"/>
          <w:color w:val="1f1f1f"/>
          <w:rtl w:val="0"/>
        </w:rPr>
        <w:t xml:space="preserve">，与日语系统环境（12%）精准契合。鉴于日区极高的客单价（高 ARPU 值），这部分常驻周活是目前矩阵中最具变现潜力的黄金资产。</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三、 🛠️ 针对性运营行动方案</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全面启动日本（JP）与德国（DE）区域的 Listing 本地化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日区与德区合计贡献了五分之一的常驻活跃用户。目前纯英文的详情页和摘要会拉低这两类高意愿用户的自然截流效率，建议优先推出对应的日语和德语本地化版本，精准收割当地流媒体长尾搜索红利。</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防范 Campaign 渠道数据真空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目前后台外部营销访问（Campaign PV）完全空白。后续针对该插件进行任何官网 Banner 导流、外部论坛发帖或邮件宣发（Newsletter）时，必须统一加注渠道标记参数（如 ?utm_campaign=netflix_jp_promo），以便将私域导流与公域自然流量进行数字化隔离分析。</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建立初始口碑防御墙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当前产品处于“零评价”状态，在自然差评出现前，是建立口碑护城河的黄金窗口。建议利用已有桌面端的付费老用户通路，定向引导 5-10 名已成功运行的 Windows 付费用户至商店录入 5 星好评，将初始综合评分锚定在高位。</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rome.google.com/webstore/devconsole/add57829-49fb-4612-ae38-d33b21f60d2e/glcbkndciojfeepepdoeofgpojigcdmf/analytics/us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