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rPr>
          <w:rFonts w:ascii="Times New Roman"/>
          <w:sz w:val="55"/>
        </w:rPr>
      </w:pPr>
    </w:p>
    <w:p>
      <w:pPr>
        <w:pStyle w:val="Heading1"/>
        <w:spacing w:before="0"/>
        <w:ind w:left="3265"/>
      </w:pPr>
      <w:r>
        <w:rPr>
          <w:w w:val="95"/>
        </w:rPr>
        <w:t>中荷人寿保险有限公司</w:t>
      </w:r>
    </w:p>
    <w:p>
      <w:pPr>
        <w:spacing w:line="297" w:lineRule="auto" w:before="33"/>
        <w:ind w:left="1922" w:right="311" w:firstLine="31"/>
        <w:jc w:val="left"/>
        <w:rPr>
          <w:b/>
          <w:sz w:val="18"/>
        </w:rPr>
      </w:pPr>
      <w:r>
        <w:rPr/>
        <w:br w:type="column"/>
      </w:r>
      <w:r>
        <w:rPr>
          <w:b/>
          <w:sz w:val="18"/>
        </w:rPr>
        <w:t>中荷人寿</w:t>
      </w:r>
      <w:r>
        <w:rPr>
          <w:rFonts w:ascii="Times New Roman" w:eastAsia="Times New Roman"/>
          <w:b/>
          <w:sz w:val="18"/>
        </w:rPr>
        <w:t>[2015] </w:t>
      </w:r>
      <w:r>
        <w:rPr>
          <w:b/>
          <w:sz w:val="18"/>
        </w:rPr>
        <w:t>疾病保险 </w:t>
      </w:r>
      <w:r>
        <w:rPr>
          <w:rFonts w:ascii="Times New Roman" w:eastAsia="Times New Roman"/>
          <w:b/>
          <w:sz w:val="18"/>
        </w:rPr>
        <w:t>032 </w:t>
      </w:r>
      <w:r>
        <w:rPr>
          <w:b/>
          <w:sz w:val="18"/>
        </w:rPr>
        <w:t>号</w:t>
      </w:r>
    </w:p>
    <w:p>
      <w:pPr>
        <w:spacing w:after="0" w:line="297" w:lineRule="auto"/>
        <w:jc w:val="left"/>
        <w:rPr>
          <w:sz w:val="18"/>
        </w:rPr>
        <w:sectPr>
          <w:type w:val="continuous"/>
          <w:pgSz w:w="11910" w:h="16840"/>
          <w:pgMar w:top="240" w:bottom="280" w:left="1200" w:right="640"/>
          <w:cols w:num="2" w:equalWidth="0">
            <w:col w:w="6467" w:space="40"/>
            <w:col w:w="3563"/>
          </w:cols>
        </w:sectPr>
      </w:pPr>
    </w:p>
    <w:p>
      <w:pPr>
        <w:pStyle w:val="BodyText"/>
        <w:spacing w:before="6"/>
        <w:rPr>
          <w:b/>
          <w:sz w:val="14"/>
        </w:rPr>
      </w:pPr>
    </w:p>
    <w:p>
      <w:pPr>
        <w:spacing w:before="44"/>
        <w:ind w:left="0" w:right="101" w:firstLine="0"/>
        <w:jc w:val="right"/>
        <w:rPr>
          <w:b/>
          <w:sz w:val="18"/>
        </w:rPr>
      </w:pPr>
      <w:r>
        <w:rPr/>
        <w:drawing>
          <wp:anchor distT="0" distB="0" distL="0" distR="0" allowOverlap="1" layoutInCell="1" locked="0" behindDoc="0" simplePos="0" relativeHeight="1072">
            <wp:simplePos x="0" y="0"/>
            <wp:positionH relativeFrom="page">
              <wp:posOffset>6152515</wp:posOffset>
            </wp:positionH>
            <wp:positionV relativeFrom="paragraph">
              <wp:posOffset>-736196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18"/>
        </w:rPr>
        <w:t>请扫描以查询验证条款</w:t>
      </w:r>
    </w:p>
    <w:p>
      <w:pPr>
        <w:pStyle w:val="Heading1"/>
        <w:spacing w:before="148"/>
        <w:ind w:left="1303" w:right="1636"/>
        <w:jc w:val="center"/>
      </w:pPr>
      <w:r>
        <w:rPr/>
        <w:t>中荷附加一生关爱定期重大疾病保险 F 款合同条款</w:t>
      </w:r>
    </w:p>
    <w:p>
      <w:pPr>
        <w:pStyle w:val="BodyText"/>
        <w:spacing w:before="7"/>
        <w:rPr>
          <w:rFonts w:ascii="微软雅黑"/>
          <w:b/>
          <w:sz w:val="17"/>
        </w:rPr>
      </w:pPr>
      <w:r>
        <w:rPr/>
        <w:pict>
          <v:line style="position:absolute;mso-position-horizontal-relative:page;mso-position-vertical-relative:paragraph;z-index:0;mso-wrap-distance-left:0;mso-wrap-distance-right:0" from="75.699997pt,17.411604pt" to="537.699997pt,17.411604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3"/>
        <w:rPr>
          <w:rFonts w:ascii="微软雅黑"/>
          <w:b/>
          <w:sz w:val="18"/>
        </w:rPr>
      </w:pPr>
      <w:r>
        <w:rPr/>
        <w:pict>
          <v:shapetype id="_x0000_t202" o:spt="202" coordsize="21600,21600" path="m,l,21600r21600,l21600,xe">
            <v:stroke joinstyle="miter"/>
            <v:path gradientshapeok="t" o:connecttype="rect"/>
          </v:shapetype>
          <v:shape style="position:absolute;margin-left:243.699997pt;margin-top:18.177725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5"/>
        <w:rPr>
          <w:rFonts w:ascii="微软雅黑"/>
          <w:b/>
          <w:sz w:val="23"/>
        </w:rPr>
      </w:pPr>
    </w:p>
    <w:p>
      <w:pPr>
        <w:pStyle w:val="Heading3"/>
        <w:ind w:left="103"/>
      </w:pPr>
      <w:r>
        <w:rPr/>
        <w:t>本阅读提示是为了帮助投保人、被保险人和受益人更好理解条款，对本合同内容的解释以条款正文为准。</w:t>
      </w:r>
    </w:p>
    <w:p>
      <w:pPr>
        <w:pStyle w:val="BodyText"/>
        <w:spacing w:before="6"/>
        <w:rPr>
          <w:b/>
          <w:sz w:val="24"/>
        </w:rPr>
      </w:pPr>
    </w:p>
    <w:p>
      <w:pPr>
        <w:spacing w:before="1"/>
        <w:ind w:left="2510" w:right="0" w:firstLine="0"/>
        <w:jc w:val="left"/>
        <w:rPr>
          <w:b/>
          <w:sz w:val="24"/>
        </w:rPr>
      </w:pPr>
      <w:r>
        <w:rPr>
          <w:b/>
          <w:w w:val="95"/>
          <w:sz w:val="24"/>
        </w:rPr>
        <w:t>投保人、被保险人、受益人应当特别注意的事项</w:t>
      </w:r>
    </w:p>
    <w:p>
      <w:pPr>
        <w:pStyle w:val="BodyText"/>
        <w:tabs>
          <w:tab w:pos="9246" w:val="right" w:leader="dot"/>
        </w:tabs>
        <w:spacing w:before="338"/>
        <w:ind w:left="103"/>
      </w:pPr>
      <w:r>
        <w:rPr/>
        <w:t>被保</w:t>
      </w:r>
      <w:r>
        <w:rPr>
          <w:spacing w:val="-3"/>
        </w:rPr>
        <w:t>险</w:t>
      </w:r>
      <w:r>
        <w:rPr/>
        <w:t>人</w:t>
      </w:r>
      <w:r>
        <w:rPr>
          <w:spacing w:val="-3"/>
        </w:rPr>
        <w:t>可</w:t>
      </w:r>
      <w:r>
        <w:rPr/>
        <w:t>以</w:t>
      </w:r>
      <w:r>
        <w:rPr>
          <w:spacing w:val="-3"/>
        </w:rPr>
        <w:t>享</w:t>
      </w:r>
      <w:r>
        <w:rPr/>
        <w:t>受</w:t>
      </w:r>
      <w:r>
        <w:rPr>
          <w:spacing w:val="-3"/>
        </w:rPr>
        <w:t>本</w:t>
      </w:r>
      <w:r>
        <w:rPr/>
        <w:t>保</w:t>
      </w:r>
      <w:r>
        <w:rPr>
          <w:spacing w:val="-3"/>
        </w:rPr>
        <w:t>险</w:t>
      </w:r>
      <w:r>
        <w:rPr/>
        <w:t>提供</w:t>
      </w:r>
      <w:r>
        <w:rPr>
          <w:spacing w:val="-3"/>
        </w:rPr>
        <w:t>的</w:t>
      </w:r>
      <w:r>
        <w:rPr/>
        <w:t>保</w:t>
      </w:r>
      <w:r>
        <w:rPr>
          <w:spacing w:val="-3"/>
        </w:rPr>
        <w:t>障</w:t>
      </w:r>
      <w:r>
        <w:rPr/>
        <w:t>利益</w:t>
        <w:tab/>
        <w:t>2.2</w:t>
      </w:r>
    </w:p>
    <w:p>
      <w:pPr>
        <w:pStyle w:val="Heading3"/>
        <w:tabs>
          <w:tab w:pos="9172" w:val="right" w:leader="dot"/>
        </w:tabs>
        <w:spacing w:before="37"/>
        <w:ind w:left="103"/>
      </w:pPr>
      <w:r>
        <w:rPr/>
        <w:t>在某些情况下，我</w:t>
      </w:r>
      <w:r>
        <w:rPr>
          <w:spacing w:val="-3"/>
        </w:rPr>
        <w:t>们</w:t>
      </w:r>
      <w:r>
        <w:rPr/>
        <w:t>不</w:t>
      </w:r>
      <w:r>
        <w:rPr>
          <w:spacing w:val="-3"/>
        </w:rPr>
        <w:t>承</w:t>
      </w:r>
      <w:r>
        <w:rPr/>
        <w:t>担保险责任</w:t>
        <w:tab/>
        <w:t>2.3</w:t>
      </w:r>
    </w:p>
    <w:p>
      <w:pPr>
        <w:pStyle w:val="Heading3"/>
        <w:tabs>
          <w:tab w:pos="9172" w:val="right" w:leader="dot"/>
        </w:tabs>
        <w:spacing w:before="37"/>
        <w:ind w:left="103"/>
      </w:pPr>
      <w:r>
        <w:rPr/>
        <w:t>被保险人的保险金</w:t>
      </w:r>
      <w:r>
        <w:rPr>
          <w:spacing w:val="-3"/>
        </w:rPr>
        <w:t>给</w:t>
      </w:r>
      <w:r>
        <w:rPr/>
        <w:t>付</w:t>
      </w:r>
      <w:r>
        <w:rPr>
          <w:spacing w:val="-3"/>
        </w:rPr>
        <w:t>限</w:t>
      </w:r>
      <w:r>
        <w:rPr/>
        <w:t>制</w:t>
        <w:tab/>
        <w:t>2.2</w:t>
      </w:r>
    </w:p>
    <w:p>
      <w:pPr>
        <w:pStyle w:val="BodyText"/>
        <w:tabs>
          <w:tab w:pos="9246" w:val="right" w:leader="dot"/>
        </w:tabs>
        <w:spacing w:before="37"/>
        <w:ind w:left="103"/>
      </w:pPr>
      <w:r>
        <w:rPr/>
        <w:t>投保人有</w:t>
      </w:r>
      <w:r>
        <w:rPr>
          <w:spacing w:val="-3"/>
        </w:rPr>
        <w:t>权</w:t>
      </w:r>
      <w:r>
        <w:rPr/>
        <w:t>解</w:t>
      </w:r>
      <w:r>
        <w:rPr>
          <w:spacing w:val="-3"/>
        </w:rPr>
        <w:t>除</w:t>
      </w:r>
      <w:r>
        <w:rPr/>
        <w:t>合同</w:t>
        <w:tab/>
        <w:t>6.3</w:t>
      </w:r>
    </w:p>
    <w:p>
      <w:pPr>
        <w:pStyle w:val="Heading3"/>
        <w:tabs>
          <w:tab w:pos="9066" w:val="right" w:leader="dot"/>
        </w:tabs>
        <w:spacing w:before="37"/>
        <w:ind w:left="103"/>
      </w:pPr>
      <w:r>
        <w:rPr/>
        <w:t>我们对本附加合同</w:t>
      </w:r>
      <w:r>
        <w:rPr>
          <w:spacing w:val="-3"/>
        </w:rPr>
        <w:t>中</w:t>
      </w:r>
      <w:r>
        <w:rPr/>
        <w:t>的</w:t>
      </w:r>
      <w:r>
        <w:rPr>
          <w:spacing w:val="-3"/>
        </w:rPr>
        <w:t>重</w:t>
      </w:r>
      <w:r>
        <w:rPr/>
        <w:t>大疾病有特定的解</w:t>
      </w:r>
      <w:r>
        <w:rPr>
          <w:spacing w:val="-3"/>
        </w:rPr>
        <w:t>释</w:t>
      </w:r>
      <w:r>
        <w:rPr/>
        <w:t>和</w:t>
      </w:r>
      <w:r>
        <w:rPr>
          <w:spacing w:val="-3"/>
        </w:rPr>
        <w:t>认</w:t>
      </w:r>
      <w:r>
        <w:rPr/>
        <w:t>定标准</w:t>
        <w:tab/>
        <w:t>3</w:t>
      </w:r>
    </w:p>
    <w:p>
      <w:pPr>
        <w:pStyle w:val="Heading3"/>
        <w:tabs>
          <w:tab w:pos="9172" w:val="right" w:leader="dot"/>
        </w:tabs>
        <w:spacing w:before="37"/>
        <w:ind w:left="103"/>
      </w:pPr>
      <w:r>
        <w:rPr/>
        <w:t>在某些情况下，本</w:t>
      </w:r>
      <w:r>
        <w:rPr>
          <w:spacing w:val="-3"/>
        </w:rPr>
        <w:t>合</w:t>
      </w:r>
      <w:r>
        <w:rPr/>
        <w:t>同</w:t>
      </w:r>
      <w:r>
        <w:rPr>
          <w:spacing w:val="-3"/>
        </w:rPr>
        <w:t>效</w:t>
      </w:r>
      <w:r>
        <w:rPr/>
        <w:t>力终止</w:t>
        <w:tab/>
        <w:t>7.3</w:t>
      </w:r>
    </w:p>
    <w:p>
      <w:pPr>
        <w:pStyle w:val="BodyText"/>
        <w:tabs>
          <w:tab w:pos="9246" w:val="right" w:leader="dot"/>
        </w:tabs>
        <w:spacing w:before="37"/>
        <w:ind w:left="103"/>
      </w:pPr>
      <w:r>
        <w:rPr/>
        <w:t>投保</w:t>
      </w:r>
      <w:r>
        <w:rPr>
          <w:spacing w:val="-3"/>
        </w:rPr>
        <w:t>人</w:t>
      </w:r>
      <w:r>
        <w:rPr/>
        <w:t>应</w:t>
      </w:r>
      <w:r>
        <w:rPr>
          <w:spacing w:val="-3"/>
        </w:rPr>
        <w:t>按</w:t>
      </w:r>
      <w:r>
        <w:rPr/>
        <w:t>时</w:t>
      </w:r>
      <w:r>
        <w:rPr>
          <w:spacing w:val="-3"/>
        </w:rPr>
        <w:t>缴</w:t>
      </w:r>
      <w:r>
        <w:rPr/>
        <w:t>纳</w:t>
      </w:r>
      <w:r>
        <w:rPr>
          <w:spacing w:val="-3"/>
        </w:rPr>
        <w:t>保</w:t>
      </w:r>
      <w:r>
        <w:rPr/>
        <w:t>险费</w:t>
        <w:tab/>
        <w:t>5.1</w:t>
      </w:r>
    </w:p>
    <w:p>
      <w:pPr>
        <w:pStyle w:val="BodyText"/>
        <w:tabs>
          <w:tab w:pos="9246" w:val="right" w:leader="dot"/>
        </w:tabs>
        <w:spacing w:before="37"/>
        <w:ind w:left="103"/>
      </w:pPr>
      <w:r>
        <w:rPr/>
        <w:t>投保</w:t>
      </w:r>
      <w:r>
        <w:rPr>
          <w:spacing w:val="-3"/>
        </w:rPr>
        <w:t>人</w:t>
      </w:r>
      <w:r>
        <w:rPr/>
        <w:t>、</w:t>
      </w:r>
      <w:r>
        <w:rPr>
          <w:spacing w:val="-3"/>
        </w:rPr>
        <w:t>被</w:t>
      </w:r>
      <w:r>
        <w:rPr/>
        <w:t>保</w:t>
      </w:r>
      <w:r>
        <w:rPr>
          <w:spacing w:val="-3"/>
        </w:rPr>
        <w:t>险</w:t>
      </w:r>
      <w:r>
        <w:rPr/>
        <w:t>人</w:t>
      </w:r>
      <w:r>
        <w:rPr>
          <w:spacing w:val="-3"/>
        </w:rPr>
        <w:t>应</w:t>
      </w:r>
      <w:r>
        <w:rPr/>
        <w:t>当</w:t>
      </w:r>
      <w:r>
        <w:rPr>
          <w:spacing w:val="-3"/>
        </w:rPr>
        <w:t>如</w:t>
      </w:r>
      <w:r>
        <w:rPr/>
        <w:t>实告知</w:t>
        <w:tab/>
        <w:t>1.2</w:t>
      </w:r>
    </w:p>
    <w:p>
      <w:pPr>
        <w:pStyle w:val="BodyText"/>
        <w:tabs>
          <w:tab w:pos="9246" w:val="right" w:leader="dot"/>
        </w:tabs>
        <w:spacing w:before="36"/>
        <w:ind w:left="103"/>
      </w:pPr>
      <w:r>
        <w:rPr/>
        <w:t>投保人应</w:t>
      </w:r>
      <w:r>
        <w:rPr>
          <w:spacing w:val="-3"/>
        </w:rPr>
        <w:t>及</w:t>
      </w:r>
      <w:r>
        <w:rPr/>
        <w:t>时</w:t>
      </w:r>
      <w:r>
        <w:rPr>
          <w:spacing w:val="-3"/>
        </w:rPr>
        <w:t>向</w:t>
      </w:r>
      <w:r>
        <w:rPr/>
        <w:t>我</w:t>
      </w:r>
      <w:r>
        <w:rPr>
          <w:spacing w:val="-3"/>
        </w:rPr>
        <w:t>们</w:t>
      </w:r>
      <w:r>
        <w:rPr/>
        <w:t>通</w:t>
      </w:r>
      <w:r>
        <w:rPr>
          <w:spacing w:val="-3"/>
        </w:rPr>
        <w:t>知</w:t>
      </w:r>
      <w:r>
        <w:rPr/>
        <w:t>保险</w:t>
      </w:r>
      <w:r>
        <w:rPr>
          <w:spacing w:val="-3"/>
        </w:rPr>
        <w:t>事</w:t>
      </w:r>
      <w:r>
        <w:rPr/>
        <w:t>故</w:t>
        <w:tab/>
        <w:t>4.2</w:t>
      </w:r>
    </w:p>
    <w:p>
      <w:pPr>
        <w:pStyle w:val="BodyText"/>
        <w:tabs>
          <w:tab w:pos="9246"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应</w:t>
      </w:r>
      <w:r>
        <w:rPr/>
        <w:t>提</w:t>
      </w:r>
      <w:r>
        <w:rPr>
          <w:spacing w:val="-3"/>
        </w:rPr>
        <w:t>供</w:t>
      </w:r>
      <w:r>
        <w:rPr/>
        <w:t>证明</w:t>
      </w:r>
      <w:r>
        <w:rPr>
          <w:spacing w:val="-3"/>
        </w:rPr>
        <w:t>文</w:t>
      </w:r>
      <w:r>
        <w:rPr/>
        <w:t>件</w:t>
      </w:r>
      <w:r>
        <w:rPr>
          <w:spacing w:val="-3"/>
        </w:rPr>
        <w:t>和</w:t>
      </w:r>
      <w:r>
        <w:rPr/>
        <w:t>资料</w:t>
        <w:tab/>
        <w:t>4.4</w:t>
      </w:r>
    </w:p>
    <w:p>
      <w:pPr>
        <w:pStyle w:val="BodyText"/>
        <w:tabs>
          <w:tab w:pos="9246" w:val="right" w:leader="dot"/>
        </w:tabs>
        <w:spacing w:before="36"/>
        <w:ind w:left="103"/>
      </w:pPr>
      <w:r>
        <w:rPr/>
        <w:t>理赔</w:t>
      </w:r>
      <w:r>
        <w:rPr>
          <w:spacing w:val="-3"/>
        </w:rPr>
        <w:t>保</w:t>
      </w:r>
      <w:r>
        <w:rPr/>
        <w:t>险</w:t>
      </w:r>
      <w:r>
        <w:rPr>
          <w:spacing w:val="-3"/>
        </w:rPr>
        <w:t>金</w:t>
      </w:r>
      <w:r>
        <w:rPr/>
        <w:t>时</w:t>
      </w:r>
      <w:r>
        <w:rPr>
          <w:spacing w:val="-3"/>
        </w:rPr>
        <w:t>我</w:t>
      </w:r>
      <w:r>
        <w:rPr/>
        <w:t>们</w:t>
      </w:r>
      <w:r>
        <w:rPr>
          <w:spacing w:val="-3"/>
        </w:rPr>
        <w:t>有</w:t>
      </w:r>
      <w:r>
        <w:rPr/>
        <w:t>权</w:t>
      </w:r>
      <w:r>
        <w:rPr>
          <w:spacing w:val="-3"/>
        </w:rPr>
        <w:t>利</w:t>
      </w:r>
      <w:r>
        <w:rPr/>
        <w:t>对被</w:t>
      </w:r>
      <w:r>
        <w:rPr>
          <w:spacing w:val="-3"/>
        </w:rPr>
        <w:t>保</w:t>
      </w:r>
      <w:r>
        <w:rPr/>
        <w:t>险</w:t>
      </w:r>
      <w:r>
        <w:rPr>
          <w:spacing w:val="-3"/>
        </w:rPr>
        <w:t>人</w:t>
      </w:r>
      <w:r>
        <w:rPr/>
        <w:t>进</w:t>
      </w:r>
      <w:r>
        <w:rPr>
          <w:spacing w:val="-3"/>
        </w:rPr>
        <w:t>行</w:t>
      </w:r>
      <w:r>
        <w:rPr/>
        <w:t>身</w:t>
      </w:r>
      <w:r>
        <w:rPr>
          <w:spacing w:val="-3"/>
        </w:rPr>
        <w:t>体</w:t>
      </w:r>
      <w:r>
        <w:rPr/>
        <w:t>检查</w:t>
        <w:tab/>
        <w:t>4.6</w:t>
      </w:r>
    </w:p>
    <w:p>
      <w:pPr>
        <w:pStyle w:val="BodyText"/>
        <w:tabs>
          <w:tab w:pos="9246" w:val="right" w:leader="dot"/>
        </w:tabs>
        <w:spacing w:before="36"/>
        <w:ind w:left="103"/>
      </w:pPr>
      <w:r>
        <w:rPr/>
        <w:t>受益</w:t>
      </w:r>
      <w:r>
        <w:rPr>
          <w:spacing w:val="-3"/>
        </w:rPr>
        <w:t>人</w:t>
      </w:r>
      <w:r>
        <w:rPr/>
        <w:t>的</w:t>
      </w:r>
      <w:r>
        <w:rPr>
          <w:spacing w:val="-3"/>
        </w:rPr>
        <w:t>保</w:t>
      </w:r>
      <w:r>
        <w:rPr/>
        <w:t>险</w:t>
      </w:r>
      <w:r>
        <w:rPr>
          <w:spacing w:val="-3"/>
        </w:rPr>
        <w:t>金</w:t>
      </w:r>
      <w:r>
        <w:rPr/>
        <w:t>申</w:t>
      </w:r>
      <w:r>
        <w:rPr>
          <w:spacing w:val="-3"/>
        </w:rPr>
        <w:t>请</w:t>
      </w:r>
      <w:r>
        <w:rPr/>
        <w:t>权</w:t>
      </w:r>
      <w:r>
        <w:rPr>
          <w:spacing w:val="-3"/>
        </w:rPr>
        <w:t>应</w:t>
      </w:r>
      <w:r>
        <w:rPr/>
        <w:t>在一</w:t>
      </w:r>
      <w:r>
        <w:rPr>
          <w:spacing w:val="-3"/>
        </w:rPr>
        <w:t>定</w:t>
      </w:r>
      <w:r>
        <w:rPr/>
        <w:t>期</w:t>
      </w:r>
      <w:r>
        <w:rPr>
          <w:spacing w:val="-3"/>
        </w:rPr>
        <w:t>间</w:t>
      </w:r>
      <w:r>
        <w:rPr/>
        <w:t>内</w:t>
      </w:r>
      <w:r>
        <w:rPr>
          <w:spacing w:val="-3"/>
        </w:rPr>
        <w:t>行</w:t>
      </w:r>
      <w:r>
        <w:rPr/>
        <w:t>使</w:t>
        <w:tab/>
        <w:t>4.3</w:t>
      </w:r>
    </w:p>
    <w:p>
      <w:pPr>
        <w:pStyle w:val="BodyText"/>
        <w:tabs>
          <w:tab w:pos="9037" w:val="right" w:leader="dot"/>
        </w:tabs>
        <w:spacing w:before="36"/>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作了</w:t>
      </w:r>
      <w:r>
        <w:rPr>
          <w:b/>
        </w:rPr>
        <w:t>显著标</w:t>
      </w:r>
      <w:r>
        <w:rPr>
          <w:b/>
          <w:spacing w:val="-3"/>
        </w:rPr>
        <w:t>识</w:t>
      </w:r>
      <w:r>
        <w:rPr>
          <w:b/>
        </w:rPr>
        <w:t>，</w:t>
      </w:r>
      <w:r>
        <w:rPr/>
        <w:t>请</w:t>
      </w:r>
      <w:r>
        <w:rPr>
          <w:spacing w:val="-3"/>
        </w:rPr>
        <w:t>投</w:t>
      </w:r>
      <w:r>
        <w:rPr/>
        <w:t>保</w:t>
      </w:r>
      <w:r>
        <w:rPr>
          <w:spacing w:val="-3"/>
        </w:rPr>
        <w:t>人</w:t>
      </w:r>
      <w:r>
        <w:rPr/>
        <w:t>、</w:t>
      </w:r>
      <w:r>
        <w:rPr>
          <w:spacing w:val="-3"/>
        </w:rPr>
        <w:t>被</w:t>
      </w:r>
      <w:r>
        <w:rPr/>
        <w:t>保</w:t>
      </w:r>
      <w:r>
        <w:rPr>
          <w:spacing w:val="-3"/>
        </w:rPr>
        <w:t>险</w:t>
      </w:r>
      <w:r>
        <w:rPr/>
        <w:t>人</w:t>
      </w:r>
      <w:r>
        <w:rPr>
          <w:spacing w:val="-3"/>
        </w:rPr>
        <w:t>、</w:t>
      </w:r>
      <w:r>
        <w:rPr/>
        <w:t>受益</w:t>
      </w:r>
      <w:r>
        <w:rPr>
          <w:spacing w:val="-3"/>
        </w:rPr>
        <w:t>人</w:t>
      </w:r>
      <w:r>
        <w:rPr/>
        <w:t>注意</w:t>
        <w:tab/>
        <w:t>8</w:t>
      </w:r>
    </w:p>
    <w:p>
      <w:pPr>
        <w:spacing w:after="0"/>
        <w:sectPr>
          <w:type w:val="continuous"/>
          <w:pgSz w:w="11910" w:h="16840"/>
          <w:pgMar w:top="240" w:bottom="280" w:left="1200" w:right="640"/>
        </w:sectPr>
      </w:pPr>
    </w:p>
    <w:p>
      <w:pPr>
        <w:pStyle w:val="BodyText"/>
        <w:rPr>
          <w:sz w:val="20"/>
        </w:rPr>
      </w:pPr>
    </w:p>
    <w:p>
      <w:pPr>
        <w:pStyle w:val="BodyText"/>
        <w:spacing w:before="11"/>
        <w:rPr>
          <w:sz w:val="25"/>
        </w:rPr>
      </w:pPr>
    </w:p>
    <w:p>
      <w:pPr>
        <w:pStyle w:val="BodyText"/>
        <w:ind w:left="3859"/>
        <w:rPr>
          <w:sz w:val="20"/>
        </w:rPr>
      </w:pPr>
      <w:r>
        <w:rPr>
          <w:sz w:val="20"/>
        </w:rPr>
        <w:pict>
          <v:shape style="width:120.75pt;height:39pt;mso-position-horizontal-relative:char;mso-position-vertical-relative:line" type="#_x0000_t202" filled="false" stroked="true" strokeweight="1pt" strokecolor="#000000">
            <w10:anchorlock/>
            <v:textbox inset="0,0,0,0">
              <w:txbxContent>
                <w:p>
                  <w:pPr>
                    <w:spacing w:before="44"/>
                    <w:ind w:left="317"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v:shape>
        </w:pict>
      </w:r>
      <w:r>
        <w:rPr>
          <w:sz w:val="20"/>
        </w:rPr>
      </w:r>
    </w:p>
    <w:p>
      <w:pPr>
        <w:pStyle w:val="BodyText"/>
        <w:spacing w:before="6"/>
        <w:rPr>
          <w:sz w:val="25"/>
        </w:rPr>
      </w:pPr>
    </w:p>
    <w:p>
      <w:pPr>
        <w:pStyle w:val="Heading3"/>
        <w:spacing w:before="1"/>
        <w:ind w:left="2090"/>
      </w:pPr>
      <w:r>
        <w:rPr/>
        <w:pict>
          <v:shape style="position:absolute;margin-left:215.690018pt;margin-top:31.87467pt;width:.25pt;height:343.25pt;mso-position-horizontal-relative:page;mso-position-vertical-relative:paragraph;z-index:-62680" coordorigin="4314,637" coordsize="5,6865" path="m4319,7186l4314,7186,4314,7190,4314,7229,4314,7267,4314,7306,4314,7344,4314,7382,4314,7421,4314,7459,4314,7498,4314,7502,4319,7502,4319,7498,4319,7459,4319,7421,4319,7382,4319,7344,4319,7306,4319,7267,4319,7229,4319,7190,4319,7186m4319,6250l4314,6250,4314,6254,4314,6293,4314,6331,4314,6370,4314,6408,4314,6446,4314,6485,4314,6523,4314,6562,4314,6566,4314,6605,4314,6643,4314,6682,4314,6720,4314,6758,4314,6797,4314,6835,4314,6874,4314,6878,4314,6917,4314,6955,4314,6994,4314,7032,4314,7070,4314,7109,4314,7147,4314,7186,4319,7186,4319,7147,4319,7109,4319,7070,4319,7032,4319,6994,4319,6955,4319,6917,4319,6878,4319,6874,4319,6835,4319,6797,4319,6758,4319,6720,4319,6682,4319,6643,4319,6605,4319,6566,4319,6562,4319,6523,4319,6485,4319,6446,4319,6408,4319,6370,4319,6331,4319,6293,4319,6254,4319,6250m4319,5625l4314,5625,4314,5630,4314,5668,4314,5707,4314,5745,4314,5784,4314,5822,4314,5860,4314,5899,4314,5937,4314,5942,4314,5980,4314,6019,4314,6057,4314,6057,4314,6096,4314,6134,4314,6173,4314,6211,4314,6250,4319,6250,4319,6211,4319,6173,4319,6134,4319,6096,4319,6057,4319,6057,4319,6019,4319,5980,4319,5942,4319,5937,4319,5899,4319,5860,4319,5822,4319,5784,4319,5745,4319,5707,4319,5668,4319,5630,4319,5625m4319,5313l4314,5313,4314,5318,4314,5356,4314,5395,4314,5433,4314,5472,4314,5510,4314,5548,4314,5587,4314,5625,4319,5625,4319,5587,4319,5548,4319,5510,4319,5472,4319,5433,4319,5395,4319,5356,4319,5318,4319,5313m4319,5001l4314,5001,4314,5006,4314,5044,4314,5083,4314,5121,4314,5160,4314,5198,4314,5236,4314,5275,4314,5313,4319,5313,4319,5275,4319,5236,4319,5198,4319,5160,4319,5121,4319,5083,4319,5044,4319,5006,4319,5001m4319,4420l4314,4420,4314,4459,4314,4497,4314,4536,4314,4574,4314,4612,4314,4651,4314,4689,4314,4694,4314,4732,4314,4771,4314,4809,4314,4848,4314,4886,4314,4924,4314,4963,4314,5001,4319,5001,4319,4963,4319,4924,4319,4886,4319,4848,4319,4809,4319,4771,4319,4732,4319,4694,4319,4689,4319,4651,4319,4612,4319,4574,4319,4536,4319,4497,4319,4459,4319,4420m4319,4108l4314,4108,4314,4147,4314,4185,4314,4224,4314,4262,4314,4300,4314,4339,4314,4377,4319,4377,4319,4339,4319,4300,4319,4262,4319,4224,4319,4185,4319,4147,4319,4108m4319,3796l4314,3796,4314,3835,4314,3873,4314,3912,4314,3950,4314,3988,4314,4027,4314,4065,4319,4065,4319,4027,4319,3988,4319,3950,4319,3912,4319,3873,4319,3835,4319,3796m4319,3441l4314,3441,4314,3446,4314,3484,4314,3523,4314,3561,4314,3600,4314,3638,4314,3676,4314,3715,4314,3753,4319,3753,4319,3715,4319,3676,4319,3638,4319,3600,4319,3561,4319,3523,4319,3484,4319,3446,4319,3441m4319,3172l4314,3172,4314,3211,4314,3249,4314,3288,4314,3326,4314,3364,4314,3403,4314,3441,4319,3441,4319,3403,4319,3364,4319,3326,4319,3288,4319,3249,4319,3211,4319,3172m4319,3129l4314,3129,4314,3134,4314,3172,4319,3172,4319,3134,4319,3129m4319,3052l4314,3052,4314,3091,4314,3129,4319,3129,4319,3091,4319,3052m4319,2937l4314,2937,4314,2976,4314,3014,4314,3052,4319,3052,4319,3014,4319,2976,4319,2937m4319,2860l4314,2860,4314,2899,4314,2937,4319,2937,4319,2899,4319,2860m4319,2822l4314,2822,4314,2860,4319,2860,4319,2822m4319,2740l4314,2740,4314,2779,4314,2817,4314,2822,4319,2822,4319,2817,4319,2779,4319,2740m4319,2702l4314,2702,4314,2740,4319,2740,4319,2702m4319,2625l4314,2625,4314,2664,4314,2702,4319,2702,4319,2664,4319,2625m4319,2548l4314,2548,4314,2587,4314,2625,4319,2625,4319,2587,4319,2548m4319,2390l4314,2390,4314,2428,4314,2467,4314,2505,4319,2505,4319,2467,4319,2428,4319,2390m4319,2274l4314,2274,4314,2313,4314,2352,4314,2390,4319,2390,4319,2352,4319,2313,4319,2274m4319,2236l4314,2236,4314,2274,4319,2274,4319,2236m4319,2077l4314,2077,4314,2116,4314,2154,4314,2193,4319,2193,4319,2154,4319,2116,4319,2077m4319,1962l4314,1962,4314,2001,4314,2039,4314,2077,4319,2077,4319,2039,4319,2001,4319,1962m4319,1924l4314,1924,4314,1962,4319,1962,4319,1924m4319,1842l4314,1842,4314,1881,4319,1881,4319,1842m4319,1765l4314,1765,4314,1804,4314,1842,4319,1842,4319,1804,4319,1765m4319,1650l4314,1650,4314,1689,4314,1727,4314,1765,4319,1765,4319,1727,4319,1689,4319,1650m4319,1569l4314,1569,4314,1573,4314,1612,4314,1650,4319,1650,4319,1612,4319,1573,4319,1569m4319,1530l4314,1530,4314,1569,4319,1569,4319,1530m4319,1415l4314,1415,4314,1453,4314,1492,4314,1530,4319,1530,4319,1492,4319,1453,4319,1415m4319,1300l4314,1300,4314,1338,4314,1377,4314,1415,4319,1415,4319,1377,4319,1338,4319,1300m4319,1257l4314,1257,4314,1261,4314,1300,4319,1300,4319,1261,4319,1257m4319,1180l4314,1180,4314,1218,4314,1257,4319,1257,4319,1218,4319,1180m4319,1103l4314,1103,4314,1141,4314,1180,4319,1180,4319,1141,4319,1103m4319,988l4314,988,4314,1026,4314,1065,4314,1103,4319,1103,4319,1065,4319,1026,4319,988m4319,945l4314,945,4314,949,4314,988,4319,988,4319,949,4319,945m4319,868l4314,868,4314,906,4314,945,4319,945,4319,906,4319,868m4319,753l4314,753,4314,791,4314,829,4314,868,4319,868,4319,829,4319,791,4319,753m4319,637l4314,637,4314,676,4314,714,4314,753,4319,753,4319,714,4319,676,4319,637e" filled="true" fillcolor="#000000" stroked="false">
            <v:path arrowok="t"/>
            <v:fill type="solid"/>
            <w10:wrap type="none"/>
          </v:shape>
        </w:pict>
      </w:r>
      <w:r>
        <w:rPr/>
        <w:t>在阅读条款正文之前，浏览一下目录有助于对条款结构有一个大致了解。</w:t>
      </w:r>
    </w:p>
    <w:p>
      <w:pPr>
        <w:pStyle w:val="BodyText"/>
        <w:spacing w:before="8"/>
        <w:rPr>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5"/>
        <w:gridCol w:w="3288"/>
        <w:gridCol w:w="3254"/>
      </w:tblGrid>
      <w:tr>
        <w:trPr>
          <w:trHeight w:val="312" w:hRule="atLeast"/>
        </w:trPr>
        <w:tc>
          <w:tcPr>
            <w:tcW w:w="3315" w:type="dxa"/>
          </w:tcPr>
          <w:p>
            <w:pPr>
              <w:pStyle w:val="TableParagraph"/>
              <w:spacing w:line="262" w:lineRule="exact"/>
              <w:ind w:left="200"/>
              <w:rPr>
                <w:b/>
                <w:sz w:val="21"/>
              </w:rPr>
            </w:pPr>
            <w:r>
              <w:rPr>
                <w:b/>
                <w:sz w:val="21"/>
              </w:rPr>
              <w:t>1 投保人与我们的合同</w:t>
            </w:r>
          </w:p>
        </w:tc>
        <w:tc>
          <w:tcPr>
            <w:tcW w:w="3288" w:type="dxa"/>
            <w:tcBorders>
              <w:right w:val="single" w:sz="2" w:space="0" w:color="000000"/>
            </w:tcBorders>
          </w:tcPr>
          <w:p>
            <w:pPr>
              <w:pStyle w:val="TableParagraph"/>
              <w:spacing w:line="262" w:lineRule="exact"/>
              <w:ind w:left="106"/>
              <w:rPr>
                <w:b/>
                <w:sz w:val="21"/>
              </w:rPr>
            </w:pPr>
            <w:r>
              <w:rPr>
                <w:b/>
                <w:sz w:val="21"/>
              </w:rPr>
              <w:t>4 申请与给付保险金</w:t>
            </w:r>
          </w:p>
        </w:tc>
        <w:tc>
          <w:tcPr>
            <w:tcW w:w="3254" w:type="dxa"/>
            <w:tcBorders>
              <w:left w:val="single" w:sz="2" w:space="0" w:color="000000"/>
            </w:tcBorders>
          </w:tcPr>
          <w:p>
            <w:pPr>
              <w:pStyle w:val="TableParagraph"/>
              <w:spacing w:line="262" w:lineRule="exact"/>
              <w:ind w:left="104"/>
              <w:rPr>
                <w:b/>
                <w:sz w:val="21"/>
              </w:rPr>
            </w:pPr>
            <w:r>
              <w:rPr>
                <w:b/>
                <w:sz w:val="21"/>
              </w:rPr>
              <w:t>7 投保人需要关注的其他事项</w:t>
            </w:r>
          </w:p>
        </w:tc>
      </w:tr>
      <w:tr>
        <w:trPr>
          <w:trHeight w:val="312" w:hRule="atLeast"/>
        </w:trPr>
        <w:tc>
          <w:tcPr>
            <w:tcW w:w="3315" w:type="dxa"/>
          </w:tcPr>
          <w:p>
            <w:pPr>
              <w:pStyle w:val="TableParagraph"/>
              <w:spacing w:line="261" w:lineRule="exact"/>
              <w:ind w:left="411"/>
              <w:rPr>
                <w:sz w:val="21"/>
              </w:rPr>
            </w:pPr>
            <w:r>
              <w:rPr>
                <w:sz w:val="21"/>
              </w:rPr>
              <w:t>1.1 合同构成</w:t>
            </w:r>
          </w:p>
        </w:tc>
        <w:tc>
          <w:tcPr>
            <w:tcW w:w="3288" w:type="dxa"/>
            <w:tcBorders>
              <w:right w:val="single" w:sz="2" w:space="0" w:color="000000"/>
            </w:tcBorders>
          </w:tcPr>
          <w:p>
            <w:pPr>
              <w:pStyle w:val="TableParagraph"/>
              <w:spacing w:line="261" w:lineRule="exact"/>
              <w:ind w:left="318"/>
              <w:rPr>
                <w:sz w:val="21"/>
              </w:rPr>
            </w:pPr>
            <w:r>
              <w:rPr>
                <w:sz w:val="21"/>
              </w:rPr>
              <w:t>4.1 受益人的指定与变更</w:t>
            </w:r>
          </w:p>
        </w:tc>
        <w:tc>
          <w:tcPr>
            <w:tcW w:w="3254" w:type="dxa"/>
            <w:tcBorders>
              <w:left w:val="single" w:sz="2" w:space="0" w:color="000000"/>
            </w:tcBorders>
          </w:tcPr>
          <w:p>
            <w:pPr>
              <w:pStyle w:val="TableParagraph"/>
              <w:spacing w:line="261" w:lineRule="exact"/>
              <w:ind w:left="315"/>
              <w:rPr>
                <w:sz w:val="21"/>
              </w:rPr>
            </w:pPr>
            <w:r>
              <w:rPr>
                <w:sz w:val="21"/>
              </w:rPr>
              <w:t>7.1 欠款扣除</w:t>
            </w:r>
          </w:p>
        </w:tc>
      </w:tr>
      <w:tr>
        <w:trPr>
          <w:trHeight w:val="312" w:hRule="atLeast"/>
        </w:trPr>
        <w:tc>
          <w:tcPr>
            <w:tcW w:w="3315" w:type="dxa"/>
          </w:tcPr>
          <w:p>
            <w:pPr>
              <w:pStyle w:val="TableParagraph"/>
              <w:spacing w:line="261" w:lineRule="exact"/>
              <w:ind w:left="411"/>
              <w:rPr>
                <w:sz w:val="21"/>
              </w:rPr>
            </w:pPr>
            <w:r>
              <w:rPr>
                <w:sz w:val="21"/>
              </w:rPr>
              <w:t>1.2 如实告知</w:t>
            </w:r>
          </w:p>
        </w:tc>
        <w:tc>
          <w:tcPr>
            <w:tcW w:w="3288" w:type="dxa"/>
            <w:tcBorders>
              <w:right w:val="single" w:sz="2" w:space="0" w:color="000000"/>
            </w:tcBorders>
          </w:tcPr>
          <w:p>
            <w:pPr>
              <w:pStyle w:val="TableParagraph"/>
              <w:spacing w:line="261" w:lineRule="exact"/>
              <w:ind w:left="318"/>
              <w:rPr>
                <w:sz w:val="21"/>
              </w:rPr>
            </w:pPr>
            <w:r>
              <w:rPr>
                <w:sz w:val="21"/>
              </w:rPr>
              <w:t>4.2 保险事故的通知</w:t>
            </w:r>
          </w:p>
        </w:tc>
        <w:tc>
          <w:tcPr>
            <w:tcW w:w="3254" w:type="dxa"/>
            <w:tcBorders>
              <w:left w:val="single" w:sz="2" w:space="0" w:color="000000"/>
            </w:tcBorders>
          </w:tcPr>
          <w:p>
            <w:pPr>
              <w:pStyle w:val="TableParagraph"/>
              <w:spacing w:line="261" w:lineRule="exact"/>
              <w:ind w:left="315"/>
              <w:rPr>
                <w:sz w:val="21"/>
              </w:rPr>
            </w:pPr>
            <w:r>
              <w:rPr>
                <w:sz w:val="21"/>
              </w:rPr>
              <w:t>7.2 合同效力的中止</w:t>
            </w:r>
          </w:p>
        </w:tc>
      </w:tr>
      <w:tr>
        <w:trPr>
          <w:trHeight w:val="330" w:hRule="atLeast"/>
        </w:trPr>
        <w:tc>
          <w:tcPr>
            <w:tcW w:w="3315" w:type="dxa"/>
          </w:tcPr>
          <w:p>
            <w:pPr>
              <w:pStyle w:val="TableParagraph"/>
              <w:spacing w:line="261" w:lineRule="exact"/>
              <w:ind w:left="411"/>
              <w:rPr>
                <w:sz w:val="21"/>
              </w:rPr>
            </w:pPr>
            <w:r>
              <w:rPr>
                <w:sz w:val="21"/>
              </w:rPr>
              <w:t>1.3 合同成立及保险责任开始</w:t>
            </w:r>
          </w:p>
        </w:tc>
        <w:tc>
          <w:tcPr>
            <w:tcW w:w="3288" w:type="dxa"/>
            <w:tcBorders>
              <w:right w:val="single" w:sz="2" w:space="0" w:color="000000"/>
            </w:tcBorders>
          </w:tcPr>
          <w:p>
            <w:pPr>
              <w:pStyle w:val="TableParagraph"/>
              <w:spacing w:line="261" w:lineRule="exact"/>
              <w:ind w:left="318"/>
              <w:rPr>
                <w:sz w:val="21"/>
              </w:rPr>
            </w:pPr>
            <w:r>
              <w:rPr>
                <w:sz w:val="21"/>
              </w:rPr>
              <w:t>4.3 诉讼时效</w:t>
            </w:r>
          </w:p>
        </w:tc>
        <w:tc>
          <w:tcPr>
            <w:tcW w:w="3254" w:type="dxa"/>
            <w:tcBorders>
              <w:left w:val="single" w:sz="2" w:space="0" w:color="000000"/>
            </w:tcBorders>
          </w:tcPr>
          <w:p>
            <w:pPr>
              <w:pStyle w:val="TableParagraph"/>
              <w:spacing w:line="261" w:lineRule="exact"/>
              <w:ind w:left="315"/>
              <w:rPr>
                <w:sz w:val="21"/>
              </w:rPr>
            </w:pPr>
            <w:r>
              <w:rPr>
                <w:sz w:val="21"/>
              </w:rPr>
              <w:t>7.3 合同效力的终止</w:t>
            </w:r>
          </w:p>
        </w:tc>
      </w:tr>
      <w:tr>
        <w:trPr>
          <w:trHeight w:val="312"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spacing w:line="243" w:lineRule="exact"/>
              <w:ind w:left="318"/>
              <w:rPr>
                <w:sz w:val="21"/>
              </w:rPr>
            </w:pPr>
            <w:r>
              <w:rPr>
                <w:sz w:val="21"/>
              </w:rPr>
              <w:t>4.4 申请保险金应提供的材料</w:t>
            </w:r>
          </w:p>
        </w:tc>
        <w:tc>
          <w:tcPr>
            <w:tcW w:w="3254" w:type="dxa"/>
            <w:tcBorders>
              <w:left w:val="single" w:sz="2" w:space="0" w:color="000000"/>
            </w:tcBorders>
          </w:tcPr>
          <w:p>
            <w:pPr>
              <w:pStyle w:val="TableParagraph"/>
              <w:rPr>
                <w:rFonts w:ascii="Times New Roman"/>
                <w:sz w:val="20"/>
              </w:rPr>
            </w:pPr>
          </w:p>
        </w:tc>
      </w:tr>
      <w:tr>
        <w:trPr>
          <w:trHeight w:val="312"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spacing w:line="244" w:lineRule="exact"/>
              <w:ind w:left="318"/>
              <w:rPr>
                <w:sz w:val="21"/>
              </w:rPr>
            </w:pPr>
            <w:r>
              <w:rPr>
                <w:sz w:val="21"/>
              </w:rPr>
              <w:t>4.5 保险金的给付</w:t>
            </w:r>
          </w:p>
        </w:tc>
        <w:tc>
          <w:tcPr>
            <w:tcW w:w="3254" w:type="dxa"/>
            <w:tcBorders>
              <w:left w:val="single" w:sz="2" w:space="0" w:color="000000"/>
            </w:tcBorders>
          </w:tcPr>
          <w:p>
            <w:pPr>
              <w:pStyle w:val="TableParagraph"/>
              <w:rPr>
                <w:rFonts w:ascii="Times New Roman"/>
                <w:sz w:val="20"/>
              </w:rPr>
            </w:pPr>
          </w:p>
        </w:tc>
      </w:tr>
      <w:tr>
        <w:trPr>
          <w:trHeight w:val="605"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spacing w:line="243" w:lineRule="exact"/>
              <w:ind w:left="318"/>
              <w:rPr>
                <w:sz w:val="21"/>
              </w:rPr>
            </w:pPr>
            <w:r>
              <w:rPr>
                <w:sz w:val="21"/>
              </w:rPr>
              <w:t>4.6 身体检查</w:t>
            </w:r>
          </w:p>
        </w:tc>
        <w:tc>
          <w:tcPr>
            <w:tcW w:w="3254" w:type="dxa"/>
            <w:tcBorders>
              <w:left w:val="single" w:sz="2" w:space="0" w:color="000000"/>
            </w:tcBorders>
          </w:tcPr>
          <w:p>
            <w:pPr>
              <w:pStyle w:val="TableParagraph"/>
              <w:rPr>
                <w:rFonts w:ascii="Times New Roman"/>
                <w:sz w:val="20"/>
              </w:rPr>
            </w:pPr>
          </w:p>
        </w:tc>
      </w:tr>
      <w:tr>
        <w:trPr>
          <w:trHeight w:val="642" w:hRule="atLeast"/>
        </w:trPr>
        <w:tc>
          <w:tcPr>
            <w:tcW w:w="3315" w:type="dxa"/>
          </w:tcPr>
          <w:p>
            <w:pPr>
              <w:pStyle w:val="TableParagraph"/>
              <w:spacing w:before="10"/>
              <w:rPr>
                <w:b/>
                <w:sz w:val="22"/>
              </w:rPr>
            </w:pPr>
          </w:p>
          <w:p>
            <w:pPr>
              <w:pStyle w:val="TableParagraph"/>
              <w:ind w:left="200"/>
              <w:rPr>
                <w:b/>
                <w:sz w:val="21"/>
              </w:rPr>
            </w:pPr>
            <w:r>
              <w:rPr>
                <w:b/>
                <w:sz w:val="21"/>
              </w:rPr>
              <w:t>2 我们提供的保障</w:t>
            </w:r>
          </w:p>
        </w:tc>
        <w:tc>
          <w:tcPr>
            <w:tcW w:w="3288" w:type="dxa"/>
            <w:tcBorders>
              <w:right w:val="single" w:sz="2" w:space="0" w:color="000000"/>
            </w:tcBorders>
          </w:tcPr>
          <w:p>
            <w:pPr>
              <w:pStyle w:val="TableParagraph"/>
              <w:spacing w:before="10"/>
              <w:rPr>
                <w:b/>
                <w:sz w:val="22"/>
              </w:rPr>
            </w:pPr>
          </w:p>
          <w:p>
            <w:pPr>
              <w:pStyle w:val="TableParagraph"/>
              <w:ind w:left="106"/>
              <w:rPr>
                <w:b/>
                <w:sz w:val="21"/>
              </w:rPr>
            </w:pPr>
            <w:r>
              <w:rPr>
                <w:b/>
                <w:sz w:val="21"/>
              </w:rPr>
              <w:t>5 缴付保险费</w:t>
            </w:r>
          </w:p>
        </w:tc>
        <w:tc>
          <w:tcPr>
            <w:tcW w:w="3254" w:type="dxa"/>
            <w:tcBorders>
              <w:left w:val="single" w:sz="2" w:space="0" w:color="000000"/>
            </w:tcBorders>
          </w:tcPr>
          <w:p>
            <w:pPr>
              <w:pStyle w:val="TableParagraph"/>
              <w:spacing w:before="10"/>
              <w:rPr>
                <w:b/>
                <w:sz w:val="22"/>
              </w:rPr>
            </w:pPr>
          </w:p>
          <w:p>
            <w:pPr>
              <w:pStyle w:val="TableParagraph"/>
              <w:ind w:left="104"/>
              <w:rPr>
                <w:b/>
                <w:sz w:val="21"/>
              </w:rPr>
            </w:pPr>
            <w:r>
              <w:rPr>
                <w:b/>
                <w:sz w:val="21"/>
              </w:rPr>
              <w:t>8 释义</w:t>
            </w:r>
          </w:p>
        </w:tc>
      </w:tr>
      <w:tr>
        <w:trPr>
          <w:trHeight w:val="312" w:hRule="atLeast"/>
        </w:trPr>
        <w:tc>
          <w:tcPr>
            <w:tcW w:w="3315" w:type="dxa"/>
          </w:tcPr>
          <w:p>
            <w:pPr>
              <w:pStyle w:val="TableParagraph"/>
              <w:spacing w:line="243" w:lineRule="exact"/>
              <w:ind w:left="411"/>
              <w:rPr>
                <w:sz w:val="21"/>
              </w:rPr>
            </w:pPr>
            <w:r>
              <w:rPr>
                <w:sz w:val="21"/>
              </w:rPr>
              <w:t>2.1 保险金额</w:t>
            </w:r>
          </w:p>
        </w:tc>
        <w:tc>
          <w:tcPr>
            <w:tcW w:w="3288" w:type="dxa"/>
            <w:tcBorders>
              <w:right w:val="single" w:sz="2" w:space="0" w:color="000000"/>
            </w:tcBorders>
          </w:tcPr>
          <w:p>
            <w:pPr>
              <w:pStyle w:val="TableParagraph"/>
              <w:spacing w:line="243" w:lineRule="exact"/>
              <w:ind w:left="318"/>
              <w:rPr>
                <w:sz w:val="21"/>
              </w:rPr>
            </w:pPr>
            <w:r>
              <w:rPr>
                <w:sz w:val="21"/>
              </w:rPr>
              <w:t>5.1 保险费的缴付、宽限期</w:t>
            </w:r>
          </w:p>
        </w:tc>
        <w:tc>
          <w:tcPr>
            <w:tcW w:w="3254" w:type="dxa"/>
            <w:tcBorders>
              <w:left w:val="single" w:sz="2" w:space="0" w:color="000000"/>
            </w:tcBorders>
          </w:tcPr>
          <w:p>
            <w:pPr>
              <w:pStyle w:val="TableParagraph"/>
              <w:spacing w:line="243" w:lineRule="exact"/>
              <w:ind w:left="315"/>
              <w:rPr>
                <w:sz w:val="21"/>
              </w:rPr>
            </w:pPr>
            <w:r>
              <w:rPr>
                <w:sz w:val="21"/>
              </w:rPr>
              <w:t>8.1 意外伤害事故</w:t>
            </w:r>
          </w:p>
        </w:tc>
      </w:tr>
      <w:tr>
        <w:trPr>
          <w:trHeight w:val="312" w:hRule="atLeast"/>
        </w:trPr>
        <w:tc>
          <w:tcPr>
            <w:tcW w:w="3315" w:type="dxa"/>
          </w:tcPr>
          <w:p>
            <w:pPr>
              <w:pStyle w:val="TableParagraph"/>
              <w:spacing w:line="243" w:lineRule="exact"/>
              <w:ind w:left="411"/>
              <w:rPr>
                <w:sz w:val="21"/>
              </w:rPr>
            </w:pPr>
            <w:r>
              <w:rPr>
                <w:sz w:val="21"/>
              </w:rPr>
              <w:t>2.2 保险责任</w:t>
            </w:r>
          </w:p>
        </w:tc>
        <w:tc>
          <w:tcPr>
            <w:tcW w:w="3288" w:type="dxa"/>
            <w:tcBorders>
              <w:right w:val="single" w:sz="2" w:space="0" w:color="000000"/>
            </w:tcBorders>
          </w:tcPr>
          <w:p>
            <w:pPr>
              <w:pStyle w:val="TableParagraph"/>
              <w:rPr>
                <w:rFonts w:ascii="Times New Roman"/>
                <w:sz w:val="20"/>
              </w:rPr>
            </w:pPr>
          </w:p>
        </w:tc>
        <w:tc>
          <w:tcPr>
            <w:tcW w:w="3254" w:type="dxa"/>
            <w:tcBorders>
              <w:left w:val="single" w:sz="2" w:space="0" w:color="000000"/>
            </w:tcBorders>
          </w:tcPr>
          <w:p>
            <w:pPr>
              <w:pStyle w:val="TableParagraph"/>
              <w:spacing w:line="243" w:lineRule="exact"/>
              <w:ind w:left="315"/>
              <w:rPr>
                <w:sz w:val="21"/>
              </w:rPr>
            </w:pPr>
            <w:r>
              <w:rPr>
                <w:sz w:val="21"/>
              </w:rPr>
              <w:t>8.2 意外伤害</w:t>
            </w:r>
          </w:p>
        </w:tc>
      </w:tr>
      <w:tr>
        <w:trPr>
          <w:trHeight w:val="293" w:hRule="atLeast"/>
        </w:trPr>
        <w:tc>
          <w:tcPr>
            <w:tcW w:w="3315" w:type="dxa"/>
          </w:tcPr>
          <w:p>
            <w:pPr>
              <w:pStyle w:val="TableParagraph"/>
              <w:spacing w:line="243" w:lineRule="exact"/>
              <w:ind w:left="411"/>
              <w:rPr>
                <w:sz w:val="21"/>
              </w:rPr>
            </w:pPr>
            <w:r>
              <w:rPr>
                <w:sz w:val="21"/>
              </w:rPr>
              <w:t>2.3 责任免除</w:t>
            </w:r>
          </w:p>
        </w:tc>
        <w:tc>
          <w:tcPr>
            <w:tcW w:w="3288" w:type="dxa"/>
            <w:tcBorders>
              <w:right w:val="single" w:sz="2" w:space="0" w:color="000000"/>
            </w:tcBorders>
          </w:tcPr>
          <w:p>
            <w:pPr>
              <w:pStyle w:val="TableParagraph"/>
              <w:rPr>
                <w:rFonts w:ascii="Times New Roman"/>
                <w:sz w:val="20"/>
              </w:rPr>
            </w:pPr>
          </w:p>
        </w:tc>
        <w:tc>
          <w:tcPr>
            <w:tcW w:w="3254" w:type="dxa"/>
            <w:tcBorders>
              <w:left w:val="single" w:sz="2" w:space="0" w:color="000000"/>
            </w:tcBorders>
          </w:tcPr>
          <w:p>
            <w:pPr>
              <w:pStyle w:val="TableParagraph"/>
              <w:spacing w:line="243" w:lineRule="exact"/>
              <w:ind w:left="315"/>
              <w:rPr>
                <w:sz w:val="21"/>
              </w:rPr>
            </w:pPr>
            <w:r>
              <w:rPr>
                <w:sz w:val="21"/>
              </w:rPr>
              <w:t>8.3 医院</w:t>
            </w:r>
          </w:p>
        </w:tc>
      </w:tr>
      <w:tr>
        <w:trPr>
          <w:trHeight w:val="312"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rPr>
                <w:rFonts w:ascii="Times New Roman"/>
                <w:sz w:val="20"/>
              </w:rPr>
            </w:pPr>
          </w:p>
        </w:tc>
        <w:tc>
          <w:tcPr>
            <w:tcW w:w="3254" w:type="dxa"/>
            <w:tcBorders>
              <w:left w:val="single" w:sz="2" w:space="0" w:color="000000"/>
            </w:tcBorders>
          </w:tcPr>
          <w:p>
            <w:pPr>
              <w:pStyle w:val="TableParagraph"/>
              <w:spacing w:line="261" w:lineRule="exact"/>
              <w:ind w:left="315"/>
              <w:rPr>
                <w:sz w:val="21"/>
              </w:rPr>
            </w:pPr>
            <w:r>
              <w:rPr>
                <w:sz w:val="21"/>
              </w:rPr>
              <w:t>8.4 专科医生</w:t>
            </w:r>
          </w:p>
        </w:tc>
      </w:tr>
      <w:tr>
        <w:trPr>
          <w:trHeight w:val="312"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rPr>
                <w:rFonts w:ascii="Times New Roman"/>
                <w:sz w:val="20"/>
              </w:rPr>
            </w:pPr>
          </w:p>
        </w:tc>
        <w:tc>
          <w:tcPr>
            <w:tcW w:w="3254" w:type="dxa"/>
            <w:tcBorders>
              <w:left w:val="single" w:sz="2" w:space="0" w:color="000000"/>
            </w:tcBorders>
          </w:tcPr>
          <w:p>
            <w:pPr>
              <w:pStyle w:val="TableParagraph"/>
              <w:spacing w:line="261" w:lineRule="exact"/>
              <w:ind w:left="315"/>
              <w:rPr>
                <w:sz w:val="21"/>
              </w:rPr>
            </w:pPr>
            <w:r>
              <w:rPr>
                <w:sz w:val="21"/>
              </w:rPr>
              <w:t>8.5 感染艾滋病病毒或患艾</w:t>
            </w:r>
          </w:p>
        </w:tc>
      </w:tr>
      <w:tr>
        <w:trPr>
          <w:trHeight w:val="312" w:hRule="atLeast"/>
        </w:trPr>
        <w:tc>
          <w:tcPr>
            <w:tcW w:w="3315" w:type="dxa"/>
          </w:tcPr>
          <w:p>
            <w:pPr>
              <w:pStyle w:val="TableParagraph"/>
              <w:rPr>
                <w:rFonts w:ascii="Times New Roman"/>
                <w:sz w:val="20"/>
              </w:rPr>
            </w:pPr>
          </w:p>
        </w:tc>
        <w:tc>
          <w:tcPr>
            <w:tcW w:w="3288" w:type="dxa"/>
            <w:tcBorders>
              <w:right w:val="single" w:sz="2" w:space="0" w:color="000000"/>
            </w:tcBorders>
          </w:tcPr>
          <w:p>
            <w:pPr>
              <w:pStyle w:val="TableParagraph"/>
              <w:rPr>
                <w:rFonts w:ascii="Times New Roman"/>
                <w:sz w:val="20"/>
              </w:rPr>
            </w:pPr>
          </w:p>
        </w:tc>
        <w:tc>
          <w:tcPr>
            <w:tcW w:w="3254" w:type="dxa"/>
            <w:tcBorders>
              <w:left w:val="single" w:sz="2" w:space="0" w:color="000000"/>
            </w:tcBorders>
          </w:tcPr>
          <w:p>
            <w:pPr>
              <w:pStyle w:val="TableParagraph"/>
              <w:spacing w:line="261" w:lineRule="exact"/>
              <w:ind w:left="735"/>
              <w:rPr>
                <w:sz w:val="21"/>
              </w:rPr>
            </w:pPr>
            <w:r>
              <w:rPr>
                <w:sz w:val="21"/>
              </w:rPr>
              <w:t>滋病</w:t>
            </w:r>
          </w:p>
        </w:tc>
      </w:tr>
      <w:tr>
        <w:trPr>
          <w:trHeight w:val="312" w:hRule="atLeast"/>
        </w:trPr>
        <w:tc>
          <w:tcPr>
            <w:tcW w:w="3315" w:type="dxa"/>
          </w:tcPr>
          <w:p>
            <w:pPr>
              <w:pStyle w:val="TableParagraph"/>
              <w:spacing w:line="261" w:lineRule="exact"/>
              <w:ind w:left="200"/>
              <w:rPr>
                <w:b/>
                <w:sz w:val="21"/>
              </w:rPr>
            </w:pPr>
            <w:r>
              <w:rPr>
                <w:b/>
                <w:sz w:val="21"/>
              </w:rPr>
              <w:t>3 重大疾病</w:t>
            </w:r>
          </w:p>
        </w:tc>
        <w:tc>
          <w:tcPr>
            <w:tcW w:w="3288" w:type="dxa"/>
            <w:tcBorders>
              <w:right w:val="single" w:sz="2" w:space="0" w:color="000000"/>
            </w:tcBorders>
          </w:tcPr>
          <w:p>
            <w:pPr>
              <w:pStyle w:val="TableParagraph"/>
              <w:spacing w:line="261" w:lineRule="exact"/>
              <w:ind w:left="106"/>
              <w:rPr>
                <w:b/>
                <w:sz w:val="21"/>
              </w:rPr>
            </w:pPr>
            <w:r>
              <w:rPr>
                <w:b/>
                <w:sz w:val="21"/>
              </w:rPr>
              <w:t>6 投保人的特别权利及相应义务</w:t>
            </w:r>
          </w:p>
        </w:tc>
        <w:tc>
          <w:tcPr>
            <w:tcW w:w="3254" w:type="dxa"/>
            <w:tcBorders>
              <w:left w:val="single" w:sz="2" w:space="0" w:color="000000"/>
            </w:tcBorders>
          </w:tcPr>
          <w:p>
            <w:pPr>
              <w:pStyle w:val="TableParagraph"/>
              <w:spacing w:line="261" w:lineRule="exact"/>
              <w:ind w:left="315"/>
              <w:rPr>
                <w:sz w:val="21"/>
              </w:rPr>
            </w:pPr>
            <w:r>
              <w:rPr>
                <w:sz w:val="21"/>
              </w:rPr>
              <w:t>8.6 遗传性疾病</w:t>
            </w:r>
          </w:p>
        </w:tc>
      </w:tr>
      <w:tr>
        <w:trPr>
          <w:trHeight w:val="312" w:hRule="atLeast"/>
        </w:trPr>
        <w:tc>
          <w:tcPr>
            <w:tcW w:w="3315" w:type="dxa"/>
          </w:tcPr>
          <w:p>
            <w:pPr>
              <w:pStyle w:val="TableParagraph"/>
              <w:spacing w:line="262" w:lineRule="exact"/>
              <w:ind w:left="411"/>
              <w:rPr>
                <w:sz w:val="21"/>
              </w:rPr>
            </w:pPr>
            <w:r>
              <w:rPr>
                <w:sz w:val="21"/>
              </w:rPr>
              <w:t>3.1 重大疾病的范围</w:t>
            </w:r>
          </w:p>
        </w:tc>
        <w:tc>
          <w:tcPr>
            <w:tcW w:w="3288" w:type="dxa"/>
            <w:tcBorders>
              <w:right w:val="single" w:sz="2" w:space="0" w:color="000000"/>
            </w:tcBorders>
          </w:tcPr>
          <w:p>
            <w:pPr>
              <w:pStyle w:val="TableParagraph"/>
              <w:spacing w:line="262" w:lineRule="exact"/>
              <w:ind w:left="318"/>
              <w:rPr>
                <w:sz w:val="21"/>
              </w:rPr>
            </w:pPr>
            <w:r>
              <w:rPr>
                <w:sz w:val="21"/>
              </w:rPr>
              <w:t>6.1 变更基本保险金额</w:t>
            </w:r>
          </w:p>
        </w:tc>
        <w:tc>
          <w:tcPr>
            <w:tcW w:w="3254" w:type="dxa"/>
            <w:tcBorders>
              <w:left w:val="single" w:sz="2" w:space="0" w:color="000000"/>
            </w:tcBorders>
          </w:tcPr>
          <w:p>
            <w:pPr>
              <w:pStyle w:val="TableParagraph"/>
              <w:spacing w:line="262" w:lineRule="exact"/>
              <w:ind w:left="315"/>
              <w:rPr>
                <w:sz w:val="21"/>
              </w:rPr>
            </w:pPr>
            <w:r>
              <w:rPr>
                <w:sz w:val="21"/>
              </w:rPr>
              <w:t>8.7 先天性畸形、疾病，先天</w:t>
            </w:r>
          </w:p>
        </w:tc>
      </w:tr>
      <w:tr>
        <w:trPr>
          <w:trHeight w:val="311" w:hRule="atLeast"/>
        </w:trPr>
        <w:tc>
          <w:tcPr>
            <w:tcW w:w="3315" w:type="dxa"/>
          </w:tcPr>
          <w:p>
            <w:pPr>
              <w:pStyle w:val="TableParagraph"/>
              <w:spacing w:line="261" w:lineRule="exact"/>
              <w:ind w:left="411"/>
              <w:rPr>
                <w:sz w:val="21"/>
              </w:rPr>
            </w:pPr>
            <w:r>
              <w:rPr>
                <w:sz w:val="21"/>
              </w:rPr>
              <w:t>3.2 重大疾病的定义</w:t>
            </w:r>
          </w:p>
        </w:tc>
        <w:tc>
          <w:tcPr>
            <w:tcW w:w="3288" w:type="dxa"/>
            <w:tcBorders>
              <w:right w:val="single" w:sz="2" w:space="0" w:color="000000"/>
            </w:tcBorders>
          </w:tcPr>
          <w:p>
            <w:pPr>
              <w:pStyle w:val="TableParagraph"/>
              <w:spacing w:line="261" w:lineRule="exact"/>
              <w:ind w:left="318"/>
              <w:rPr>
                <w:sz w:val="21"/>
              </w:rPr>
            </w:pPr>
            <w:r>
              <w:rPr>
                <w:sz w:val="21"/>
              </w:rPr>
              <w:t>6.2 保单借款</w:t>
            </w:r>
          </w:p>
        </w:tc>
        <w:tc>
          <w:tcPr>
            <w:tcW w:w="3254" w:type="dxa"/>
            <w:tcBorders>
              <w:left w:val="single" w:sz="2" w:space="0" w:color="000000"/>
            </w:tcBorders>
          </w:tcPr>
          <w:p>
            <w:pPr>
              <w:pStyle w:val="TableParagraph"/>
              <w:spacing w:line="261" w:lineRule="exact"/>
              <w:ind w:left="735"/>
              <w:rPr>
                <w:sz w:val="21"/>
              </w:rPr>
            </w:pPr>
            <w:r>
              <w:rPr>
                <w:sz w:val="21"/>
              </w:rPr>
              <w:t>性变形或染色体异常</w:t>
            </w:r>
          </w:p>
        </w:tc>
      </w:tr>
      <w:tr>
        <w:trPr>
          <w:trHeight w:val="935" w:hRule="atLeast"/>
        </w:trPr>
        <w:tc>
          <w:tcPr>
            <w:tcW w:w="3315" w:type="dxa"/>
          </w:tcPr>
          <w:p>
            <w:pPr>
              <w:pStyle w:val="TableParagraph"/>
              <w:spacing w:line="261" w:lineRule="exact"/>
              <w:ind w:left="411"/>
              <w:rPr>
                <w:sz w:val="21"/>
              </w:rPr>
            </w:pPr>
            <w:r>
              <w:rPr>
                <w:sz w:val="21"/>
              </w:rPr>
              <w:t>3.3 轻症重疾的定义</w:t>
            </w:r>
          </w:p>
        </w:tc>
        <w:tc>
          <w:tcPr>
            <w:tcW w:w="3288" w:type="dxa"/>
            <w:tcBorders>
              <w:right w:val="single" w:sz="2" w:space="0" w:color="000000"/>
            </w:tcBorders>
          </w:tcPr>
          <w:p>
            <w:pPr>
              <w:pStyle w:val="TableParagraph"/>
              <w:spacing w:line="261" w:lineRule="exact"/>
              <w:ind w:left="318"/>
              <w:rPr>
                <w:sz w:val="21"/>
              </w:rPr>
            </w:pPr>
            <w:r>
              <w:rPr>
                <w:sz w:val="21"/>
              </w:rPr>
              <w:t>6.3 解除合同（退保）</w:t>
            </w:r>
          </w:p>
        </w:tc>
        <w:tc>
          <w:tcPr>
            <w:tcW w:w="3254"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900" w:right="940"/>
        </w:sectPr>
      </w:pPr>
    </w:p>
    <w:p>
      <w:pPr>
        <w:pStyle w:val="BodyText"/>
        <w:ind w:left="3870"/>
        <w:rPr>
          <w:sz w:val="20"/>
        </w:rPr>
      </w:pPr>
      <w:r>
        <w:rPr>
          <w:sz w:val="20"/>
        </w:rPr>
        <w:pict>
          <v:shape style="width:131.25pt;height:39pt;mso-position-horizontal-relative:char;mso-position-vertical-relative:line" type="#_x0000_t202" filled="false" stroked="true" strokeweight="1pt" strokecolor="#000000">
            <w10:anchorlock/>
            <v:textbox inset="0,0,0,0">
              <w:txbxContent>
                <w:p>
                  <w:pPr>
                    <w:spacing w:before="44"/>
                    <w:ind w:left="420"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z w:val="20"/>
        </w:rPr>
      </w:r>
    </w:p>
    <w:p>
      <w:pPr>
        <w:pStyle w:val="BodyText"/>
        <w:spacing w:before="9"/>
        <w:rPr>
          <w:b/>
          <w:sz w:val="28"/>
        </w:rPr>
      </w:pPr>
    </w:p>
    <w:p>
      <w:pPr>
        <w:pStyle w:val="Heading3"/>
        <w:spacing w:before="37"/>
        <w:ind w:left="1780"/>
      </w:pPr>
      <w:r>
        <w:rPr/>
        <w:t>条款是保险合同的重要组成部分，请投保人、被保险人、受益人仔细阅读。</w:t>
      </w:r>
    </w:p>
    <w:p>
      <w:pPr>
        <w:pStyle w:val="BodyText"/>
        <w:rPr>
          <w:b/>
          <w:sz w:val="20"/>
        </w:rPr>
      </w:pPr>
    </w:p>
    <w:p>
      <w:pPr>
        <w:pStyle w:val="BodyText"/>
        <w:spacing w:before="7"/>
        <w:rPr>
          <w:b/>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37"/>
        <w:gridCol w:w="7570"/>
      </w:tblGrid>
      <w:tr>
        <w:trPr>
          <w:trHeight w:val="321" w:hRule="atLeast"/>
        </w:trPr>
        <w:tc>
          <w:tcPr>
            <w:tcW w:w="10080" w:type="dxa"/>
            <w:gridSpan w:val="3"/>
          </w:tcPr>
          <w:p>
            <w:pPr>
              <w:pStyle w:val="TableParagraph"/>
              <w:spacing w:line="211" w:lineRule="exact"/>
              <w:ind w:left="107"/>
              <w:rPr>
                <w:sz w:val="21"/>
              </w:rPr>
            </w:pPr>
            <w:r>
              <w:rPr>
                <w:sz w:val="21"/>
              </w:rPr>
              <w:t>在本条款中，“我们”、“本公司”均指中荷人寿保险有限公司。</w:t>
            </w:r>
          </w:p>
        </w:tc>
      </w:tr>
      <w:tr>
        <w:trPr>
          <w:trHeight w:val="562" w:hRule="atLeast"/>
        </w:trPr>
        <w:tc>
          <w:tcPr>
            <w:tcW w:w="773" w:type="dxa"/>
            <w:tcBorders>
              <w:bottom w:val="double" w:sz="1" w:space="0" w:color="000000"/>
            </w:tcBorders>
          </w:tcPr>
          <w:p>
            <w:pPr>
              <w:pStyle w:val="TableParagraph"/>
              <w:spacing w:before="24"/>
              <w:ind w:left="107"/>
              <w:rPr>
                <w:b/>
                <w:sz w:val="28"/>
              </w:rPr>
            </w:pPr>
            <w:r>
              <w:rPr>
                <w:b/>
                <w:w w:val="99"/>
                <w:sz w:val="28"/>
              </w:rPr>
              <w:t>1</w:t>
            </w:r>
          </w:p>
        </w:tc>
        <w:tc>
          <w:tcPr>
            <w:tcW w:w="9307" w:type="dxa"/>
            <w:gridSpan w:val="2"/>
            <w:tcBorders>
              <w:bottom w:val="double" w:sz="1" w:space="0" w:color="000000"/>
            </w:tcBorders>
          </w:tcPr>
          <w:p>
            <w:pPr>
              <w:pStyle w:val="TableParagraph"/>
              <w:spacing w:before="24"/>
              <w:ind w:left="348"/>
              <w:rPr>
                <w:b/>
                <w:sz w:val="28"/>
              </w:rPr>
            </w:pPr>
            <w:r>
              <w:rPr>
                <w:b/>
                <w:w w:val="95"/>
                <w:sz w:val="28"/>
              </w:rPr>
              <w:t>投保人与我们的合同</w:t>
            </w:r>
          </w:p>
        </w:tc>
      </w:tr>
      <w:tr>
        <w:trPr>
          <w:trHeight w:val="3474" w:hRule="atLeast"/>
        </w:trPr>
        <w:tc>
          <w:tcPr>
            <w:tcW w:w="773" w:type="dxa"/>
            <w:tcBorders>
              <w:top w:val="double" w:sz="1" w:space="0" w:color="000000"/>
            </w:tcBorders>
          </w:tcPr>
          <w:p>
            <w:pPr>
              <w:pStyle w:val="TableParagraph"/>
              <w:spacing w:before="11"/>
              <w:rPr>
                <w:b/>
                <w:sz w:val="22"/>
              </w:rPr>
            </w:pPr>
          </w:p>
          <w:p>
            <w:pPr>
              <w:pStyle w:val="TableParagraph"/>
              <w:ind w:left="107"/>
              <w:rPr>
                <w:b/>
                <w:sz w:val="21"/>
              </w:rPr>
            </w:pPr>
            <w:r>
              <w:rPr>
                <w:b/>
                <w:sz w:val="21"/>
              </w:rPr>
              <w:t>1.1</w:t>
            </w:r>
          </w:p>
        </w:tc>
        <w:tc>
          <w:tcPr>
            <w:tcW w:w="1737" w:type="dxa"/>
            <w:tcBorders>
              <w:top w:val="double" w:sz="1" w:space="0" w:color="000000"/>
            </w:tcBorders>
          </w:tcPr>
          <w:p>
            <w:pPr>
              <w:pStyle w:val="TableParagraph"/>
              <w:spacing w:before="11"/>
              <w:rPr>
                <w:b/>
                <w:sz w:val="22"/>
              </w:rPr>
            </w:pPr>
          </w:p>
          <w:p>
            <w:pPr>
              <w:pStyle w:val="TableParagraph"/>
              <w:ind w:left="348"/>
              <w:rPr>
                <w:b/>
                <w:sz w:val="21"/>
              </w:rPr>
            </w:pPr>
            <w:r>
              <w:rPr>
                <w:b/>
                <w:sz w:val="21"/>
              </w:rPr>
              <w:t>合同构成</w:t>
            </w:r>
          </w:p>
        </w:tc>
        <w:tc>
          <w:tcPr>
            <w:tcW w:w="7570" w:type="dxa"/>
            <w:tcBorders>
              <w:top w:val="double" w:sz="1" w:space="0" w:color="000000"/>
            </w:tcBorders>
          </w:tcPr>
          <w:p>
            <w:pPr>
              <w:pStyle w:val="TableParagraph"/>
              <w:spacing w:before="5"/>
              <w:rPr>
                <w:b/>
                <w:sz w:val="21"/>
              </w:rPr>
            </w:pPr>
          </w:p>
          <w:p>
            <w:pPr>
              <w:pStyle w:val="TableParagraph"/>
              <w:spacing w:line="237" w:lineRule="auto"/>
              <w:ind w:left="120" w:right="105"/>
              <w:jc w:val="both"/>
              <w:rPr>
                <w:sz w:val="21"/>
              </w:rPr>
            </w:pPr>
            <w:r>
              <w:rPr>
                <w:spacing w:val="-5"/>
                <w:sz w:val="21"/>
              </w:rPr>
              <w:t>中荷附加一生关爱定期重大疾病保险 </w:t>
            </w:r>
            <w:r>
              <w:rPr>
                <w:sz w:val="21"/>
              </w:rPr>
              <w:t>F</w:t>
            </w:r>
            <w:r>
              <w:rPr>
                <w:spacing w:val="-13"/>
                <w:sz w:val="21"/>
              </w:rPr>
              <w:t> 款合同</w:t>
            </w:r>
            <w:r>
              <w:rPr>
                <w:spacing w:val="-3"/>
                <w:sz w:val="21"/>
              </w:rPr>
              <w:t>（以下简称本附加合同</w:t>
            </w:r>
            <w:r>
              <w:rPr>
                <w:spacing w:val="-7"/>
                <w:sz w:val="21"/>
              </w:rPr>
              <w:t>）</w:t>
            </w:r>
            <w:r>
              <w:rPr>
                <w:spacing w:val="-2"/>
                <w:sz w:val="21"/>
              </w:rPr>
              <w:t>依中荷一</w:t>
            </w:r>
            <w:r>
              <w:rPr>
                <w:spacing w:val="-8"/>
                <w:sz w:val="21"/>
              </w:rPr>
              <w:t>生关爱两全保险 </w:t>
            </w:r>
            <w:r>
              <w:rPr>
                <w:sz w:val="21"/>
              </w:rPr>
              <w:t>F</w:t>
            </w:r>
            <w:r>
              <w:rPr>
                <w:spacing w:val="-12"/>
                <w:sz w:val="21"/>
              </w:rPr>
              <w:t> 款合同条款</w:t>
            </w:r>
            <w:r>
              <w:rPr>
                <w:spacing w:val="-3"/>
                <w:sz w:val="21"/>
              </w:rPr>
              <w:t>（</w:t>
            </w:r>
            <w:r>
              <w:rPr>
                <w:spacing w:val="-10"/>
                <w:sz w:val="21"/>
              </w:rPr>
              <w:t>以下简称主合同，代码 </w:t>
            </w:r>
            <w:r>
              <w:rPr>
                <w:spacing w:val="-7"/>
                <w:sz w:val="21"/>
              </w:rPr>
              <w:t>EF）</w:t>
            </w:r>
            <w:r>
              <w:rPr>
                <w:spacing w:val="-6"/>
                <w:sz w:val="21"/>
              </w:rPr>
              <w:t>投保人的申请，经我</w:t>
            </w:r>
            <w:r>
              <w:rPr>
                <w:spacing w:val="-4"/>
                <w:sz w:val="21"/>
              </w:rPr>
              <w:t>们同意而订立。</w:t>
            </w:r>
          </w:p>
          <w:p>
            <w:pPr>
              <w:pStyle w:val="TableParagraph"/>
              <w:spacing w:line="272" w:lineRule="exact"/>
              <w:ind w:left="120"/>
              <w:rPr>
                <w:sz w:val="21"/>
              </w:rPr>
            </w:pPr>
            <w:r>
              <w:rPr>
                <w:sz w:val="21"/>
              </w:rPr>
              <w:t>本附加合同须附加于主合同后始为有效。</w:t>
            </w:r>
          </w:p>
          <w:p>
            <w:pPr>
              <w:pStyle w:val="TableParagraph"/>
              <w:spacing w:line="237" w:lineRule="auto" w:before="1"/>
              <w:ind w:left="120" w:right="9"/>
              <w:jc w:val="both"/>
              <w:rPr>
                <w:sz w:val="21"/>
              </w:rPr>
            </w:pPr>
            <w:r>
              <w:rPr>
                <w:sz w:val="21"/>
              </w:rPr>
              <w:t>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TableParagraph"/>
              <w:ind w:left="120" w:right="106"/>
              <w:jc w:val="both"/>
              <w:rPr>
                <w:sz w:val="21"/>
              </w:rPr>
            </w:pPr>
            <w:r>
              <w:rPr>
                <w:spacing w:val="-5"/>
                <w:sz w:val="21"/>
              </w:rPr>
              <w:t>本附加合同条款依法按照通常理解予以解释，如合同条款有两种以上解释的，作</w:t>
            </w:r>
            <w:r>
              <w:rPr>
                <w:spacing w:val="-4"/>
                <w:sz w:val="21"/>
              </w:rPr>
              <w:t>有利于被保险人或受益人的解释。</w:t>
            </w:r>
          </w:p>
          <w:p>
            <w:pPr>
              <w:pStyle w:val="TableParagraph"/>
              <w:spacing w:line="271" w:lineRule="exact" w:before="4"/>
              <w:ind w:left="120"/>
              <w:jc w:val="both"/>
              <w:rPr>
                <w:sz w:val="21"/>
              </w:rPr>
            </w:pPr>
            <w:r>
              <w:rPr>
                <w:sz w:val="21"/>
              </w:rPr>
              <w:t>本附加合同的代码为 DDF。</w:t>
            </w:r>
          </w:p>
        </w:tc>
      </w:tr>
      <w:tr>
        <w:trPr>
          <w:trHeight w:val="5992" w:hRule="atLeast"/>
        </w:trPr>
        <w:tc>
          <w:tcPr>
            <w:tcW w:w="773" w:type="dxa"/>
          </w:tcPr>
          <w:p>
            <w:pPr>
              <w:pStyle w:val="TableParagraph"/>
              <w:spacing w:before="134"/>
              <w:ind w:left="107"/>
              <w:rPr>
                <w:b/>
                <w:sz w:val="21"/>
              </w:rPr>
            </w:pPr>
            <w:r>
              <w:rPr>
                <w:b/>
                <w:sz w:val="21"/>
              </w:rPr>
              <w:t>1.2</w:t>
            </w:r>
          </w:p>
        </w:tc>
        <w:tc>
          <w:tcPr>
            <w:tcW w:w="1737" w:type="dxa"/>
          </w:tcPr>
          <w:p>
            <w:pPr>
              <w:pStyle w:val="TableParagraph"/>
              <w:spacing w:before="134"/>
              <w:ind w:left="348"/>
              <w:rPr>
                <w:b/>
                <w:sz w:val="21"/>
              </w:rPr>
            </w:pPr>
            <w:r>
              <w:rPr>
                <w:b/>
                <w:sz w:val="21"/>
              </w:rPr>
              <w:t>如实告知</w:t>
            </w:r>
          </w:p>
        </w:tc>
        <w:tc>
          <w:tcPr>
            <w:tcW w:w="7570" w:type="dxa"/>
          </w:tcPr>
          <w:p>
            <w:pPr>
              <w:pStyle w:val="TableParagraph"/>
              <w:spacing w:line="273" w:lineRule="auto" w:before="134"/>
              <w:ind w:left="120" w:right="103"/>
              <w:jc w:val="both"/>
              <w:rPr>
                <w:sz w:val="21"/>
              </w:rPr>
            </w:pPr>
            <w:r>
              <w:rPr>
                <w:spacing w:val="-4"/>
                <w:sz w:val="21"/>
              </w:rPr>
              <w:t>订立本附加合同，我们应当向投保人说明本附加合同的内容。对本附加合同中免</w:t>
            </w:r>
            <w:r>
              <w:rPr>
                <w:spacing w:val="-5"/>
                <w:sz w:val="21"/>
              </w:rPr>
              <w:t>除我们责任的条款，在订立合同时我们应当在投保单、保险单或者其他保险凭证上作出足以引起投保人注意的提示，并对该条款的内容以书面或者口头形式向投</w:t>
            </w:r>
            <w:r>
              <w:rPr>
                <w:spacing w:val="-4"/>
                <w:sz w:val="21"/>
              </w:rPr>
              <w:t>保人作出明确说明。未作提示或者明确说明的，该条款不产生效力。</w:t>
            </w:r>
          </w:p>
          <w:p>
            <w:pPr>
              <w:pStyle w:val="TableParagraph"/>
              <w:spacing w:line="273" w:lineRule="auto" w:before="7"/>
              <w:ind w:left="120" w:right="107"/>
              <w:jc w:val="both"/>
              <w:rPr>
                <w:b/>
                <w:sz w:val="21"/>
              </w:rPr>
            </w:pPr>
            <w:r>
              <w:rPr>
                <w:b/>
                <w:spacing w:val="-5"/>
                <w:sz w:val="21"/>
              </w:rPr>
              <w:t>订立本附加合同，我们可以就投保人和被保险人的有关情况提出书面询问，投保人应当如实告知。</w:t>
            </w:r>
          </w:p>
          <w:p>
            <w:pPr>
              <w:pStyle w:val="TableParagraph"/>
              <w:spacing w:line="273" w:lineRule="auto" w:before="7"/>
              <w:ind w:left="120" w:right="103"/>
              <w:jc w:val="both"/>
              <w:rPr>
                <w:sz w:val="21"/>
              </w:rPr>
            </w:pPr>
            <w:r>
              <w:rPr>
                <w:b/>
                <w:spacing w:val="-5"/>
                <w:sz w:val="21"/>
              </w:rPr>
              <w:t>如果投保人故意隐瞒事实，不履行如实告知义务，或者因重大过失未履行如实告</w:t>
            </w:r>
            <w:r>
              <w:rPr>
                <w:b/>
                <w:spacing w:val="-8"/>
                <w:sz w:val="21"/>
              </w:rPr>
              <w:t>知义务，足以影响我们决定是否同意承保或者提高保险费率的，我们有权解除本附加合同。</w:t>
            </w:r>
            <w:r>
              <w:rPr>
                <w:spacing w:val="-4"/>
                <w:sz w:val="21"/>
              </w:rPr>
              <w:t>但若被保险人自本附加合同成立日</w:t>
            </w:r>
            <w:r>
              <w:rPr>
                <w:spacing w:val="-3"/>
                <w:sz w:val="21"/>
              </w:rPr>
              <w:t>（</w:t>
            </w:r>
            <w:r>
              <w:rPr>
                <w:spacing w:val="-4"/>
                <w:sz w:val="21"/>
              </w:rPr>
              <w:t>若本合同中止后复效，则以最后</w:t>
            </w:r>
            <w:r>
              <w:rPr>
                <w:spacing w:val="-3"/>
                <w:sz w:val="21"/>
              </w:rPr>
              <w:t>复效日为准</w:t>
            </w:r>
            <w:r>
              <w:rPr>
                <w:spacing w:val="-10"/>
                <w:sz w:val="21"/>
              </w:rPr>
              <w:t>）</w:t>
            </w:r>
            <w:r>
              <w:rPr>
                <w:spacing w:val="-4"/>
                <w:sz w:val="21"/>
              </w:rPr>
              <w:t>起持续有效两年后才发生保险事故的，我们将不再依据本条规定行</w:t>
            </w:r>
            <w:r>
              <w:rPr>
                <w:spacing w:val="-3"/>
                <w:sz w:val="21"/>
              </w:rPr>
              <w:t>使对本附加合同的解除权。</w:t>
            </w:r>
          </w:p>
          <w:p>
            <w:pPr>
              <w:pStyle w:val="TableParagraph"/>
              <w:spacing w:line="237" w:lineRule="auto"/>
              <w:ind w:left="120" w:right="104"/>
              <w:jc w:val="both"/>
              <w:rPr>
                <w:sz w:val="21"/>
              </w:rPr>
            </w:pPr>
            <w:r>
              <w:rPr>
                <w:spacing w:val="0"/>
                <w:sz w:val="21"/>
              </w:rPr>
              <w:t>如果我们在本附加合同订立时已经知道投保人未如实告知的或自我们知道有解</w:t>
            </w:r>
            <w:r>
              <w:rPr>
                <w:spacing w:val="-4"/>
                <w:sz w:val="21"/>
              </w:rPr>
              <w:t>除事由之日起超过三十日没有解除本附加合同，则我们不再依据前款约定行使解除权。</w:t>
            </w:r>
          </w:p>
          <w:p>
            <w:pPr>
              <w:pStyle w:val="TableParagraph"/>
              <w:spacing w:line="273" w:lineRule="auto" w:before="29"/>
              <w:ind w:left="120" w:right="68"/>
              <w:jc w:val="both"/>
              <w:rPr>
                <w:b/>
                <w:sz w:val="21"/>
              </w:rPr>
            </w:pPr>
            <w:r>
              <w:rPr>
                <w:b/>
                <w:sz w:val="21"/>
              </w:rPr>
              <w:t>如果投保人故意不履行如实告知义务，我们对于本合同解除前发生的保险事故， 不承担给付保险金的责任，并不退还保险费。</w:t>
            </w:r>
          </w:p>
          <w:p>
            <w:pPr>
              <w:pStyle w:val="TableParagraph"/>
              <w:spacing w:line="237" w:lineRule="auto"/>
              <w:ind w:left="120" w:right="68"/>
              <w:jc w:val="both"/>
              <w:rPr>
                <w:b/>
                <w:sz w:val="21"/>
              </w:rPr>
            </w:pPr>
            <w:r>
              <w:rPr>
                <w:b/>
                <w:sz w:val="21"/>
              </w:rPr>
              <w:t>如果投保人因重大过失未履行如实告知义务，对保险事故的发生有严重影响的， 我们对于本附加合同解除前发生的保险事故，不承担给付保险金的责任，但退还本附加合同的保险费。</w:t>
            </w:r>
          </w:p>
        </w:tc>
      </w:tr>
      <w:tr>
        <w:trPr>
          <w:trHeight w:val="731" w:hRule="atLeast"/>
        </w:trPr>
        <w:tc>
          <w:tcPr>
            <w:tcW w:w="773" w:type="dxa"/>
          </w:tcPr>
          <w:p>
            <w:pPr>
              <w:pStyle w:val="TableParagraph"/>
              <w:spacing w:before="145"/>
              <w:ind w:left="107"/>
              <w:rPr>
                <w:b/>
                <w:sz w:val="21"/>
              </w:rPr>
            </w:pPr>
            <w:r>
              <w:rPr>
                <w:b/>
                <w:sz w:val="21"/>
              </w:rPr>
              <w:t>1.3</w:t>
            </w:r>
          </w:p>
        </w:tc>
        <w:tc>
          <w:tcPr>
            <w:tcW w:w="1737" w:type="dxa"/>
          </w:tcPr>
          <w:p>
            <w:pPr>
              <w:pStyle w:val="TableParagraph"/>
              <w:spacing w:line="310" w:lineRule="atLeast" w:before="110"/>
              <w:ind w:left="348" w:right="119"/>
              <w:rPr>
                <w:b/>
                <w:sz w:val="21"/>
              </w:rPr>
            </w:pPr>
            <w:r>
              <w:rPr>
                <w:b/>
                <w:sz w:val="21"/>
              </w:rPr>
              <w:t>合同成立及保险责任的开始</w:t>
            </w:r>
          </w:p>
        </w:tc>
        <w:tc>
          <w:tcPr>
            <w:tcW w:w="7570" w:type="dxa"/>
          </w:tcPr>
          <w:p>
            <w:pPr>
              <w:pStyle w:val="TableParagraph"/>
              <w:spacing w:before="123"/>
              <w:ind w:left="120"/>
              <w:rPr>
                <w:sz w:val="21"/>
              </w:rPr>
            </w:pPr>
            <w:r>
              <w:rPr>
                <w:sz w:val="21"/>
              </w:rPr>
              <w:t>本附加合同与主合同同时投保、同时生效、保险责任同时开始。</w:t>
            </w:r>
          </w:p>
        </w:tc>
      </w:tr>
    </w:tbl>
    <w:p>
      <w:pPr>
        <w:spacing w:after="0"/>
        <w:rPr>
          <w:sz w:val="21"/>
        </w:rPr>
        <w:sectPr>
          <w:footerReference w:type="default" r:id="rId6"/>
          <w:pgSz w:w="11910" w:h="16840"/>
          <w:pgMar w:footer="922" w:header="0" w:top="1420" w:bottom="1120" w:left="800" w:right="800"/>
          <w:pgNumType w:start="1"/>
        </w:sectPr>
      </w:pPr>
    </w:p>
    <w:p>
      <w:pPr>
        <w:pStyle w:val="ListParagraph"/>
        <w:numPr>
          <w:ilvl w:val="0"/>
          <w:numId w:val="1"/>
        </w:numPr>
        <w:tabs>
          <w:tab w:pos="1235" w:val="left" w:leader="none"/>
          <w:tab w:pos="1236" w:val="left" w:leader="none"/>
        </w:tabs>
        <w:spacing w:line="354" w:lineRule="exact" w:before="0" w:after="0"/>
        <w:ind w:left="1235" w:right="0" w:hanging="1013"/>
        <w:jc w:val="left"/>
        <w:rPr>
          <w:b/>
          <w:sz w:val="28"/>
        </w:rPr>
      </w:pPr>
      <w:r>
        <w:rPr>
          <w:b/>
          <w:w w:val="95"/>
          <w:sz w:val="28"/>
        </w:rPr>
        <w:t>我们提供的保障</w:t>
      </w:r>
    </w:p>
    <w:p>
      <w:pPr>
        <w:pStyle w:val="BodyText"/>
        <w:spacing w:before="2"/>
        <w:rPr>
          <w:b/>
          <w:sz w:val="10"/>
        </w:rPr>
      </w:pPr>
      <w:r>
        <w:rPr/>
        <w:pict>
          <v:group style="position:absolute;margin-left:45.720001pt;margin-top:8.611279pt;width:504pt;height:1.45pt;mso-position-horizontal-relative:page;mso-position-vertical-relative:paragraph;z-index:1168;mso-wrap-distance-left:0;mso-wrap-distance-right:0" coordorigin="914,172" coordsize="10080,29">
            <v:line style="position:absolute" from="914,177" to="1928,177" stroked="true" strokeweight=".48pt" strokecolor="#000000">
              <v:stroke dashstyle="solid"/>
            </v:line>
            <v:line style="position:absolute" from="914,196" to="1928,196" stroked="true" strokeweight=".48pt" strokecolor="#000000">
              <v:stroke dashstyle="solid"/>
            </v:line>
            <v:rect style="position:absolute;left:1927;top:172;width:29;height:10" filled="true" fillcolor="#000000" stroked="false">
              <v:fill type="solid"/>
            </v:rect>
            <v:rect style="position:absolute;left:1927;top:191;width:29;height:10" filled="true" fillcolor="#000000" stroked="false">
              <v:fill type="solid"/>
            </v:rect>
            <v:line style="position:absolute" from="1956,177" to="3464,177" stroked="true" strokeweight=".48pt" strokecolor="#000000">
              <v:stroke dashstyle="solid"/>
            </v:line>
            <v:line style="position:absolute" from="1956,196" to="3464,196" stroked="true" strokeweight=".48pt" strokecolor="#000000">
              <v:stroke dashstyle="solid"/>
            </v:line>
            <v:rect style="position:absolute;left:3463;top:172;width:29;height:10" filled="true" fillcolor="#000000" stroked="false">
              <v:fill type="solid"/>
            </v:rect>
            <v:rect style="position:absolute;left:3463;top:191;width:29;height:10" filled="true" fillcolor="#000000" stroked="false">
              <v:fill type="solid"/>
            </v:rect>
            <v:line style="position:absolute" from="3492,177" to="10994,177" stroked="true" strokeweight=".48pt" strokecolor="#000000">
              <v:stroke dashstyle="solid"/>
            </v:line>
            <v:line style="position:absolute" from="3492,196" to="10994,196" stroked="true" strokeweight=".48pt" strokecolor="#000000">
              <v:stroke dashstyle="solid"/>
            </v:line>
            <w10:wrap type="topAndBottom"/>
          </v:group>
        </w:pict>
      </w:r>
    </w:p>
    <w:p>
      <w:pPr>
        <w:pStyle w:val="BodyText"/>
        <w:spacing w:before="11"/>
        <w:rPr>
          <w:b/>
          <w:sz w:val="17"/>
        </w:rPr>
      </w:pPr>
    </w:p>
    <w:p>
      <w:pPr>
        <w:pStyle w:val="ListParagraph"/>
        <w:numPr>
          <w:ilvl w:val="1"/>
          <w:numId w:val="1"/>
        </w:numPr>
        <w:tabs>
          <w:tab w:pos="1235" w:val="left" w:leader="none"/>
          <w:tab w:pos="1236" w:val="left" w:leader="none"/>
          <w:tab w:pos="2771" w:val="left" w:leader="none"/>
        </w:tabs>
        <w:spacing w:line="273" w:lineRule="auto" w:before="37" w:after="0"/>
        <w:ind w:left="2771" w:right="218" w:hanging="2549"/>
        <w:jc w:val="left"/>
        <w:rPr>
          <w:sz w:val="21"/>
        </w:rPr>
      </w:pPr>
      <w:r>
        <w:rPr>
          <w:b/>
          <w:sz w:val="21"/>
        </w:rPr>
        <w:t>保险金额</w:t>
        <w:tab/>
      </w:r>
      <w:r>
        <w:rPr>
          <w:sz w:val="21"/>
        </w:rPr>
        <w:t>本附</w:t>
      </w:r>
      <w:r>
        <w:rPr>
          <w:spacing w:val="-3"/>
          <w:sz w:val="21"/>
        </w:rPr>
        <w:t>加</w:t>
      </w:r>
      <w:r>
        <w:rPr>
          <w:sz w:val="21"/>
        </w:rPr>
        <w:t>合</w:t>
      </w:r>
      <w:r>
        <w:rPr>
          <w:spacing w:val="-3"/>
          <w:sz w:val="21"/>
        </w:rPr>
        <w:t>同</w:t>
      </w:r>
      <w:r>
        <w:rPr>
          <w:sz w:val="21"/>
        </w:rPr>
        <w:t>所</w:t>
      </w:r>
      <w:r>
        <w:rPr>
          <w:spacing w:val="-3"/>
          <w:sz w:val="21"/>
        </w:rPr>
        <w:t>称</w:t>
      </w:r>
      <w:r>
        <w:rPr>
          <w:sz w:val="21"/>
        </w:rPr>
        <w:t>的</w:t>
      </w:r>
      <w:r>
        <w:rPr>
          <w:spacing w:val="-3"/>
          <w:sz w:val="21"/>
        </w:rPr>
        <w:t>基</w:t>
      </w:r>
      <w:r>
        <w:rPr>
          <w:sz w:val="21"/>
        </w:rPr>
        <w:t>本</w:t>
      </w:r>
      <w:r>
        <w:rPr>
          <w:spacing w:val="-3"/>
          <w:sz w:val="21"/>
        </w:rPr>
        <w:t>保</w:t>
      </w:r>
      <w:r>
        <w:rPr>
          <w:sz w:val="21"/>
        </w:rPr>
        <w:t>险金</w:t>
      </w:r>
      <w:r>
        <w:rPr>
          <w:spacing w:val="-3"/>
          <w:sz w:val="21"/>
        </w:rPr>
        <w:t>额</w:t>
      </w:r>
      <w:r>
        <w:rPr>
          <w:sz w:val="21"/>
        </w:rPr>
        <w:t>是</w:t>
      </w:r>
      <w:r>
        <w:rPr>
          <w:spacing w:val="-3"/>
          <w:sz w:val="21"/>
        </w:rPr>
        <w:t>指</w:t>
      </w:r>
      <w:r>
        <w:rPr>
          <w:sz w:val="21"/>
        </w:rPr>
        <w:t>保</w:t>
      </w:r>
      <w:r>
        <w:rPr>
          <w:spacing w:val="-3"/>
          <w:sz w:val="21"/>
        </w:rPr>
        <w:t>险</w:t>
      </w:r>
      <w:r>
        <w:rPr>
          <w:sz w:val="21"/>
        </w:rPr>
        <w:t>单</w:t>
      </w:r>
      <w:r>
        <w:rPr>
          <w:spacing w:val="-3"/>
          <w:sz w:val="21"/>
        </w:rPr>
        <w:t>或</w:t>
      </w:r>
      <w:r>
        <w:rPr>
          <w:sz w:val="21"/>
        </w:rPr>
        <w:t>主</w:t>
      </w:r>
      <w:r>
        <w:rPr>
          <w:spacing w:val="-3"/>
          <w:sz w:val="21"/>
        </w:rPr>
        <w:t>合</w:t>
      </w:r>
      <w:r>
        <w:rPr>
          <w:sz w:val="21"/>
        </w:rPr>
        <w:t>同批</w:t>
      </w:r>
      <w:r>
        <w:rPr>
          <w:spacing w:val="-3"/>
          <w:sz w:val="21"/>
        </w:rPr>
        <w:t>注</w:t>
      </w:r>
      <w:r>
        <w:rPr>
          <w:sz w:val="21"/>
        </w:rPr>
        <w:t>上</w:t>
      </w:r>
      <w:r>
        <w:rPr>
          <w:spacing w:val="-3"/>
          <w:sz w:val="21"/>
        </w:rPr>
        <w:t>所</w:t>
      </w:r>
      <w:r>
        <w:rPr>
          <w:sz w:val="21"/>
        </w:rPr>
        <w:t>载</w:t>
      </w:r>
      <w:r>
        <w:rPr>
          <w:spacing w:val="-3"/>
          <w:sz w:val="21"/>
        </w:rPr>
        <w:t>的</w:t>
      </w:r>
      <w:r>
        <w:rPr>
          <w:sz w:val="21"/>
        </w:rPr>
        <w:t>本</w:t>
      </w:r>
      <w:r>
        <w:rPr>
          <w:spacing w:val="-3"/>
          <w:sz w:val="21"/>
        </w:rPr>
        <w:t>附</w:t>
      </w:r>
      <w:r>
        <w:rPr>
          <w:sz w:val="21"/>
        </w:rPr>
        <w:t>加</w:t>
      </w:r>
      <w:r>
        <w:rPr>
          <w:spacing w:val="-3"/>
          <w:sz w:val="21"/>
        </w:rPr>
        <w:t>合</w:t>
      </w:r>
      <w:r>
        <w:rPr>
          <w:sz w:val="21"/>
        </w:rPr>
        <w:t>同 的金</w:t>
      </w:r>
      <w:r>
        <w:rPr>
          <w:spacing w:val="-3"/>
          <w:sz w:val="21"/>
        </w:rPr>
        <w:t>额</w:t>
      </w:r>
      <w:r>
        <w:rPr>
          <w:spacing w:val="-22"/>
          <w:sz w:val="21"/>
        </w:rPr>
        <w:t>。</w:t>
      </w:r>
      <w:r>
        <w:rPr>
          <w:sz w:val="21"/>
        </w:rPr>
        <w:t>若</w:t>
      </w:r>
      <w:r>
        <w:rPr>
          <w:spacing w:val="-3"/>
          <w:sz w:val="21"/>
        </w:rPr>
        <w:t>该</w:t>
      </w:r>
      <w:r>
        <w:rPr>
          <w:sz w:val="21"/>
        </w:rPr>
        <w:t>金</w:t>
      </w:r>
      <w:r>
        <w:rPr>
          <w:spacing w:val="-3"/>
          <w:sz w:val="21"/>
        </w:rPr>
        <w:t>额</w:t>
      </w:r>
      <w:r>
        <w:rPr>
          <w:sz w:val="21"/>
        </w:rPr>
        <w:t>按</w:t>
      </w:r>
      <w:r>
        <w:rPr>
          <w:spacing w:val="-3"/>
          <w:sz w:val="21"/>
        </w:rPr>
        <w:t>本附</w:t>
      </w:r>
      <w:r>
        <w:rPr>
          <w:sz w:val="21"/>
        </w:rPr>
        <w:t>加合</w:t>
      </w:r>
      <w:r>
        <w:rPr>
          <w:spacing w:val="-3"/>
          <w:sz w:val="21"/>
        </w:rPr>
        <w:t>同</w:t>
      </w:r>
      <w:r>
        <w:rPr>
          <w:sz w:val="21"/>
        </w:rPr>
        <w:t>其</w:t>
      </w:r>
      <w:r>
        <w:rPr>
          <w:spacing w:val="-3"/>
          <w:sz w:val="21"/>
        </w:rPr>
        <w:t>它</w:t>
      </w:r>
      <w:r>
        <w:rPr>
          <w:sz w:val="21"/>
        </w:rPr>
        <w:t>条</w:t>
      </w:r>
      <w:r>
        <w:rPr>
          <w:spacing w:val="-3"/>
          <w:sz w:val="21"/>
        </w:rPr>
        <w:t>款</w:t>
      </w:r>
      <w:r>
        <w:rPr>
          <w:sz w:val="21"/>
        </w:rPr>
        <w:t>的</w:t>
      </w:r>
      <w:r>
        <w:rPr>
          <w:spacing w:val="-3"/>
          <w:sz w:val="21"/>
        </w:rPr>
        <w:t>约</w:t>
      </w:r>
      <w:r>
        <w:rPr>
          <w:sz w:val="21"/>
        </w:rPr>
        <w:t>定</w:t>
      </w:r>
      <w:r>
        <w:rPr>
          <w:spacing w:val="-3"/>
          <w:sz w:val="21"/>
        </w:rPr>
        <w:t>发</w:t>
      </w:r>
      <w:r>
        <w:rPr>
          <w:sz w:val="21"/>
        </w:rPr>
        <w:t>生变</w:t>
      </w:r>
      <w:r>
        <w:rPr>
          <w:spacing w:val="-3"/>
          <w:sz w:val="21"/>
        </w:rPr>
        <w:t>更</w:t>
      </w:r>
      <w:r>
        <w:rPr>
          <w:spacing w:val="-22"/>
          <w:sz w:val="21"/>
        </w:rPr>
        <w:t>，</w:t>
      </w:r>
      <w:r>
        <w:rPr>
          <w:sz w:val="21"/>
        </w:rPr>
        <w:t>则</w:t>
      </w:r>
      <w:r>
        <w:rPr>
          <w:spacing w:val="-3"/>
          <w:sz w:val="21"/>
        </w:rPr>
        <w:t>以</w:t>
      </w:r>
      <w:r>
        <w:rPr>
          <w:sz w:val="21"/>
        </w:rPr>
        <w:t>变</w:t>
      </w:r>
      <w:r>
        <w:rPr>
          <w:spacing w:val="-3"/>
          <w:sz w:val="21"/>
        </w:rPr>
        <w:t>更</w:t>
      </w:r>
      <w:r>
        <w:rPr>
          <w:sz w:val="21"/>
        </w:rPr>
        <w:t>后</w:t>
      </w:r>
      <w:r>
        <w:rPr>
          <w:spacing w:val="-3"/>
          <w:sz w:val="21"/>
        </w:rPr>
        <w:t>的金</w:t>
      </w:r>
      <w:r>
        <w:rPr>
          <w:sz w:val="21"/>
        </w:rPr>
        <w:t>额为基本</w:t>
      </w:r>
      <w:r>
        <w:rPr>
          <w:spacing w:val="-3"/>
          <w:sz w:val="21"/>
        </w:rPr>
        <w:t>保</w:t>
      </w:r>
      <w:r>
        <w:rPr>
          <w:sz w:val="21"/>
        </w:rPr>
        <w:t>险</w:t>
      </w:r>
      <w:r>
        <w:rPr>
          <w:spacing w:val="-3"/>
          <w:sz w:val="21"/>
        </w:rPr>
        <w:t>金</w:t>
      </w:r>
      <w:r>
        <w:rPr>
          <w:sz w:val="21"/>
        </w:rPr>
        <w:t>额。</w:t>
      </w:r>
    </w:p>
    <w:p>
      <w:pPr>
        <w:pStyle w:val="BodyText"/>
        <w:spacing w:before="9"/>
        <w:rPr>
          <w:sz w:val="24"/>
        </w:rPr>
      </w:pPr>
    </w:p>
    <w:p>
      <w:pPr>
        <w:pStyle w:val="ListParagraph"/>
        <w:numPr>
          <w:ilvl w:val="1"/>
          <w:numId w:val="1"/>
        </w:numPr>
        <w:tabs>
          <w:tab w:pos="1235" w:val="left" w:leader="none"/>
          <w:tab w:pos="1236" w:val="left" w:leader="none"/>
          <w:tab w:pos="2771" w:val="left" w:leader="none"/>
        </w:tabs>
        <w:spacing w:line="240" w:lineRule="auto" w:before="1" w:after="0"/>
        <w:ind w:left="2771" w:right="0" w:hanging="2549"/>
        <w:jc w:val="left"/>
        <w:rPr>
          <w:sz w:val="21"/>
        </w:rPr>
      </w:pPr>
      <w:r>
        <w:rPr>
          <w:b/>
          <w:position w:val="2"/>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8"/>
        <w:rPr>
          <w:sz w:val="22"/>
        </w:rPr>
      </w:pPr>
    </w:p>
    <w:p>
      <w:pPr>
        <w:spacing w:after="0"/>
        <w:rPr>
          <w:sz w:val="22"/>
        </w:rPr>
        <w:sectPr>
          <w:pgSz w:w="11910" w:h="16840"/>
          <w:pgMar w:header="0" w:footer="922" w:top="1520" w:bottom="1200" w:left="800" w:right="800"/>
        </w:sectPr>
      </w:pPr>
    </w:p>
    <w:p>
      <w:pPr>
        <w:pStyle w:val="ListParagraph"/>
        <w:numPr>
          <w:ilvl w:val="2"/>
          <w:numId w:val="1"/>
        </w:numPr>
        <w:tabs>
          <w:tab w:pos="1235" w:val="left" w:leader="none"/>
          <w:tab w:pos="1236" w:val="left" w:leader="none"/>
        </w:tabs>
        <w:spacing w:line="259" w:lineRule="auto" w:before="34" w:after="0"/>
        <w:ind w:left="1235" w:right="0" w:hanging="1013"/>
        <w:jc w:val="left"/>
        <w:rPr>
          <w:i/>
          <w:sz w:val="22"/>
        </w:rPr>
      </w:pPr>
      <w:r>
        <w:rPr>
          <w:i/>
          <w:spacing w:val="-2"/>
          <w:w w:val="95"/>
          <w:sz w:val="22"/>
        </w:rPr>
        <w:t>重大疾病保险</w:t>
      </w:r>
      <w:r>
        <w:rPr>
          <w:i/>
          <w:spacing w:val="-2"/>
          <w:sz w:val="22"/>
        </w:rPr>
        <w:t>金</w:t>
      </w:r>
    </w:p>
    <w:p>
      <w:pPr>
        <w:spacing w:line="278" w:lineRule="auto" w:before="70"/>
        <w:ind w:left="222" w:right="110" w:firstLine="0"/>
        <w:jc w:val="left"/>
        <w:rPr>
          <w:sz w:val="21"/>
        </w:rPr>
      </w:pPr>
      <w:r>
        <w:rPr/>
        <w:br w:type="column"/>
      </w:r>
      <w:r>
        <w:rPr>
          <w:spacing w:val="-2"/>
          <w:sz w:val="21"/>
        </w:rPr>
        <w:t>若被保险人因</w:t>
      </w:r>
      <w:r>
        <w:rPr>
          <w:b/>
          <w:spacing w:val="-1"/>
          <w:sz w:val="21"/>
        </w:rPr>
        <w:t>意外伤害事故</w:t>
      </w:r>
      <w:r>
        <w:rPr>
          <w:spacing w:val="-3"/>
          <w:sz w:val="21"/>
        </w:rPr>
        <w:t>或于本附加合同</w:t>
      </w:r>
      <w:r>
        <w:rPr>
          <w:b/>
          <w:spacing w:val="-9"/>
          <w:sz w:val="21"/>
        </w:rPr>
        <w:t>持续有效九十日</w:t>
      </w:r>
      <w:r>
        <w:rPr>
          <w:b/>
          <w:sz w:val="21"/>
        </w:rPr>
        <w:t>（</w:t>
      </w:r>
      <w:r>
        <w:rPr>
          <w:b/>
          <w:spacing w:val="-1"/>
          <w:sz w:val="21"/>
        </w:rPr>
        <w:t>若本附加合同中止</w:t>
      </w:r>
      <w:r>
        <w:rPr>
          <w:b/>
          <w:w w:val="100"/>
          <w:sz w:val="21"/>
        </w:rPr>
        <w:t>后复效，则以最后复效日起持续有效九十日为准）以后（不含当日</w:t>
      </w:r>
      <w:r>
        <w:rPr>
          <w:b/>
          <w:spacing w:val="-98"/>
          <w:w w:val="100"/>
          <w:sz w:val="21"/>
        </w:rPr>
        <w:t>）</w:t>
      </w:r>
      <w:r>
        <w:rPr>
          <w:spacing w:val="-3"/>
          <w:w w:val="100"/>
          <w:sz w:val="21"/>
        </w:rPr>
        <w:t>，</w:t>
      </w:r>
      <w:r>
        <w:rPr>
          <w:b/>
          <w:w w:val="100"/>
          <w:sz w:val="21"/>
        </w:rPr>
        <w:t>首次确诊</w:t>
      </w:r>
      <w:r>
        <w:rPr>
          <w:spacing w:val="-5"/>
          <w:sz w:val="21"/>
        </w:rPr>
        <w:t>患本附加合同所述重大疾病</w:t>
      </w:r>
      <w:r>
        <w:rPr>
          <w:spacing w:val="-3"/>
          <w:sz w:val="21"/>
        </w:rPr>
        <w:t>（无论一种或多种</w:t>
      </w:r>
      <w:r>
        <w:rPr>
          <w:spacing w:val="-64"/>
          <w:sz w:val="21"/>
        </w:rPr>
        <w:t>）</w:t>
      </w:r>
      <w:r>
        <w:rPr>
          <w:spacing w:val="-10"/>
          <w:sz w:val="21"/>
        </w:rPr>
        <w:t>，本附加合同及主合同效力终止， </w:t>
      </w:r>
      <w:r>
        <w:rPr>
          <w:spacing w:val="-5"/>
          <w:sz w:val="21"/>
        </w:rPr>
        <w:t>我们给付等值于本附加合同基本保险金额的重大疾病保险金。</w:t>
      </w:r>
    </w:p>
    <w:p>
      <w:pPr>
        <w:pStyle w:val="Heading3"/>
        <w:spacing w:line="273" w:lineRule="auto"/>
        <w:ind w:left="222" w:right="221"/>
      </w:pPr>
      <w:r>
        <w:rPr>
          <w:spacing w:val="-6"/>
        </w:rPr>
        <w:t>若我们已给付主合同的身故保险金或满期保险金的，本附加合同及主合同效力终止，我们不再给付本项保险责任的保险金。</w:t>
      </w:r>
    </w:p>
    <w:p>
      <w:pPr>
        <w:spacing w:after="0" w:line="273" w:lineRule="auto"/>
        <w:sectPr>
          <w:type w:val="continuous"/>
          <w:pgSz w:w="11910" w:h="16840"/>
          <w:pgMar w:top="240" w:bottom="280" w:left="800" w:right="800"/>
          <w:cols w:num="2" w:equalWidth="0">
            <w:col w:w="2499" w:space="51"/>
            <w:col w:w="7760"/>
          </w:cols>
        </w:sectPr>
      </w:pPr>
    </w:p>
    <w:p>
      <w:pPr>
        <w:pStyle w:val="BodyText"/>
        <w:spacing w:before="3"/>
        <w:rPr>
          <w:b/>
          <w:sz w:val="20"/>
        </w:rPr>
      </w:pPr>
    </w:p>
    <w:p>
      <w:pPr>
        <w:spacing w:after="0"/>
        <w:rPr>
          <w:sz w:val="20"/>
        </w:rPr>
        <w:sectPr>
          <w:type w:val="continuous"/>
          <w:pgSz w:w="11910" w:h="16840"/>
          <w:pgMar w:top="240" w:bottom="280" w:left="800" w:right="800"/>
        </w:sectPr>
      </w:pPr>
    </w:p>
    <w:p>
      <w:pPr>
        <w:pStyle w:val="ListParagraph"/>
        <w:numPr>
          <w:ilvl w:val="2"/>
          <w:numId w:val="1"/>
        </w:numPr>
        <w:tabs>
          <w:tab w:pos="1235" w:val="left" w:leader="none"/>
          <w:tab w:pos="1236" w:val="left" w:leader="none"/>
        </w:tabs>
        <w:spacing w:line="213" w:lineRule="auto" w:before="64" w:after="0"/>
        <w:ind w:left="1235" w:right="0" w:hanging="1013"/>
        <w:jc w:val="left"/>
        <w:rPr>
          <w:i/>
          <w:sz w:val="22"/>
        </w:rPr>
      </w:pPr>
      <w:r>
        <w:rPr>
          <w:i/>
          <w:spacing w:val="7"/>
          <w:w w:val="95"/>
          <w:sz w:val="22"/>
        </w:rPr>
        <w:t>轻症重疾保险</w:t>
      </w:r>
      <w:r>
        <w:rPr>
          <w:i/>
          <w:sz w:val="22"/>
        </w:rPr>
        <w:t>金</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
        <w:rPr>
          <w:i/>
          <w:sz w:val="29"/>
        </w:rPr>
      </w:pPr>
    </w:p>
    <w:p>
      <w:pPr>
        <w:pStyle w:val="ListParagraph"/>
        <w:numPr>
          <w:ilvl w:val="2"/>
          <w:numId w:val="1"/>
        </w:numPr>
        <w:tabs>
          <w:tab w:pos="1235" w:val="left" w:leader="none"/>
          <w:tab w:pos="1236" w:val="left" w:leader="none"/>
        </w:tabs>
        <w:spacing w:line="211" w:lineRule="auto" w:before="0" w:after="0"/>
        <w:ind w:left="1235" w:right="8" w:hanging="1013"/>
        <w:jc w:val="left"/>
        <w:rPr>
          <w:i/>
          <w:sz w:val="22"/>
        </w:rPr>
      </w:pPr>
      <w:r>
        <w:rPr>
          <w:i/>
          <w:spacing w:val="5"/>
          <w:w w:val="95"/>
          <w:sz w:val="22"/>
        </w:rPr>
        <w:t>特定重大疾病</w:t>
      </w:r>
      <w:r>
        <w:rPr>
          <w:i/>
          <w:spacing w:val="1"/>
          <w:w w:val="95"/>
          <w:sz w:val="22"/>
        </w:rPr>
        <w:t>额外给付</w:t>
      </w:r>
    </w:p>
    <w:p>
      <w:pPr>
        <w:spacing w:line="273" w:lineRule="auto" w:before="70"/>
        <w:ind w:left="163" w:right="153" w:firstLine="0"/>
        <w:jc w:val="both"/>
        <w:rPr>
          <w:sz w:val="21"/>
        </w:rPr>
      </w:pPr>
      <w:r>
        <w:rPr/>
        <w:br w:type="column"/>
      </w:r>
      <w:r>
        <w:rPr>
          <w:spacing w:val="-3"/>
          <w:sz w:val="21"/>
        </w:rPr>
        <w:t>若被保险人因意外伤害事故或于</w:t>
      </w:r>
      <w:r>
        <w:rPr>
          <w:b/>
          <w:spacing w:val="-1"/>
          <w:sz w:val="21"/>
        </w:rPr>
        <w:t>本附加合同持续有效九十日</w:t>
      </w:r>
      <w:r>
        <w:rPr>
          <w:b/>
          <w:sz w:val="21"/>
        </w:rPr>
        <w:t>（</w:t>
      </w:r>
      <w:r>
        <w:rPr>
          <w:b/>
          <w:spacing w:val="-1"/>
          <w:sz w:val="21"/>
        </w:rPr>
        <w:t>若本附加合同中止</w:t>
      </w:r>
      <w:r>
        <w:rPr>
          <w:b/>
          <w:w w:val="100"/>
          <w:sz w:val="21"/>
        </w:rPr>
        <w:t>后复效，则以最后复效日起持续有效九十日为准</w:t>
      </w:r>
      <w:r>
        <w:rPr>
          <w:b/>
          <w:spacing w:val="1"/>
          <w:w w:val="100"/>
          <w:sz w:val="21"/>
        </w:rPr>
        <w:t>）以后（不含当日</w:t>
      </w:r>
      <w:r>
        <w:rPr>
          <w:b/>
          <w:spacing w:val="-94"/>
          <w:w w:val="100"/>
          <w:sz w:val="21"/>
        </w:rPr>
        <w:t>）</w:t>
      </w:r>
      <w:r>
        <w:rPr>
          <w:b/>
          <w:spacing w:val="1"/>
          <w:w w:val="100"/>
          <w:sz w:val="21"/>
        </w:rPr>
        <w:t>，首次确诊</w:t>
      </w:r>
      <w:r>
        <w:rPr>
          <w:spacing w:val="-3"/>
          <w:sz w:val="21"/>
        </w:rPr>
        <w:t>患以下三十项轻症重疾之一，且确诊时间在被保险人年满七十周岁后的首个保单周年日之前的，该项轻症重疾对应的保险责任终止，我们给付等值于本附加合同基本保险金额的</w:t>
      </w:r>
      <w:r>
        <w:rPr>
          <w:sz w:val="21"/>
        </w:rPr>
        <w:t>20％（</w:t>
      </w:r>
      <w:r>
        <w:rPr>
          <w:spacing w:val="-3"/>
          <w:sz w:val="21"/>
        </w:rPr>
        <w:t>百分之二十）轻症重疾保险金。</w:t>
      </w:r>
    </w:p>
    <w:p>
      <w:pPr>
        <w:pStyle w:val="Heading3"/>
        <w:spacing w:line="273" w:lineRule="auto" w:before="12"/>
        <w:ind w:right="159"/>
        <w:jc w:val="both"/>
      </w:pPr>
      <w:r>
        <w:rPr/>
        <w:t>保险期间内，轻症重疾保险金给付达到两次的，我们对被保险人的该项保险责任终止。</w:t>
      </w:r>
    </w:p>
    <w:p>
      <w:pPr>
        <w:pStyle w:val="BodyText"/>
        <w:spacing w:before="12"/>
        <w:rPr>
          <w:b/>
          <w:sz w:val="24"/>
        </w:rPr>
      </w:pPr>
    </w:p>
    <w:p>
      <w:pPr>
        <w:spacing w:before="0"/>
        <w:ind w:left="163" w:right="0" w:firstLine="0"/>
        <w:jc w:val="left"/>
        <w:rPr>
          <w:b/>
          <w:sz w:val="21"/>
        </w:rPr>
      </w:pPr>
      <w:r>
        <w:rPr>
          <w:b/>
          <w:sz w:val="21"/>
        </w:rPr>
        <w:t>轻症重疾种类：</w:t>
      </w:r>
    </w:p>
    <w:p>
      <w:pPr>
        <w:pStyle w:val="BodyText"/>
        <w:spacing w:before="10" w:after="1"/>
        <w:rPr>
          <w:b/>
          <w:sz w:val="8"/>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3410"/>
      </w:tblGrid>
      <w:tr>
        <w:trPr>
          <w:trHeight w:val="245" w:hRule="atLeast"/>
        </w:trPr>
        <w:tc>
          <w:tcPr>
            <w:tcW w:w="3850" w:type="dxa"/>
          </w:tcPr>
          <w:p>
            <w:pPr>
              <w:pStyle w:val="TableParagraph"/>
              <w:spacing w:line="180" w:lineRule="exact"/>
              <w:ind w:left="200"/>
              <w:rPr>
                <w:sz w:val="18"/>
              </w:rPr>
            </w:pPr>
            <w:r>
              <w:rPr>
                <w:sz w:val="18"/>
              </w:rPr>
              <w:t>1 非危及生命的（极早期的）恶性病变</w:t>
            </w:r>
          </w:p>
        </w:tc>
        <w:tc>
          <w:tcPr>
            <w:tcW w:w="3410" w:type="dxa"/>
          </w:tcPr>
          <w:p>
            <w:pPr>
              <w:pStyle w:val="TableParagraph"/>
              <w:spacing w:line="180" w:lineRule="exact"/>
              <w:ind w:left="229"/>
              <w:rPr>
                <w:b/>
                <w:sz w:val="18"/>
              </w:rPr>
            </w:pPr>
            <w:r>
              <w:rPr>
                <w:sz w:val="18"/>
              </w:rPr>
              <w:t>16 </w:t>
            </w:r>
            <w:r>
              <w:rPr>
                <w:b/>
                <w:sz w:val="18"/>
              </w:rPr>
              <w:t>中度听力受损（三周岁以上理赔）</w:t>
            </w:r>
          </w:p>
        </w:tc>
      </w:tr>
      <w:tr>
        <w:trPr>
          <w:trHeight w:val="312" w:hRule="atLeast"/>
        </w:trPr>
        <w:tc>
          <w:tcPr>
            <w:tcW w:w="3850" w:type="dxa"/>
          </w:tcPr>
          <w:p>
            <w:pPr>
              <w:pStyle w:val="TableParagraph"/>
              <w:spacing w:before="10"/>
              <w:ind w:left="200"/>
              <w:rPr>
                <w:sz w:val="18"/>
              </w:rPr>
            </w:pPr>
            <w:r>
              <w:rPr>
                <w:sz w:val="18"/>
              </w:rPr>
              <w:t>2 冠状动脉介入手术</w:t>
            </w:r>
          </w:p>
        </w:tc>
        <w:tc>
          <w:tcPr>
            <w:tcW w:w="3410" w:type="dxa"/>
          </w:tcPr>
          <w:p>
            <w:pPr>
              <w:pStyle w:val="TableParagraph"/>
              <w:spacing w:before="10"/>
              <w:ind w:left="229"/>
              <w:rPr>
                <w:sz w:val="18"/>
              </w:rPr>
            </w:pPr>
            <w:r>
              <w:rPr>
                <w:sz w:val="18"/>
              </w:rPr>
              <w:t>17 中度瘫痪</w:t>
            </w:r>
          </w:p>
        </w:tc>
      </w:tr>
      <w:tr>
        <w:trPr>
          <w:trHeight w:val="312" w:hRule="atLeast"/>
        </w:trPr>
        <w:tc>
          <w:tcPr>
            <w:tcW w:w="3850" w:type="dxa"/>
          </w:tcPr>
          <w:p>
            <w:pPr>
              <w:pStyle w:val="TableParagraph"/>
              <w:spacing w:before="10"/>
              <w:ind w:left="200"/>
              <w:rPr>
                <w:sz w:val="18"/>
              </w:rPr>
            </w:pPr>
            <w:r>
              <w:rPr>
                <w:sz w:val="18"/>
              </w:rPr>
              <w:t>3 轻微脑中风</w:t>
            </w:r>
          </w:p>
        </w:tc>
        <w:tc>
          <w:tcPr>
            <w:tcW w:w="3410" w:type="dxa"/>
          </w:tcPr>
          <w:p>
            <w:pPr>
              <w:pStyle w:val="TableParagraph"/>
              <w:spacing w:before="10"/>
              <w:ind w:left="229"/>
              <w:rPr>
                <w:sz w:val="18"/>
              </w:rPr>
            </w:pPr>
            <w:r>
              <w:rPr>
                <w:sz w:val="18"/>
              </w:rPr>
              <w:t>18 中度阿尔兹海默病</w:t>
            </w:r>
          </w:p>
        </w:tc>
      </w:tr>
      <w:tr>
        <w:trPr>
          <w:trHeight w:val="312" w:hRule="atLeast"/>
        </w:trPr>
        <w:tc>
          <w:tcPr>
            <w:tcW w:w="3850" w:type="dxa"/>
          </w:tcPr>
          <w:p>
            <w:pPr>
              <w:pStyle w:val="TableParagraph"/>
              <w:spacing w:before="10"/>
              <w:ind w:left="200"/>
              <w:rPr>
                <w:sz w:val="18"/>
              </w:rPr>
            </w:pPr>
            <w:r>
              <w:rPr>
                <w:sz w:val="18"/>
              </w:rPr>
              <w:t>4 心脏瓣膜介入手术</w:t>
            </w:r>
          </w:p>
        </w:tc>
        <w:tc>
          <w:tcPr>
            <w:tcW w:w="3410" w:type="dxa"/>
          </w:tcPr>
          <w:p>
            <w:pPr>
              <w:pStyle w:val="TableParagraph"/>
              <w:spacing w:before="10"/>
              <w:ind w:left="229"/>
              <w:rPr>
                <w:sz w:val="18"/>
              </w:rPr>
            </w:pPr>
            <w:r>
              <w:rPr>
                <w:sz w:val="18"/>
              </w:rPr>
              <w:t>19 中度帕金森氏病</w:t>
            </w:r>
          </w:p>
        </w:tc>
      </w:tr>
      <w:tr>
        <w:trPr>
          <w:trHeight w:val="311" w:hRule="atLeast"/>
        </w:trPr>
        <w:tc>
          <w:tcPr>
            <w:tcW w:w="3850" w:type="dxa"/>
          </w:tcPr>
          <w:p>
            <w:pPr>
              <w:pStyle w:val="TableParagraph"/>
              <w:spacing w:before="10"/>
              <w:ind w:left="200"/>
              <w:rPr>
                <w:sz w:val="18"/>
              </w:rPr>
            </w:pPr>
            <w:r>
              <w:rPr>
                <w:sz w:val="18"/>
              </w:rPr>
              <w:t>5 脑垂体瘤、脑囊肿、脑动脉瘤及脑血管瘤</w:t>
            </w:r>
          </w:p>
        </w:tc>
        <w:tc>
          <w:tcPr>
            <w:tcW w:w="3410" w:type="dxa"/>
          </w:tcPr>
          <w:p>
            <w:pPr>
              <w:pStyle w:val="TableParagraph"/>
              <w:spacing w:before="10"/>
              <w:ind w:left="229"/>
              <w:rPr>
                <w:sz w:val="18"/>
              </w:rPr>
            </w:pPr>
            <w:r>
              <w:rPr>
                <w:sz w:val="18"/>
              </w:rPr>
              <w:t>20 继发性肺动脉高压</w:t>
            </w:r>
          </w:p>
        </w:tc>
      </w:tr>
      <w:tr>
        <w:trPr>
          <w:trHeight w:val="311" w:hRule="atLeast"/>
        </w:trPr>
        <w:tc>
          <w:tcPr>
            <w:tcW w:w="3850" w:type="dxa"/>
          </w:tcPr>
          <w:p>
            <w:pPr>
              <w:pStyle w:val="TableParagraph"/>
              <w:spacing w:before="10"/>
              <w:ind w:left="200"/>
              <w:rPr>
                <w:b/>
                <w:sz w:val="18"/>
              </w:rPr>
            </w:pPr>
            <w:r>
              <w:rPr>
                <w:b/>
                <w:sz w:val="18"/>
              </w:rPr>
              <w:t>6 视力严重受损（三周岁以上理赔）</w:t>
            </w:r>
          </w:p>
        </w:tc>
        <w:tc>
          <w:tcPr>
            <w:tcW w:w="3410" w:type="dxa"/>
          </w:tcPr>
          <w:p>
            <w:pPr>
              <w:pStyle w:val="TableParagraph"/>
              <w:spacing w:before="10"/>
              <w:ind w:left="229"/>
              <w:rPr>
                <w:sz w:val="18"/>
              </w:rPr>
            </w:pPr>
            <w:r>
              <w:rPr>
                <w:sz w:val="18"/>
              </w:rPr>
              <w:t>21 早期运动神经性疾病</w:t>
            </w:r>
          </w:p>
        </w:tc>
      </w:tr>
      <w:tr>
        <w:trPr>
          <w:trHeight w:val="312" w:hRule="atLeast"/>
        </w:trPr>
        <w:tc>
          <w:tcPr>
            <w:tcW w:w="3850" w:type="dxa"/>
          </w:tcPr>
          <w:p>
            <w:pPr>
              <w:pStyle w:val="TableParagraph"/>
              <w:spacing w:before="10"/>
              <w:ind w:left="200"/>
              <w:rPr>
                <w:sz w:val="18"/>
              </w:rPr>
            </w:pPr>
            <w:r>
              <w:rPr>
                <w:sz w:val="18"/>
              </w:rPr>
              <w:t>7 主动脉内介入手术</w:t>
            </w:r>
          </w:p>
        </w:tc>
        <w:tc>
          <w:tcPr>
            <w:tcW w:w="3410" w:type="dxa"/>
          </w:tcPr>
          <w:p>
            <w:pPr>
              <w:pStyle w:val="TableParagraph"/>
              <w:spacing w:before="10"/>
              <w:ind w:left="229"/>
              <w:rPr>
                <w:sz w:val="18"/>
              </w:rPr>
            </w:pPr>
            <w:r>
              <w:rPr>
                <w:sz w:val="18"/>
              </w:rPr>
              <w:t>22 可逆性再生障碍性贫血</w:t>
            </w:r>
          </w:p>
        </w:tc>
      </w:tr>
      <w:tr>
        <w:trPr>
          <w:trHeight w:val="312" w:hRule="atLeast"/>
        </w:trPr>
        <w:tc>
          <w:tcPr>
            <w:tcW w:w="3850" w:type="dxa"/>
          </w:tcPr>
          <w:p>
            <w:pPr>
              <w:pStyle w:val="TableParagraph"/>
              <w:spacing w:before="10"/>
              <w:ind w:left="200"/>
              <w:rPr>
                <w:sz w:val="18"/>
              </w:rPr>
            </w:pPr>
            <w:r>
              <w:rPr>
                <w:sz w:val="18"/>
              </w:rPr>
              <w:t>8 较小面积 III 度烧伤（10%）</w:t>
            </w:r>
          </w:p>
        </w:tc>
        <w:tc>
          <w:tcPr>
            <w:tcW w:w="3410" w:type="dxa"/>
          </w:tcPr>
          <w:p>
            <w:pPr>
              <w:pStyle w:val="TableParagraph"/>
              <w:spacing w:before="10"/>
              <w:ind w:left="229"/>
              <w:rPr>
                <w:sz w:val="18"/>
              </w:rPr>
            </w:pPr>
            <w:r>
              <w:rPr>
                <w:sz w:val="18"/>
              </w:rPr>
              <w:t>23 中度溃疡性结肠炎</w:t>
            </w:r>
          </w:p>
        </w:tc>
      </w:tr>
      <w:tr>
        <w:trPr>
          <w:trHeight w:val="311" w:hRule="atLeast"/>
        </w:trPr>
        <w:tc>
          <w:tcPr>
            <w:tcW w:w="3850" w:type="dxa"/>
          </w:tcPr>
          <w:p>
            <w:pPr>
              <w:pStyle w:val="TableParagraph"/>
              <w:spacing w:before="10"/>
              <w:ind w:left="200"/>
              <w:rPr>
                <w:sz w:val="18"/>
              </w:rPr>
            </w:pPr>
            <w:r>
              <w:rPr>
                <w:sz w:val="18"/>
              </w:rPr>
              <w:t>9 慢性肾功能损害 – 肾功能衰竭期</w:t>
            </w:r>
          </w:p>
        </w:tc>
        <w:tc>
          <w:tcPr>
            <w:tcW w:w="3410" w:type="dxa"/>
          </w:tcPr>
          <w:p>
            <w:pPr>
              <w:pStyle w:val="TableParagraph"/>
              <w:spacing w:before="10"/>
              <w:ind w:left="229"/>
              <w:rPr>
                <w:sz w:val="18"/>
              </w:rPr>
            </w:pPr>
            <w:r>
              <w:rPr>
                <w:sz w:val="18"/>
              </w:rPr>
              <w:t>24 中度严重克隆症</w:t>
            </w:r>
          </w:p>
        </w:tc>
      </w:tr>
      <w:tr>
        <w:trPr>
          <w:trHeight w:val="312" w:hRule="atLeast"/>
        </w:trPr>
        <w:tc>
          <w:tcPr>
            <w:tcW w:w="3850" w:type="dxa"/>
          </w:tcPr>
          <w:p>
            <w:pPr>
              <w:pStyle w:val="TableParagraph"/>
              <w:spacing w:before="10"/>
              <w:ind w:left="200"/>
              <w:rPr>
                <w:sz w:val="18"/>
              </w:rPr>
            </w:pPr>
            <w:r>
              <w:rPr>
                <w:sz w:val="18"/>
              </w:rPr>
              <w:t>10 重症头部外伤</w:t>
            </w:r>
          </w:p>
        </w:tc>
        <w:tc>
          <w:tcPr>
            <w:tcW w:w="3410" w:type="dxa"/>
          </w:tcPr>
          <w:p>
            <w:pPr>
              <w:pStyle w:val="TableParagraph"/>
              <w:spacing w:before="10"/>
              <w:ind w:left="229"/>
              <w:rPr>
                <w:sz w:val="18"/>
              </w:rPr>
            </w:pPr>
            <w:r>
              <w:rPr>
                <w:sz w:val="18"/>
              </w:rPr>
              <w:t>25 因肾上腺腺瘤所致的肾上腺切除术</w:t>
            </w:r>
          </w:p>
        </w:tc>
      </w:tr>
      <w:tr>
        <w:trPr>
          <w:trHeight w:val="312" w:hRule="atLeast"/>
        </w:trPr>
        <w:tc>
          <w:tcPr>
            <w:tcW w:w="3850" w:type="dxa"/>
          </w:tcPr>
          <w:p>
            <w:pPr>
              <w:pStyle w:val="TableParagraph"/>
              <w:spacing w:before="10"/>
              <w:ind w:left="200"/>
              <w:rPr>
                <w:sz w:val="18"/>
              </w:rPr>
            </w:pPr>
            <w:r>
              <w:rPr>
                <w:sz w:val="18"/>
              </w:rPr>
              <w:t>11 单个肢体缺失</w:t>
            </w:r>
          </w:p>
        </w:tc>
        <w:tc>
          <w:tcPr>
            <w:tcW w:w="3410" w:type="dxa"/>
          </w:tcPr>
          <w:p>
            <w:pPr>
              <w:pStyle w:val="TableParagraph"/>
              <w:spacing w:before="10"/>
              <w:ind w:left="229"/>
              <w:rPr>
                <w:sz w:val="18"/>
              </w:rPr>
            </w:pPr>
            <w:r>
              <w:rPr>
                <w:sz w:val="18"/>
              </w:rPr>
              <w:t>26 心脏起搏器或除颤器植入</w:t>
            </w:r>
          </w:p>
        </w:tc>
      </w:tr>
      <w:tr>
        <w:trPr>
          <w:trHeight w:val="312" w:hRule="atLeast"/>
        </w:trPr>
        <w:tc>
          <w:tcPr>
            <w:tcW w:w="3850" w:type="dxa"/>
          </w:tcPr>
          <w:p>
            <w:pPr>
              <w:pStyle w:val="TableParagraph"/>
              <w:spacing w:before="10"/>
              <w:ind w:left="200"/>
              <w:rPr>
                <w:sz w:val="18"/>
              </w:rPr>
            </w:pPr>
            <w:r>
              <w:rPr>
                <w:sz w:val="18"/>
              </w:rPr>
              <w:t>12 单侧肺脏切除</w:t>
            </w:r>
          </w:p>
        </w:tc>
        <w:tc>
          <w:tcPr>
            <w:tcW w:w="3410" w:type="dxa"/>
          </w:tcPr>
          <w:p>
            <w:pPr>
              <w:pStyle w:val="TableParagraph"/>
              <w:spacing w:before="10"/>
              <w:ind w:left="229"/>
              <w:rPr>
                <w:sz w:val="18"/>
              </w:rPr>
            </w:pPr>
            <w:r>
              <w:rPr>
                <w:sz w:val="18"/>
              </w:rPr>
              <w:t>27 严重系统性红斑狼疮</w:t>
            </w:r>
          </w:p>
        </w:tc>
      </w:tr>
      <w:tr>
        <w:trPr>
          <w:trHeight w:val="312" w:hRule="atLeast"/>
        </w:trPr>
        <w:tc>
          <w:tcPr>
            <w:tcW w:w="3850" w:type="dxa"/>
          </w:tcPr>
          <w:p>
            <w:pPr>
              <w:pStyle w:val="TableParagraph"/>
              <w:spacing w:before="10"/>
              <w:ind w:left="200"/>
              <w:rPr>
                <w:sz w:val="18"/>
              </w:rPr>
            </w:pPr>
            <w:r>
              <w:rPr>
                <w:sz w:val="18"/>
              </w:rPr>
              <w:t>13 肝脏整叶切除</w:t>
            </w:r>
          </w:p>
        </w:tc>
        <w:tc>
          <w:tcPr>
            <w:tcW w:w="3410" w:type="dxa"/>
          </w:tcPr>
          <w:p>
            <w:pPr>
              <w:pStyle w:val="TableParagraph"/>
              <w:spacing w:before="10"/>
              <w:ind w:left="229"/>
              <w:rPr>
                <w:sz w:val="18"/>
              </w:rPr>
            </w:pPr>
            <w:r>
              <w:rPr>
                <w:sz w:val="18"/>
              </w:rPr>
              <w:t>28 植入大脑内分流器</w:t>
            </w:r>
          </w:p>
        </w:tc>
      </w:tr>
      <w:tr>
        <w:trPr>
          <w:trHeight w:val="312" w:hRule="atLeast"/>
        </w:trPr>
        <w:tc>
          <w:tcPr>
            <w:tcW w:w="3850" w:type="dxa"/>
          </w:tcPr>
          <w:p>
            <w:pPr>
              <w:pStyle w:val="TableParagraph"/>
              <w:spacing w:before="10"/>
              <w:ind w:left="200"/>
              <w:rPr>
                <w:sz w:val="18"/>
              </w:rPr>
            </w:pPr>
            <w:r>
              <w:rPr>
                <w:sz w:val="18"/>
              </w:rPr>
              <w:t>14 轻度脑炎或脑膜炎后遗症</w:t>
            </w:r>
          </w:p>
        </w:tc>
        <w:tc>
          <w:tcPr>
            <w:tcW w:w="3410" w:type="dxa"/>
          </w:tcPr>
          <w:p>
            <w:pPr>
              <w:pStyle w:val="TableParagraph"/>
              <w:spacing w:before="10"/>
              <w:ind w:left="229"/>
              <w:rPr>
                <w:sz w:val="18"/>
              </w:rPr>
            </w:pPr>
            <w:r>
              <w:rPr>
                <w:sz w:val="18"/>
              </w:rPr>
              <w:t>29 轻度颅脑手术</w:t>
            </w:r>
          </w:p>
        </w:tc>
      </w:tr>
      <w:tr>
        <w:trPr>
          <w:trHeight w:val="245" w:hRule="atLeast"/>
        </w:trPr>
        <w:tc>
          <w:tcPr>
            <w:tcW w:w="3850" w:type="dxa"/>
          </w:tcPr>
          <w:p>
            <w:pPr>
              <w:pStyle w:val="TableParagraph"/>
              <w:spacing w:line="216" w:lineRule="exact" w:before="10"/>
              <w:ind w:left="200"/>
              <w:rPr>
                <w:sz w:val="18"/>
              </w:rPr>
            </w:pPr>
            <w:r>
              <w:rPr>
                <w:sz w:val="18"/>
              </w:rPr>
              <w:t>15 深度昏迷 72 小时</w:t>
            </w:r>
          </w:p>
        </w:tc>
        <w:tc>
          <w:tcPr>
            <w:tcW w:w="3410" w:type="dxa"/>
          </w:tcPr>
          <w:p>
            <w:pPr>
              <w:pStyle w:val="TableParagraph"/>
              <w:spacing w:line="216" w:lineRule="exact" w:before="10"/>
              <w:ind w:left="229"/>
              <w:rPr>
                <w:sz w:val="18"/>
              </w:rPr>
            </w:pPr>
            <w:r>
              <w:rPr>
                <w:sz w:val="18"/>
              </w:rPr>
              <w:t>30 胆道系统重建手术</w:t>
            </w:r>
          </w:p>
        </w:tc>
      </w:tr>
    </w:tbl>
    <w:p>
      <w:pPr>
        <w:pStyle w:val="BodyText"/>
        <w:spacing w:before="12"/>
        <w:rPr>
          <w:b/>
          <w:sz w:val="29"/>
        </w:rPr>
      </w:pPr>
    </w:p>
    <w:p>
      <w:pPr>
        <w:spacing w:line="278" w:lineRule="auto" w:before="0"/>
        <w:ind w:left="163" w:right="219" w:firstLine="0"/>
        <w:jc w:val="both"/>
        <w:rPr>
          <w:sz w:val="21"/>
        </w:rPr>
      </w:pPr>
      <w:r>
        <w:rPr>
          <w:spacing w:val="-3"/>
          <w:sz w:val="21"/>
        </w:rPr>
        <w:t>若被保险人因意外伤害事故或于</w:t>
      </w:r>
      <w:r>
        <w:rPr>
          <w:b/>
          <w:spacing w:val="-7"/>
          <w:sz w:val="21"/>
        </w:rPr>
        <w:t>本附加合同持续有效九十日</w:t>
      </w:r>
      <w:r>
        <w:rPr>
          <w:b/>
          <w:sz w:val="21"/>
        </w:rPr>
        <w:t>（</w:t>
      </w:r>
      <w:r>
        <w:rPr>
          <w:b/>
          <w:spacing w:val="-3"/>
          <w:sz w:val="21"/>
        </w:rPr>
        <w:t>若本附加合同中止</w:t>
      </w:r>
      <w:r>
        <w:rPr>
          <w:b/>
          <w:w w:val="100"/>
          <w:sz w:val="21"/>
        </w:rPr>
        <w:t>后复效，则以最后复效日起持续有效九十日为准）以后（不含当日</w:t>
      </w:r>
      <w:r>
        <w:rPr>
          <w:b/>
          <w:spacing w:val="-100"/>
          <w:w w:val="100"/>
          <w:sz w:val="21"/>
        </w:rPr>
        <w:t>）</w:t>
      </w:r>
      <w:r>
        <w:rPr>
          <w:b/>
          <w:w w:val="100"/>
          <w:sz w:val="21"/>
        </w:rPr>
        <w:t>，首次确诊</w:t>
      </w:r>
      <w:r>
        <w:rPr>
          <w:w w:val="100"/>
          <w:sz w:val="21"/>
        </w:rPr>
        <w:t>患以下特定重大疾病（无论一种或多种</w:t>
      </w:r>
      <w:r>
        <w:rPr>
          <w:spacing w:val="-101"/>
          <w:w w:val="100"/>
          <w:sz w:val="21"/>
        </w:rPr>
        <w:t>）</w:t>
      </w:r>
      <w:r>
        <w:rPr>
          <w:w w:val="100"/>
          <w:sz w:val="21"/>
        </w:rPr>
        <w:t>，且确诊时间在被保险人年满七十周岁</w:t>
      </w:r>
    </w:p>
    <w:p>
      <w:pPr>
        <w:spacing w:after="0" w:line="278" w:lineRule="auto"/>
        <w:jc w:val="both"/>
        <w:rPr>
          <w:sz w:val="21"/>
        </w:rPr>
        <w:sectPr>
          <w:type w:val="continuous"/>
          <w:pgSz w:w="11910" w:h="16840"/>
          <w:pgMar w:top="240" w:bottom="280" w:left="800" w:right="800"/>
          <w:cols w:num="2" w:equalWidth="0">
            <w:col w:w="2568" w:space="40"/>
            <w:col w:w="7702"/>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44"/>
        <w:gridCol w:w="7557"/>
      </w:tblGrid>
      <w:tr>
        <w:trPr>
          <w:trHeight w:val="2597" w:hRule="atLeast"/>
        </w:trPr>
        <w:tc>
          <w:tcPr>
            <w:tcW w:w="879" w:type="dxa"/>
          </w:tcPr>
          <w:p>
            <w:pPr>
              <w:pStyle w:val="TableParagraph"/>
              <w:rPr>
                <w:rFonts w:ascii="Times New Roman"/>
                <w:sz w:val="20"/>
              </w:rPr>
            </w:pPr>
          </w:p>
        </w:tc>
        <w:tc>
          <w:tcPr>
            <w:tcW w:w="1644" w:type="dxa"/>
          </w:tcPr>
          <w:p>
            <w:pPr>
              <w:pStyle w:val="TableParagraph"/>
              <w:rPr>
                <w:rFonts w:ascii="Times New Roman"/>
                <w:sz w:val="20"/>
              </w:rPr>
            </w:pPr>
          </w:p>
        </w:tc>
        <w:tc>
          <w:tcPr>
            <w:tcW w:w="7557" w:type="dxa"/>
          </w:tcPr>
          <w:p>
            <w:pPr>
              <w:pStyle w:val="TableParagraph"/>
              <w:spacing w:line="208" w:lineRule="exact"/>
              <w:ind w:left="134"/>
              <w:rPr>
                <w:sz w:val="21"/>
              </w:rPr>
            </w:pPr>
            <w:r>
              <w:rPr>
                <w:sz w:val="21"/>
              </w:rPr>
              <w:t>后的首个保单周年日之前的，本附加合同及主合同效力终止，我们除按照 2.3.1</w:t>
            </w:r>
          </w:p>
          <w:p>
            <w:pPr>
              <w:pStyle w:val="TableParagraph"/>
              <w:spacing w:line="280" w:lineRule="auto" w:before="44"/>
              <w:ind w:left="134" w:right="59"/>
              <w:rPr>
                <w:sz w:val="21"/>
              </w:rPr>
            </w:pPr>
            <w:r>
              <w:rPr>
                <w:sz w:val="21"/>
              </w:rPr>
              <w:t>重大疾病保险金的约定给付重大疾病保险金外，另行给付等值于本附加合同基本保险金额的 20%（百分之二十）的特定重大疾病额外给付保险金。</w:t>
            </w:r>
          </w:p>
          <w:p>
            <w:pPr>
              <w:pStyle w:val="TableParagraph"/>
              <w:spacing w:before="8"/>
              <w:rPr>
                <w:sz w:val="22"/>
              </w:rPr>
            </w:pPr>
          </w:p>
          <w:p>
            <w:pPr>
              <w:pStyle w:val="TableParagraph"/>
              <w:ind w:left="134"/>
              <w:rPr>
                <w:b/>
                <w:sz w:val="21"/>
              </w:rPr>
            </w:pPr>
            <w:r>
              <w:rPr>
                <w:b/>
                <w:sz w:val="21"/>
              </w:rPr>
              <w:t>特定重大疾病种类：</w:t>
            </w:r>
          </w:p>
          <w:p>
            <w:pPr>
              <w:pStyle w:val="TableParagraph"/>
              <w:spacing w:line="273" w:lineRule="auto" w:before="37"/>
              <w:ind w:left="134" w:right="104"/>
              <w:jc w:val="both"/>
              <w:rPr>
                <w:sz w:val="21"/>
              </w:rPr>
            </w:pPr>
            <w:r>
              <w:rPr>
                <w:spacing w:val="-7"/>
                <w:sz w:val="21"/>
              </w:rPr>
              <w:t>急性心肌梗塞，终末期肾病，脑中风后遗症，重大器官移植术，符合恶性肿瘤定</w:t>
            </w:r>
            <w:r>
              <w:rPr>
                <w:spacing w:val="-9"/>
                <w:sz w:val="21"/>
              </w:rPr>
              <w:t>义的男性睾丸癌、男性阴茎癌、男性前列腺癌、女性乳房癌、女性子宫癌、女性</w:t>
            </w:r>
            <w:r>
              <w:rPr>
                <w:spacing w:val="-5"/>
                <w:sz w:val="21"/>
              </w:rPr>
              <w:t>阴道癌、女性卵巢癌、女性输卵管癌。</w:t>
            </w:r>
          </w:p>
        </w:tc>
      </w:tr>
      <w:tr>
        <w:trPr>
          <w:trHeight w:val="2885" w:hRule="atLeast"/>
        </w:trPr>
        <w:tc>
          <w:tcPr>
            <w:tcW w:w="879" w:type="dxa"/>
          </w:tcPr>
          <w:p>
            <w:pPr>
              <w:pStyle w:val="TableParagraph"/>
              <w:spacing w:before="132"/>
              <w:ind w:left="107"/>
              <w:rPr>
                <w:i/>
                <w:sz w:val="22"/>
              </w:rPr>
            </w:pPr>
            <w:r>
              <w:rPr>
                <w:i/>
                <w:sz w:val="22"/>
              </w:rPr>
              <w:t>2.2.4</w:t>
            </w:r>
          </w:p>
        </w:tc>
        <w:tc>
          <w:tcPr>
            <w:tcW w:w="1644" w:type="dxa"/>
          </w:tcPr>
          <w:p>
            <w:pPr>
              <w:pStyle w:val="TableParagraph"/>
              <w:spacing w:line="259" w:lineRule="auto" w:before="132"/>
              <w:ind w:left="242" w:right="132"/>
              <w:rPr>
                <w:b/>
                <w:i/>
                <w:sz w:val="22"/>
              </w:rPr>
            </w:pPr>
            <w:r>
              <w:rPr>
                <w:b/>
                <w:i/>
                <w:w w:val="95"/>
                <w:sz w:val="22"/>
              </w:rPr>
              <w:t>保险金给付限</w:t>
            </w:r>
            <w:r>
              <w:rPr>
                <w:b/>
                <w:i/>
                <w:sz w:val="22"/>
              </w:rPr>
              <w:t>制</w:t>
            </w:r>
          </w:p>
        </w:tc>
        <w:tc>
          <w:tcPr>
            <w:tcW w:w="7557" w:type="dxa"/>
          </w:tcPr>
          <w:p>
            <w:pPr>
              <w:pStyle w:val="TableParagraph"/>
              <w:spacing w:before="168"/>
              <w:ind w:left="134"/>
              <w:rPr>
                <w:b/>
                <w:sz w:val="21"/>
              </w:rPr>
            </w:pPr>
            <w:r>
              <w:rPr>
                <w:b/>
                <w:sz w:val="21"/>
              </w:rPr>
              <w:t>在本附加合同有效期内，若被保险人于本附加合同生效之日起持续有效九十日</w:t>
            </w:r>
          </w:p>
          <w:p>
            <w:pPr>
              <w:pStyle w:val="TableParagraph"/>
              <w:spacing w:line="264" w:lineRule="auto" w:before="44"/>
              <w:ind w:left="134" w:right="36"/>
              <w:jc w:val="both"/>
              <w:rPr>
                <w:b/>
                <w:sz w:val="21"/>
              </w:rPr>
            </w:pPr>
            <w:r>
              <w:rPr>
                <w:b/>
                <w:sz w:val="21"/>
              </w:rPr>
              <w:t>（若本附加合同中止后复效，则以最后复效日起持续有效九十日为准）</w:t>
            </w:r>
            <w:r>
              <w:rPr>
                <w:b/>
                <w:spacing w:val="5"/>
                <w:sz w:val="21"/>
              </w:rPr>
              <w:t>以内</w:t>
            </w:r>
            <w:r>
              <w:rPr>
                <w:rFonts w:ascii="Times New Roman" w:eastAsia="Times New Roman"/>
                <w:b/>
                <w:sz w:val="21"/>
              </w:rPr>
              <w:t>(</w:t>
            </w:r>
            <w:r>
              <w:rPr>
                <w:b/>
                <w:sz w:val="21"/>
              </w:rPr>
              <w:t>含</w:t>
            </w:r>
            <w:r>
              <w:rPr>
                <w:b/>
                <w:spacing w:val="0"/>
                <w:sz w:val="21"/>
              </w:rPr>
              <w:t>当日</w:t>
            </w:r>
            <w:r>
              <w:rPr>
                <w:rFonts w:ascii="Times New Roman" w:eastAsia="Times New Roman"/>
                <w:b/>
                <w:sz w:val="21"/>
              </w:rPr>
              <w:t>)</w:t>
            </w:r>
            <w:r>
              <w:rPr>
                <w:b/>
                <w:sz w:val="21"/>
              </w:rPr>
              <w:t>患重大疾病、轻症重疾，我们不承担给付保险金的责任，本附加合同及主</w:t>
            </w:r>
            <w:r>
              <w:rPr>
                <w:b/>
                <w:spacing w:val="-17"/>
                <w:sz w:val="21"/>
              </w:rPr>
              <w:t>合同 </w:t>
            </w:r>
            <w:r>
              <w:rPr>
                <w:b/>
                <w:sz w:val="21"/>
              </w:rPr>
              <w:t>EF</w:t>
            </w:r>
            <w:r>
              <w:rPr>
                <w:b/>
                <w:spacing w:val="-10"/>
                <w:sz w:val="21"/>
              </w:rPr>
              <w:t> 效力终止，我们将无息全额退还本附加合同及主合同 </w:t>
            </w:r>
            <w:r>
              <w:rPr>
                <w:b/>
                <w:sz w:val="21"/>
              </w:rPr>
              <w:t>EF</w:t>
            </w:r>
            <w:r>
              <w:rPr>
                <w:b/>
                <w:spacing w:val="-8"/>
                <w:sz w:val="21"/>
              </w:rPr>
              <w:t> 已缴的保险费。</w:t>
            </w:r>
          </w:p>
          <w:p>
            <w:pPr>
              <w:pStyle w:val="TableParagraph"/>
              <w:spacing w:before="5"/>
              <w:rPr>
                <w:sz w:val="26"/>
              </w:rPr>
            </w:pPr>
          </w:p>
          <w:p>
            <w:pPr>
              <w:pStyle w:val="TableParagraph"/>
              <w:spacing w:line="278" w:lineRule="auto"/>
              <w:ind w:left="134"/>
              <w:jc w:val="both"/>
              <w:rPr>
                <w:b/>
                <w:sz w:val="21"/>
              </w:rPr>
            </w:pPr>
            <w:r>
              <w:rPr>
                <w:b/>
                <w:spacing w:val="-6"/>
                <w:sz w:val="21"/>
              </w:rPr>
              <w:t>我们根据疾病诊断时的疾病状态或疾病阶段给付保险金，任何在诊断时已经超越</w:t>
            </w:r>
            <w:r>
              <w:rPr>
                <w:b/>
                <w:spacing w:val="-14"/>
                <w:sz w:val="21"/>
              </w:rPr>
              <w:t>的疾病状态或阶段，我们不给付 </w:t>
            </w:r>
            <w:r>
              <w:rPr>
                <w:b/>
                <w:sz w:val="21"/>
              </w:rPr>
              <w:t>2.3.2</w:t>
            </w:r>
            <w:r>
              <w:rPr>
                <w:b/>
                <w:spacing w:val="-11"/>
                <w:sz w:val="21"/>
              </w:rPr>
              <w:t> 轻症重疾保险金,轻症重疾种类中的 </w:t>
            </w:r>
            <w:r>
              <w:rPr>
                <w:b/>
                <w:spacing w:val="-3"/>
                <w:sz w:val="21"/>
              </w:rPr>
              <w:t>2</w:t>
            </w:r>
            <w:r>
              <w:rPr>
                <w:b/>
                <w:spacing w:val="-63"/>
                <w:sz w:val="21"/>
              </w:rPr>
              <w:t>、</w:t>
            </w:r>
            <w:r>
              <w:rPr>
                <w:b/>
                <w:sz w:val="21"/>
              </w:rPr>
              <w:t>4、</w:t>
            </w:r>
          </w:p>
          <w:p>
            <w:pPr>
              <w:pStyle w:val="TableParagraph"/>
              <w:spacing w:before="10"/>
              <w:ind w:left="134"/>
              <w:jc w:val="both"/>
              <w:rPr>
                <w:b/>
                <w:sz w:val="21"/>
              </w:rPr>
            </w:pPr>
            <w:r>
              <w:rPr>
                <w:b/>
                <w:sz w:val="21"/>
              </w:rPr>
              <w:t>7 涉及介入手术的轻症重疾不受此限制。。</w:t>
            </w:r>
          </w:p>
        </w:tc>
      </w:tr>
      <w:tr>
        <w:trPr>
          <w:trHeight w:val="4990" w:hRule="atLeast"/>
        </w:trPr>
        <w:tc>
          <w:tcPr>
            <w:tcW w:w="879" w:type="dxa"/>
          </w:tcPr>
          <w:p>
            <w:pPr>
              <w:pStyle w:val="TableParagraph"/>
              <w:spacing w:before="132"/>
              <w:ind w:left="107"/>
              <w:rPr>
                <w:b/>
                <w:sz w:val="21"/>
              </w:rPr>
            </w:pPr>
            <w:r>
              <w:rPr>
                <w:b/>
                <w:sz w:val="21"/>
              </w:rPr>
              <w:t>2.3</w:t>
            </w:r>
          </w:p>
        </w:tc>
        <w:tc>
          <w:tcPr>
            <w:tcW w:w="1644" w:type="dxa"/>
          </w:tcPr>
          <w:p>
            <w:pPr>
              <w:pStyle w:val="TableParagraph"/>
              <w:spacing w:before="132"/>
              <w:ind w:left="154" w:right="255"/>
              <w:jc w:val="center"/>
              <w:rPr>
                <w:b/>
                <w:sz w:val="21"/>
              </w:rPr>
            </w:pPr>
            <w:r>
              <w:rPr>
                <w:b/>
                <w:sz w:val="21"/>
              </w:rPr>
              <w:t>责任免除</w:t>
            </w:r>
          </w:p>
        </w:tc>
        <w:tc>
          <w:tcPr>
            <w:tcW w:w="7557" w:type="dxa"/>
          </w:tcPr>
          <w:p>
            <w:pPr>
              <w:pStyle w:val="TableParagraph"/>
              <w:spacing w:line="278" w:lineRule="auto" w:before="156"/>
              <w:ind w:left="134" w:right="35"/>
              <w:rPr>
                <w:b/>
                <w:sz w:val="21"/>
              </w:rPr>
            </w:pPr>
            <w:r>
              <w:rPr>
                <w:b/>
                <w:sz w:val="21"/>
              </w:rPr>
              <w:t>因下列情形之一，导致被保险人发生疾病、达到疾病状态或进行手术的，我们不承担给付保险金的责任：</w:t>
            </w:r>
          </w:p>
          <w:p>
            <w:pPr>
              <w:pStyle w:val="TableParagraph"/>
              <w:spacing w:before="10"/>
              <w:ind w:left="134"/>
              <w:rPr>
                <w:b/>
                <w:sz w:val="21"/>
              </w:rPr>
            </w:pPr>
            <w:r>
              <w:rPr>
                <w:b/>
                <w:sz w:val="21"/>
              </w:rPr>
              <w:t>1、投保人对被保险人的故意杀害、故意伤害；</w:t>
            </w:r>
          </w:p>
          <w:p>
            <w:pPr>
              <w:pStyle w:val="TableParagraph"/>
              <w:spacing w:line="273" w:lineRule="exact"/>
              <w:ind w:left="134"/>
              <w:rPr>
                <w:b/>
                <w:sz w:val="21"/>
              </w:rPr>
            </w:pPr>
            <w:r>
              <w:rPr>
                <w:b/>
                <w:sz w:val="21"/>
              </w:rPr>
              <w:t>2、被保险人故意自伤、故意犯罪或者抗拒依法采取的刑事强制措施；</w:t>
            </w:r>
          </w:p>
          <w:p>
            <w:pPr>
              <w:pStyle w:val="TableParagraph"/>
              <w:spacing w:line="272" w:lineRule="exact"/>
              <w:ind w:left="134"/>
              <w:rPr>
                <w:b/>
                <w:sz w:val="21"/>
              </w:rPr>
            </w:pPr>
            <w:r>
              <w:rPr>
                <w:b/>
                <w:sz w:val="21"/>
              </w:rPr>
              <w:t>3、被保险人主动服用、吸食或注射毒品；</w:t>
            </w:r>
          </w:p>
          <w:p>
            <w:pPr>
              <w:pStyle w:val="TableParagraph"/>
              <w:spacing w:line="274" w:lineRule="exact"/>
              <w:ind w:left="134"/>
              <w:rPr>
                <w:b/>
                <w:sz w:val="21"/>
              </w:rPr>
            </w:pPr>
            <w:r>
              <w:rPr>
                <w:b/>
                <w:spacing w:val="-1"/>
                <w:sz w:val="21"/>
              </w:rPr>
              <w:t>4</w:t>
            </w:r>
            <w:r>
              <w:rPr>
                <w:b/>
                <w:spacing w:val="-8"/>
                <w:sz w:val="21"/>
              </w:rPr>
              <w:t>、被保险人酒后驾驶，无合法有效驾驶证驾驶，或驾驶无有效行驶证的机动车；</w:t>
            </w:r>
          </w:p>
          <w:p>
            <w:pPr>
              <w:pStyle w:val="TableParagraph"/>
              <w:spacing w:line="276" w:lineRule="auto" w:before="29"/>
              <w:ind w:left="134" w:right="106"/>
              <w:rPr>
                <w:b/>
                <w:sz w:val="21"/>
              </w:rPr>
            </w:pPr>
            <w:r>
              <w:rPr>
                <w:b/>
                <w:w w:val="95"/>
                <w:sz w:val="21"/>
              </w:rPr>
              <w:t>5、被保险人患</w:t>
            </w:r>
            <w:r>
              <w:rPr>
                <w:b/>
                <w:i/>
                <w:w w:val="95"/>
                <w:sz w:val="22"/>
              </w:rPr>
              <w:t>艾滋病(AIDS)</w:t>
            </w:r>
            <w:r>
              <w:rPr>
                <w:b/>
                <w:w w:val="95"/>
                <w:sz w:val="21"/>
              </w:rPr>
              <w:t>或感染</w:t>
            </w:r>
            <w:r>
              <w:rPr>
                <w:b/>
                <w:i/>
                <w:w w:val="95"/>
                <w:sz w:val="22"/>
              </w:rPr>
              <w:t>艾滋病病毒(HIV 呈阳性)</w:t>
            </w:r>
            <w:r>
              <w:rPr>
                <w:b/>
                <w:w w:val="95"/>
                <w:sz w:val="21"/>
              </w:rPr>
              <w:t>（但本附加合同另</w:t>
            </w:r>
            <w:r>
              <w:rPr>
                <w:b/>
                <w:w w:val="100"/>
                <w:sz w:val="21"/>
              </w:rPr>
              <w:t>有约定的除外</w:t>
            </w:r>
            <w:r>
              <w:rPr>
                <w:b/>
                <w:spacing w:val="-105"/>
                <w:w w:val="100"/>
                <w:sz w:val="21"/>
              </w:rPr>
              <w:t>）</w:t>
            </w:r>
            <w:r>
              <w:rPr>
                <w:b/>
                <w:w w:val="100"/>
                <w:sz w:val="21"/>
              </w:rPr>
              <w:t>；</w:t>
            </w:r>
          </w:p>
          <w:p>
            <w:pPr>
              <w:pStyle w:val="TableParagraph"/>
              <w:spacing w:before="14"/>
              <w:ind w:left="134"/>
              <w:rPr>
                <w:b/>
                <w:sz w:val="21"/>
              </w:rPr>
            </w:pPr>
            <w:r>
              <w:rPr>
                <w:b/>
                <w:sz w:val="21"/>
              </w:rPr>
              <w:t>6、战争、军事冲突、暴乱或武装叛乱；</w:t>
            </w:r>
          </w:p>
          <w:p>
            <w:pPr>
              <w:pStyle w:val="TableParagraph"/>
              <w:spacing w:before="43"/>
              <w:ind w:left="134"/>
              <w:rPr>
                <w:b/>
                <w:sz w:val="21"/>
              </w:rPr>
            </w:pPr>
            <w:r>
              <w:rPr>
                <w:b/>
                <w:sz w:val="21"/>
              </w:rPr>
              <w:t>7、核爆炸、核辐射或核污染；</w:t>
            </w:r>
          </w:p>
          <w:p>
            <w:pPr>
              <w:pStyle w:val="TableParagraph"/>
              <w:spacing w:before="32"/>
              <w:ind w:left="134"/>
              <w:rPr>
                <w:b/>
                <w:i/>
                <w:sz w:val="22"/>
              </w:rPr>
            </w:pPr>
            <w:r>
              <w:rPr>
                <w:b/>
                <w:w w:val="95"/>
                <w:sz w:val="21"/>
              </w:rPr>
              <w:t>8、</w:t>
            </w:r>
            <w:r>
              <w:rPr>
                <w:b/>
                <w:i/>
                <w:w w:val="95"/>
                <w:sz w:val="22"/>
              </w:rPr>
              <w:t>遗传性疾病，先天性畸形、疾病，先天性变形或染色体异常。</w:t>
            </w:r>
          </w:p>
          <w:p>
            <w:pPr>
              <w:pStyle w:val="TableParagraph"/>
              <w:spacing w:line="273" w:lineRule="auto" w:before="21"/>
              <w:ind w:left="134" w:right="106"/>
              <w:rPr>
                <w:sz w:val="21"/>
              </w:rPr>
            </w:pPr>
            <w:r>
              <w:rPr>
                <w:spacing w:val="-7"/>
                <w:sz w:val="21"/>
              </w:rPr>
              <w:t>本附加合同因上述第１项情形而终止，投保人已交足 </w:t>
            </w:r>
            <w:r>
              <w:rPr>
                <w:sz w:val="21"/>
              </w:rPr>
              <w:t>2</w:t>
            </w:r>
            <w:r>
              <w:rPr>
                <w:spacing w:val="-10"/>
                <w:sz w:val="21"/>
              </w:rPr>
              <w:t> 年以上保险费的，本公司</w:t>
            </w:r>
            <w:r>
              <w:rPr>
                <w:spacing w:val="-5"/>
                <w:sz w:val="21"/>
              </w:rPr>
              <w:t>按合同约定向其他权利人退还本合同当时的</w:t>
            </w:r>
            <w:r>
              <w:rPr>
                <w:b/>
                <w:sz w:val="21"/>
              </w:rPr>
              <w:t>现金价值</w:t>
            </w:r>
            <w:r>
              <w:rPr>
                <w:sz w:val="21"/>
              </w:rPr>
              <w:t>。</w:t>
            </w:r>
          </w:p>
          <w:p>
            <w:pPr>
              <w:pStyle w:val="TableParagraph"/>
              <w:spacing w:line="273" w:lineRule="auto" w:before="7"/>
              <w:ind w:left="134" w:right="103"/>
              <w:rPr>
                <w:sz w:val="21"/>
              </w:rPr>
            </w:pPr>
            <w:r>
              <w:rPr>
                <w:spacing w:val="-7"/>
                <w:sz w:val="21"/>
              </w:rPr>
              <w:t>本附加合同因上述第 </w:t>
            </w:r>
            <w:r>
              <w:rPr>
                <w:sz w:val="21"/>
              </w:rPr>
              <w:t>1</w:t>
            </w:r>
            <w:r>
              <w:rPr>
                <w:spacing w:val="-11"/>
                <w:sz w:val="21"/>
              </w:rPr>
              <w:t> 项情形外的其他情形而终止，本公司向投保人退还本合同</w:t>
            </w:r>
            <w:r>
              <w:rPr>
                <w:spacing w:val="-6"/>
                <w:sz w:val="21"/>
              </w:rPr>
              <w:t>当时的现金价值。</w:t>
            </w:r>
          </w:p>
        </w:tc>
      </w:tr>
      <w:tr>
        <w:trPr>
          <w:trHeight w:val="718" w:hRule="atLeast"/>
        </w:trPr>
        <w:tc>
          <w:tcPr>
            <w:tcW w:w="879" w:type="dxa"/>
            <w:tcBorders>
              <w:bottom w:val="double" w:sz="1" w:space="0" w:color="000000"/>
            </w:tcBorders>
          </w:tcPr>
          <w:p>
            <w:pPr>
              <w:pStyle w:val="TableParagraph"/>
              <w:spacing w:before="177"/>
              <w:ind w:left="107"/>
              <w:rPr>
                <w:b/>
                <w:sz w:val="28"/>
              </w:rPr>
            </w:pPr>
            <w:r>
              <w:rPr>
                <w:b/>
                <w:w w:val="99"/>
                <w:sz w:val="28"/>
              </w:rPr>
              <w:t>3</w:t>
            </w:r>
          </w:p>
        </w:tc>
        <w:tc>
          <w:tcPr>
            <w:tcW w:w="1644" w:type="dxa"/>
            <w:tcBorders>
              <w:bottom w:val="double" w:sz="1" w:space="0" w:color="000000"/>
            </w:tcBorders>
          </w:tcPr>
          <w:p>
            <w:pPr>
              <w:pStyle w:val="TableParagraph"/>
              <w:spacing w:before="177"/>
              <w:ind w:left="223" w:right="255"/>
              <w:jc w:val="center"/>
              <w:rPr>
                <w:b/>
                <w:sz w:val="28"/>
              </w:rPr>
            </w:pPr>
            <w:r>
              <w:rPr>
                <w:b/>
                <w:sz w:val="28"/>
              </w:rPr>
              <w:t>重大疾病</w:t>
            </w:r>
          </w:p>
        </w:tc>
        <w:tc>
          <w:tcPr>
            <w:tcW w:w="7557" w:type="dxa"/>
            <w:tcBorders>
              <w:bottom w:val="double" w:sz="1" w:space="0" w:color="000000"/>
            </w:tcBorders>
          </w:tcPr>
          <w:p>
            <w:pPr>
              <w:pStyle w:val="TableParagraph"/>
              <w:rPr>
                <w:rFonts w:ascii="Times New Roman"/>
                <w:sz w:val="20"/>
              </w:rPr>
            </w:pPr>
          </w:p>
        </w:tc>
      </w:tr>
      <w:tr>
        <w:trPr>
          <w:trHeight w:val="2475" w:hRule="atLeast"/>
        </w:trPr>
        <w:tc>
          <w:tcPr>
            <w:tcW w:w="879" w:type="dxa"/>
            <w:tcBorders>
              <w:top w:val="double" w:sz="1" w:space="0" w:color="000000"/>
            </w:tcBorders>
          </w:tcPr>
          <w:p>
            <w:pPr>
              <w:pStyle w:val="TableParagraph"/>
              <w:spacing w:before="8"/>
              <w:rPr>
                <w:sz w:val="22"/>
              </w:rPr>
            </w:pPr>
          </w:p>
          <w:p>
            <w:pPr>
              <w:pStyle w:val="TableParagraph"/>
              <w:ind w:left="107"/>
              <w:rPr>
                <w:b/>
                <w:sz w:val="21"/>
              </w:rPr>
            </w:pPr>
            <w:r>
              <w:rPr>
                <w:b/>
                <w:sz w:val="21"/>
              </w:rPr>
              <w:t>3.1</w:t>
            </w:r>
          </w:p>
        </w:tc>
        <w:tc>
          <w:tcPr>
            <w:tcW w:w="1644" w:type="dxa"/>
            <w:tcBorders>
              <w:top w:val="double" w:sz="1" w:space="0" w:color="000000"/>
            </w:tcBorders>
          </w:tcPr>
          <w:p>
            <w:pPr>
              <w:pStyle w:val="TableParagraph"/>
              <w:spacing w:before="8"/>
              <w:rPr>
                <w:sz w:val="22"/>
              </w:rPr>
            </w:pPr>
          </w:p>
          <w:p>
            <w:pPr>
              <w:pStyle w:val="TableParagraph"/>
              <w:spacing w:line="273" w:lineRule="auto"/>
              <w:ind w:left="242" w:right="132"/>
              <w:rPr>
                <w:b/>
                <w:sz w:val="21"/>
              </w:rPr>
            </w:pPr>
            <w:r>
              <w:rPr>
                <w:b/>
                <w:sz w:val="21"/>
              </w:rPr>
              <w:t>重大疾病的范围</w:t>
            </w:r>
          </w:p>
        </w:tc>
        <w:tc>
          <w:tcPr>
            <w:tcW w:w="7557" w:type="dxa"/>
            <w:tcBorders>
              <w:top w:val="double" w:sz="1" w:space="0" w:color="000000"/>
            </w:tcBorders>
          </w:tcPr>
          <w:p>
            <w:pPr>
              <w:pStyle w:val="TableParagraph"/>
              <w:spacing w:before="6"/>
              <w:rPr>
                <w:sz w:val="24"/>
              </w:rPr>
            </w:pPr>
          </w:p>
          <w:p>
            <w:pPr>
              <w:pStyle w:val="TableParagraph"/>
              <w:spacing w:line="280" w:lineRule="auto"/>
              <w:ind w:left="134" w:right="104"/>
              <w:jc w:val="both"/>
              <w:rPr>
                <w:b/>
                <w:sz w:val="21"/>
              </w:rPr>
            </w:pPr>
            <w:r>
              <w:rPr>
                <w:spacing w:val="-5"/>
                <w:sz w:val="21"/>
              </w:rPr>
              <w:t>本附加合同所指的重大疾病在本附加合同中有确定的含义，不仅包括部分一般意</w:t>
            </w:r>
            <w:r>
              <w:rPr>
                <w:spacing w:val="-9"/>
                <w:sz w:val="21"/>
              </w:rPr>
              <w:t>义上的重大疾病，还包括某些重大手术。</w:t>
            </w:r>
            <w:r>
              <w:rPr>
                <w:b/>
                <w:spacing w:val="-3"/>
                <w:sz w:val="21"/>
              </w:rPr>
              <w:t>本附加合同所指的重大疾病可能与临床</w:t>
            </w:r>
            <w:r>
              <w:rPr>
                <w:b/>
                <w:spacing w:val="-7"/>
                <w:sz w:val="21"/>
              </w:rPr>
              <w:t>医学所指的重大疾病在概念和范围上有所不同，我们将在本附加合同重大疾病定</w:t>
            </w:r>
            <w:r>
              <w:rPr>
                <w:b/>
                <w:spacing w:val="-12"/>
                <w:sz w:val="21"/>
              </w:rPr>
              <w:t>义中详细列明，投保人投保本附加合同即表明其认可并遵从本附加合同中对重大疾病的定义。</w:t>
            </w:r>
          </w:p>
          <w:p>
            <w:pPr>
              <w:pStyle w:val="TableParagraph"/>
              <w:spacing w:before="10"/>
              <w:rPr>
                <w:sz w:val="24"/>
              </w:rPr>
            </w:pPr>
          </w:p>
          <w:p>
            <w:pPr>
              <w:pStyle w:val="TableParagraph"/>
              <w:tabs>
                <w:tab w:pos="4243" w:val="left" w:leader="none"/>
              </w:tabs>
              <w:spacing w:line="219" w:lineRule="exact"/>
              <w:ind w:left="295"/>
              <w:rPr>
                <w:sz w:val="18"/>
              </w:rPr>
            </w:pPr>
            <w:r>
              <w:rPr>
                <w:sz w:val="18"/>
              </w:rPr>
              <w:t>1</w:t>
            </w:r>
            <w:r>
              <w:rPr>
                <w:spacing w:val="0"/>
                <w:sz w:val="18"/>
              </w:rPr>
              <w:t> </w:t>
            </w:r>
            <w:r>
              <w:rPr>
                <w:sz w:val="18"/>
              </w:rPr>
              <w:t>恶性肿瘤</w:t>
              <w:tab/>
              <w:t>36</w:t>
            </w:r>
            <w:r>
              <w:rPr>
                <w:spacing w:val="1"/>
                <w:sz w:val="18"/>
              </w:rPr>
              <w:t> </w:t>
            </w:r>
            <w:r>
              <w:rPr>
                <w:sz w:val="18"/>
              </w:rPr>
              <w:t>严重溃疡性结肠炎</w:t>
            </w:r>
          </w:p>
        </w:tc>
      </w:tr>
    </w:tbl>
    <w:p>
      <w:pPr>
        <w:spacing w:after="0" w:line="219" w:lineRule="exact"/>
        <w:rPr>
          <w:sz w:val="18"/>
        </w:rPr>
        <w:sectPr>
          <w:pgSz w:w="11910" w:h="16840"/>
          <w:pgMar w:header="0" w:footer="922" w:top="1500" w:bottom="1120" w:left="800" w:right="800"/>
        </w:sectPr>
      </w:pPr>
    </w:p>
    <w:tbl>
      <w:tblPr>
        <w:tblW w:w="0" w:type="auto"/>
        <w:jc w:val="left"/>
        <w:tblInd w:w="2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7"/>
        <w:gridCol w:w="3327"/>
      </w:tblGrid>
      <w:tr>
        <w:trPr>
          <w:trHeight w:val="246" w:hRule="atLeast"/>
        </w:trPr>
        <w:tc>
          <w:tcPr>
            <w:tcW w:w="4067" w:type="dxa"/>
          </w:tcPr>
          <w:p>
            <w:pPr>
              <w:pStyle w:val="TableParagraph"/>
              <w:spacing w:line="180" w:lineRule="exact"/>
              <w:ind w:left="200"/>
              <w:rPr>
                <w:sz w:val="18"/>
              </w:rPr>
            </w:pPr>
            <w:r>
              <w:rPr>
                <w:sz w:val="18"/>
              </w:rPr>
              <w:t>2 急性心肌梗塞</w:t>
            </w:r>
          </w:p>
        </w:tc>
        <w:tc>
          <w:tcPr>
            <w:tcW w:w="3327" w:type="dxa"/>
          </w:tcPr>
          <w:p>
            <w:pPr>
              <w:pStyle w:val="TableParagraph"/>
              <w:spacing w:line="180" w:lineRule="exact"/>
              <w:ind w:left="81"/>
              <w:rPr>
                <w:sz w:val="18"/>
              </w:rPr>
            </w:pPr>
            <w:r>
              <w:rPr>
                <w:sz w:val="18"/>
              </w:rPr>
              <w:t>37 1 型糖尿病</w:t>
            </w:r>
          </w:p>
        </w:tc>
      </w:tr>
      <w:tr>
        <w:trPr>
          <w:trHeight w:val="312" w:hRule="atLeast"/>
        </w:trPr>
        <w:tc>
          <w:tcPr>
            <w:tcW w:w="4067" w:type="dxa"/>
          </w:tcPr>
          <w:p>
            <w:pPr>
              <w:pStyle w:val="TableParagraph"/>
              <w:spacing w:before="10"/>
              <w:ind w:left="200"/>
              <w:rPr>
                <w:sz w:val="18"/>
              </w:rPr>
            </w:pPr>
            <w:r>
              <w:rPr>
                <w:sz w:val="18"/>
              </w:rPr>
              <w:t>3 脑中风后遗症</w:t>
            </w:r>
          </w:p>
        </w:tc>
        <w:tc>
          <w:tcPr>
            <w:tcW w:w="3327" w:type="dxa"/>
          </w:tcPr>
          <w:p>
            <w:pPr>
              <w:pStyle w:val="TableParagraph"/>
              <w:spacing w:before="10"/>
              <w:ind w:left="81"/>
              <w:rPr>
                <w:sz w:val="18"/>
              </w:rPr>
            </w:pPr>
            <w:r>
              <w:rPr>
                <w:sz w:val="18"/>
              </w:rPr>
              <w:t>38 肺源性心脏病</w:t>
            </w:r>
          </w:p>
        </w:tc>
      </w:tr>
      <w:tr>
        <w:trPr>
          <w:trHeight w:val="311" w:hRule="atLeast"/>
        </w:trPr>
        <w:tc>
          <w:tcPr>
            <w:tcW w:w="4067" w:type="dxa"/>
          </w:tcPr>
          <w:p>
            <w:pPr>
              <w:pStyle w:val="TableParagraph"/>
              <w:spacing w:before="10"/>
              <w:ind w:left="200"/>
              <w:rPr>
                <w:sz w:val="18"/>
              </w:rPr>
            </w:pPr>
            <w:r>
              <w:rPr>
                <w:sz w:val="18"/>
              </w:rPr>
              <w:t>4 重大器官移植术或造血干细胞移植术</w:t>
            </w:r>
          </w:p>
        </w:tc>
        <w:tc>
          <w:tcPr>
            <w:tcW w:w="3327" w:type="dxa"/>
          </w:tcPr>
          <w:p>
            <w:pPr>
              <w:pStyle w:val="TableParagraph"/>
              <w:spacing w:before="10"/>
              <w:ind w:left="81"/>
              <w:rPr>
                <w:sz w:val="18"/>
              </w:rPr>
            </w:pPr>
            <w:r>
              <w:rPr>
                <w:sz w:val="18"/>
              </w:rPr>
              <w:t>39 植物人状态</w:t>
            </w:r>
          </w:p>
        </w:tc>
      </w:tr>
      <w:tr>
        <w:trPr>
          <w:trHeight w:val="312" w:hRule="atLeast"/>
        </w:trPr>
        <w:tc>
          <w:tcPr>
            <w:tcW w:w="4067" w:type="dxa"/>
          </w:tcPr>
          <w:p>
            <w:pPr>
              <w:pStyle w:val="TableParagraph"/>
              <w:spacing w:before="10"/>
              <w:ind w:left="200"/>
              <w:rPr>
                <w:sz w:val="18"/>
              </w:rPr>
            </w:pPr>
            <w:r>
              <w:rPr>
                <w:sz w:val="18"/>
              </w:rPr>
              <w:t>5 冠状动脉搭桥术（或称冠状动脉旁路移植术）</w:t>
            </w:r>
          </w:p>
        </w:tc>
        <w:tc>
          <w:tcPr>
            <w:tcW w:w="3327" w:type="dxa"/>
          </w:tcPr>
          <w:p>
            <w:pPr>
              <w:pStyle w:val="TableParagraph"/>
              <w:spacing w:before="10"/>
              <w:ind w:left="81"/>
              <w:rPr>
                <w:sz w:val="18"/>
              </w:rPr>
            </w:pPr>
            <w:r>
              <w:rPr>
                <w:sz w:val="18"/>
              </w:rPr>
              <w:t>40 严重类风湿性关节炎</w:t>
            </w:r>
          </w:p>
        </w:tc>
      </w:tr>
      <w:tr>
        <w:trPr>
          <w:trHeight w:val="312" w:hRule="atLeast"/>
        </w:trPr>
        <w:tc>
          <w:tcPr>
            <w:tcW w:w="4067" w:type="dxa"/>
          </w:tcPr>
          <w:p>
            <w:pPr>
              <w:pStyle w:val="TableParagraph"/>
              <w:spacing w:before="10"/>
              <w:ind w:left="200"/>
              <w:rPr>
                <w:sz w:val="18"/>
              </w:rPr>
            </w:pPr>
            <w:r>
              <w:rPr>
                <w:sz w:val="18"/>
              </w:rPr>
              <w:t>6 终末期肾病（或称慢性肾功能衰竭尿毒症期）</w:t>
            </w:r>
          </w:p>
        </w:tc>
        <w:tc>
          <w:tcPr>
            <w:tcW w:w="3327" w:type="dxa"/>
          </w:tcPr>
          <w:p>
            <w:pPr>
              <w:pStyle w:val="TableParagraph"/>
              <w:spacing w:before="10"/>
              <w:ind w:left="81"/>
              <w:rPr>
                <w:sz w:val="18"/>
              </w:rPr>
            </w:pPr>
            <w:r>
              <w:rPr>
                <w:sz w:val="18"/>
              </w:rPr>
              <w:t>41 非阿尔茨海默病所致严重痴呆</w:t>
            </w:r>
          </w:p>
        </w:tc>
      </w:tr>
      <w:tr>
        <w:trPr>
          <w:trHeight w:val="311" w:hRule="atLeast"/>
        </w:trPr>
        <w:tc>
          <w:tcPr>
            <w:tcW w:w="4067" w:type="dxa"/>
          </w:tcPr>
          <w:p>
            <w:pPr>
              <w:pStyle w:val="TableParagraph"/>
              <w:spacing w:before="10"/>
              <w:ind w:left="200"/>
              <w:rPr>
                <w:sz w:val="18"/>
              </w:rPr>
            </w:pPr>
            <w:r>
              <w:rPr>
                <w:sz w:val="18"/>
              </w:rPr>
              <w:t>7 多个肢体缺失</w:t>
            </w:r>
          </w:p>
        </w:tc>
        <w:tc>
          <w:tcPr>
            <w:tcW w:w="3327" w:type="dxa"/>
          </w:tcPr>
          <w:p>
            <w:pPr>
              <w:pStyle w:val="TableParagraph"/>
              <w:spacing w:before="10"/>
              <w:ind w:left="81"/>
              <w:rPr>
                <w:sz w:val="18"/>
              </w:rPr>
            </w:pPr>
            <w:r>
              <w:rPr>
                <w:sz w:val="18"/>
              </w:rPr>
              <w:t>42 终末期疾病</w:t>
            </w:r>
          </w:p>
        </w:tc>
      </w:tr>
      <w:tr>
        <w:trPr>
          <w:trHeight w:val="312" w:hRule="atLeast"/>
        </w:trPr>
        <w:tc>
          <w:tcPr>
            <w:tcW w:w="4067" w:type="dxa"/>
          </w:tcPr>
          <w:p>
            <w:pPr>
              <w:pStyle w:val="TableParagraph"/>
              <w:spacing w:before="10"/>
              <w:ind w:left="200"/>
              <w:rPr>
                <w:sz w:val="18"/>
              </w:rPr>
            </w:pPr>
            <w:r>
              <w:rPr>
                <w:sz w:val="18"/>
              </w:rPr>
              <w:t>8 急性或亚急性重症肝炎</w:t>
            </w:r>
          </w:p>
        </w:tc>
        <w:tc>
          <w:tcPr>
            <w:tcW w:w="3327" w:type="dxa"/>
          </w:tcPr>
          <w:p>
            <w:pPr>
              <w:pStyle w:val="TableParagraph"/>
              <w:spacing w:before="10"/>
              <w:ind w:left="81"/>
              <w:rPr>
                <w:b/>
                <w:sz w:val="18"/>
              </w:rPr>
            </w:pPr>
            <w:r>
              <w:rPr>
                <w:b/>
                <w:sz w:val="18"/>
              </w:rPr>
              <w:t>43 严重哮喘（25 周岁前理赔）</w:t>
            </w:r>
          </w:p>
        </w:tc>
      </w:tr>
      <w:tr>
        <w:trPr>
          <w:trHeight w:val="311" w:hRule="atLeast"/>
        </w:trPr>
        <w:tc>
          <w:tcPr>
            <w:tcW w:w="4067" w:type="dxa"/>
          </w:tcPr>
          <w:p>
            <w:pPr>
              <w:pStyle w:val="TableParagraph"/>
              <w:spacing w:before="10"/>
              <w:ind w:left="200"/>
              <w:rPr>
                <w:sz w:val="18"/>
              </w:rPr>
            </w:pPr>
            <w:r>
              <w:rPr>
                <w:sz w:val="18"/>
              </w:rPr>
              <w:t>9 良性脑肿瘤</w:t>
            </w:r>
          </w:p>
        </w:tc>
        <w:tc>
          <w:tcPr>
            <w:tcW w:w="3327" w:type="dxa"/>
          </w:tcPr>
          <w:p>
            <w:pPr>
              <w:pStyle w:val="TableParagraph"/>
              <w:spacing w:before="10"/>
              <w:ind w:left="81"/>
              <w:rPr>
                <w:sz w:val="18"/>
              </w:rPr>
            </w:pPr>
            <w:r>
              <w:rPr>
                <w:sz w:val="18"/>
              </w:rPr>
              <w:t>44 严重川崎病</w:t>
            </w:r>
          </w:p>
        </w:tc>
      </w:tr>
      <w:tr>
        <w:trPr>
          <w:trHeight w:val="312" w:hRule="atLeast"/>
        </w:trPr>
        <w:tc>
          <w:tcPr>
            <w:tcW w:w="4067" w:type="dxa"/>
          </w:tcPr>
          <w:p>
            <w:pPr>
              <w:pStyle w:val="TableParagraph"/>
              <w:spacing w:before="10"/>
              <w:ind w:left="200"/>
              <w:rPr>
                <w:sz w:val="18"/>
              </w:rPr>
            </w:pPr>
            <w:r>
              <w:rPr>
                <w:sz w:val="18"/>
              </w:rPr>
              <w:t>10 慢性肝功能衰竭失代偿期</w:t>
            </w:r>
          </w:p>
        </w:tc>
        <w:tc>
          <w:tcPr>
            <w:tcW w:w="3327" w:type="dxa"/>
          </w:tcPr>
          <w:p>
            <w:pPr>
              <w:pStyle w:val="TableParagraph"/>
              <w:spacing w:before="10"/>
              <w:ind w:left="81"/>
              <w:rPr>
                <w:sz w:val="18"/>
              </w:rPr>
            </w:pPr>
            <w:r>
              <w:rPr>
                <w:sz w:val="18"/>
              </w:rPr>
              <w:t>45 严重的系统性硬皮病</w:t>
            </w:r>
          </w:p>
        </w:tc>
      </w:tr>
      <w:tr>
        <w:trPr>
          <w:trHeight w:val="312" w:hRule="atLeast"/>
        </w:trPr>
        <w:tc>
          <w:tcPr>
            <w:tcW w:w="4067" w:type="dxa"/>
          </w:tcPr>
          <w:p>
            <w:pPr>
              <w:pStyle w:val="TableParagraph"/>
              <w:spacing w:before="10"/>
              <w:ind w:left="200"/>
              <w:rPr>
                <w:sz w:val="18"/>
              </w:rPr>
            </w:pPr>
            <w:r>
              <w:rPr>
                <w:sz w:val="18"/>
              </w:rPr>
              <w:t>11 脑炎后遗症或脑膜炎后遗症</w:t>
            </w:r>
          </w:p>
        </w:tc>
        <w:tc>
          <w:tcPr>
            <w:tcW w:w="3327" w:type="dxa"/>
          </w:tcPr>
          <w:p>
            <w:pPr>
              <w:pStyle w:val="TableParagraph"/>
              <w:spacing w:before="10"/>
              <w:ind w:left="81"/>
              <w:rPr>
                <w:sz w:val="18"/>
              </w:rPr>
            </w:pPr>
            <w:r>
              <w:rPr>
                <w:sz w:val="18"/>
              </w:rPr>
              <w:t>46 丝虫病所致象皮肿</w:t>
            </w:r>
          </w:p>
        </w:tc>
      </w:tr>
      <w:tr>
        <w:trPr>
          <w:trHeight w:val="307" w:hRule="atLeast"/>
        </w:trPr>
        <w:tc>
          <w:tcPr>
            <w:tcW w:w="4067" w:type="dxa"/>
          </w:tcPr>
          <w:p>
            <w:pPr>
              <w:pStyle w:val="TableParagraph"/>
              <w:spacing w:before="10"/>
              <w:ind w:left="200"/>
              <w:rPr>
                <w:sz w:val="18"/>
              </w:rPr>
            </w:pPr>
            <w:r>
              <w:rPr>
                <w:sz w:val="18"/>
              </w:rPr>
              <w:t>12 深度昏迷</w:t>
            </w:r>
          </w:p>
        </w:tc>
        <w:tc>
          <w:tcPr>
            <w:tcW w:w="3327" w:type="dxa"/>
          </w:tcPr>
          <w:p>
            <w:pPr>
              <w:pStyle w:val="TableParagraph"/>
              <w:spacing w:before="10"/>
              <w:ind w:left="81"/>
              <w:rPr>
                <w:sz w:val="18"/>
              </w:rPr>
            </w:pPr>
            <w:r>
              <w:rPr>
                <w:sz w:val="18"/>
              </w:rPr>
              <w:t>47 胰腺移植</w:t>
            </w:r>
          </w:p>
        </w:tc>
      </w:tr>
      <w:tr>
        <w:trPr>
          <w:trHeight w:val="321" w:hRule="atLeast"/>
        </w:trPr>
        <w:tc>
          <w:tcPr>
            <w:tcW w:w="4067" w:type="dxa"/>
          </w:tcPr>
          <w:p>
            <w:pPr>
              <w:pStyle w:val="TableParagraph"/>
              <w:spacing w:before="15"/>
              <w:ind w:left="200"/>
              <w:rPr>
                <w:sz w:val="18"/>
              </w:rPr>
            </w:pPr>
            <w:r>
              <w:rPr>
                <w:sz w:val="18"/>
              </w:rPr>
              <w:t>13 双耳失聪</w:t>
            </w:r>
          </w:p>
        </w:tc>
        <w:tc>
          <w:tcPr>
            <w:tcW w:w="3327" w:type="dxa"/>
          </w:tcPr>
          <w:p>
            <w:pPr>
              <w:pStyle w:val="TableParagraph"/>
              <w:spacing w:line="261" w:lineRule="exact"/>
              <w:ind w:left="81"/>
              <w:rPr>
                <w:sz w:val="20"/>
              </w:rPr>
            </w:pPr>
            <w:r>
              <w:rPr>
                <w:sz w:val="18"/>
              </w:rPr>
              <w:t>48 </w:t>
            </w:r>
            <w:r>
              <w:rPr>
                <w:sz w:val="20"/>
              </w:rPr>
              <w:t>急性坏死胰腺炎开腹手术</w:t>
            </w:r>
          </w:p>
        </w:tc>
      </w:tr>
      <w:tr>
        <w:trPr>
          <w:trHeight w:val="307" w:hRule="atLeast"/>
        </w:trPr>
        <w:tc>
          <w:tcPr>
            <w:tcW w:w="4067" w:type="dxa"/>
          </w:tcPr>
          <w:p>
            <w:pPr>
              <w:pStyle w:val="TableParagraph"/>
              <w:spacing w:before="5"/>
              <w:ind w:left="200"/>
              <w:rPr>
                <w:sz w:val="18"/>
              </w:rPr>
            </w:pPr>
            <w:r>
              <w:rPr>
                <w:sz w:val="18"/>
              </w:rPr>
              <w:t>14 双目失明</w:t>
            </w:r>
          </w:p>
        </w:tc>
        <w:tc>
          <w:tcPr>
            <w:tcW w:w="3327" w:type="dxa"/>
          </w:tcPr>
          <w:p>
            <w:pPr>
              <w:pStyle w:val="TableParagraph"/>
              <w:spacing w:before="5"/>
              <w:ind w:left="81"/>
              <w:rPr>
                <w:sz w:val="18"/>
              </w:rPr>
            </w:pPr>
            <w:r>
              <w:rPr>
                <w:sz w:val="18"/>
              </w:rPr>
              <w:t>49 慢性复发性胰腺炎</w:t>
            </w:r>
          </w:p>
        </w:tc>
      </w:tr>
      <w:tr>
        <w:trPr>
          <w:trHeight w:val="312" w:hRule="atLeast"/>
        </w:trPr>
        <w:tc>
          <w:tcPr>
            <w:tcW w:w="4067" w:type="dxa"/>
          </w:tcPr>
          <w:p>
            <w:pPr>
              <w:pStyle w:val="TableParagraph"/>
              <w:spacing w:before="10"/>
              <w:ind w:left="200"/>
              <w:rPr>
                <w:sz w:val="18"/>
              </w:rPr>
            </w:pPr>
            <w:r>
              <w:rPr>
                <w:sz w:val="18"/>
              </w:rPr>
              <w:t>15 瘫痪</w:t>
            </w:r>
          </w:p>
        </w:tc>
        <w:tc>
          <w:tcPr>
            <w:tcW w:w="3327" w:type="dxa"/>
          </w:tcPr>
          <w:p>
            <w:pPr>
              <w:pStyle w:val="TableParagraph"/>
              <w:spacing w:before="10"/>
              <w:ind w:left="81"/>
              <w:rPr>
                <w:sz w:val="18"/>
              </w:rPr>
            </w:pPr>
            <w:r>
              <w:rPr>
                <w:sz w:val="18"/>
              </w:rPr>
              <w:t>50 疯牛病</w:t>
            </w:r>
          </w:p>
        </w:tc>
      </w:tr>
      <w:tr>
        <w:trPr>
          <w:trHeight w:val="311" w:hRule="atLeast"/>
        </w:trPr>
        <w:tc>
          <w:tcPr>
            <w:tcW w:w="4067" w:type="dxa"/>
          </w:tcPr>
          <w:p>
            <w:pPr>
              <w:pStyle w:val="TableParagraph"/>
              <w:spacing w:before="10"/>
              <w:ind w:left="200"/>
              <w:rPr>
                <w:sz w:val="18"/>
              </w:rPr>
            </w:pPr>
            <w:r>
              <w:rPr>
                <w:sz w:val="18"/>
              </w:rPr>
              <w:t>16 心脏瓣膜手术</w:t>
            </w:r>
          </w:p>
        </w:tc>
        <w:tc>
          <w:tcPr>
            <w:tcW w:w="3327" w:type="dxa"/>
          </w:tcPr>
          <w:p>
            <w:pPr>
              <w:pStyle w:val="TableParagraph"/>
              <w:spacing w:before="10"/>
              <w:ind w:left="81"/>
              <w:rPr>
                <w:sz w:val="18"/>
              </w:rPr>
            </w:pPr>
            <w:r>
              <w:rPr>
                <w:sz w:val="18"/>
              </w:rPr>
              <w:t>51 肾髓质囊性病</w:t>
            </w:r>
          </w:p>
        </w:tc>
      </w:tr>
      <w:tr>
        <w:trPr>
          <w:trHeight w:val="311" w:hRule="atLeast"/>
        </w:trPr>
        <w:tc>
          <w:tcPr>
            <w:tcW w:w="4067" w:type="dxa"/>
          </w:tcPr>
          <w:p>
            <w:pPr>
              <w:pStyle w:val="TableParagraph"/>
              <w:spacing w:before="10"/>
              <w:ind w:left="200"/>
              <w:rPr>
                <w:sz w:val="18"/>
              </w:rPr>
            </w:pPr>
            <w:r>
              <w:rPr>
                <w:sz w:val="18"/>
              </w:rPr>
              <w:t>17 严重阿尔茨海默病</w:t>
            </w:r>
          </w:p>
        </w:tc>
        <w:tc>
          <w:tcPr>
            <w:tcW w:w="3327" w:type="dxa"/>
          </w:tcPr>
          <w:p>
            <w:pPr>
              <w:pStyle w:val="TableParagraph"/>
              <w:spacing w:before="10"/>
              <w:ind w:left="81"/>
              <w:rPr>
                <w:sz w:val="18"/>
              </w:rPr>
            </w:pPr>
            <w:r>
              <w:rPr>
                <w:sz w:val="18"/>
              </w:rPr>
              <w:t>52 严重的原发性硬化性胆管炎</w:t>
            </w:r>
          </w:p>
        </w:tc>
      </w:tr>
      <w:tr>
        <w:trPr>
          <w:trHeight w:val="312" w:hRule="atLeast"/>
        </w:trPr>
        <w:tc>
          <w:tcPr>
            <w:tcW w:w="4067" w:type="dxa"/>
          </w:tcPr>
          <w:p>
            <w:pPr>
              <w:pStyle w:val="TableParagraph"/>
              <w:spacing w:before="10"/>
              <w:ind w:left="200"/>
              <w:rPr>
                <w:sz w:val="18"/>
              </w:rPr>
            </w:pPr>
            <w:r>
              <w:rPr>
                <w:sz w:val="18"/>
              </w:rPr>
              <w:t>18 严重脑损伤</w:t>
            </w:r>
          </w:p>
        </w:tc>
        <w:tc>
          <w:tcPr>
            <w:tcW w:w="3327" w:type="dxa"/>
          </w:tcPr>
          <w:p>
            <w:pPr>
              <w:pStyle w:val="TableParagraph"/>
              <w:spacing w:before="10"/>
              <w:ind w:left="81"/>
              <w:rPr>
                <w:sz w:val="18"/>
              </w:rPr>
            </w:pPr>
            <w:r>
              <w:rPr>
                <w:sz w:val="18"/>
              </w:rPr>
              <w:t>53 特发性慢性肾上腺皮质功能减退</w:t>
            </w:r>
          </w:p>
        </w:tc>
      </w:tr>
      <w:tr>
        <w:trPr>
          <w:trHeight w:val="312" w:hRule="atLeast"/>
        </w:trPr>
        <w:tc>
          <w:tcPr>
            <w:tcW w:w="4067" w:type="dxa"/>
          </w:tcPr>
          <w:p>
            <w:pPr>
              <w:pStyle w:val="TableParagraph"/>
              <w:spacing w:before="10"/>
              <w:ind w:left="200"/>
              <w:rPr>
                <w:sz w:val="18"/>
              </w:rPr>
            </w:pPr>
            <w:r>
              <w:rPr>
                <w:sz w:val="18"/>
              </w:rPr>
              <w:t>19 严重帕金森病</w:t>
            </w:r>
          </w:p>
        </w:tc>
        <w:tc>
          <w:tcPr>
            <w:tcW w:w="3327" w:type="dxa"/>
          </w:tcPr>
          <w:p>
            <w:pPr>
              <w:pStyle w:val="TableParagraph"/>
              <w:spacing w:before="10"/>
              <w:ind w:left="81"/>
              <w:rPr>
                <w:sz w:val="18"/>
              </w:rPr>
            </w:pPr>
            <w:r>
              <w:rPr>
                <w:sz w:val="18"/>
              </w:rPr>
              <w:t>54 溶血性链球菌引起的坏疽</w:t>
            </w:r>
          </w:p>
        </w:tc>
      </w:tr>
      <w:tr>
        <w:trPr>
          <w:trHeight w:val="311" w:hRule="atLeast"/>
        </w:trPr>
        <w:tc>
          <w:tcPr>
            <w:tcW w:w="4067" w:type="dxa"/>
          </w:tcPr>
          <w:p>
            <w:pPr>
              <w:pStyle w:val="TableParagraph"/>
              <w:spacing w:before="10"/>
              <w:ind w:left="200"/>
              <w:rPr>
                <w:sz w:val="18"/>
              </w:rPr>
            </w:pPr>
            <w:r>
              <w:rPr>
                <w:sz w:val="18"/>
              </w:rPr>
              <w:t>20 严重Ⅲ度烧伤</w:t>
            </w:r>
          </w:p>
        </w:tc>
        <w:tc>
          <w:tcPr>
            <w:tcW w:w="3327" w:type="dxa"/>
          </w:tcPr>
          <w:p>
            <w:pPr>
              <w:pStyle w:val="TableParagraph"/>
              <w:spacing w:before="10"/>
              <w:ind w:left="81"/>
              <w:rPr>
                <w:sz w:val="18"/>
              </w:rPr>
            </w:pPr>
            <w:r>
              <w:rPr>
                <w:sz w:val="18"/>
              </w:rPr>
              <w:t>55 颅脑手术</w:t>
            </w:r>
          </w:p>
        </w:tc>
      </w:tr>
      <w:tr>
        <w:trPr>
          <w:trHeight w:val="312" w:hRule="atLeast"/>
        </w:trPr>
        <w:tc>
          <w:tcPr>
            <w:tcW w:w="4067" w:type="dxa"/>
          </w:tcPr>
          <w:p>
            <w:pPr>
              <w:pStyle w:val="TableParagraph"/>
              <w:spacing w:before="10"/>
              <w:ind w:left="200"/>
              <w:rPr>
                <w:sz w:val="18"/>
              </w:rPr>
            </w:pPr>
            <w:r>
              <w:rPr>
                <w:sz w:val="18"/>
              </w:rPr>
              <w:t>21 严重原发性肺动脉高压</w:t>
            </w:r>
          </w:p>
        </w:tc>
        <w:tc>
          <w:tcPr>
            <w:tcW w:w="3327" w:type="dxa"/>
          </w:tcPr>
          <w:p>
            <w:pPr>
              <w:pStyle w:val="TableParagraph"/>
              <w:spacing w:before="10"/>
              <w:ind w:left="81"/>
              <w:rPr>
                <w:sz w:val="18"/>
              </w:rPr>
            </w:pPr>
            <w:r>
              <w:rPr>
                <w:sz w:val="18"/>
              </w:rPr>
              <w:t>56 严重肌营养不良症</w:t>
            </w:r>
          </w:p>
        </w:tc>
      </w:tr>
      <w:tr>
        <w:trPr>
          <w:trHeight w:val="312" w:hRule="atLeast"/>
        </w:trPr>
        <w:tc>
          <w:tcPr>
            <w:tcW w:w="4067" w:type="dxa"/>
          </w:tcPr>
          <w:p>
            <w:pPr>
              <w:pStyle w:val="TableParagraph"/>
              <w:spacing w:before="10"/>
              <w:ind w:left="200"/>
              <w:rPr>
                <w:sz w:val="18"/>
              </w:rPr>
            </w:pPr>
            <w:r>
              <w:rPr>
                <w:sz w:val="18"/>
              </w:rPr>
              <w:t>22 严重运动神经元病</w:t>
            </w:r>
          </w:p>
        </w:tc>
        <w:tc>
          <w:tcPr>
            <w:tcW w:w="3327" w:type="dxa"/>
          </w:tcPr>
          <w:p>
            <w:pPr>
              <w:pStyle w:val="TableParagraph"/>
              <w:spacing w:before="10"/>
              <w:ind w:left="81"/>
              <w:rPr>
                <w:sz w:val="18"/>
              </w:rPr>
            </w:pPr>
            <w:r>
              <w:rPr>
                <w:sz w:val="18"/>
              </w:rPr>
              <w:t>57 严重心肌炎</w:t>
            </w:r>
          </w:p>
        </w:tc>
      </w:tr>
      <w:tr>
        <w:trPr>
          <w:trHeight w:val="311" w:hRule="atLeast"/>
        </w:trPr>
        <w:tc>
          <w:tcPr>
            <w:tcW w:w="4067" w:type="dxa"/>
          </w:tcPr>
          <w:p>
            <w:pPr>
              <w:pStyle w:val="TableParagraph"/>
              <w:spacing w:before="10"/>
              <w:ind w:left="200"/>
              <w:rPr>
                <w:sz w:val="18"/>
              </w:rPr>
            </w:pPr>
            <w:r>
              <w:rPr>
                <w:sz w:val="18"/>
              </w:rPr>
              <w:t>23 语言能力丧失</w:t>
            </w:r>
          </w:p>
        </w:tc>
        <w:tc>
          <w:tcPr>
            <w:tcW w:w="3327" w:type="dxa"/>
          </w:tcPr>
          <w:p>
            <w:pPr>
              <w:pStyle w:val="TableParagraph"/>
              <w:spacing w:before="10"/>
              <w:ind w:left="81"/>
              <w:rPr>
                <w:sz w:val="18"/>
              </w:rPr>
            </w:pPr>
            <w:r>
              <w:rPr>
                <w:sz w:val="18"/>
              </w:rPr>
              <w:t>58 肝豆状核变性(或称 Wilson 病)</w:t>
            </w:r>
          </w:p>
        </w:tc>
      </w:tr>
      <w:tr>
        <w:trPr>
          <w:trHeight w:val="312" w:hRule="atLeast"/>
        </w:trPr>
        <w:tc>
          <w:tcPr>
            <w:tcW w:w="4067" w:type="dxa"/>
          </w:tcPr>
          <w:p>
            <w:pPr>
              <w:pStyle w:val="TableParagraph"/>
              <w:spacing w:before="10"/>
              <w:ind w:left="200"/>
              <w:rPr>
                <w:sz w:val="18"/>
              </w:rPr>
            </w:pPr>
            <w:r>
              <w:rPr>
                <w:sz w:val="18"/>
              </w:rPr>
              <w:t>24 重型再生障碍性贫血</w:t>
            </w:r>
          </w:p>
        </w:tc>
        <w:tc>
          <w:tcPr>
            <w:tcW w:w="3327" w:type="dxa"/>
          </w:tcPr>
          <w:p>
            <w:pPr>
              <w:pStyle w:val="TableParagraph"/>
              <w:spacing w:before="10"/>
              <w:ind w:left="81"/>
              <w:rPr>
                <w:sz w:val="18"/>
              </w:rPr>
            </w:pPr>
            <w:r>
              <w:rPr>
                <w:sz w:val="18"/>
              </w:rPr>
              <w:t>59 侵蚀性葡萄胎(或称恶性葡萄胎)</w:t>
            </w:r>
          </w:p>
        </w:tc>
      </w:tr>
      <w:tr>
        <w:trPr>
          <w:trHeight w:val="311" w:hRule="atLeast"/>
        </w:trPr>
        <w:tc>
          <w:tcPr>
            <w:tcW w:w="4067" w:type="dxa"/>
          </w:tcPr>
          <w:p>
            <w:pPr>
              <w:pStyle w:val="TableParagraph"/>
              <w:spacing w:before="10"/>
              <w:ind w:left="200"/>
              <w:rPr>
                <w:sz w:val="18"/>
              </w:rPr>
            </w:pPr>
            <w:r>
              <w:rPr>
                <w:sz w:val="18"/>
              </w:rPr>
              <w:t>25 主动脉手术</w:t>
            </w:r>
          </w:p>
        </w:tc>
        <w:tc>
          <w:tcPr>
            <w:tcW w:w="3327" w:type="dxa"/>
          </w:tcPr>
          <w:p>
            <w:pPr>
              <w:pStyle w:val="TableParagraph"/>
              <w:spacing w:before="10"/>
              <w:ind w:left="81"/>
              <w:rPr>
                <w:sz w:val="18"/>
              </w:rPr>
            </w:pPr>
            <w:r>
              <w:rPr>
                <w:sz w:val="18"/>
              </w:rPr>
              <w:t>60 破裂脑动脉瘤夹闭手术</w:t>
            </w:r>
          </w:p>
        </w:tc>
      </w:tr>
      <w:tr>
        <w:trPr>
          <w:trHeight w:val="312" w:hRule="atLeast"/>
        </w:trPr>
        <w:tc>
          <w:tcPr>
            <w:tcW w:w="4067" w:type="dxa"/>
          </w:tcPr>
          <w:p>
            <w:pPr>
              <w:pStyle w:val="TableParagraph"/>
              <w:spacing w:before="10"/>
              <w:ind w:left="200"/>
              <w:rPr>
                <w:sz w:val="18"/>
              </w:rPr>
            </w:pPr>
            <w:r>
              <w:rPr>
                <w:sz w:val="18"/>
              </w:rPr>
              <w:t>26 慢性呼吸功能衰竭</w:t>
            </w:r>
          </w:p>
        </w:tc>
        <w:tc>
          <w:tcPr>
            <w:tcW w:w="3327" w:type="dxa"/>
          </w:tcPr>
          <w:p>
            <w:pPr>
              <w:pStyle w:val="TableParagraph"/>
              <w:spacing w:before="10"/>
              <w:ind w:left="81"/>
              <w:rPr>
                <w:sz w:val="18"/>
              </w:rPr>
            </w:pPr>
            <w:r>
              <w:rPr>
                <w:sz w:val="18"/>
              </w:rPr>
              <w:t>61 需手术切除的嗜铬细胞瘤</w:t>
            </w:r>
          </w:p>
        </w:tc>
      </w:tr>
      <w:tr>
        <w:trPr>
          <w:trHeight w:val="624" w:hRule="atLeast"/>
        </w:trPr>
        <w:tc>
          <w:tcPr>
            <w:tcW w:w="4067" w:type="dxa"/>
          </w:tcPr>
          <w:p>
            <w:pPr>
              <w:pStyle w:val="TableParagraph"/>
              <w:spacing w:before="9"/>
              <w:rPr>
                <w:sz w:val="12"/>
              </w:rPr>
            </w:pPr>
          </w:p>
          <w:p>
            <w:pPr>
              <w:pStyle w:val="TableParagraph"/>
              <w:ind w:left="200"/>
              <w:rPr>
                <w:sz w:val="18"/>
              </w:rPr>
            </w:pPr>
            <w:r>
              <w:rPr>
                <w:sz w:val="18"/>
              </w:rPr>
              <w:t>27 严重多发性硬化</w:t>
            </w:r>
          </w:p>
        </w:tc>
        <w:tc>
          <w:tcPr>
            <w:tcW w:w="3327" w:type="dxa"/>
          </w:tcPr>
          <w:p>
            <w:pPr>
              <w:pStyle w:val="TableParagraph"/>
              <w:spacing w:before="10"/>
              <w:ind w:left="81"/>
              <w:rPr>
                <w:sz w:val="18"/>
              </w:rPr>
            </w:pPr>
            <w:r>
              <w:rPr>
                <w:sz w:val="18"/>
              </w:rPr>
              <w:t>62 进行性核上性麻痹(Steele-</w:t>
            </w:r>
          </w:p>
          <w:p>
            <w:pPr>
              <w:pStyle w:val="TableParagraph"/>
              <w:spacing w:before="75"/>
              <w:ind w:left="81"/>
              <w:rPr>
                <w:sz w:val="18"/>
              </w:rPr>
            </w:pPr>
            <w:r>
              <w:rPr>
                <w:sz w:val="18"/>
              </w:rPr>
              <w:t>Rchardson—Olszewski 综合征)</w:t>
            </w:r>
          </w:p>
        </w:tc>
      </w:tr>
      <w:tr>
        <w:trPr>
          <w:trHeight w:val="311" w:hRule="atLeast"/>
        </w:trPr>
        <w:tc>
          <w:tcPr>
            <w:tcW w:w="4067" w:type="dxa"/>
          </w:tcPr>
          <w:p>
            <w:pPr>
              <w:pStyle w:val="TableParagraph"/>
              <w:spacing w:before="10"/>
              <w:ind w:left="200"/>
              <w:rPr>
                <w:sz w:val="18"/>
              </w:rPr>
            </w:pPr>
            <w:r>
              <w:rPr>
                <w:sz w:val="18"/>
              </w:rPr>
              <w:t>28 脊髓灰质炎</w:t>
            </w:r>
          </w:p>
        </w:tc>
        <w:tc>
          <w:tcPr>
            <w:tcW w:w="3327" w:type="dxa"/>
          </w:tcPr>
          <w:p>
            <w:pPr>
              <w:pStyle w:val="TableParagraph"/>
              <w:spacing w:before="10"/>
              <w:ind w:left="81"/>
              <w:rPr>
                <w:sz w:val="18"/>
              </w:rPr>
            </w:pPr>
            <w:r>
              <w:rPr>
                <w:sz w:val="18"/>
              </w:rPr>
              <w:t>63 严重幼年型类风湿性关节炎</w:t>
            </w:r>
          </w:p>
        </w:tc>
      </w:tr>
      <w:tr>
        <w:trPr>
          <w:trHeight w:val="623" w:hRule="atLeast"/>
        </w:trPr>
        <w:tc>
          <w:tcPr>
            <w:tcW w:w="4067" w:type="dxa"/>
          </w:tcPr>
          <w:p>
            <w:pPr>
              <w:pStyle w:val="TableParagraph"/>
              <w:spacing w:before="9"/>
              <w:rPr>
                <w:sz w:val="12"/>
              </w:rPr>
            </w:pPr>
          </w:p>
          <w:p>
            <w:pPr>
              <w:pStyle w:val="TableParagraph"/>
              <w:ind w:left="200"/>
              <w:rPr>
                <w:sz w:val="18"/>
              </w:rPr>
            </w:pPr>
            <w:r>
              <w:rPr>
                <w:sz w:val="18"/>
              </w:rPr>
              <w:t>29 全身性重症肌无力</w:t>
            </w:r>
          </w:p>
        </w:tc>
        <w:tc>
          <w:tcPr>
            <w:tcW w:w="3327" w:type="dxa"/>
          </w:tcPr>
          <w:p>
            <w:pPr>
              <w:pStyle w:val="TableParagraph"/>
              <w:spacing w:before="10"/>
              <w:ind w:left="81"/>
              <w:rPr>
                <w:b/>
                <w:sz w:val="18"/>
              </w:rPr>
            </w:pPr>
            <w:r>
              <w:rPr>
                <w:sz w:val="18"/>
              </w:rPr>
              <w:t>64 </w:t>
            </w:r>
            <w:r>
              <w:rPr>
                <w:b/>
                <w:sz w:val="18"/>
              </w:rPr>
              <w:t>严重肠道疾病并发症(本项保险责</w:t>
            </w:r>
          </w:p>
          <w:p>
            <w:pPr>
              <w:pStyle w:val="TableParagraph"/>
              <w:spacing w:before="76"/>
              <w:ind w:left="81"/>
              <w:rPr>
                <w:b/>
                <w:sz w:val="18"/>
              </w:rPr>
            </w:pPr>
            <w:r>
              <w:rPr>
                <w:b/>
                <w:sz w:val="18"/>
              </w:rPr>
              <w:t>任仅在被保险人18 周岁以前提供保障)</w:t>
            </w:r>
          </w:p>
        </w:tc>
      </w:tr>
      <w:tr>
        <w:trPr>
          <w:trHeight w:val="624" w:hRule="atLeast"/>
        </w:trPr>
        <w:tc>
          <w:tcPr>
            <w:tcW w:w="4067" w:type="dxa"/>
          </w:tcPr>
          <w:p>
            <w:pPr>
              <w:pStyle w:val="TableParagraph"/>
              <w:spacing w:before="9"/>
              <w:rPr>
                <w:sz w:val="12"/>
              </w:rPr>
            </w:pPr>
          </w:p>
          <w:p>
            <w:pPr>
              <w:pStyle w:val="TableParagraph"/>
              <w:ind w:left="200"/>
              <w:rPr>
                <w:sz w:val="18"/>
              </w:rPr>
            </w:pPr>
            <w:r>
              <w:rPr>
                <w:sz w:val="18"/>
              </w:rPr>
              <w:t>30 严重冠心病</w:t>
            </w:r>
          </w:p>
        </w:tc>
        <w:tc>
          <w:tcPr>
            <w:tcW w:w="3327" w:type="dxa"/>
          </w:tcPr>
          <w:p>
            <w:pPr>
              <w:pStyle w:val="TableParagraph"/>
              <w:spacing w:before="10"/>
              <w:ind w:left="81"/>
              <w:rPr>
                <w:sz w:val="18"/>
              </w:rPr>
            </w:pPr>
            <w:r>
              <w:rPr>
                <w:sz w:val="18"/>
              </w:rPr>
              <w:t>65 严重瑞氏综合症（Reye 综合征，也</w:t>
            </w:r>
          </w:p>
          <w:p>
            <w:pPr>
              <w:pStyle w:val="TableParagraph"/>
              <w:spacing w:before="76"/>
              <w:ind w:left="81"/>
              <w:rPr>
                <w:sz w:val="18"/>
              </w:rPr>
            </w:pPr>
            <w:r>
              <w:rPr>
                <w:sz w:val="18"/>
              </w:rPr>
              <w:t>称赖氏综合征、雷氏综合征）</w:t>
            </w:r>
          </w:p>
        </w:tc>
      </w:tr>
      <w:tr>
        <w:trPr>
          <w:trHeight w:val="311" w:hRule="atLeast"/>
        </w:trPr>
        <w:tc>
          <w:tcPr>
            <w:tcW w:w="4067" w:type="dxa"/>
          </w:tcPr>
          <w:p>
            <w:pPr>
              <w:pStyle w:val="TableParagraph"/>
              <w:spacing w:before="10"/>
              <w:ind w:left="200"/>
              <w:rPr>
                <w:sz w:val="18"/>
              </w:rPr>
            </w:pPr>
            <w:r>
              <w:rPr>
                <w:sz w:val="18"/>
              </w:rPr>
              <w:t>31 严重心肌病</w:t>
            </w:r>
          </w:p>
        </w:tc>
        <w:tc>
          <w:tcPr>
            <w:tcW w:w="3327" w:type="dxa"/>
          </w:tcPr>
          <w:p>
            <w:pPr>
              <w:pStyle w:val="TableParagraph"/>
              <w:spacing w:before="10"/>
              <w:ind w:left="81"/>
              <w:rPr>
                <w:sz w:val="18"/>
              </w:rPr>
            </w:pPr>
            <w:r>
              <w:rPr>
                <w:sz w:val="18"/>
              </w:rPr>
              <w:t>66 严重自身免疫性肝炎</w:t>
            </w:r>
          </w:p>
        </w:tc>
      </w:tr>
      <w:tr>
        <w:trPr>
          <w:trHeight w:val="312" w:hRule="atLeast"/>
        </w:trPr>
        <w:tc>
          <w:tcPr>
            <w:tcW w:w="4067" w:type="dxa"/>
          </w:tcPr>
          <w:p>
            <w:pPr>
              <w:pStyle w:val="TableParagraph"/>
              <w:spacing w:before="10"/>
              <w:ind w:left="200"/>
              <w:rPr>
                <w:sz w:val="18"/>
              </w:rPr>
            </w:pPr>
            <w:r>
              <w:rPr>
                <w:sz w:val="18"/>
              </w:rPr>
              <w:t>32 系统性红斑狼疮-III 型或以上狼疮性肾炎</w:t>
            </w:r>
          </w:p>
        </w:tc>
        <w:tc>
          <w:tcPr>
            <w:tcW w:w="3327" w:type="dxa"/>
          </w:tcPr>
          <w:p>
            <w:pPr>
              <w:pStyle w:val="TableParagraph"/>
              <w:spacing w:before="10"/>
              <w:ind w:left="81"/>
              <w:rPr>
                <w:sz w:val="18"/>
              </w:rPr>
            </w:pPr>
            <w:r>
              <w:rPr>
                <w:sz w:val="18"/>
              </w:rPr>
              <w:t>67 严重的 III 度房室传导阻滞</w:t>
            </w:r>
          </w:p>
        </w:tc>
      </w:tr>
      <w:tr>
        <w:trPr>
          <w:trHeight w:val="623" w:hRule="atLeast"/>
        </w:trPr>
        <w:tc>
          <w:tcPr>
            <w:tcW w:w="4067" w:type="dxa"/>
          </w:tcPr>
          <w:p>
            <w:pPr>
              <w:pStyle w:val="TableParagraph"/>
              <w:spacing w:before="10"/>
              <w:ind w:left="200"/>
              <w:rPr>
                <w:sz w:val="18"/>
              </w:rPr>
            </w:pPr>
            <w:r>
              <w:rPr>
                <w:sz w:val="18"/>
              </w:rPr>
              <w:t>33 因职业关系导致的人类免疫缺陷病毒（HIV）</w:t>
            </w:r>
          </w:p>
          <w:p>
            <w:pPr>
              <w:pStyle w:val="TableParagraph"/>
              <w:spacing w:before="76"/>
              <w:ind w:left="200"/>
              <w:rPr>
                <w:sz w:val="18"/>
              </w:rPr>
            </w:pPr>
            <w:r>
              <w:rPr>
                <w:sz w:val="18"/>
              </w:rPr>
              <w:t>感染</w:t>
            </w:r>
          </w:p>
        </w:tc>
        <w:tc>
          <w:tcPr>
            <w:tcW w:w="3327" w:type="dxa"/>
          </w:tcPr>
          <w:p>
            <w:pPr>
              <w:pStyle w:val="TableParagraph"/>
              <w:spacing w:before="9"/>
              <w:rPr>
                <w:sz w:val="12"/>
              </w:rPr>
            </w:pPr>
          </w:p>
          <w:p>
            <w:pPr>
              <w:pStyle w:val="TableParagraph"/>
              <w:ind w:left="81"/>
              <w:rPr>
                <w:sz w:val="18"/>
              </w:rPr>
            </w:pPr>
            <w:r>
              <w:rPr>
                <w:sz w:val="18"/>
              </w:rPr>
              <w:t>68 细菌性脑脊髓膜炎</w:t>
            </w:r>
          </w:p>
        </w:tc>
      </w:tr>
      <w:tr>
        <w:trPr>
          <w:trHeight w:val="311" w:hRule="atLeast"/>
        </w:trPr>
        <w:tc>
          <w:tcPr>
            <w:tcW w:w="4067" w:type="dxa"/>
          </w:tcPr>
          <w:p>
            <w:pPr>
              <w:pStyle w:val="TableParagraph"/>
              <w:spacing w:before="10"/>
              <w:ind w:left="200"/>
              <w:rPr>
                <w:sz w:val="18"/>
              </w:rPr>
            </w:pPr>
            <w:r>
              <w:rPr>
                <w:sz w:val="18"/>
              </w:rPr>
              <w:t>34 经输血导致的人类免疫缺陷病毒（HIV）感染</w:t>
            </w:r>
          </w:p>
        </w:tc>
        <w:tc>
          <w:tcPr>
            <w:tcW w:w="3327" w:type="dxa"/>
          </w:tcPr>
          <w:p>
            <w:pPr>
              <w:pStyle w:val="TableParagraph"/>
              <w:spacing w:before="10"/>
              <w:ind w:left="81"/>
              <w:rPr>
                <w:sz w:val="18"/>
              </w:rPr>
            </w:pPr>
            <w:r>
              <w:rPr>
                <w:sz w:val="18"/>
              </w:rPr>
              <w:t>69 严重感染性心内膜炎</w:t>
            </w:r>
          </w:p>
        </w:tc>
      </w:tr>
      <w:tr>
        <w:trPr>
          <w:trHeight w:val="246" w:hRule="atLeast"/>
        </w:trPr>
        <w:tc>
          <w:tcPr>
            <w:tcW w:w="4067" w:type="dxa"/>
          </w:tcPr>
          <w:p>
            <w:pPr>
              <w:pStyle w:val="TableParagraph"/>
              <w:spacing w:line="216" w:lineRule="exact" w:before="10"/>
              <w:ind w:left="200"/>
              <w:rPr>
                <w:sz w:val="18"/>
              </w:rPr>
            </w:pPr>
            <w:r>
              <w:rPr>
                <w:sz w:val="18"/>
              </w:rPr>
              <w:t>35 严重克隆病</w:t>
            </w:r>
          </w:p>
        </w:tc>
        <w:tc>
          <w:tcPr>
            <w:tcW w:w="3327" w:type="dxa"/>
          </w:tcPr>
          <w:p>
            <w:pPr>
              <w:pStyle w:val="TableParagraph"/>
              <w:spacing w:line="216" w:lineRule="exact" w:before="10"/>
              <w:ind w:left="81"/>
              <w:rPr>
                <w:sz w:val="18"/>
              </w:rPr>
            </w:pPr>
            <w:r>
              <w:rPr>
                <w:sz w:val="18"/>
              </w:rPr>
              <w:t>70 严重的骨髓增生异常综合征</w:t>
            </w:r>
          </w:p>
        </w:tc>
      </w:tr>
    </w:tbl>
    <w:p>
      <w:pPr>
        <w:pStyle w:val="BodyText"/>
        <w:spacing w:before="10"/>
        <w:rPr>
          <w:sz w:val="25"/>
        </w:rPr>
      </w:pPr>
    </w:p>
    <w:p>
      <w:pPr>
        <w:spacing w:after="0"/>
        <w:rPr>
          <w:sz w:val="25"/>
        </w:rPr>
        <w:sectPr>
          <w:pgSz w:w="11910" w:h="16840"/>
          <w:pgMar w:header="0" w:footer="922" w:top="1480" w:bottom="1120" w:left="920" w:right="860"/>
        </w:sectPr>
      </w:pPr>
    </w:p>
    <w:p>
      <w:pPr>
        <w:pStyle w:val="Heading3"/>
        <w:tabs>
          <w:tab w:pos="1115" w:val="left" w:leader="none"/>
        </w:tabs>
        <w:spacing w:line="273" w:lineRule="auto" w:before="36"/>
        <w:ind w:left="1115" w:hanging="1014"/>
      </w:pPr>
      <w:r>
        <w:rPr/>
        <w:t>3.2</w:t>
        <w:tab/>
        <w:t>重大疾病的定 义</w:t>
      </w:r>
    </w:p>
    <w:p>
      <w:pPr>
        <w:pStyle w:val="BodyText"/>
        <w:spacing w:before="60"/>
        <w:ind w:left="102"/>
      </w:pPr>
      <w:r>
        <w:rPr/>
        <w:br w:type="column"/>
      </w:r>
      <w:r>
        <w:rPr/>
        <w:t>以上各种重大疾病须经我们指定或认可的</w:t>
      </w:r>
      <w:r>
        <w:rPr>
          <w:b/>
        </w:rPr>
        <w:t>医院专科医生</w:t>
      </w:r>
      <w:r>
        <w:rPr/>
        <w:t>明确诊断，符合以下定义</w:t>
      </w:r>
    </w:p>
    <w:p>
      <w:pPr>
        <w:pStyle w:val="BodyText"/>
        <w:spacing w:line="280" w:lineRule="auto" w:before="44"/>
        <w:ind w:left="102" w:right="156"/>
      </w:pPr>
      <w:r>
        <w:rPr/>
        <w:t>（</w:t>
      </w:r>
      <w:r>
        <w:rPr>
          <w:spacing w:val="-3"/>
        </w:rPr>
        <w:t>其中，前 </w:t>
      </w:r>
      <w:r>
        <w:rPr/>
        <w:t>25</w:t>
      </w:r>
      <w:r>
        <w:rPr>
          <w:spacing w:val="-3"/>
        </w:rPr>
        <w:t> 种重大疾病定义完全采用了中国保险行业协会发布的《重大疾病</w:t>
      </w:r>
      <w:r>
        <w:rPr>
          <w:spacing w:val="-3"/>
          <w:w w:val="100"/>
        </w:rPr>
        <w:t>保险的疾病定义使用规范》中的疾病定义</w:t>
      </w:r>
      <w:r>
        <w:rPr>
          <w:spacing w:val="-106"/>
          <w:w w:val="100"/>
        </w:rPr>
        <w:t>）</w:t>
      </w:r>
      <w:r>
        <w:rPr>
          <w:w w:val="100"/>
        </w:rPr>
        <w:t>：</w:t>
      </w:r>
    </w:p>
    <w:p>
      <w:pPr>
        <w:spacing w:after="0" w:line="280" w:lineRule="auto"/>
        <w:sectPr>
          <w:type w:val="continuous"/>
          <w:pgSz w:w="11910" w:h="16840"/>
          <w:pgMar w:top="240" w:bottom="280" w:left="920" w:right="860"/>
          <w:cols w:num="2" w:equalWidth="0">
            <w:col w:w="2383" w:space="166"/>
            <w:col w:w="7581"/>
          </w:cols>
        </w:sectPr>
      </w:pPr>
    </w:p>
    <w:p>
      <w:pPr>
        <w:pStyle w:val="BodyText"/>
        <w:spacing w:before="2"/>
        <w:rPr>
          <w:sz w:val="19"/>
        </w:rPr>
      </w:pPr>
    </w:p>
    <w:p>
      <w:pPr>
        <w:tabs>
          <w:tab w:pos="1115" w:val="left" w:leader="none"/>
          <w:tab w:pos="2651" w:val="left" w:leader="none"/>
        </w:tabs>
        <w:spacing w:before="34"/>
        <w:ind w:left="102" w:right="0" w:firstLine="0"/>
        <w:jc w:val="left"/>
        <w:rPr>
          <w:sz w:val="21"/>
        </w:rPr>
      </w:pPr>
      <w:r>
        <w:rPr>
          <w:i/>
          <w:sz w:val="22"/>
        </w:rPr>
        <w:t>3.2.1</w:t>
        <w:tab/>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22"/>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pacing w:val="-20"/>
          <w:sz w:val="21"/>
        </w:rPr>
        <w:t>，</w:t>
      </w:r>
      <w:r>
        <w:rPr>
          <w:spacing w:val="-3"/>
          <w:sz w:val="21"/>
        </w:rPr>
        <w:t>可以</w:t>
      </w:r>
      <w:r>
        <w:rPr>
          <w:sz w:val="21"/>
        </w:rPr>
        <w:t>经血</w:t>
      </w:r>
    </w:p>
    <w:p>
      <w:pPr>
        <w:spacing w:after="0"/>
        <w:jc w:val="left"/>
        <w:rPr>
          <w:sz w:val="21"/>
        </w:rPr>
        <w:sectPr>
          <w:type w:val="continuous"/>
          <w:pgSz w:w="11910" w:h="16840"/>
          <w:pgMar w:top="240" w:bottom="280" w:left="92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1672"/>
        <w:gridCol w:w="7728"/>
      </w:tblGrid>
      <w:tr>
        <w:trPr>
          <w:trHeight w:val="3221" w:hRule="atLeast"/>
        </w:trPr>
        <w:tc>
          <w:tcPr>
            <w:tcW w:w="971" w:type="dxa"/>
          </w:tcPr>
          <w:p>
            <w:pPr>
              <w:pStyle w:val="TableParagraph"/>
              <w:rPr>
                <w:rFonts w:ascii="Times New Roman"/>
                <w:sz w:val="20"/>
              </w:rPr>
            </w:pPr>
          </w:p>
        </w:tc>
        <w:tc>
          <w:tcPr>
            <w:tcW w:w="1672" w:type="dxa"/>
          </w:tcPr>
          <w:p>
            <w:pPr>
              <w:pStyle w:val="TableParagraph"/>
              <w:rPr>
                <w:rFonts w:ascii="Times New Roman"/>
                <w:sz w:val="20"/>
              </w:rPr>
            </w:pPr>
          </w:p>
        </w:tc>
        <w:tc>
          <w:tcPr>
            <w:tcW w:w="7728" w:type="dxa"/>
          </w:tcPr>
          <w:p>
            <w:pPr>
              <w:pStyle w:val="TableParagraph"/>
              <w:spacing w:line="204" w:lineRule="exact"/>
              <w:ind w:left="106"/>
              <w:rPr>
                <w:sz w:val="21"/>
              </w:rPr>
            </w:pPr>
            <w:r>
              <w:rPr>
                <w:sz w:val="21"/>
              </w:rPr>
              <w:t>管、淋巴管和体腔扩散转移到身体其它部位的疾病。经病理学检查结果明确诊断，</w:t>
            </w:r>
          </w:p>
          <w:p>
            <w:pPr>
              <w:pStyle w:val="TableParagraph"/>
              <w:spacing w:line="273" w:lineRule="auto" w:before="37"/>
              <w:ind w:left="106" w:right="268"/>
              <w:rPr>
                <w:sz w:val="21"/>
              </w:rPr>
            </w:pPr>
            <w:r>
              <w:rPr>
                <w:spacing w:val="-7"/>
                <w:sz w:val="21"/>
              </w:rPr>
              <w:t>临床诊断属于世界卫生组织《 疾病和有关健康问题的国际统计分类》</w:t>
            </w:r>
            <w:r>
              <w:rPr>
                <w:sz w:val="21"/>
              </w:rPr>
              <w:t>（ICD-10） </w:t>
            </w:r>
            <w:r>
              <w:rPr>
                <w:spacing w:val="-3"/>
                <w:sz w:val="21"/>
              </w:rPr>
              <w:t>的恶性肿瘤范畴。</w:t>
            </w:r>
          </w:p>
          <w:p>
            <w:pPr>
              <w:pStyle w:val="TableParagraph"/>
              <w:spacing w:before="7"/>
              <w:ind w:left="106"/>
              <w:rPr>
                <w:b/>
                <w:sz w:val="21"/>
              </w:rPr>
            </w:pPr>
            <w:r>
              <w:rPr>
                <w:b/>
                <w:sz w:val="21"/>
              </w:rPr>
              <w:t>下列疾病不在保障范围内：</w:t>
            </w:r>
          </w:p>
          <w:p>
            <w:pPr>
              <w:pStyle w:val="TableParagraph"/>
              <w:spacing w:before="37"/>
              <w:ind w:left="106"/>
              <w:rPr>
                <w:b/>
                <w:sz w:val="21"/>
              </w:rPr>
            </w:pPr>
            <w:r>
              <w:rPr>
                <w:b/>
                <w:sz w:val="21"/>
              </w:rPr>
              <w:t>（1）原位癌；</w:t>
            </w:r>
          </w:p>
          <w:p>
            <w:pPr>
              <w:pStyle w:val="TableParagraph"/>
              <w:spacing w:before="37"/>
              <w:ind w:left="106"/>
              <w:rPr>
                <w:b/>
                <w:sz w:val="21"/>
              </w:rPr>
            </w:pPr>
            <w:r>
              <w:rPr>
                <w:b/>
                <w:sz w:val="21"/>
              </w:rPr>
              <w:t>（2）相当于 Binet 分期方案 A 期程度的慢性淋巴细胞白血病；</w:t>
            </w:r>
          </w:p>
          <w:p>
            <w:pPr>
              <w:pStyle w:val="TableParagraph"/>
              <w:spacing w:before="37"/>
              <w:ind w:left="106"/>
              <w:rPr>
                <w:b/>
                <w:sz w:val="21"/>
              </w:rPr>
            </w:pPr>
            <w:r>
              <w:rPr>
                <w:b/>
                <w:sz w:val="21"/>
              </w:rPr>
              <w:t>（3）相当于 Ann Arbor 分期方案 I 期程度的何杰金氏病；</w:t>
            </w:r>
          </w:p>
          <w:p>
            <w:pPr>
              <w:pStyle w:val="TableParagraph"/>
              <w:spacing w:before="37"/>
              <w:ind w:left="106"/>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106"/>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37"/>
              <w:ind w:left="106"/>
              <w:rPr>
                <w:b/>
                <w:sz w:val="21"/>
              </w:rPr>
            </w:pPr>
            <w:r>
              <w:rPr>
                <w:b/>
                <w:sz w:val="21"/>
              </w:rPr>
              <w:t>（6）感染艾滋病病毒或患艾滋病期间所患恶性肿瘤。</w:t>
            </w:r>
          </w:p>
        </w:tc>
      </w:tr>
      <w:tr>
        <w:trPr>
          <w:trHeight w:val="2496" w:hRule="atLeast"/>
        </w:trPr>
        <w:tc>
          <w:tcPr>
            <w:tcW w:w="971" w:type="dxa"/>
          </w:tcPr>
          <w:p>
            <w:pPr>
              <w:pStyle w:val="TableParagraph"/>
              <w:spacing w:before="128"/>
              <w:ind w:left="169" w:right="211"/>
              <w:jc w:val="center"/>
              <w:rPr>
                <w:i/>
                <w:sz w:val="22"/>
              </w:rPr>
            </w:pPr>
            <w:r>
              <w:rPr>
                <w:i/>
                <w:sz w:val="22"/>
              </w:rPr>
              <w:t>3.2.2</w:t>
            </w:r>
          </w:p>
        </w:tc>
        <w:tc>
          <w:tcPr>
            <w:tcW w:w="1672" w:type="dxa"/>
          </w:tcPr>
          <w:p>
            <w:pPr>
              <w:pStyle w:val="TableParagraph"/>
              <w:spacing w:before="128"/>
              <w:ind w:right="165"/>
              <w:jc w:val="right"/>
              <w:rPr>
                <w:i/>
                <w:sz w:val="22"/>
              </w:rPr>
            </w:pPr>
            <w:r>
              <w:rPr>
                <w:i/>
                <w:w w:val="95"/>
                <w:sz w:val="22"/>
              </w:rPr>
              <w:t>急性心肌梗塞</w:t>
            </w:r>
          </w:p>
        </w:tc>
        <w:tc>
          <w:tcPr>
            <w:tcW w:w="7728" w:type="dxa"/>
          </w:tcPr>
          <w:p>
            <w:pPr>
              <w:pStyle w:val="TableParagraph"/>
              <w:spacing w:line="273" w:lineRule="auto" w:before="140"/>
              <w:ind w:left="106" w:right="256"/>
              <w:rPr>
                <w:sz w:val="21"/>
              </w:rPr>
            </w:pPr>
            <w:r>
              <w:rPr>
                <w:sz w:val="21"/>
              </w:rPr>
              <w:t>指因冠状动脉阻塞导致的相应区域供血不足造成部分心肌坏死。须满足下列至少三项条件：</w:t>
            </w:r>
          </w:p>
          <w:p>
            <w:pPr>
              <w:pStyle w:val="TableParagraph"/>
              <w:spacing w:before="8"/>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309"/>
              <w:rPr>
                <w:sz w:val="21"/>
              </w:rPr>
            </w:pPr>
            <w:r>
              <w:rPr>
                <w:sz w:val="21"/>
              </w:rPr>
              <w:t>（3）心肌酶或肌钙蛋白有诊断意义的升高，或呈符合急性心肌梗塞的动态性变化；</w:t>
            </w:r>
          </w:p>
          <w:p>
            <w:pPr>
              <w:pStyle w:val="TableParagraph"/>
              <w:spacing w:before="8"/>
              <w:ind w:left="106"/>
              <w:rPr>
                <w:sz w:val="21"/>
              </w:rPr>
            </w:pPr>
            <w:r>
              <w:rPr>
                <w:sz w:val="21"/>
              </w:rPr>
              <w:t>（4）发病 90 天后，经检查证实左心室功能降低，如左心室射血分数低于 50%。</w:t>
            </w:r>
          </w:p>
        </w:tc>
      </w:tr>
      <w:tr>
        <w:trPr>
          <w:trHeight w:val="2485" w:hRule="atLeast"/>
        </w:trPr>
        <w:tc>
          <w:tcPr>
            <w:tcW w:w="971" w:type="dxa"/>
          </w:tcPr>
          <w:p>
            <w:pPr>
              <w:pStyle w:val="TableParagraph"/>
              <w:spacing w:before="128"/>
              <w:ind w:left="169" w:right="211"/>
              <w:jc w:val="center"/>
              <w:rPr>
                <w:i/>
                <w:sz w:val="22"/>
              </w:rPr>
            </w:pPr>
            <w:r>
              <w:rPr>
                <w:i/>
                <w:sz w:val="22"/>
              </w:rPr>
              <w:t>3.2.3</w:t>
            </w:r>
          </w:p>
        </w:tc>
        <w:tc>
          <w:tcPr>
            <w:tcW w:w="1672" w:type="dxa"/>
          </w:tcPr>
          <w:p>
            <w:pPr>
              <w:pStyle w:val="TableParagraph"/>
              <w:spacing w:before="128"/>
              <w:ind w:right="165"/>
              <w:jc w:val="right"/>
              <w:rPr>
                <w:i/>
                <w:sz w:val="22"/>
              </w:rPr>
            </w:pPr>
            <w:r>
              <w:rPr>
                <w:i/>
                <w:w w:val="95"/>
                <w:sz w:val="22"/>
              </w:rPr>
              <w:t>脑中风后遗症</w:t>
            </w:r>
          </w:p>
        </w:tc>
        <w:tc>
          <w:tcPr>
            <w:tcW w:w="7728" w:type="dxa"/>
          </w:tcPr>
          <w:p>
            <w:pPr>
              <w:pStyle w:val="TableParagraph"/>
              <w:spacing w:line="273" w:lineRule="auto" w:before="140"/>
              <w:ind w:left="106" w:right="305"/>
              <w:jc w:val="both"/>
              <w:rPr>
                <w:sz w:val="21"/>
              </w:rPr>
            </w:pPr>
            <w:r>
              <w:rPr>
                <w:spacing w:val="-5"/>
                <w:sz w:val="21"/>
              </w:rPr>
              <w:t>指因脑血管的突发病变引起脑血管出血、栓塞或梗塞，并导致神经系统永久性的</w:t>
            </w:r>
            <w:r>
              <w:rPr>
                <w:spacing w:val="-9"/>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11"/>
              <w:rPr>
                <w:sz w:val="21"/>
              </w:rPr>
            </w:pPr>
            <w:r>
              <w:rPr>
                <w:sz w:val="21"/>
              </w:rPr>
              <w:t>（3）自主生活能力完全丧失，无法独立完成六项基本日常生活活动中的三项或三项以上。</w:t>
            </w:r>
          </w:p>
        </w:tc>
      </w:tr>
      <w:tr>
        <w:trPr>
          <w:trHeight w:val="1882" w:hRule="atLeast"/>
        </w:trPr>
        <w:tc>
          <w:tcPr>
            <w:tcW w:w="971" w:type="dxa"/>
          </w:tcPr>
          <w:p>
            <w:pPr>
              <w:pStyle w:val="TableParagraph"/>
              <w:spacing w:before="139"/>
              <w:ind w:left="169" w:right="211"/>
              <w:jc w:val="center"/>
              <w:rPr>
                <w:i/>
                <w:sz w:val="22"/>
              </w:rPr>
            </w:pPr>
            <w:r>
              <w:rPr>
                <w:i/>
                <w:sz w:val="22"/>
              </w:rPr>
              <w:t>3.2.4</w:t>
            </w:r>
          </w:p>
        </w:tc>
        <w:tc>
          <w:tcPr>
            <w:tcW w:w="1672" w:type="dxa"/>
          </w:tcPr>
          <w:p>
            <w:pPr>
              <w:pStyle w:val="TableParagraph"/>
              <w:spacing w:line="228" w:lineRule="auto" w:before="132"/>
              <w:ind w:left="242" w:right="106"/>
              <w:jc w:val="both"/>
              <w:rPr>
                <w:i/>
                <w:sz w:val="22"/>
              </w:rPr>
            </w:pPr>
            <w:r>
              <w:rPr>
                <w:i/>
                <w:w w:val="95"/>
                <w:sz w:val="22"/>
              </w:rPr>
              <w:t>重大器官移植术或造血干细胞移植术</w:t>
            </w:r>
          </w:p>
        </w:tc>
        <w:tc>
          <w:tcPr>
            <w:tcW w:w="7728" w:type="dxa"/>
          </w:tcPr>
          <w:p>
            <w:pPr>
              <w:pStyle w:val="TableParagraph"/>
              <w:spacing w:line="273" w:lineRule="auto" w:before="151"/>
              <w:ind w:left="106" w:right="303"/>
              <w:jc w:val="both"/>
              <w:rPr>
                <w:sz w:val="21"/>
              </w:rPr>
            </w:pPr>
            <w:r>
              <w:rPr>
                <w:spacing w:val="-8"/>
                <w:sz w:val="21"/>
              </w:rPr>
              <w:t>重大器官移植术，指因相应器官功能衰竭，已经实施了肾脏、肝脏、心脏或肺脏</w:t>
            </w:r>
            <w:r>
              <w:rPr>
                <w:spacing w:val="-5"/>
                <w:sz w:val="21"/>
              </w:rPr>
              <w:t>的异体移植手术。</w:t>
            </w:r>
          </w:p>
          <w:p>
            <w:pPr>
              <w:pStyle w:val="TableParagraph"/>
              <w:spacing w:line="273" w:lineRule="auto" w:before="7"/>
              <w:ind w:left="106" w:right="305"/>
              <w:jc w:val="both"/>
              <w:rPr>
                <w:sz w:val="21"/>
              </w:rPr>
            </w:pPr>
            <w:r>
              <w:rPr>
                <w:spacing w:val="-6"/>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555" w:hRule="atLeast"/>
        </w:trPr>
        <w:tc>
          <w:tcPr>
            <w:tcW w:w="971" w:type="dxa"/>
          </w:tcPr>
          <w:p>
            <w:pPr>
              <w:pStyle w:val="TableParagraph"/>
              <w:spacing w:before="128"/>
              <w:ind w:left="169" w:right="211"/>
              <w:jc w:val="center"/>
              <w:rPr>
                <w:i/>
                <w:sz w:val="22"/>
              </w:rPr>
            </w:pPr>
            <w:r>
              <w:rPr>
                <w:i/>
                <w:sz w:val="22"/>
              </w:rPr>
              <w:t>3.2.5</w:t>
            </w:r>
          </w:p>
        </w:tc>
        <w:tc>
          <w:tcPr>
            <w:tcW w:w="1672" w:type="dxa"/>
          </w:tcPr>
          <w:p>
            <w:pPr>
              <w:pStyle w:val="TableParagraph"/>
              <w:spacing w:line="259" w:lineRule="auto" w:before="128"/>
              <w:ind w:left="242" w:right="106"/>
              <w:jc w:val="both"/>
              <w:rPr>
                <w:i/>
                <w:sz w:val="22"/>
              </w:rPr>
            </w:pPr>
            <w:r>
              <w:rPr>
                <w:i/>
                <w:w w:val="95"/>
                <w:sz w:val="22"/>
              </w:rPr>
              <w:t>冠状动脉搭桥术（或称冠状动脉旁路移植术）</w:t>
            </w:r>
          </w:p>
        </w:tc>
        <w:tc>
          <w:tcPr>
            <w:tcW w:w="7728" w:type="dxa"/>
          </w:tcPr>
          <w:p>
            <w:pPr>
              <w:pStyle w:val="TableParagraph"/>
              <w:spacing w:line="273" w:lineRule="auto" w:before="140"/>
              <w:ind w:left="106" w:right="267"/>
              <w:jc w:val="both"/>
              <w:rPr>
                <w:b/>
                <w:sz w:val="21"/>
              </w:rPr>
            </w:pPr>
            <w:r>
              <w:rPr>
                <w:spacing w:val="-3"/>
                <w:sz w:val="21"/>
              </w:rPr>
              <w:t>指为治疗严重的冠心病，实际实施了开胸进行的冠状动脉血管旁路移植的手术。</w:t>
            </w:r>
            <w:r>
              <w:rPr>
                <w:b/>
                <w:spacing w:val="-9"/>
                <w:sz w:val="21"/>
              </w:rPr>
              <w:t>冠状动脉支架植入术、心导管球囊扩张术、激光射频技术及其它非开胸的介入手术、腔镜手术不在保障范围内。</w:t>
            </w:r>
          </w:p>
        </w:tc>
      </w:tr>
      <w:tr>
        <w:trPr>
          <w:trHeight w:val="1566" w:hRule="atLeast"/>
        </w:trPr>
        <w:tc>
          <w:tcPr>
            <w:tcW w:w="971" w:type="dxa"/>
          </w:tcPr>
          <w:p>
            <w:pPr>
              <w:pStyle w:val="TableParagraph"/>
              <w:spacing w:before="134"/>
              <w:ind w:left="169" w:right="211"/>
              <w:jc w:val="center"/>
              <w:rPr>
                <w:i/>
                <w:sz w:val="22"/>
              </w:rPr>
            </w:pPr>
            <w:r>
              <w:rPr>
                <w:i/>
                <w:sz w:val="22"/>
              </w:rPr>
              <w:t>3.2.6</w:t>
            </w:r>
          </w:p>
        </w:tc>
        <w:tc>
          <w:tcPr>
            <w:tcW w:w="1672" w:type="dxa"/>
          </w:tcPr>
          <w:p>
            <w:pPr>
              <w:pStyle w:val="TableParagraph"/>
              <w:spacing w:before="134"/>
              <w:ind w:left="242"/>
              <w:rPr>
                <w:i/>
                <w:sz w:val="22"/>
              </w:rPr>
            </w:pPr>
            <w:r>
              <w:rPr>
                <w:i/>
                <w:w w:val="95"/>
                <w:sz w:val="22"/>
              </w:rPr>
              <w:t>终末期肾病</w:t>
            </w:r>
          </w:p>
          <w:p>
            <w:pPr>
              <w:pStyle w:val="TableParagraph"/>
              <w:spacing w:line="259" w:lineRule="auto" w:before="24"/>
              <w:ind w:left="242" w:right="165"/>
              <w:jc w:val="both"/>
              <w:rPr>
                <w:i/>
                <w:sz w:val="22"/>
              </w:rPr>
            </w:pPr>
            <w:r>
              <w:rPr>
                <w:i/>
                <w:w w:val="95"/>
                <w:sz w:val="22"/>
              </w:rPr>
              <w:t>（或称慢性肾功能衰竭尿毒症期）</w:t>
            </w:r>
          </w:p>
        </w:tc>
        <w:tc>
          <w:tcPr>
            <w:tcW w:w="7728" w:type="dxa"/>
          </w:tcPr>
          <w:p>
            <w:pPr>
              <w:pStyle w:val="TableParagraph"/>
              <w:spacing w:line="237" w:lineRule="auto" w:before="127"/>
              <w:ind w:left="106" w:right="247"/>
              <w:rPr>
                <w:sz w:val="21"/>
              </w:rPr>
            </w:pPr>
            <w:r>
              <w:rPr>
                <w:sz w:val="21"/>
              </w:rPr>
              <w:t>指双肾功能慢性不可逆性衰竭，达到尿毒症期，经诊断后已经进行了至少 90 天的规律性透析治疗或实施了肾脏移植手术。</w:t>
            </w:r>
          </w:p>
        </w:tc>
      </w:tr>
      <w:tr>
        <w:trPr>
          <w:trHeight w:val="423" w:hRule="atLeast"/>
        </w:trPr>
        <w:tc>
          <w:tcPr>
            <w:tcW w:w="971" w:type="dxa"/>
          </w:tcPr>
          <w:p>
            <w:pPr>
              <w:pStyle w:val="TableParagraph"/>
              <w:spacing w:line="275" w:lineRule="exact" w:before="128"/>
              <w:ind w:left="169" w:right="211"/>
              <w:jc w:val="center"/>
              <w:rPr>
                <w:i/>
                <w:sz w:val="22"/>
              </w:rPr>
            </w:pPr>
            <w:r>
              <w:rPr>
                <w:i/>
                <w:sz w:val="22"/>
              </w:rPr>
              <w:t>3.2.7</w:t>
            </w:r>
          </w:p>
        </w:tc>
        <w:tc>
          <w:tcPr>
            <w:tcW w:w="1672" w:type="dxa"/>
          </w:tcPr>
          <w:p>
            <w:pPr>
              <w:pStyle w:val="TableParagraph"/>
              <w:spacing w:line="275" w:lineRule="exact" w:before="128"/>
              <w:ind w:right="165"/>
              <w:jc w:val="right"/>
              <w:rPr>
                <w:i/>
                <w:sz w:val="22"/>
              </w:rPr>
            </w:pPr>
            <w:r>
              <w:rPr>
                <w:i/>
                <w:w w:val="95"/>
                <w:sz w:val="22"/>
              </w:rPr>
              <w:t>多个肢体缺失</w:t>
            </w:r>
          </w:p>
        </w:tc>
        <w:tc>
          <w:tcPr>
            <w:tcW w:w="7728" w:type="dxa"/>
          </w:tcPr>
          <w:p>
            <w:pPr>
              <w:pStyle w:val="TableParagraph"/>
              <w:spacing w:line="264" w:lineRule="exact" w:before="139"/>
              <w:ind w:left="106"/>
              <w:rPr>
                <w:sz w:val="21"/>
              </w:rPr>
            </w:pPr>
            <w:r>
              <w:rPr>
                <w:sz w:val="21"/>
              </w:rPr>
              <w:t>指因疾病或</w:t>
            </w:r>
            <w:r>
              <w:rPr>
                <w:b/>
                <w:sz w:val="21"/>
              </w:rPr>
              <w:t>意外伤害</w:t>
            </w:r>
            <w:r>
              <w:rPr>
                <w:sz w:val="21"/>
              </w:rPr>
              <w:t>导致两个或两个以上肢体自腕关节或踝关节近端（靠近躯干</w:t>
            </w:r>
          </w:p>
        </w:tc>
      </w:tr>
    </w:tbl>
    <w:p>
      <w:pPr>
        <w:spacing w:after="0" w:line="264" w:lineRule="exact"/>
        <w:rPr>
          <w:sz w:val="21"/>
        </w:rPr>
        <w:sectPr>
          <w:pgSz w:w="11910" w:h="16840"/>
          <w:pgMar w:header="0" w:footer="922" w:top="148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729"/>
      </w:tblGrid>
      <w:tr>
        <w:trPr>
          <w:trHeight w:val="412" w:hRule="atLeast"/>
        </w:trPr>
        <w:tc>
          <w:tcPr>
            <w:tcW w:w="1023" w:type="dxa"/>
          </w:tcPr>
          <w:p>
            <w:pPr>
              <w:pStyle w:val="TableParagraph"/>
              <w:rPr>
                <w:rFonts w:ascii="Times New Roman"/>
                <w:sz w:val="20"/>
              </w:rPr>
            </w:pPr>
          </w:p>
        </w:tc>
        <w:tc>
          <w:tcPr>
            <w:tcW w:w="1618" w:type="dxa"/>
          </w:tcPr>
          <w:p>
            <w:pPr>
              <w:pStyle w:val="TableParagraph"/>
              <w:rPr>
                <w:rFonts w:ascii="Times New Roman"/>
                <w:sz w:val="20"/>
              </w:rPr>
            </w:pPr>
          </w:p>
        </w:tc>
        <w:tc>
          <w:tcPr>
            <w:tcW w:w="7729" w:type="dxa"/>
          </w:tcPr>
          <w:p>
            <w:pPr>
              <w:pStyle w:val="TableParagraph"/>
              <w:spacing w:line="204" w:lineRule="exact"/>
              <w:ind w:left="108"/>
              <w:rPr>
                <w:sz w:val="21"/>
              </w:rPr>
            </w:pPr>
            <w:r>
              <w:rPr>
                <w:sz w:val="21"/>
              </w:rPr>
              <w:t>端）以上完全性断离。</w:t>
            </w:r>
          </w:p>
        </w:tc>
      </w:tr>
      <w:tr>
        <w:trPr>
          <w:trHeight w:val="2184" w:hRule="atLeast"/>
        </w:trPr>
        <w:tc>
          <w:tcPr>
            <w:tcW w:w="1023" w:type="dxa"/>
          </w:tcPr>
          <w:p>
            <w:pPr>
              <w:pStyle w:val="TableParagraph"/>
              <w:spacing w:before="129"/>
              <w:ind w:left="200"/>
              <w:rPr>
                <w:i/>
                <w:sz w:val="22"/>
              </w:rPr>
            </w:pPr>
            <w:r>
              <w:rPr>
                <w:i/>
                <w:sz w:val="22"/>
              </w:rPr>
              <w:t>3.2.8</w:t>
            </w:r>
          </w:p>
        </w:tc>
        <w:tc>
          <w:tcPr>
            <w:tcW w:w="1618" w:type="dxa"/>
          </w:tcPr>
          <w:p>
            <w:pPr>
              <w:pStyle w:val="TableParagraph"/>
              <w:spacing w:line="259" w:lineRule="auto" w:before="129"/>
              <w:ind w:left="190" w:right="104"/>
              <w:rPr>
                <w:i/>
                <w:sz w:val="22"/>
              </w:rPr>
            </w:pPr>
            <w:r>
              <w:rPr>
                <w:i/>
                <w:w w:val="95"/>
                <w:sz w:val="22"/>
              </w:rPr>
              <w:t>急性或亚急性重症肝炎</w:t>
            </w:r>
          </w:p>
        </w:tc>
        <w:tc>
          <w:tcPr>
            <w:tcW w:w="7729" w:type="dxa"/>
          </w:tcPr>
          <w:p>
            <w:pPr>
              <w:pStyle w:val="TableParagraph"/>
              <w:spacing w:line="273" w:lineRule="auto" w:before="140"/>
              <w:ind w:left="108" w:right="25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8"/>
              <w:rPr>
                <w:sz w:val="21"/>
              </w:rPr>
            </w:pPr>
            <w:r>
              <w:rPr>
                <w:sz w:val="21"/>
              </w:rPr>
              <w:t>（1）重度黄疸或黄疸迅速加重；</w:t>
            </w:r>
          </w:p>
          <w:p>
            <w:pPr>
              <w:pStyle w:val="TableParagraph"/>
              <w:spacing w:before="37"/>
              <w:ind w:left="108"/>
              <w:rPr>
                <w:sz w:val="21"/>
              </w:rPr>
            </w:pPr>
            <w:r>
              <w:rPr>
                <w:sz w:val="21"/>
              </w:rPr>
              <w:t>（2）肝性脑病；</w:t>
            </w:r>
          </w:p>
          <w:p>
            <w:pPr>
              <w:pStyle w:val="TableParagraph"/>
              <w:spacing w:before="37"/>
              <w:ind w:left="108"/>
              <w:rPr>
                <w:sz w:val="21"/>
              </w:rPr>
            </w:pPr>
            <w:r>
              <w:rPr>
                <w:sz w:val="21"/>
              </w:rPr>
              <w:t>（3）B 超或其它影像学检查显示肝脏体积急速萎缩；</w:t>
            </w:r>
          </w:p>
          <w:p>
            <w:pPr>
              <w:pStyle w:val="TableParagraph"/>
              <w:spacing w:before="37"/>
              <w:ind w:left="108"/>
              <w:rPr>
                <w:sz w:val="21"/>
              </w:rPr>
            </w:pPr>
            <w:r>
              <w:rPr>
                <w:sz w:val="21"/>
              </w:rPr>
              <w:t>（4）肝功能指标进行性恶化。</w:t>
            </w:r>
          </w:p>
        </w:tc>
      </w:tr>
      <w:tr>
        <w:trPr>
          <w:trHeight w:val="2496" w:hRule="atLeast"/>
        </w:trPr>
        <w:tc>
          <w:tcPr>
            <w:tcW w:w="1023" w:type="dxa"/>
          </w:tcPr>
          <w:p>
            <w:pPr>
              <w:pStyle w:val="TableParagraph"/>
              <w:spacing w:before="128"/>
              <w:ind w:left="200"/>
              <w:rPr>
                <w:i/>
                <w:sz w:val="22"/>
              </w:rPr>
            </w:pPr>
            <w:r>
              <w:rPr>
                <w:i/>
                <w:sz w:val="22"/>
              </w:rPr>
              <w:t>3.2.9</w:t>
            </w:r>
          </w:p>
        </w:tc>
        <w:tc>
          <w:tcPr>
            <w:tcW w:w="1618" w:type="dxa"/>
          </w:tcPr>
          <w:p>
            <w:pPr>
              <w:pStyle w:val="TableParagraph"/>
              <w:spacing w:before="128"/>
              <w:ind w:left="190"/>
              <w:rPr>
                <w:i/>
                <w:sz w:val="22"/>
              </w:rPr>
            </w:pPr>
            <w:r>
              <w:rPr>
                <w:i/>
                <w:w w:val="95"/>
                <w:sz w:val="22"/>
              </w:rPr>
              <w:t>良性脑肿瘤</w:t>
            </w:r>
          </w:p>
        </w:tc>
        <w:tc>
          <w:tcPr>
            <w:tcW w:w="7729" w:type="dxa"/>
          </w:tcPr>
          <w:p>
            <w:pPr>
              <w:pStyle w:val="TableParagraph"/>
              <w:spacing w:line="273" w:lineRule="auto" w:before="140"/>
              <w:ind w:left="108"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1"/>
                <w:w w:val="100"/>
                <w:sz w:val="21"/>
              </w:rPr>
              <w:t>（</w:t>
            </w:r>
            <w:r>
              <w:rPr>
                <w:w w:val="100"/>
                <w:sz w:val="21"/>
              </w:rPr>
              <w:t>CT</w:t>
            </w:r>
            <w:r>
              <w:rPr>
                <w:spacing w:val="-106"/>
                <w:w w:val="100"/>
                <w:sz w:val="21"/>
              </w:rPr>
              <w:t>）</w:t>
            </w:r>
            <w:r>
              <w:rPr>
                <w:w w:val="100"/>
                <w:sz w:val="21"/>
              </w:rPr>
              <w:t>、核磁共振检查</w:t>
            </w:r>
          </w:p>
          <w:p>
            <w:pPr>
              <w:pStyle w:val="TableParagraph"/>
              <w:spacing w:line="273" w:lineRule="auto" w:before="7"/>
              <w:ind w:left="108" w:right="247"/>
              <w:rPr>
                <w:sz w:val="21"/>
              </w:rPr>
            </w:pPr>
            <w:r>
              <w:rPr>
                <w:sz w:val="21"/>
              </w:rPr>
              <w:t>（MRI）或正电子发射断层扫描（PET）等影像学检查证实，并须满足下列至少一项条件：</w:t>
            </w:r>
          </w:p>
          <w:p>
            <w:pPr>
              <w:pStyle w:val="TableParagraph"/>
              <w:spacing w:before="8"/>
              <w:ind w:left="108"/>
              <w:rPr>
                <w:sz w:val="21"/>
              </w:rPr>
            </w:pPr>
            <w:r>
              <w:rPr>
                <w:sz w:val="21"/>
              </w:rPr>
              <w:t>（1）实际实施了开颅进行的脑肿瘤完全切除或部分切除的手术；</w:t>
            </w:r>
          </w:p>
          <w:p>
            <w:pPr>
              <w:pStyle w:val="TableParagraph"/>
              <w:spacing w:before="37"/>
              <w:ind w:left="108"/>
              <w:rPr>
                <w:sz w:val="21"/>
              </w:rPr>
            </w:pPr>
            <w:r>
              <w:rPr>
                <w:sz w:val="21"/>
              </w:rPr>
              <w:t>（2）实际实施了对脑肿瘤进行的放射治疗。</w:t>
            </w:r>
          </w:p>
          <w:p>
            <w:pPr>
              <w:pStyle w:val="TableParagraph"/>
              <w:spacing w:before="37"/>
              <w:ind w:left="108"/>
              <w:rPr>
                <w:b/>
                <w:sz w:val="21"/>
              </w:rPr>
            </w:pPr>
            <w:r>
              <w:rPr>
                <w:b/>
                <w:sz w:val="21"/>
              </w:rPr>
              <w:t>脑垂体瘤、脑囊肿、脑血管性疾病不在保障范围内。</w:t>
            </w:r>
          </w:p>
        </w:tc>
      </w:tr>
      <w:tr>
        <w:trPr>
          <w:trHeight w:val="2184" w:hRule="atLeast"/>
        </w:trPr>
        <w:tc>
          <w:tcPr>
            <w:tcW w:w="1023" w:type="dxa"/>
          </w:tcPr>
          <w:p>
            <w:pPr>
              <w:pStyle w:val="TableParagraph"/>
              <w:spacing w:before="128"/>
              <w:ind w:left="200"/>
              <w:rPr>
                <w:i/>
                <w:sz w:val="22"/>
              </w:rPr>
            </w:pPr>
            <w:r>
              <w:rPr>
                <w:i/>
                <w:sz w:val="22"/>
              </w:rPr>
              <w:t>3.2.10</w:t>
            </w:r>
          </w:p>
        </w:tc>
        <w:tc>
          <w:tcPr>
            <w:tcW w:w="1618" w:type="dxa"/>
          </w:tcPr>
          <w:p>
            <w:pPr>
              <w:pStyle w:val="TableParagraph"/>
              <w:spacing w:line="259" w:lineRule="auto" w:before="128"/>
              <w:ind w:left="190" w:right="104"/>
              <w:rPr>
                <w:i/>
                <w:sz w:val="22"/>
              </w:rPr>
            </w:pPr>
            <w:r>
              <w:rPr>
                <w:i/>
                <w:w w:val="95"/>
                <w:sz w:val="22"/>
              </w:rPr>
              <w:t>慢性肝功能衰竭失代偿期</w:t>
            </w:r>
          </w:p>
        </w:tc>
        <w:tc>
          <w:tcPr>
            <w:tcW w:w="7729" w:type="dxa"/>
          </w:tcPr>
          <w:p>
            <w:pPr>
              <w:pStyle w:val="TableParagraph"/>
              <w:spacing w:before="140"/>
              <w:ind w:left="108"/>
              <w:rPr>
                <w:sz w:val="21"/>
              </w:rPr>
            </w:pPr>
            <w:r>
              <w:rPr>
                <w:sz w:val="21"/>
              </w:rPr>
              <w:t>指因慢性肝脏疾病导致肝功能衰竭,须满足下列全部条件：</w:t>
            </w:r>
          </w:p>
          <w:p>
            <w:pPr>
              <w:pStyle w:val="TableParagraph"/>
              <w:spacing w:before="36"/>
              <w:ind w:left="108"/>
              <w:rPr>
                <w:sz w:val="21"/>
              </w:rPr>
            </w:pPr>
            <w:r>
              <w:rPr>
                <w:sz w:val="21"/>
              </w:rPr>
              <w:t>（1）持续性黄疸；</w:t>
            </w:r>
          </w:p>
          <w:p>
            <w:pPr>
              <w:pStyle w:val="TableParagraph"/>
              <w:spacing w:before="36"/>
              <w:ind w:left="108"/>
              <w:rPr>
                <w:sz w:val="21"/>
              </w:rPr>
            </w:pPr>
            <w:r>
              <w:rPr>
                <w:sz w:val="21"/>
              </w:rPr>
              <w:t>（2）腹水；</w:t>
            </w:r>
          </w:p>
          <w:p>
            <w:pPr>
              <w:pStyle w:val="TableParagraph"/>
              <w:spacing w:before="36"/>
              <w:ind w:left="108"/>
              <w:rPr>
                <w:sz w:val="21"/>
              </w:rPr>
            </w:pPr>
            <w:r>
              <w:rPr>
                <w:sz w:val="21"/>
              </w:rPr>
              <w:t>（3）肝性脑病；</w:t>
            </w:r>
          </w:p>
          <w:p>
            <w:pPr>
              <w:pStyle w:val="TableParagraph"/>
              <w:spacing w:line="273" w:lineRule="auto" w:before="36"/>
              <w:ind w:left="108" w:right="2469"/>
              <w:rPr>
                <w:b/>
                <w:sz w:val="21"/>
              </w:rPr>
            </w:pPr>
            <w:r>
              <w:rPr>
                <w:sz w:val="21"/>
              </w:rPr>
              <w:t>（4）充血性脾肿大伴脾功能亢进或食管胃底静脉曲张。</w:t>
            </w:r>
            <w:r>
              <w:rPr>
                <w:b/>
                <w:sz w:val="21"/>
              </w:rPr>
              <w:t>因酗酒或药物滥用导致的肝功能衰竭不在保障范围内。</w:t>
            </w:r>
          </w:p>
        </w:tc>
      </w:tr>
      <w:tr>
        <w:trPr>
          <w:trHeight w:val="2184" w:hRule="atLeast"/>
        </w:trPr>
        <w:tc>
          <w:tcPr>
            <w:tcW w:w="1023" w:type="dxa"/>
          </w:tcPr>
          <w:p>
            <w:pPr>
              <w:pStyle w:val="TableParagraph"/>
              <w:spacing w:before="128"/>
              <w:ind w:left="200"/>
              <w:rPr>
                <w:i/>
                <w:sz w:val="22"/>
              </w:rPr>
            </w:pPr>
            <w:r>
              <w:rPr>
                <w:i/>
                <w:sz w:val="22"/>
              </w:rPr>
              <w:t>3.2.11</w:t>
            </w:r>
          </w:p>
        </w:tc>
        <w:tc>
          <w:tcPr>
            <w:tcW w:w="1618" w:type="dxa"/>
          </w:tcPr>
          <w:p>
            <w:pPr>
              <w:pStyle w:val="TableParagraph"/>
              <w:spacing w:line="261" w:lineRule="auto" w:before="128"/>
              <w:ind w:left="190" w:right="104"/>
              <w:rPr>
                <w:i/>
                <w:sz w:val="22"/>
              </w:rPr>
            </w:pPr>
            <w:r>
              <w:rPr>
                <w:i/>
                <w:w w:val="95"/>
                <w:sz w:val="22"/>
              </w:rPr>
              <w:t>脑炎后遗症或脑膜炎后遗症</w:t>
            </w:r>
          </w:p>
        </w:tc>
        <w:tc>
          <w:tcPr>
            <w:tcW w:w="7729" w:type="dxa"/>
          </w:tcPr>
          <w:p>
            <w:pPr>
              <w:pStyle w:val="TableParagraph"/>
              <w:spacing w:line="273" w:lineRule="auto" w:before="140"/>
              <w:ind w:left="108" w:right="257"/>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310"/>
              <w:rPr>
                <w:sz w:val="21"/>
              </w:rPr>
            </w:pPr>
            <w:r>
              <w:rPr>
                <w:sz w:val="21"/>
              </w:rPr>
              <w:t>（3）自主生活能力完全丧失，无法独立完成六项基本日常生活活动中的三项或三项以上。</w:t>
            </w:r>
          </w:p>
        </w:tc>
      </w:tr>
      <w:tr>
        <w:trPr>
          <w:trHeight w:val="1559" w:hRule="atLeast"/>
        </w:trPr>
        <w:tc>
          <w:tcPr>
            <w:tcW w:w="1023" w:type="dxa"/>
          </w:tcPr>
          <w:p>
            <w:pPr>
              <w:pStyle w:val="TableParagraph"/>
              <w:spacing w:before="128"/>
              <w:ind w:left="200"/>
              <w:rPr>
                <w:i/>
                <w:sz w:val="22"/>
              </w:rPr>
            </w:pPr>
            <w:r>
              <w:rPr>
                <w:i/>
                <w:sz w:val="22"/>
              </w:rPr>
              <w:t>3.2.12</w:t>
            </w:r>
          </w:p>
        </w:tc>
        <w:tc>
          <w:tcPr>
            <w:tcW w:w="1618" w:type="dxa"/>
          </w:tcPr>
          <w:p>
            <w:pPr>
              <w:pStyle w:val="TableParagraph"/>
              <w:spacing w:before="128"/>
              <w:ind w:left="190"/>
              <w:rPr>
                <w:i/>
                <w:sz w:val="22"/>
              </w:rPr>
            </w:pPr>
            <w:r>
              <w:rPr>
                <w:i/>
                <w:w w:val="95"/>
                <w:sz w:val="22"/>
              </w:rPr>
              <w:t>深度昏迷</w:t>
            </w:r>
          </w:p>
        </w:tc>
        <w:tc>
          <w:tcPr>
            <w:tcW w:w="7729" w:type="dxa"/>
          </w:tcPr>
          <w:p>
            <w:pPr>
              <w:pStyle w:val="TableParagraph"/>
              <w:spacing w:line="273" w:lineRule="auto" w:before="140"/>
              <w:ind w:left="108" w:right="304"/>
              <w:rPr>
                <w:sz w:val="21"/>
              </w:rPr>
            </w:pPr>
            <w:r>
              <w:rPr>
                <w:spacing w:val="-3"/>
                <w:sz w:val="21"/>
              </w:rPr>
              <w:t>指因疾病或意外伤害导致意识丧失,对外界刺激和体内需求均无反应,昏迷程度 按照格拉斯哥昏迷分级</w:t>
            </w:r>
            <w:r>
              <w:rPr>
                <w:sz w:val="21"/>
              </w:rPr>
              <w:t>（Glasgow</w:t>
            </w:r>
            <w:r>
              <w:rPr>
                <w:spacing w:val="-16"/>
                <w:sz w:val="21"/>
              </w:rPr>
              <w:t> </w:t>
            </w:r>
            <w:r>
              <w:rPr>
                <w:sz w:val="21"/>
              </w:rPr>
              <w:t>coma</w:t>
            </w:r>
            <w:r>
              <w:rPr>
                <w:spacing w:val="-14"/>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108"/>
              <w:rPr>
                <w:b/>
                <w:sz w:val="21"/>
              </w:rPr>
            </w:pPr>
            <w:r>
              <w:rPr>
                <w:b/>
                <w:sz w:val="21"/>
              </w:rPr>
              <w:t>因酗酒或药物滥用导致的深度昏迷不在保障范围内。</w:t>
            </w:r>
          </w:p>
        </w:tc>
      </w:tr>
      <w:tr>
        <w:trPr>
          <w:trHeight w:val="1248" w:hRule="atLeast"/>
        </w:trPr>
        <w:tc>
          <w:tcPr>
            <w:tcW w:w="1023" w:type="dxa"/>
          </w:tcPr>
          <w:p>
            <w:pPr>
              <w:pStyle w:val="TableParagraph"/>
              <w:spacing w:before="128"/>
              <w:ind w:left="200"/>
              <w:rPr>
                <w:i/>
                <w:sz w:val="22"/>
              </w:rPr>
            </w:pPr>
            <w:r>
              <w:rPr>
                <w:i/>
                <w:sz w:val="22"/>
              </w:rPr>
              <w:t>3.2.13</w:t>
            </w:r>
          </w:p>
        </w:tc>
        <w:tc>
          <w:tcPr>
            <w:tcW w:w="1618" w:type="dxa"/>
          </w:tcPr>
          <w:p>
            <w:pPr>
              <w:pStyle w:val="TableParagraph"/>
              <w:spacing w:before="128"/>
              <w:ind w:left="190"/>
              <w:rPr>
                <w:i/>
                <w:sz w:val="22"/>
              </w:rPr>
            </w:pPr>
            <w:r>
              <w:rPr>
                <w:i/>
                <w:w w:val="95"/>
                <w:sz w:val="22"/>
              </w:rPr>
              <w:t>双耳失聪</w:t>
            </w:r>
          </w:p>
        </w:tc>
        <w:tc>
          <w:tcPr>
            <w:tcW w:w="7729" w:type="dxa"/>
          </w:tcPr>
          <w:p>
            <w:pPr>
              <w:pStyle w:val="TableParagraph"/>
              <w:spacing w:before="140"/>
              <w:ind w:left="108"/>
              <w:rPr>
                <w:sz w:val="21"/>
              </w:rPr>
            </w:pPr>
            <w:r>
              <w:rPr>
                <w:sz w:val="21"/>
              </w:rPr>
              <w:t>指因疾病或意外伤害导致双耳听力永久不可逆性丧失，在 500 赫兹、1000 赫兹和</w:t>
            </w:r>
          </w:p>
          <w:p>
            <w:pPr>
              <w:pStyle w:val="TableParagraph"/>
              <w:spacing w:line="273" w:lineRule="auto" w:before="37"/>
              <w:ind w:left="108" w:right="318"/>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tc>
      </w:tr>
      <w:tr>
        <w:trPr>
          <w:trHeight w:val="1358" w:hRule="atLeast"/>
        </w:trPr>
        <w:tc>
          <w:tcPr>
            <w:tcW w:w="1023" w:type="dxa"/>
          </w:tcPr>
          <w:p>
            <w:pPr>
              <w:pStyle w:val="TableParagraph"/>
              <w:spacing w:before="128"/>
              <w:ind w:left="200"/>
              <w:rPr>
                <w:i/>
                <w:sz w:val="22"/>
              </w:rPr>
            </w:pPr>
            <w:r>
              <w:rPr>
                <w:i/>
                <w:sz w:val="22"/>
              </w:rPr>
              <w:t>3.2.14</w:t>
            </w:r>
          </w:p>
        </w:tc>
        <w:tc>
          <w:tcPr>
            <w:tcW w:w="1618" w:type="dxa"/>
          </w:tcPr>
          <w:p>
            <w:pPr>
              <w:pStyle w:val="TableParagraph"/>
              <w:spacing w:before="128"/>
              <w:ind w:left="190"/>
              <w:rPr>
                <w:i/>
                <w:sz w:val="22"/>
              </w:rPr>
            </w:pPr>
            <w:r>
              <w:rPr>
                <w:i/>
                <w:w w:val="95"/>
                <w:sz w:val="22"/>
              </w:rPr>
              <w:t>双目失明</w:t>
            </w:r>
          </w:p>
        </w:tc>
        <w:tc>
          <w:tcPr>
            <w:tcW w:w="7729" w:type="dxa"/>
          </w:tcPr>
          <w:p>
            <w:pPr>
              <w:pStyle w:val="TableParagraph"/>
              <w:spacing w:line="273" w:lineRule="auto" w:before="140"/>
              <w:ind w:left="108" w:right="255"/>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62" w:lineRule="exact" w:before="36"/>
              <w:ind w:left="108"/>
              <w:rPr>
                <w:sz w:val="21"/>
              </w:rPr>
            </w:pPr>
            <w:r>
              <w:rPr>
                <w:sz w:val="21"/>
              </w:rPr>
              <w:t>（2）矫正视力低于 0.02（采用国际标准视力表，如果使用其它视力表应进行换</w:t>
            </w:r>
          </w:p>
        </w:tc>
      </w:tr>
    </w:tbl>
    <w:p>
      <w:pPr>
        <w:spacing w:after="0" w:line="262" w:lineRule="exact"/>
        <w:rPr>
          <w:sz w:val="21"/>
        </w:rPr>
        <w:sectPr>
          <w:pgSz w:w="11910" w:h="16840"/>
          <w:pgMar w:header="0" w:footer="922" w:top="148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727"/>
      </w:tblGrid>
      <w:tr>
        <w:trPr>
          <w:trHeight w:val="725" w:hRule="atLeast"/>
        </w:trPr>
        <w:tc>
          <w:tcPr>
            <w:tcW w:w="1023" w:type="dxa"/>
          </w:tcPr>
          <w:p>
            <w:pPr>
              <w:pStyle w:val="TableParagraph"/>
              <w:rPr>
                <w:rFonts w:ascii="Times New Roman"/>
                <w:sz w:val="20"/>
              </w:rPr>
            </w:pPr>
          </w:p>
        </w:tc>
        <w:tc>
          <w:tcPr>
            <w:tcW w:w="1618" w:type="dxa"/>
          </w:tcPr>
          <w:p>
            <w:pPr>
              <w:pStyle w:val="TableParagraph"/>
              <w:rPr>
                <w:rFonts w:ascii="Times New Roman"/>
                <w:sz w:val="20"/>
              </w:rPr>
            </w:pPr>
          </w:p>
        </w:tc>
        <w:tc>
          <w:tcPr>
            <w:tcW w:w="7727" w:type="dxa"/>
          </w:tcPr>
          <w:p>
            <w:pPr>
              <w:pStyle w:val="TableParagraph"/>
              <w:spacing w:line="204" w:lineRule="exact"/>
              <w:ind w:left="108"/>
              <w:rPr>
                <w:sz w:val="21"/>
              </w:rPr>
            </w:pPr>
            <w:r>
              <w:rPr>
                <w:w w:val="100"/>
                <w:sz w:val="21"/>
              </w:rPr>
              <w:t>算</w:t>
            </w:r>
            <w:r>
              <w:rPr>
                <w:spacing w:val="-106"/>
                <w:w w:val="100"/>
                <w:sz w:val="21"/>
              </w:rPr>
              <w:t>）</w:t>
            </w:r>
            <w:r>
              <w:rPr>
                <w:w w:val="100"/>
                <w:sz w:val="21"/>
              </w:rPr>
              <w:t>；</w:t>
            </w:r>
          </w:p>
          <w:p>
            <w:pPr>
              <w:pStyle w:val="TableParagraph"/>
              <w:spacing w:before="37"/>
              <w:ind w:left="108"/>
              <w:rPr>
                <w:sz w:val="21"/>
              </w:rPr>
            </w:pPr>
            <w:r>
              <w:rPr>
                <w:sz w:val="21"/>
              </w:rPr>
              <w:t>（3）视野半径小于 5 度。</w:t>
            </w:r>
          </w:p>
        </w:tc>
      </w:tr>
      <w:tr>
        <w:trPr>
          <w:trHeight w:val="1248" w:hRule="atLeast"/>
        </w:trPr>
        <w:tc>
          <w:tcPr>
            <w:tcW w:w="1023" w:type="dxa"/>
          </w:tcPr>
          <w:p>
            <w:pPr>
              <w:pStyle w:val="TableParagraph"/>
              <w:spacing w:before="128"/>
              <w:ind w:right="187"/>
              <w:jc w:val="right"/>
              <w:rPr>
                <w:i/>
                <w:sz w:val="22"/>
              </w:rPr>
            </w:pPr>
            <w:r>
              <w:rPr>
                <w:i/>
                <w:w w:val="95"/>
                <w:sz w:val="22"/>
              </w:rPr>
              <w:t>3.2.15</w:t>
            </w:r>
          </w:p>
        </w:tc>
        <w:tc>
          <w:tcPr>
            <w:tcW w:w="1618" w:type="dxa"/>
          </w:tcPr>
          <w:p>
            <w:pPr>
              <w:pStyle w:val="TableParagraph"/>
              <w:spacing w:before="128"/>
              <w:ind w:left="190"/>
              <w:rPr>
                <w:i/>
                <w:sz w:val="22"/>
              </w:rPr>
            </w:pPr>
            <w:r>
              <w:rPr>
                <w:i/>
                <w:w w:val="95"/>
                <w:sz w:val="22"/>
              </w:rPr>
              <w:t>瘫痪</w:t>
            </w:r>
          </w:p>
        </w:tc>
        <w:tc>
          <w:tcPr>
            <w:tcW w:w="7727" w:type="dxa"/>
          </w:tcPr>
          <w:p>
            <w:pPr>
              <w:pStyle w:val="TableParagraph"/>
              <w:spacing w:line="273" w:lineRule="auto" w:before="140"/>
              <w:ind w:left="108" w:right="300"/>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624" w:hRule="atLeast"/>
        </w:trPr>
        <w:tc>
          <w:tcPr>
            <w:tcW w:w="1023" w:type="dxa"/>
          </w:tcPr>
          <w:p>
            <w:pPr>
              <w:pStyle w:val="TableParagraph"/>
              <w:spacing w:before="128"/>
              <w:ind w:right="187"/>
              <w:jc w:val="right"/>
              <w:rPr>
                <w:i/>
                <w:sz w:val="22"/>
              </w:rPr>
            </w:pPr>
            <w:r>
              <w:rPr>
                <w:i/>
                <w:w w:val="95"/>
                <w:sz w:val="22"/>
              </w:rPr>
              <w:t>3.2.16</w:t>
            </w:r>
          </w:p>
        </w:tc>
        <w:tc>
          <w:tcPr>
            <w:tcW w:w="1618" w:type="dxa"/>
          </w:tcPr>
          <w:p>
            <w:pPr>
              <w:pStyle w:val="TableParagraph"/>
              <w:spacing w:before="128"/>
              <w:ind w:left="190"/>
              <w:rPr>
                <w:i/>
                <w:sz w:val="22"/>
              </w:rPr>
            </w:pPr>
            <w:r>
              <w:rPr>
                <w:i/>
                <w:w w:val="95"/>
                <w:sz w:val="22"/>
              </w:rPr>
              <w:t>心脏瓣膜手术</w:t>
            </w:r>
          </w:p>
        </w:tc>
        <w:tc>
          <w:tcPr>
            <w:tcW w:w="7727" w:type="dxa"/>
          </w:tcPr>
          <w:p>
            <w:pPr>
              <w:pStyle w:val="TableParagraph"/>
              <w:spacing w:before="140"/>
              <w:ind w:left="108"/>
              <w:rPr>
                <w:sz w:val="21"/>
              </w:rPr>
            </w:pPr>
            <w:r>
              <w:rPr>
                <w:sz w:val="21"/>
              </w:rPr>
              <w:t>指为治疗心脏瓣膜疾病，实际实施了开胸进行的心脏瓣膜置换或修复的手术。</w:t>
            </w:r>
          </w:p>
        </w:tc>
      </w:tr>
      <w:tr>
        <w:trPr>
          <w:trHeight w:val="2183" w:hRule="atLeast"/>
        </w:trPr>
        <w:tc>
          <w:tcPr>
            <w:tcW w:w="1023" w:type="dxa"/>
          </w:tcPr>
          <w:p>
            <w:pPr>
              <w:pStyle w:val="TableParagraph"/>
              <w:spacing w:before="128"/>
              <w:ind w:right="187"/>
              <w:jc w:val="right"/>
              <w:rPr>
                <w:i/>
                <w:sz w:val="22"/>
              </w:rPr>
            </w:pPr>
            <w:r>
              <w:rPr>
                <w:i/>
                <w:w w:val="95"/>
                <w:sz w:val="22"/>
              </w:rPr>
              <w:t>3.2.17</w:t>
            </w:r>
          </w:p>
        </w:tc>
        <w:tc>
          <w:tcPr>
            <w:tcW w:w="1618" w:type="dxa"/>
          </w:tcPr>
          <w:p>
            <w:pPr>
              <w:pStyle w:val="TableParagraph"/>
              <w:spacing w:line="259" w:lineRule="auto" w:before="128"/>
              <w:ind w:left="190" w:right="163"/>
              <w:rPr>
                <w:i/>
                <w:sz w:val="22"/>
              </w:rPr>
            </w:pPr>
            <w:r>
              <w:rPr>
                <w:i/>
                <w:w w:val="95"/>
                <w:sz w:val="22"/>
              </w:rPr>
              <w:t>严重阿尔茨海默病</w:t>
            </w:r>
          </w:p>
        </w:tc>
        <w:tc>
          <w:tcPr>
            <w:tcW w:w="7727" w:type="dxa"/>
          </w:tcPr>
          <w:p>
            <w:pPr>
              <w:pStyle w:val="TableParagraph"/>
              <w:spacing w:line="273" w:lineRule="auto" w:before="139"/>
              <w:ind w:left="108" w:right="297"/>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w w:val="100"/>
                <w:sz w:val="21"/>
              </w:rPr>
              <w:t>I)</w:t>
            </w:r>
            <w:r>
              <w:rPr>
                <w:sz w:val="21"/>
              </w:rPr>
              <w:t> </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7"/>
                <w:sz w:val="21"/>
              </w:rPr>
              <w:t>影像学检查证实，且自主生活能力完全丧失，无法独立完成六项基本日常生活活</w:t>
            </w:r>
            <w:r>
              <w:rPr>
                <w:spacing w:val="-5"/>
                <w:sz w:val="21"/>
              </w:rPr>
              <w:t>动中的三项或三项以上。</w:t>
            </w:r>
          </w:p>
          <w:p>
            <w:pPr>
              <w:pStyle w:val="TableParagraph"/>
              <w:spacing w:before="7"/>
              <w:ind w:left="108"/>
              <w:jc w:val="both"/>
              <w:rPr>
                <w:b/>
                <w:sz w:val="21"/>
              </w:rPr>
            </w:pPr>
            <w:r>
              <w:rPr>
                <w:b/>
                <w:sz w:val="21"/>
              </w:rPr>
              <w:t>神经官能症和精神疾病不在保障范围内。</w:t>
            </w:r>
          </w:p>
        </w:tc>
      </w:tr>
      <w:tr>
        <w:trPr>
          <w:trHeight w:val="2808" w:hRule="atLeast"/>
        </w:trPr>
        <w:tc>
          <w:tcPr>
            <w:tcW w:w="1023" w:type="dxa"/>
          </w:tcPr>
          <w:p>
            <w:pPr>
              <w:pStyle w:val="TableParagraph"/>
              <w:spacing w:before="128"/>
              <w:ind w:right="187"/>
              <w:jc w:val="right"/>
              <w:rPr>
                <w:i/>
                <w:sz w:val="22"/>
              </w:rPr>
            </w:pPr>
            <w:r>
              <w:rPr>
                <w:i/>
                <w:w w:val="95"/>
                <w:sz w:val="22"/>
              </w:rPr>
              <w:t>3.2.18</w:t>
            </w:r>
          </w:p>
        </w:tc>
        <w:tc>
          <w:tcPr>
            <w:tcW w:w="1618" w:type="dxa"/>
          </w:tcPr>
          <w:p>
            <w:pPr>
              <w:pStyle w:val="TableParagraph"/>
              <w:spacing w:before="128"/>
              <w:ind w:left="190"/>
              <w:rPr>
                <w:i/>
                <w:sz w:val="22"/>
              </w:rPr>
            </w:pPr>
            <w:r>
              <w:rPr>
                <w:i/>
                <w:w w:val="95"/>
                <w:sz w:val="22"/>
              </w:rPr>
              <w:t>严重脑损伤</w:t>
            </w:r>
          </w:p>
        </w:tc>
        <w:tc>
          <w:tcPr>
            <w:tcW w:w="7727" w:type="dxa"/>
          </w:tcPr>
          <w:p>
            <w:pPr>
              <w:pStyle w:val="TableParagraph"/>
              <w:spacing w:line="273" w:lineRule="auto" w:before="140"/>
              <w:ind w:left="108" w:right="196"/>
              <w:rPr>
                <w:sz w:val="21"/>
              </w:rPr>
            </w:pPr>
            <w:r>
              <w:rPr>
                <w:spacing w:val="-6"/>
                <w:sz w:val="21"/>
              </w:rPr>
              <w:t>指因头部遭受机械性外力，引起脑重要部位损伤，导致神经系统永久性的功能障</w:t>
            </w:r>
            <w:r>
              <w:rPr>
                <w:spacing w:val="-15"/>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（P</w:t>
            </w:r>
            <w:r>
              <w:rPr>
                <w:spacing w:val="-3"/>
                <w:w w:val="100"/>
                <w:sz w:val="21"/>
              </w:rPr>
              <w:t>ET</w:t>
            </w:r>
            <w:r>
              <w:rPr>
                <w:w w:val="100"/>
                <w:sz w:val="21"/>
              </w:rPr>
              <w:t>）</w:t>
            </w:r>
            <w:r>
              <w:rPr>
                <w:spacing w:val="-11"/>
                <w:sz w:val="21"/>
              </w:rPr>
              <w:t>等影像学检查证实。神经系统永久性的功能障碍，指脑损伤 </w:t>
            </w:r>
            <w:r>
              <w:rPr>
                <w:sz w:val="21"/>
              </w:rPr>
              <w:t>180</w:t>
            </w:r>
            <w:r>
              <w:rPr>
                <w:spacing w:val="-6"/>
                <w:sz w:val="21"/>
              </w:rPr>
              <w:t> 天后，仍遗留下</w:t>
            </w:r>
            <w:r>
              <w:rPr>
                <w:spacing w:val="-4"/>
                <w:sz w:val="21"/>
              </w:rPr>
              <w:t>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367"/>
              <w:rPr>
                <w:sz w:val="21"/>
              </w:rPr>
            </w:pPr>
            <w:r>
              <w:rPr>
                <w:sz w:val="21"/>
              </w:rPr>
              <w:t>（3）自主生活能力完全丧失，无法独立完成六项基本日常生活活动中的三项或三项以上。</w:t>
            </w:r>
          </w:p>
        </w:tc>
      </w:tr>
      <w:tr>
        <w:trPr>
          <w:trHeight w:val="2184" w:hRule="atLeast"/>
        </w:trPr>
        <w:tc>
          <w:tcPr>
            <w:tcW w:w="1023" w:type="dxa"/>
          </w:tcPr>
          <w:p>
            <w:pPr>
              <w:pStyle w:val="TableParagraph"/>
              <w:spacing w:before="129"/>
              <w:ind w:right="187"/>
              <w:jc w:val="right"/>
              <w:rPr>
                <w:i/>
                <w:sz w:val="22"/>
              </w:rPr>
            </w:pPr>
            <w:r>
              <w:rPr>
                <w:i/>
                <w:w w:val="95"/>
                <w:sz w:val="22"/>
              </w:rPr>
              <w:t>3.2.19</w:t>
            </w:r>
          </w:p>
        </w:tc>
        <w:tc>
          <w:tcPr>
            <w:tcW w:w="1618" w:type="dxa"/>
          </w:tcPr>
          <w:p>
            <w:pPr>
              <w:pStyle w:val="TableParagraph"/>
              <w:spacing w:before="129"/>
              <w:ind w:left="190"/>
              <w:rPr>
                <w:i/>
                <w:sz w:val="22"/>
              </w:rPr>
            </w:pPr>
            <w:r>
              <w:rPr>
                <w:i/>
                <w:w w:val="95"/>
                <w:sz w:val="22"/>
              </w:rPr>
              <w:t>严重帕金森病</w:t>
            </w:r>
          </w:p>
        </w:tc>
        <w:tc>
          <w:tcPr>
            <w:tcW w:w="7727" w:type="dxa"/>
          </w:tcPr>
          <w:p>
            <w:pPr>
              <w:pStyle w:val="TableParagraph"/>
              <w:spacing w:line="273" w:lineRule="auto" w:before="140"/>
              <w:ind w:left="108" w:right="300"/>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8"/>
              <w:rPr>
                <w:sz w:val="21"/>
              </w:rPr>
            </w:pPr>
            <w:r>
              <w:rPr>
                <w:sz w:val="21"/>
              </w:rPr>
              <w:t>（1）药物治疗无法控制病情；</w:t>
            </w:r>
          </w:p>
          <w:p>
            <w:pPr>
              <w:pStyle w:val="TableParagraph"/>
              <w:spacing w:line="273" w:lineRule="auto" w:before="37"/>
              <w:ind w:left="108" w:right="367"/>
              <w:rPr>
                <w:sz w:val="21"/>
              </w:rPr>
            </w:pPr>
            <w:r>
              <w:rPr>
                <w:sz w:val="21"/>
              </w:rPr>
              <w:t>（2）自主生活能力完全丧失，无法独立完成六项基本日常生活活动中的三项或三项以上。</w:t>
            </w:r>
          </w:p>
          <w:p>
            <w:pPr>
              <w:pStyle w:val="TableParagraph"/>
              <w:spacing w:before="7"/>
              <w:ind w:left="108"/>
              <w:rPr>
                <w:b/>
                <w:sz w:val="21"/>
              </w:rPr>
            </w:pPr>
            <w:r>
              <w:rPr>
                <w:b/>
                <w:sz w:val="21"/>
              </w:rPr>
              <w:t>继发性帕金森综合征不在保障范围内。</w:t>
            </w:r>
          </w:p>
        </w:tc>
      </w:tr>
      <w:tr>
        <w:trPr>
          <w:trHeight w:val="936" w:hRule="atLeast"/>
        </w:trPr>
        <w:tc>
          <w:tcPr>
            <w:tcW w:w="1023" w:type="dxa"/>
          </w:tcPr>
          <w:p>
            <w:pPr>
              <w:pStyle w:val="TableParagraph"/>
              <w:spacing w:before="128"/>
              <w:ind w:right="187"/>
              <w:jc w:val="right"/>
              <w:rPr>
                <w:i/>
                <w:sz w:val="22"/>
              </w:rPr>
            </w:pPr>
            <w:r>
              <w:rPr>
                <w:i/>
                <w:w w:val="95"/>
                <w:sz w:val="22"/>
              </w:rPr>
              <w:t>3.2.20</w:t>
            </w:r>
          </w:p>
        </w:tc>
        <w:tc>
          <w:tcPr>
            <w:tcW w:w="1618" w:type="dxa"/>
          </w:tcPr>
          <w:p>
            <w:pPr>
              <w:pStyle w:val="TableParagraph"/>
              <w:spacing w:before="128"/>
              <w:ind w:left="190"/>
              <w:rPr>
                <w:i/>
                <w:sz w:val="22"/>
              </w:rPr>
            </w:pPr>
            <w:r>
              <w:rPr>
                <w:i/>
                <w:w w:val="95"/>
                <w:sz w:val="22"/>
              </w:rPr>
              <w:t>严重Ⅲ度烧伤</w:t>
            </w:r>
          </w:p>
        </w:tc>
        <w:tc>
          <w:tcPr>
            <w:tcW w:w="7727" w:type="dxa"/>
          </w:tcPr>
          <w:p>
            <w:pPr>
              <w:pStyle w:val="TableParagraph"/>
              <w:spacing w:line="273" w:lineRule="auto" w:before="140"/>
              <w:ind w:left="108" w:right="243"/>
              <w:rPr>
                <w:sz w:val="21"/>
              </w:rPr>
            </w:pPr>
            <w:r>
              <w:rPr>
                <w:sz w:val="21"/>
              </w:rPr>
              <w:t>指烧伤程度为Ⅲ度，且Ⅲ度烧伤面积达到全身体表面积的 20％或 20％以上。体表面积根据 《中国新九分法》计算。</w:t>
            </w:r>
          </w:p>
        </w:tc>
      </w:tr>
      <w:tr>
        <w:trPr>
          <w:trHeight w:val="1248" w:hRule="atLeast"/>
        </w:trPr>
        <w:tc>
          <w:tcPr>
            <w:tcW w:w="1023" w:type="dxa"/>
          </w:tcPr>
          <w:p>
            <w:pPr>
              <w:pStyle w:val="TableParagraph"/>
              <w:spacing w:before="128"/>
              <w:ind w:right="187"/>
              <w:jc w:val="right"/>
              <w:rPr>
                <w:i/>
                <w:sz w:val="22"/>
              </w:rPr>
            </w:pPr>
            <w:r>
              <w:rPr>
                <w:i/>
                <w:w w:val="95"/>
                <w:sz w:val="22"/>
              </w:rPr>
              <w:t>3.2.21</w:t>
            </w:r>
          </w:p>
        </w:tc>
        <w:tc>
          <w:tcPr>
            <w:tcW w:w="1618" w:type="dxa"/>
          </w:tcPr>
          <w:p>
            <w:pPr>
              <w:pStyle w:val="TableParagraph"/>
              <w:spacing w:line="259" w:lineRule="auto" w:before="128"/>
              <w:ind w:left="190" w:right="104"/>
              <w:rPr>
                <w:i/>
                <w:sz w:val="22"/>
              </w:rPr>
            </w:pPr>
            <w:r>
              <w:rPr>
                <w:i/>
                <w:w w:val="95"/>
                <w:sz w:val="22"/>
              </w:rPr>
              <w:t>严重原发性肺动脉高压</w:t>
            </w:r>
          </w:p>
        </w:tc>
        <w:tc>
          <w:tcPr>
            <w:tcW w:w="7727" w:type="dxa"/>
          </w:tcPr>
          <w:p>
            <w:pPr>
              <w:pStyle w:val="TableParagraph"/>
              <w:spacing w:line="273" w:lineRule="auto" w:before="140"/>
              <w:ind w:left="108"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251" w:hRule="atLeast"/>
        </w:trPr>
        <w:tc>
          <w:tcPr>
            <w:tcW w:w="1023" w:type="dxa"/>
          </w:tcPr>
          <w:p>
            <w:pPr>
              <w:pStyle w:val="TableParagraph"/>
              <w:spacing w:before="128"/>
              <w:ind w:right="187"/>
              <w:jc w:val="right"/>
              <w:rPr>
                <w:i/>
                <w:sz w:val="22"/>
              </w:rPr>
            </w:pPr>
            <w:r>
              <w:rPr>
                <w:i/>
                <w:w w:val="95"/>
                <w:sz w:val="22"/>
              </w:rPr>
              <w:t>3.2.22</w:t>
            </w:r>
          </w:p>
        </w:tc>
        <w:tc>
          <w:tcPr>
            <w:tcW w:w="1618" w:type="dxa"/>
          </w:tcPr>
          <w:p>
            <w:pPr>
              <w:pStyle w:val="TableParagraph"/>
              <w:spacing w:line="259" w:lineRule="auto" w:before="128"/>
              <w:ind w:left="190" w:right="104"/>
              <w:rPr>
                <w:i/>
                <w:sz w:val="22"/>
              </w:rPr>
            </w:pPr>
            <w:r>
              <w:rPr>
                <w:i/>
                <w:w w:val="95"/>
                <w:sz w:val="22"/>
              </w:rPr>
              <w:t>严重运动神经元病</w:t>
            </w:r>
          </w:p>
        </w:tc>
        <w:tc>
          <w:tcPr>
            <w:tcW w:w="7727" w:type="dxa"/>
          </w:tcPr>
          <w:p>
            <w:pPr>
              <w:pStyle w:val="TableParagraph"/>
              <w:spacing w:line="273" w:lineRule="auto" w:before="140"/>
              <w:ind w:left="108" w:right="263"/>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427" w:hRule="atLeast"/>
        </w:trPr>
        <w:tc>
          <w:tcPr>
            <w:tcW w:w="1023" w:type="dxa"/>
          </w:tcPr>
          <w:p>
            <w:pPr>
              <w:pStyle w:val="TableParagraph"/>
              <w:spacing w:line="275" w:lineRule="exact" w:before="132"/>
              <w:ind w:right="187"/>
              <w:jc w:val="right"/>
              <w:rPr>
                <w:i/>
                <w:sz w:val="22"/>
              </w:rPr>
            </w:pPr>
            <w:r>
              <w:rPr>
                <w:i/>
                <w:w w:val="95"/>
                <w:sz w:val="22"/>
              </w:rPr>
              <w:t>3.2.23</w:t>
            </w:r>
          </w:p>
        </w:tc>
        <w:tc>
          <w:tcPr>
            <w:tcW w:w="1618" w:type="dxa"/>
          </w:tcPr>
          <w:p>
            <w:pPr>
              <w:pStyle w:val="TableParagraph"/>
              <w:spacing w:line="275" w:lineRule="exact" w:before="132"/>
              <w:ind w:left="190"/>
              <w:rPr>
                <w:i/>
                <w:sz w:val="22"/>
              </w:rPr>
            </w:pPr>
            <w:r>
              <w:rPr>
                <w:i/>
                <w:w w:val="95"/>
                <w:sz w:val="22"/>
              </w:rPr>
              <w:t>语言能力丧失</w:t>
            </w:r>
          </w:p>
        </w:tc>
        <w:tc>
          <w:tcPr>
            <w:tcW w:w="7727" w:type="dxa"/>
          </w:tcPr>
          <w:p>
            <w:pPr>
              <w:pStyle w:val="TableParagraph"/>
              <w:spacing w:line="264" w:lineRule="exact" w:before="144"/>
              <w:ind w:left="108"/>
              <w:rPr>
                <w:sz w:val="21"/>
              </w:rPr>
            </w:pPr>
            <w:r>
              <w:rPr>
                <w:sz w:val="21"/>
              </w:rPr>
              <w:t>指因疾病或意外伤害导致完全丧失语言能力，经过积极治疗至少 12 个月（声带</w:t>
            </w:r>
          </w:p>
        </w:tc>
      </w:tr>
    </w:tbl>
    <w:p>
      <w:pPr>
        <w:spacing w:after="0" w:line="264" w:lineRule="exact"/>
        <w:rPr>
          <w:sz w:val="21"/>
        </w:rPr>
        <w:sectPr>
          <w:pgSz w:w="11910" w:h="16840"/>
          <w:pgMar w:header="0" w:footer="922" w:top="148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662"/>
      </w:tblGrid>
      <w:tr>
        <w:trPr>
          <w:trHeight w:val="728" w:hRule="atLeast"/>
        </w:trPr>
        <w:tc>
          <w:tcPr>
            <w:tcW w:w="1023" w:type="dxa"/>
          </w:tcPr>
          <w:p>
            <w:pPr>
              <w:pStyle w:val="TableParagraph"/>
              <w:rPr>
                <w:rFonts w:ascii="Times New Roman"/>
                <w:sz w:val="20"/>
              </w:rPr>
            </w:pPr>
          </w:p>
        </w:tc>
        <w:tc>
          <w:tcPr>
            <w:tcW w:w="1618" w:type="dxa"/>
          </w:tcPr>
          <w:p>
            <w:pPr>
              <w:pStyle w:val="TableParagraph"/>
              <w:rPr>
                <w:rFonts w:ascii="Times New Roman"/>
                <w:sz w:val="20"/>
              </w:rPr>
            </w:pPr>
          </w:p>
        </w:tc>
        <w:tc>
          <w:tcPr>
            <w:tcW w:w="7662" w:type="dxa"/>
          </w:tcPr>
          <w:p>
            <w:pPr>
              <w:pStyle w:val="TableParagraph"/>
              <w:spacing w:line="204" w:lineRule="exact"/>
              <w:ind w:left="108"/>
              <w:rPr>
                <w:sz w:val="21"/>
              </w:rPr>
            </w:pP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37"/>
              <w:ind w:left="108"/>
              <w:rPr>
                <w:sz w:val="21"/>
              </w:rPr>
            </w:pPr>
            <w:r>
              <w:rPr>
                <w:sz w:val="21"/>
              </w:rPr>
              <w:t>精神心理因素所致的语言能力丧失不在保障范围内。</w:t>
            </w:r>
          </w:p>
        </w:tc>
      </w:tr>
      <w:tr>
        <w:trPr>
          <w:trHeight w:val="2504" w:hRule="atLeast"/>
        </w:trPr>
        <w:tc>
          <w:tcPr>
            <w:tcW w:w="1023" w:type="dxa"/>
          </w:tcPr>
          <w:p>
            <w:pPr>
              <w:pStyle w:val="TableParagraph"/>
              <w:spacing w:before="132"/>
              <w:ind w:right="187"/>
              <w:jc w:val="right"/>
              <w:rPr>
                <w:i/>
                <w:sz w:val="22"/>
              </w:rPr>
            </w:pPr>
            <w:r>
              <w:rPr>
                <w:i/>
                <w:w w:val="95"/>
                <w:sz w:val="22"/>
              </w:rPr>
              <w:t>3.2.24</w:t>
            </w:r>
          </w:p>
        </w:tc>
        <w:tc>
          <w:tcPr>
            <w:tcW w:w="1618" w:type="dxa"/>
          </w:tcPr>
          <w:p>
            <w:pPr>
              <w:pStyle w:val="TableParagraph"/>
              <w:spacing w:line="259" w:lineRule="auto" w:before="132"/>
              <w:ind w:left="190" w:right="104"/>
              <w:rPr>
                <w:i/>
                <w:sz w:val="22"/>
              </w:rPr>
            </w:pPr>
            <w:r>
              <w:rPr>
                <w:i/>
                <w:w w:val="95"/>
                <w:sz w:val="22"/>
              </w:rPr>
              <w:t>重型再生障碍性贫血</w:t>
            </w:r>
          </w:p>
        </w:tc>
        <w:tc>
          <w:tcPr>
            <w:tcW w:w="7662" w:type="dxa"/>
          </w:tcPr>
          <w:p>
            <w:pPr>
              <w:pStyle w:val="TableParagraph"/>
              <w:spacing w:line="273" w:lineRule="auto" w:before="144"/>
              <w:ind w:left="108" w:right="196"/>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6"/>
              <w:ind w:left="108"/>
              <w:rPr>
                <w:sz w:val="21"/>
              </w:rPr>
            </w:pPr>
            <w:r>
              <w:rPr>
                <w:sz w:val="21"/>
              </w:rPr>
              <w:t>（2）外周血象须具备所有三项条件：</w:t>
            </w:r>
          </w:p>
          <w:p>
            <w:pPr>
              <w:pStyle w:val="TableParagraph"/>
              <w:spacing w:before="36"/>
              <w:ind w:left="528"/>
              <w:rPr>
                <w:sz w:val="21"/>
              </w:rPr>
            </w:pPr>
            <w:r>
              <w:rPr>
                <w:sz w:val="21"/>
              </w:rPr>
              <w:t>① 中性粒细胞绝对值≤0.5×10</w:t>
            </w:r>
            <w:r>
              <w:rPr>
                <w:b/>
                <w:position w:val="11"/>
                <w:sz w:val="11"/>
              </w:rPr>
              <w:t>9</w:t>
            </w:r>
            <w:r>
              <w:rPr>
                <w:sz w:val="21"/>
              </w:rPr>
              <w:t>/L ；</w:t>
            </w:r>
          </w:p>
          <w:p>
            <w:pPr>
              <w:pStyle w:val="TableParagraph"/>
              <w:spacing w:before="36"/>
              <w:ind w:left="528"/>
              <w:rPr>
                <w:sz w:val="21"/>
              </w:rPr>
            </w:pPr>
            <w:r>
              <w:rPr>
                <w:sz w:val="21"/>
              </w:rPr>
              <w:t>② 网织红细胞＜1%；</w:t>
            </w:r>
          </w:p>
          <w:p>
            <w:pPr>
              <w:pStyle w:val="TableParagraph"/>
              <w:spacing w:before="36"/>
              <w:ind w:left="528"/>
              <w:rPr>
                <w:sz w:val="21"/>
              </w:rPr>
            </w:pPr>
            <w:r>
              <w:rPr>
                <w:sz w:val="21"/>
              </w:rPr>
              <w:t>③ 血小板绝对值≤20×10</w:t>
            </w:r>
            <w:r>
              <w:rPr>
                <w:b/>
                <w:position w:val="11"/>
                <w:sz w:val="11"/>
              </w:rPr>
              <w:t>9</w:t>
            </w:r>
            <w:r>
              <w:rPr>
                <w:sz w:val="21"/>
              </w:rPr>
              <w:t>/L。</w:t>
            </w:r>
          </w:p>
        </w:tc>
      </w:tr>
      <w:tr>
        <w:trPr>
          <w:trHeight w:val="1569" w:hRule="atLeast"/>
        </w:trPr>
        <w:tc>
          <w:tcPr>
            <w:tcW w:w="1023" w:type="dxa"/>
          </w:tcPr>
          <w:p>
            <w:pPr>
              <w:pStyle w:val="TableParagraph"/>
              <w:spacing w:before="133"/>
              <w:ind w:right="187"/>
              <w:jc w:val="right"/>
              <w:rPr>
                <w:i/>
                <w:sz w:val="22"/>
              </w:rPr>
            </w:pPr>
            <w:r>
              <w:rPr>
                <w:i/>
                <w:w w:val="95"/>
                <w:sz w:val="22"/>
              </w:rPr>
              <w:t>3.2.25</w:t>
            </w:r>
          </w:p>
        </w:tc>
        <w:tc>
          <w:tcPr>
            <w:tcW w:w="1618" w:type="dxa"/>
          </w:tcPr>
          <w:p>
            <w:pPr>
              <w:pStyle w:val="TableParagraph"/>
              <w:spacing w:before="133"/>
              <w:ind w:left="190"/>
              <w:rPr>
                <w:i/>
                <w:sz w:val="22"/>
              </w:rPr>
            </w:pPr>
            <w:r>
              <w:rPr>
                <w:i/>
                <w:w w:val="95"/>
                <w:sz w:val="22"/>
              </w:rPr>
              <w:t>主动脉手术</w:t>
            </w:r>
          </w:p>
        </w:tc>
        <w:tc>
          <w:tcPr>
            <w:tcW w:w="7662" w:type="dxa"/>
          </w:tcPr>
          <w:p>
            <w:pPr>
              <w:pStyle w:val="TableParagraph"/>
              <w:spacing w:line="273" w:lineRule="auto" w:before="145"/>
              <w:ind w:left="108" w:right="235"/>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before="7"/>
              <w:ind w:left="108"/>
              <w:jc w:val="both"/>
              <w:rPr>
                <w:b/>
                <w:sz w:val="21"/>
              </w:rPr>
            </w:pPr>
            <w:r>
              <w:rPr>
                <w:b/>
                <w:sz w:val="21"/>
              </w:rPr>
              <w:t>动脉内血管成形术不在保障范围内。</w:t>
            </w:r>
          </w:p>
        </w:tc>
      </w:tr>
      <w:tr>
        <w:trPr>
          <w:trHeight w:val="2195" w:hRule="atLeast"/>
        </w:trPr>
        <w:tc>
          <w:tcPr>
            <w:tcW w:w="1023" w:type="dxa"/>
          </w:tcPr>
          <w:p>
            <w:pPr>
              <w:pStyle w:val="TableParagraph"/>
              <w:spacing w:before="132"/>
              <w:ind w:right="187"/>
              <w:jc w:val="right"/>
              <w:rPr>
                <w:i/>
                <w:sz w:val="22"/>
              </w:rPr>
            </w:pPr>
            <w:r>
              <w:rPr>
                <w:i/>
                <w:w w:val="95"/>
                <w:sz w:val="22"/>
              </w:rPr>
              <w:t>3.2.26</w:t>
            </w:r>
          </w:p>
        </w:tc>
        <w:tc>
          <w:tcPr>
            <w:tcW w:w="1618" w:type="dxa"/>
          </w:tcPr>
          <w:p>
            <w:pPr>
              <w:pStyle w:val="TableParagraph"/>
              <w:spacing w:line="259" w:lineRule="auto" w:before="132"/>
              <w:ind w:left="190" w:right="104"/>
              <w:rPr>
                <w:i/>
                <w:sz w:val="22"/>
              </w:rPr>
            </w:pPr>
            <w:r>
              <w:rPr>
                <w:i/>
                <w:w w:val="95"/>
                <w:sz w:val="22"/>
              </w:rPr>
              <w:t>慢性呼吸功能衰竭</w:t>
            </w:r>
          </w:p>
        </w:tc>
        <w:tc>
          <w:tcPr>
            <w:tcW w:w="7662" w:type="dxa"/>
          </w:tcPr>
          <w:p>
            <w:pPr>
              <w:pStyle w:val="TableParagraph"/>
              <w:spacing w:line="273" w:lineRule="auto" w:before="144"/>
              <w:ind w:left="108" w:right="187"/>
              <w:rPr>
                <w:sz w:val="21"/>
              </w:rPr>
            </w:pPr>
            <w:r>
              <w:rPr>
                <w:sz w:val="21"/>
              </w:rPr>
              <w:t>慢性肺部疾病导致永久不可逆性的慢性呼吸功能衰竭。慢性呼吸功能衰竭必须明确诊断并满足下列全部条件：</w:t>
            </w:r>
          </w:p>
          <w:p>
            <w:pPr>
              <w:pStyle w:val="TableParagraph"/>
              <w:spacing w:before="7"/>
              <w:ind w:left="108"/>
              <w:rPr>
                <w:sz w:val="21"/>
              </w:rPr>
            </w:pPr>
            <w:r>
              <w:rPr>
                <w:sz w:val="21"/>
              </w:rPr>
              <w:t>（1）休息时出现呼吸困难；</w:t>
            </w:r>
          </w:p>
          <w:p>
            <w:pPr>
              <w:pStyle w:val="TableParagraph"/>
              <w:spacing w:before="36"/>
              <w:ind w:left="108"/>
              <w:rPr>
                <w:sz w:val="21"/>
              </w:rPr>
            </w:pPr>
            <w:r>
              <w:rPr>
                <w:sz w:val="21"/>
              </w:rPr>
              <w:t>（2）动脉血氧分压 （PaO 2 ）&lt; 50mmHg；</w:t>
            </w:r>
          </w:p>
          <w:p>
            <w:pPr>
              <w:pStyle w:val="TableParagraph"/>
              <w:spacing w:before="36"/>
              <w:ind w:left="108"/>
              <w:rPr>
                <w:sz w:val="21"/>
              </w:rPr>
            </w:pPr>
            <w:r>
              <w:rPr>
                <w:sz w:val="21"/>
              </w:rPr>
              <w:t>（3）动脉血氧饱和度 （SaO 2 ）&lt; 80％；</w:t>
            </w:r>
          </w:p>
          <w:p>
            <w:pPr>
              <w:pStyle w:val="TableParagraph"/>
              <w:spacing w:before="36"/>
              <w:ind w:left="108"/>
              <w:rPr>
                <w:sz w:val="21"/>
              </w:rPr>
            </w:pPr>
            <w:r>
              <w:rPr>
                <w:sz w:val="21"/>
              </w:rPr>
              <w:t>（</w:t>
            </w:r>
            <w:r>
              <w:rPr>
                <w:rFonts w:ascii="Times New Roman" w:eastAsia="Times New Roman"/>
                <w:sz w:val="21"/>
              </w:rPr>
              <w:t>4</w:t>
            </w:r>
            <w:r>
              <w:rPr>
                <w:sz w:val="21"/>
              </w:rPr>
              <w:t>）因缺氧必须接受持续的输氧治疗。</w:t>
            </w:r>
          </w:p>
        </w:tc>
      </w:tr>
      <w:tr>
        <w:trPr>
          <w:trHeight w:val="1876" w:hRule="atLeast"/>
        </w:trPr>
        <w:tc>
          <w:tcPr>
            <w:tcW w:w="1023" w:type="dxa"/>
          </w:tcPr>
          <w:p>
            <w:pPr>
              <w:pStyle w:val="TableParagraph"/>
              <w:spacing w:before="120"/>
              <w:ind w:right="187"/>
              <w:jc w:val="right"/>
              <w:rPr>
                <w:i/>
                <w:sz w:val="22"/>
              </w:rPr>
            </w:pPr>
            <w:r>
              <w:rPr>
                <w:i/>
                <w:w w:val="95"/>
                <w:sz w:val="22"/>
              </w:rPr>
              <w:t>3.2.27</w:t>
            </w:r>
          </w:p>
        </w:tc>
        <w:tc>
          <w:tcPr>
            <w:tcW w:w="1618" w:type="dxa"/>
          </w:tcPr>
          <w:p>
            <w:pPr>
              <w:pStyle w:val="TableParagraph"/>
              <w:spacing w:line="259" w:lineRule="auto" w:before="120"/>
              <w:ind w:left="190" w:right="163"/>
              <w:rPr>
                <w:i/>
                <w:sz w:val="22"/>
              </w:rPr>
            </w:pPr>
            <w:r>
              <w:rPr>
                <w:i/>
                <w:w w:val="95"/>
                <w:sz w:val="22"/>
              </w:rPr>
              <w:t>严重多发性硬</w:t>
            </w:r>
            <w:r>
              <w:rPr>
                <w:i/>
                <w:sz w:val="22"/>
              </w:rPr>
              <w:t>化</w:t>
            </w:r>
          </w:p>
        </w:tc>
        <w:tc>
          <w:tcPr>
            <w:tcW w:w="7662" w:type="dxa"/>
          </w:tcPr>
          <w:p>
            <w:pPr>
              <w:pStyle w:val="TableParagraph"/>
              <w:spacing w:line="273" w:lineRule="auto" w:before="132"/>
              <w:ind w:left="108" w:right="235"/>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rFonts w:ascii="Times New Roman" w:eastAsia="Times New Roman"/>
                <w:sz w:val="21"/>
              </w:rPr>
              <w:t>180 </w:t>
            </w:r>
            <w:r>
              <w:rPr>
                <w:spacing w:val="-3"/>
                <w:sz w:val="21"/>
              </w:rPr>
              <w:t>天无法独立完成下列基本日常生活活动：</w:t>
            </w:r>
          </w:p>
          <w:p>
            <w:pPr>
              <w:pStyle w:val="TableParagraph"/>
              <w:spacing w:line="264" w:lineRule="exact"/>
              <w:ind w:left="108"/>
              <w:jc w:val="both"/>
              <w:rPr>
                <w:sz w:val="21"/>
              </w:rPr>
            </w:pPr>
            <w:r>
              <w:rPr>
                <w:sz w:val="21"/>
              </w:rPr>
              <w:t>（1）移动：自己从一个房间移动到另一个房间；或者</w:t>
            </w:r>
          </w:p>
          <w:p>
            <w:pPr>
              <w:pStyle w:val="TableParagraph"/>
              <w:spacing w:before="37"/>
              <w:ind w:left="108"/>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867" w:hRule="atLeast"/>
        </w:trPr>
        <w:tc>
          <w:tcPr>
            <w:tcW w:w="1023" w:type="dxa"/>
          </w:tcPr>
          <w:p>
            <w:pPr>
              <w:pStyle w:val="TableParagraph"/>
              <w:spacing w:before="124"/>
              <w:ind w:right="187"/>
              <w:jc w:val="right"/>
              <w:rPr>
                <w:i/>
                <w:sz w:val="22"/>
              </w:rPr>
            </w:pPr>
            <w:r>
              <w:rPr>
                <w:i/>
                <w:w w:val="95"/>
                <w:sz w:val="22"/>
              </w:rPr>
              <w:t>3.2.28</w:t>
            </w:r>
          </w:p>
        </w:tc>
        <w:tc>
          <w:tcPr>
            <w:tcW w:w="1618" w:type="dxa"/>
          </w:tcPr>
          <w:p>
            <w:pPr>
              <w:pStyle w:val="TableParagraph"/>
              <w:spacing w:before="124"/>
              <w:ind w:left="190"/>
              <w:rPr>
                <w:i/>
                <w:sz w:val="22"/>
              </w:rPr>
            </w:pPr>
            <w:r>
              <w:rPr>
                <w:i/>
                <w:w w:val="95"/>
                <w:sz w:val="22"/>
              </w:rPr>
              <w:t>脊髓灰质炎</w:t>
            </w:r>
          </w:p>
        </w:tc>
        <w:tc>
          <w:tcPr>
            <w:tcW w:w="7662" w:type="dxa"/>
          </w:tcPr>
          <w:p>
            <w:pPr>
              <w:pStyle w:val="TableParagraph"/>
              <w:spacing w:line="273" w:lineRule="auto" w:before="136"/>
              <w:ind w:left="108" w:right="235"/>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left="108" w:right="237"/>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z w:val="21"/>
              </w:rPr>
              <w:t>180 </w:t>
            </w:r>
            <w:r>
              <w:rPr>
                <w:spacing w:val="-3"/>
                <w:sz w:val="21"/>
              </w:rPr>
              <w:t>天后，每肢三大关节中的两大关节仍然完全僵硬，或不能随意识活动。</w:t>
            </w:r>
          </w:p>
        </w:tc>
      </w:tr>
      <w:tr>
        <w:trPr>
          <w:trHeight w:val="2184" w:hRule="atLeast"/>
        </w:trPr>
        <w:tc>
          <w:tcPr>
            <w:tcW w:w="1023" w:type="dxa"/>
          </w:tcPr>
          <w:p>
            <w:pPr>
              <w:pStyle w:val="TableParagraph"/>
              <w:spacing w:before="128"/>
              <w:ind w:right="187"/>
              <w:jc w:val="right"/>
              <w:rPr>
                <w:i/>
                <w:sz w:val="22"/>
              </w:rPr>
            </w:pPr>
            <w:r>
              <w:rPr>
                <w:i/>
                <w:w w:val="95"/>
                <w:sz w:val="22"/>
              </w:rPr>
              <w:t>3.2.29</w:t>
            </w:r>
          </w:p>
        </w:tc>
        <w:tc>
          <w:tcPr>
            <w:tcW w:w="1618" w:type="dxa"/>
          </w:tcPr>
          <w:p>
            <w:pPr>
              <w:pStyle w:val="TableParagraph"/>
              <w:spacing w:line="259" w:lineRule="auto" w:before="128"/>
              <w:ind w:left="190" w:right="163"/>
              <w:rPr>
                <w:i/>
                <w:sz w:val="22"/>
              </w:rPr>
            </w:pPr>
            <w:r>
              <w:rPr>
                <w:i/>
                <w:w w:val="95"/>
                <w:sz w:val="22"/>
              </w:rPr>
              <w:t>全身性重症肌无力</w:t>
            </w:r>
          </w:p>
        </w:tc>
        <w:tc>
          <w:tcPr>
            <w:tcW w:w="7662" w:type="dxa"/>
          </w:tcPr>
          <w:p>
            <w:pPr>
              <w:pStyle w:val="TableParagraph"/>
              <w:spacing w:before="140"/>
              <w:ind w:left="108"/>
              <w:rPr>
                <w:sz w:val="21"/>
              </w:rPr>
            </w:pPr>
            <w:r>
              <w:rPr>
                <w:sz w:val="21"/>
              </w:rPr>
              <w:t>重症肌无力是一种神经肌肉接头传递障碍所致的疾病，表现为局部或全身骨骼肌</w:t>
            </w:r>
          </w:p>
          <w:p>
            <w:pPr>
              <w:pStyle w:val="TableParagraph"/>
              <w:spacing w:line="273" w:lineRule="auto" w:before="36"/>
              <w:ind w:left="108" w:right="197"/>
              <w:rPr>
                <w:sz w:val="21"/>
              </w:rPr>
            </w:pPr>
            <w:r>
              <w:rPr>
                <w:sz w:val="21"/>
              </w:rPr>
              <w:t>（特别是眼外肌）极易疲劳。疾病可以累及呼吸肌、上肢或下肢的近端肌群或全身肌肉，必须满足下列全部条件：</w:t>
            </w:r>
          </w:p>
          <w:p>
            <w:pPr>
              <w:pStyle w:val="TableParagraph"/>
              <w:spacing w:before="7"/>
              <w:ind w:left="108"/>
              <w:rPr>
                <w:sz w:val="21"/>
              </w:rPr>
            </w:pPr>
            <w:r>
              <w:rPr>
                <w:sz w:val="21"/>
              </w:rPr>
              <w:t>（1）经药物治疗和胸腺切除治疗一年以上仍无法控制病情；</w:t>
            </w:r>
          </w:p>
          <w:p>
            <w:pPr>
              <w:pStyle w:val="TableParagraph"/>
              <w:spacing w:line="273" w:lineRule="auto" w:before="37"/>
              <w:ind w:left="108" w:right="243"/>
              <w:rPr>
                <w:sz w:val="21"/>
              </w:rPr>
            </w:pPr>
            <w:r>
              <w:rPr>
                <w:sz w:val="21"/>
              </w:rPr>
              <w:t>（2）自主生活能力完全丧失，无法独立完成六项基本日常生活活动中的三项或三项以上。</w:t>
            </w:r>
          </w:p>
        </w:tc>
      </w:tr>
      <w:tr>
        <w:trPr>
          <w:trHeight w:val="734" w:hRule="atLeast"/>
        </w:trPr>
        <w:tc>
          <w:tcPr>
            <w:tcW w:w="1023" w:type="dxa"/>
          </w:tcPr>
          <w:p>
            <w:pPr>
              <w:pStyle w:val="TableParagraph"/>
              <w:spacing w:before="128"/>
              <w:ind w:right="187"/>
              <w:jc w:val="right"/>
              <w:rPr>
                <w:i/>
                <w:sz w:val="22"/>
              </w:rPr>
            </w:pPr>
            <w:r>
              <w:rPr>
                <w:i/>
                <w:w w:val="95"/>
                <w:sz w:val="22"/>
              </w:rPr>
              <w:t>3.2.30</w:t>
            </w:r>
          </w:p>
        </w:tc>
        <w:tc>
          <w:tcPr>
            <w:tcW w:w="1618" w:type="dxa"/>
          </w:tcPr>
          <w:p>
            <w:pPr>
              <w:pStyle w:val="TableParagraph"/>
              <w:spacing w:before="128"/>
              <w:ind w:left="190"/>
              <w:rPr>
                <w:i/>
                <w:sz w:val="22"/>
              </w:rPr>
            </w:pPr>
            <w:r>
              <w:rPr>
                <w:i/>
                <w:w w:val="95"/>
                <w:sz w:val="22"/>
              </w:rPr>
              <w:t>严重冠心病</w:t>
            </w:r>
          </w:p>
        </w:tc>
        <w:tc>
          <w:tcPr>
            <w:tcW w:w="7662" w:type="dxa"/>
          </w:tcPr>
          <w:p>
            <w:pPr>
              <w:pStyle w:val="TableParagraph"/>
              <w:spacing w:line="310" w:lineRule="atLeast" w:before="105"/>
              <w:ind w:left="108" w:right="179"/>
              <w:rPr>
                <w:sz w:val="21"/>
              </w:rPr>
            </w:pPr>
            <w:r>
              <w:rPr>
                <w:sz w:val="21"/>
              </w:rPr>
              <w:t>指经根据冠状动脉造影检查结果明确诊断为三支主要血管（左冠状动脉主干和右冠状动脉，或前降支、左旋支和右冠状动脉）严重狭窄性病变（至少一支血管管</w:t>
            </w:r>
          </w:p>
        </w:tc>
      </w:tr>
    </w:tbl>
    <w:p>
      <w:pPr>
        <w:spacing w:after="0" w:line="310" w:lineRule="atLeast"/>
        <w:rPr>
          <w:sz w:val="21"/>
        </w:rPr>
        <w:sectPr>
          <w:pgSz w:w="11910" w:h="16840"/>
          <w:pgMar w:header="0" w:footer="922" w:top="1480" w:bottom="1120" w:left="720" w:right="660"/>
        </w:sectPr>
      </w:pPr>
    </w:p>
    <w:p>
      <w:pPr>
        <w:spacing w:line="273" w:lineRule="auto" w:before="9"/>
        <w:ind w:left="2711" w:right="260" w:firstLine="0"/>
        <w:jc w:val="left"/>
        <w:rPr>
          <w:b/>
          <w:sz w:val="21"/>
        </w:rPr>
      </w:pPr>
      <w:r>
        <w:rPr>
          <w:spacing w:val="-8"/>
          <w:sz w:val="21"/>
        </w:rPr>
        <w:t>腔直径减少 </w:t>
      </w:r>
      <w:r>
        <w:rPr>
          <w:sz w:val="21"/>
        </w:rPr>
        <w:t>75</w:t>
      </w:r>
      <w:r>
        <w:rPr>
          <w:spacing w:val="-6"/>
          <w:sz w:val="21"/>
        </w:rPr>
        <w:t>％以上和其他两支血管管腔直径减少 </w:t>
      </w:r>
      <w:r>
        <w:rPr>
          <w:sz w:val="21"/>
        </w:rPr>
        <w:t>60％</w:t>
      </w:r>
      <w:r>
        <w:rPr>
          <w:spacing w:val="-2"/>
          <w:sz w:val="21"/>
        </w:rPr>
        <w:t>以上</w:t>
      </w:r>
      <w:r>
        <w:rPr>
          <w:spacing w:val="-108"/>
          <w:sz w:val="21"/>
        </w:rPr>
        <w:t>）</w:t>
      </w:r>
      <w:r>
        <w:rPr>
          <w:spacing w:val="-24"/>
          <w:sz w:val="21"/>
        </w:rPr>
        <w:t>。</w:t>
      </w:r>
      <w:r>
        <w:rPr>
          <w:b/>
          <w:spacing w:val="-5"/>
          <w:sz w:val="21"/>
        </w:rPr>
        <w:t>前降支、左旋支及右冠状动脉的分支血管的狭窄不作为本保障的衡量指标。</w:t>
      </w:r>
    </w:p>
    <w:p>
      <w:pPr>
        <w:pStyle w:val="BodyText"/>
        <w:spacing w:before="7"/>
        <w:rPr>
          <w:b/>
          <w:sz w:val="23"/>
        </w:rPr>
      </w:pPr>
    </w:p>
    <w:p>
      <w:pPr>
        <w:pStyle w:val="ListParagraph"/>
        <w:numPr>
          <w:ilvl w:val="2"/>
          <w:numId w:val="2"/>
        </w:numPr>
        <w:tabs>
          <w:tab w:pos="1176" w:val="left" w:leader="none"/>
        </w:tabs>
        <w:spacing w:line="271" w:lineRule="auto" w:before="0" w:after="0"/>
        <w:ind w:left="2711" w:right="255" w:hanging="2549"/>
        <w:jc w:val="both"/>
        <w:rPr>
          <w:sz w:val="21"/>
        </w:rPr>
      </w:pPr>
      <w:r>
        <w:rPr>
          <w:i/>
          <w:spacing w:val="2"/>
          <w:sz w:val="22"/>
        </w:rPr>
        <w:t>严重心肌病   </w:t>
      </w: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p>
      <w:pPr>
        <w:pStyle w:val="BodyText"/>
        <w:spacing w:before="1"/>
      </w:pPr>
    </w:p>
    <w:p>
      <w:pPr>
        <w:spacing w:after="0"/>
        <w:sectPr>
          <w:pgSz w:w="11910" w:h="16840"/>
          <w:pgMar w:header="0" w:footer="922" w:top="1400" w:bottom="1120" w:left="860" w:right="760"/>
        </w:sectPr>
      </w:pPr>
    </w:p>
    <w:p>
      <w:pPr>
        <w:pStyle w:val="Heading2"/>
        <w:numPr>
          <w:ilvl w:val="2"/>
          <w:numId w:val="2"/>
        </w:numPr>
        <w:tabs>
          <w:tab w:pos="1175" w:val="left" w:leader="none"/>
          <w:tab w:pos="1176" w:val="left" w:leader="none"/>
        </w:tabs>
        <w:spacing w:line="240" w:lineRule="auto" w:before="34" w:after="0"/>
        <w:ind w:left="2711" w:right="0" w:hanging="2549"/>
        <w:jc w:val="left"/>
      </w:pPr>
      <w:r>
        <w:rPr>
          <w:spacing w:val="-2"/>
          <w:w w:val="95"/>
        </w:rPr>
        <w:t>系统性红斑狼</w:t>
      </w:r>
    </w:p>
    <w:p>
      <w:pPr>
        <w:spacing w:line="259" w:lineRule="auto" w:before="23"/>
        <w:ind w:left="1175" w:right="0" w:firstLine="0"/>
        <w:jc w:val="both"/>
        <w:rPr>
          <w:i/>
          <w:sz w:val="22"/>
        </w:rPr>
      </w:pPr>
      <w:r>
        <w:rPr>
          <w:i/>
          <w:spacing w:val="-11"/>
          <w:sz w:val="22"/>
        </w:rPr>
        <w:t>疮 － </w:t>
      </w:r>
      <w:r>
        <w:rPr>
          <w:i/>
          <w:sz w:val="22"/>
        </w:rPr>
        <w:t>III</w:t>
      </w:r>
      <w:r>
        <w:rPr>
          <w:i/>
          <w:spacing w:val="-34"/>
          <w:sz w:val="22"/>
        </w:rPr>
        <w:t> 型</w:t>
      </w:r>
      <w:r>
        <w:rPr>
          <w:i/>
          <w:spacing w:val="-13"/>
          <w:w w:val="95"/>
          <w:sz w:val="22"/>
        </w:rPr>
        <w:t>或以上狼疮性肾炎</w:t>
      </w:r>
    </w:p>
    <w:p>
      <w:pPr>
        <w:pStyle w:val="BodyText"/>
        <w:spacing w:line="273" w:lineRule="auto" w:before="46"/>
        <w:ind w:left="162" w:right="258"/>
        <w:jc w:val="both"/>
      </w:pPr>
      <w:r>
        <w:rPr/>
        <w:br w:type="column"/>
      </w:r>
      <w:r>
        <w:rPr>
          <w:spacing w:val="-6"/>
        </w:rPr>
        <w:t>系统性红斑狼疮是由多种因素引起，累及多系统的自身免疫性疾病。其特点是生</w:t>
      </w:r>
      <w:r>
        <w:rPr>
          <w:spacing w:val="-4"/>
        </w:rPr>
        <w:t>成自身抗体对抗多种自身抗原。多见于育龄妇女。</w:t>
      </w:r>
    </w:p>
    <w:p>
      <w:pPr>
        <w:spacing w:line="273" w:lineRule="auto" w:before="7"/>
        <w:ind w:left="162" w:right="258" w:firstLine="0"/>
        <w:jc w:val="both"/>
        <w:rPr>
          <w:b/>
          <w:sz w:val="21"/>
        </w:rPr>
      </w:pPr>
      <w:r>
        <w:rPr>
          <w:spacing w:val="-4"/>
          <w:sz w:val="21"/>
        </w:rPr>
        <w:t>本保单所指的系统性红斑狼疮仅限于累及肾脏</w:t>
      </w:r>
      <w:r>
        <w:rPr>
          <w:spacing w:val="-3"/>
          <w:sz w:val="21"/>
        </w:rPr>
        <w:t>（</w:t>
      </w:r>
      <w:r>
        <w:rPr>
          <w:spacing w:val="-9"/>
          <w:sz w:val="21"/>
        </w:rPr>
        <w:t>经肾脏活检确认的，符合 </w:t>
      </w:r>
      <w:r>
        <w:rPr>
          <w:sz w:val="21"/>
        </w:rPr>
        <w:t>WHO </w:t>
      </w:r>
      <w:r>
        <w:rPr>
          <w:b/>
          <w:sz w:val="21"/>
        </w:rPr>
        <w:t>诊</w:t>
      </w:r>
      <w:r>
        <w:rPr>
          <w:b/>
          <w:spacing w:val="-9"/>
          <w:sz w:val="21"/>
        </w:rPr>
        <w:t>断标准定义 </w:t>
      </w:r>
      <w:r>
        <w:rPr>
          <w:b/>
          <w:sz w:val="21"/>
        </w:rPr>
        <w:t>III</w:t>
      </w:r>
      <w:r>
        <w:rPr>
          <w:b/>
          <w:spacing w:val="-27"/>
          <w:sz w:val="21"/>
        </w:rPr>
        <w:t> 型至 </w:t>
      </w:r>
      <w:r>
        <w:rPr>
          <w:b/>
          <w:sz w:val="21"/>
        </w:rPr>
        <w:t>V</w:t>
      </w:r>
      <w:r>
        <w:rPr>
          <w:b/>
          <w:spacing w:val="-9"/>
          <w:sz w:val="21"/>
        </w:rPr>
        <w:t> 型狼疮性肾炎</w:t>
      </w:r>
      <w:r>
        <w:rPr>
          <w:b/>
          <w:spacing w:val="-36"/>
          <w:sz w:val="21"/>
        </w:rPr>
        <w:t>）</w:t>
      </w:r>
      <w:r>
        <w:rPr>
          <w:b/>
          <w:spacing w:val="-5"/>
          <w:sz w:val="21"/>
        </w:rPr>
        <w:t>的系统性红斑狼疮。其他类型的红斑性狼疮，如盘状狼疮、仅累及血液及关节的狼疮不在本保单保障范围內。</w:t>
      </w:r>
    </w:p>
    <w:p>
      <w:pPr>
        <w:pStyle w:val="BodyText"/>
        <w:spacing w:before="7"/>
        <w:ind w:left="162"/>
        <w:jc w:val="both"/>
      </w:pPr>
      <w:r>
        <w:rPr/>
        <w:t>世界卫生组织（WHO）狼疮性肾炎分型：</w:t>
      </w:r>
    </w:p>
    <w:p>
      <w:pPr>
        <w:spacing w:after="0"/>
        <w:jc w:val="both"/>
        <w:sectPr>
          <w:type w:val="continuous"/>
          <w:pgSz w:w="11910" w:h="16840"/>
          <w:pgMar w:top="240" w:bottom="280" w:left="860" w:right="760"/>
          <w:cols w:num="2" w:equalWidth="0">
            <w:col w:w="2439" w:space="111"/>
            <w:col w:w="7740"/>
          </w:cols>
        </w:sectPr>
      </w:pPr>
    </w:p>
    <w:p>
      <w:pPr>
        <w:pStyle w:val="BodyText"/>
        <w:spacing w:before="9" w:after="1"/>
        <w:rPr>
          <w:sz w:val="7"/>
        </w:rPr>
      </w:pPr>
    </w:p>
    <w:tbl>
      <w:tblPr>
        <w:tblW w:w="0" w:type="auto"/>
        <w:jc w:val="left"/>
        <w:tblInd w:w="2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5"/>
        <w:gridCol w:w="4248"/>
      </w:tblGrid>
      <w:tr>
        <w:trPr>
          <w:trHeight w:val="261" w:hRule="atLeast"/>
        </w:trPr>
        <w:tc>
          <w:tcPr>
            <w:tcW w:w="2825" w:type="dxa"/>
          </w:tcPr>
          <w:p>
            <w:pPr>
              <w:pStyle w:val="TableParagraph"/>
              <w:spacing w:line="211" w:lineRule="exact"/>
              <w:ind w:left="200"/>
              <w:rPr>
                <w:sz w:val="21"/>
              </w:rPr>
            </w:pPr>
            <w:r>
              <w:rPr>
                <w:sz w:val="21"/>
              </w:rPr>
              <w:t>I 型（微小病变型）</w:t>
            </w:r>
          </w:p>
        </w:tc>
        <w:tc>
          <w:tcPr>
            <w:tcW w:w="4248" w:type="dxa"/>
          </w:tcPr>
          <w:p>
            <w:pPr>
              <w:pStyle w:val="TableParagraph"/>
              <w:spacing w:line="211" w:lineRule="exact"/>
              <w:ind w:left="53"/>
              <w:rPr>
                <w:sz w:val="21"/>
              </w:rPr>
            </w:pPr>
            <w:r>
              <w:rPr>
                <w:sz w:val="21"/>
              </w:rPr>
              <w:t>镜下阴性，尿液正常</w:t>
            </w:r>
          </w:p>
        </w:tc>
      </w:tr>
      <w:tr>
        <w:trPr>
          <w:trHeight w:val="311" w:hRule="atLeast"/>
        </w:trPr>
        <w:tc>
          <w:tcPr>
            <w:tcW w:w="2825" w:type="dxa"/>
          </w:tcPr>
          <w:p>
            <w:pPr>
              <w:pStyle w:val="TableParagraph"/>
              <w:spacing w:line="261" w:lineRule="exact"/>
              <w:ind w:left="200"/>
              <w:rPr>
                <w:sz w:val="21"/>
              </w:rPr>
            </w:pPr>
            <w:r>
              <w:rPr>
                <w:sz w:val="21"/>
              </w:rPr>
              <w:t>II 型（系膜病变型）</w:t>
            </w:r>
          </w:p>
        </w:tc>
        <w:tc>
          <w:tcPr>
            <w:tcW w:w="4248" w:type="dxa"/>
          </w:tcPr>
          <w:p>
            <w:pPr>
              <w:pStyle w:val="TableParagraph"/>
              <w:spacing w:line="261" w:lineRule="exact"/>
              <w:ind w:left="53"/>
              <w:rPr>
                <w:sz w:val="21"/>
              </w:rPr>
            </w:pPr>
            <w:r>
              <w:rPr>
                <w:sz w:val="21"/>
              </w:rPr>
              <w:t>中度蛋白尿，偶有尿沉渣改变</w:t>
            </w:r>
          </w:p>
        </w:tc>
      </w:tr>
      <w:tr>
        <w:trPr>
          <w:trHeight w:val="312" w:hRule="atLeast"/>
        </w:trPr>
        <w:tc>
          <w:tcPr>
            <w:tcW w:w="2825" w:type="dxa"/>
          </w:tcPr>
          <w:p>
            <w:pPr>
              <w:pStyle w:val="TableParagraph"/>
              <w:spacing w:line="261" w:lineRule="exact"/>
              <w:ind w:left="200"/>
              <w:rPr>
                <w:sz w:val="21"/>
              </w:rPr>
            </w:pPr>
            <w:r>
              <w:rPr>
                <w:sz w:val="21"/>
              </w:rPr>
              <w:t>III</w:t>
            </w:r>
            <w:r>
              <w:rPr>
                <w:spacing w:val="-74"/>
                <w:sz w:val="21"/>
              </w:rPr>
              <w:t> 型</w:t>
            </w:r>
            <w:r>
              <w:rPr>
                <w:spacing w:val="-3"/>
                <w:sz w:val="21"/>
              </w:rPr>
              <w:t>（局灶及节段增生型</w:t>
            </w:r>
            <w:r>
              <w:rPr>
                <w:sz w:val="21"/>
              </w:rPr>
              <w:t>）</w:t>
            </w:r>
          </w:p>
        </w:tc>
        <w:tc>
          <w:tcPr>
            <w:tcW w:w="4248" w:type="dxa"/>
          </w:tcPr>
          <w:p>
            <w:pPr>
              <w:pStyle w:val="TableParagraph"/>
              <w:spacing w:line="261" w:lineRule="exact"/>
              <w:ind w:left="53"/>
              <w:rPr>
                <w:sz w:val="21"/>
              </w:rPr>
            </w:pPr>
            <w:r>
              <w:rPr>
                <w:sz w:val="21"/>
              </w:rPr>
              <w:t>蛋白尿，尿沉渣改变</w:t>
            </w:r>
          </w:p>
        </w:tc>
      </w:tr>
      <w:tr>
        <w:trPr>
          <w:trHeight w:val="312" w:hRule="atLeast"/>
        </w:trPr>
        <w:tc>
          <w:tcPr>
            <w:tcW w:w="2825" w:type="dxa"/>
          </w:tcPr>
          <w:p>
            <w:pPr>
              <w:pStyle w:val="TableParagraph"/>
              <w:spacing w:line="261" w:lineRule="exact"/>
              <w:ind w:left="200"/>
              <w:rPr>
                <w:sz w:val="21"/>
              </w:rPr>
            </w:pPr>
            <w:r>
              <w:rPr>
                <w:sz w:val="21"/>
              </w:rPr>
              <w:t>IV 型（弥漫增生型）</w:t>
            </w:r>
          </w:p>
        </w:tc>
        <w:tc>
          <w:tcPr>
            <w:tcW w:w="4248" w:type="dxa"/>
          </w:tcPr>
          <w:p>
            <w:pPr>
              <w:pStyle w:val="TableParagraph"/>
              <w:spacing w:line="261" w:lineRule="exact"/>
              <w:ind w:left="53"/>
              <w:rPr>
                <w:sz w:val="21"/>
              </w:rPr>
            </w:pPr>
            <w:r>
              <w:rPr>
                <w:sz w:val="21"/>
              </w:rPr>
              <w:t>急性肾炎伴有尿沉渣改变及／或肾病综合征</w:t>
            </w:r>
          </w:p>
        </w:tc>
      </w:tr>
      <w:tr>
        <w:trPr>
          <w:trHeight w:val="261" w:hRule="atLeast"/>
        </w:trPr>
        <w:tc>
          <w:tcPr>
            <w:tcW w:w="2825" w:type="dxa"/>
          </w:tcPr>
          <w:p>
            <w:pPr>
              <w:pStyle w:val="TableParagraph"/>
              <w:spacing w:line="242" w:lineRule="exact"/>
              <w:ind w:left="200"/>
              <w:rPr>
                <w:sz w:val="21"/>
              </w:rPr>
            </w:pPr>
            <w:r>
              <w:rPr>
                <w:sz w:val="21"/>
              </w:rPr>
              <w:t>V 型（膜型）</w:t>
            </w:r>
          </w:p>
        </w:tc>
        <w:tc>
          <w:tcPr>
            <w:tcW w:w="4248" w:type="dxa"/>
          </w:tcPr>
          <w:p>
            <w:pPr>
              <w:pStyle w:val="TableParagraph"/>
              <w:spacing w:line="242" w:lineRule="exact"/>
              <w:ind w:left="53"/>
              <w:rPr>
                <w:sz w:val="21"/>
              </w:rPr>
            </w:pPr>
            <w:r>
              <w:rPr>
                <w:sz w:val="21"/>
              </w:rPr>
              <w:t>肾病综合征或重度蛋白尿</w:t>
            </w:r>
          </w:p>
        </w:tc>
      </w:tr>
    </w:tbl>
    <w:p>
      <w:pPr>
        <w:pStyle w:val="BodyText"/>
        <w:rPr>
          <w:sz w:val="20"/>
        </w:rPr>
      </w:pPr>
    </w:p>
    <w:p>
      <w:pPr>
        <w:pStyle w:val="BodyText"/>
        <w:spacing w:before="10"/>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18"/>
        <w:gridCol w:w="7473"/>
      </w:tblGrid>
      <w:tr>
        <w:trPr>
          <w:trHeight w:val="267" w:hRule="atLeast"/>
        </w:trPr>
        <w:tc>
          <w:tcPr>
            <w:tcW w:w="873" w:type="dxa"/>
          </w:tcPr>
          <w:p>
            <w:pPr>
              <w:pStyle w:val="TableParagraph"/>
              <w:spacing w:line="222" w:lineRule="exact"/>
              <w:ind w:left="50"/>
              <w:rPr>
                <w:i/>
                <w:sz w:val="22"/>
              </w:rPr>
            </w:pPr>
            <w:r>
              <w:rPr>
                <w:i/>
                <w:sz w:val="22"/>
              </w:rPr>
              <w:t>3.2.33</w:t>
            </w:r>
          </w:p>
        </w:tc>
        <w:tc>
          <w:tcPr>
            <w:tcW w:w="1618" w:type="dxa"/>
          </w:tcPr>
          <w:p>
            <w:pPr>
              <w:pStyle w:val="TableParagraph"/>
              <w:spacing w:line="222" w:lineRule="exact"/>
              <w:ind w:left="190"/>
              <w:rPr>
                <w:i/>
                <w:sz w:val="22"/>
              </w:rPr>
            </w:pPr>
            <w:r>
              <w:rPr>
                <w:i/>
                <w:w w:val="95"/>
                <w:sz w:val="22"/>
              </w:rPr>
              <w:t>因职业关系导</w:t>
            </w:r>
          </w:p>
        </w:tc>
        <w:tc>
          <w:tcPr>
            <w:tcW w:w="7473" w:type="dxa"/>
          </w:tcPr>
          <w:p>
            <w:pPr>
              <w:pStyle w:val="TableParagraph"/>
              <w:spacing w:line="221" w:lineRule="exact"/>
              <w:ind w:left="108"/>
              <w:rPr>
                <w:sz w:val="21"/>
              </w:rPr>
            </w:pPr>
            <w:r>
              <w:rPr>
                <w:sz w:val="21"/>
              </w:rPr>
              <w:t>被保险人在其常规职业工作过程中遭遇外伤，或者职业需要处理血液或者其他体</w:t>
            </w:r>
          </w:p>
        </w:tc>
      </w:tr>
      <w:tr>
        <w:trPr>
          <w:trHeight w:val="311" w:hRule="atLeast"/>
        </w:trPr>
        <w:tc>
          <w:tcPr>
            <w:tcW w:w="873" w:type="dxa"/>
          </w:tcPr>
          <w:p>
            <w:pPr>
              <w:pStyle w:val="TableParagraph"/>
              <w:rPr>
                <w:rFonts w:ascii="Times New Roman"/>
                <w:sz w:val="20"/>
              </w:rPr>
            </w:pPr>
          </w:p>
        </w:tc>
        <w:tc>
          <w:tcPr>
            <w:tcW w:w="1618" w:type="dxa"/>
          </w:tcPr>
          <w:p>
            <w:pPr>
              <w:pStyle w:val="TableParagraph"/>
              <w:spacing w:line="267" w:lineRule="exact"/>
              <w:ind w:left="190"/>
              <w:rPr>
                <w:i/>
                <w:sz w:val="22"/>
              </w:rPr>
            </w:pPr>
            <w:r>
              <w:rPr>
                <w:i/>
                <w:w w:val="95"/>
                <w:sz w:val="22"/>
              </w:rPr>
              <w:t>致的人类免疫</w:t>
            </w:r>
          </w:p>
        </w:tc>
        <w:tc>
          <w:tcPr>
            <w:tcW w:w="7473" w:type="dxa"/>
          </w:tcPr>
          <w:p>
            <w:pPr>
              <w:pStyle w:val="TableParagraph"/>
              <w:spacing w:line="266" w:lineRule="exact"/>
              <w:ind w:left="108"/>
              <w:rPr>
                <w:sz w:val="21"/>
              </w:rPr>
            </w:pPr>
            <w:r>
              <w:rPr>
                <w:spacing w:val="-3"/>
                <w:w w:val="100"/>
                <w:sz w:val="21"/>
              </w:rPr>
              <w:t>液时感染上人类免疫缺陷病毒（</w:t>
            </w:r>
            <w:r>
              <w:rPr>
                <w:w w:val="100"/>
                <w:sz w:val="21"/>
              </w:rPr>
              <w:t>HIV</w:t>
            </w:r>
            <w:r>
              <w:rPr>
                <w:spacing w:val="-108"/>
                <w:w w:val="100"/>
                <w:sz w:val="21"/>
              </w:rPr>
              <w:t>）。</w:t>
            </w:r>
          </w:p>
        </w:tc>
      </w:tr>
      <w:tr>
        <w:trPr>
          <w:trHeight w:val="312" w:hRule="atLeast"/>
        </w:trPr>
        <w:tc>
          <w:tcPr>
            <w:tcW w:w="873" w:type="dxa"/>
          </w:tcPr>
          <w:p>
            <w:pPr>
              <w:pStyle w:val="TableParagraph"/>
              <w:rPr>
                <w:rFonts w:ascii="Times New Roman"/>
                <w:sz w:val="20"/>
              </w:rPr>
            </w:pPr>
          </w:p>
        </w:tc>
        <w:tc>
          <w:tcPr>
            <w:tcW w:w="1618" w:type="dxa"/>
          </w:tcPr>
          <w:p>
            <w:pPr>
              <w:pStyle w:val="TableParagraph"/>
              <w:spacing w:line="267" w:lineRule="exact"/>
              <w:ind w:left="190"/>
              <w:rPr>
                <w:i/>
                <w:sz w:val="22"/>
              </w:rPr>
            </w:pPr>
            <w:r>
              <w:rPr>
                <w:i/>
                <w:sz w:val="22"/>
              </w:rPr>
              <w:t>缺 陷 病  毒</w:t>
            </w:r>
          </w:p>
        </w:tc>
        <w:tc>
          <w:tcPr>
            <w:tcW w:w="7473" w:type="dxa"/>
          </w:tcPr>
          <w:p>
            <w:pPr>
              <w:pStyle w:val="TableParagraph"/>
              <w:spacing w:line="266" w:lineRule="exact"/>
              <w:ind w:left="108"/>
              <w:rPr>
                <w:sz w:val="21"/>
              </w:rPr>
            </w:pPr>
            <w:r>
              <w:rPr>
                <w:sz w:val="21"/>
              </w:rPr>
              <w:t>必须满足下列全部条件：</w:t>
            </w:r>
          </w:p>
        </w:tc>
      </w:tr>
      <w:tr>
        <w:trPr>
          <w:trHeight w:val="316" w:hRule="atLeast"/>
        </w:trPr>
        <w:tc>
          <w:tcPr>
            <w:tcW w:w="873" w:type="dxa"/>
          </w:tcPr>
          <w:p>
            <w:pPr>
              <w:pStyle w:val="TableParagraph"/>
              <w:rPr>
                <w:rFonts w:ascii="Times New Roman"/>
                <w:sz w:val="20"/>
              </w:rPr>
            </w:pPr>
          </w:p>
        </w:tc>
        <w:tc>
          <w:tcPr>
            <w:tcW w:w="1618" w:type="dxa"/>
          </w:tcPr>
          <w:p>
            <w:pPr>
              <w:pStyle w:val="TableParagraph"/>
              <w:spacing w:line="267" w:lineRule="exact"/>
              <w:ind w:left="190"/>
              <w:rPr>
                <w:i/>
                <w:sz w:val="22"/>
              </w:rPr>
            </w:pPr>
            <w:r>
              <w:rPr>
                <w:i/>
                <w:w w:val="95"/>
                <w:sz w:val="22"/>
              </w:rPr>
              <w:t>（HIV）感染</w:t>
            </w:r>
          </w:p>
        </w:tc>
        <w:tc>
          <w:tcPr>
            <w:tcW w:w="7473" w:type="dxa"/>
          </w:tcPr>
          <w:p>
            <w:pPr>
              <w:pStyle w:val="TableParagraph"/>
              <w:spacing w:line="266" w:lineRule="exact"/>
              <w:ind w:left="108"/>
              <w:rPr>
                <w:sz w:val="21"/>
              </w:rPr>
            </w:pPr>
            <w:r>
              <w:rPr>
                <w:sz w:val="21"/>
              </w:rPr>
              <w:t>（1）感染必须是在被保险人正在从事其职业工作中发生，该职业必须属于以下</w:t>
            </w:r>
          </w:p>
        </w:tc>
      </w:tr>
      <w:tr>
        <w:trPr>
          <w:trHeight w:val="311" w:hRule="atLeast"/>
        </w:trPr>
        <w:tc>
          <w:tcPr>
            <w:tcW w:w="2491" w:type="dxa"/>
            <w:gridSpan w:val="2"/>
            <w:vMerge w:val="restart"/>
          </w:tcPr>
          <w:p>
            <w:pPr>
              <w:pStyle w:val="TableParagraph"/>
              <w:rPr>
                <w:rFonts w:ascii="Times New Roman"/>
                <w:sz w:val="20"/>
              </w:rPr>
            </w:pPr>
          </w:p>
        </w:tc>
        <w:tc>
          <w:tcPr>
            <w:tcW w:w="7473" w:type="dxa"/>
          </w:tcPr>
          <w:p>
            <w:pPr>
              <w:pStyle w:val="TableParagraph"/>
              <w:spacing w:line="261" w:lineRule="exact"/>
              <w:ind w:left="108"/>
              <w:rPr>
                <w:sz w:val="21"/>
              </w:rPr>
            </w:pPr>
            <w:r>
              <w:rPr>
                <w:sz w:val="21"/>
              </w:rPr>
              <w:t>列表内的职业；</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（2）血清转化必须出现在事故发生后的 6 个月以内；</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2" w:lineRule="exact"/>
              <w:ind w:left="108"/>
              <w:rPr>
                <w:sz w:val="21"/>
              </w:rPr>
            </w:pPr>
            <w:r>
              <w:rPr>
                <w:sz w:val="21"/>
              </w:rPr>
              <w:t>（3）必须提供被保险人在所报事故发生后的 5 天以内进行的检查报告，该报告</w:t>
            </w:r>
          </w:p>
        </w:tc>
      </w:tr>
      <w:tr>
        <w:trPr>
          <w:trHeight w:val="311"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必须显示被保险人血液 HIV 病毒阴性和/或 HIV 抗体阴性；</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pacing w:val="-14"/>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体。</w:t>
            </w:r>
          </w:p>
        </w:tc>
      </w:tr>
      <w:tr>
        <w:trPr>
          <w:trHeight w:val="261" w:hRule="atLeast"/>
        </w:trPr>
        <w:tc>
          <w:tcPr>
            <w:tcW w:w="2491" w:type="dxa"/>
            <w:gridSpan w:val="2"/>
            <w:vMerge/>
            <w:tcBorders>
              <w:top w:val="nil"/>
            </w:tcBorders>
          </w:tcPr>
          <w:p>
            <w:pPr>
              <w:rPr>
                <w:sz w:val="2"/>
                <w:szCs w:val="2"/>
              </w:rPr>
            </w:pPr>
          </w:p>
        </w:tc>
        <w:tc>
          <w:tcPr>
            <w:tcW w:w="7473" w:type="dxa"/>
          </w:tcPr>
          <w:p>
            <w:pPr>
              <w:pStyle w:val="TableParagraph"/>
              <w:spacing w:line="242" w:lineRule="exact"/>
              <w:ind w:left="108"/>
              <w:rPr>
                <w:b/>
                <w:sz w:val="21"/>
              </w:rPr>
            </w:pPr>
            <w:r>
              <w:rPr>
                <w:b/>
                <w:sz w:val="21"/>
              </w:rPr>
              <w:t>职业限制如下所示:</w:t>
            </w:r>
          </w:p>
        </w:tc>
      </w:tr>
    </w:tbl>
    <w:p>
      <w:pPr>
        <w:pStyle w:val="BodyText"/>
        <w:spacing w:before="9"/>
        <w:rPr>
          <w:sz w:val="7"/>
        </w:rPr>
      </w:pPr>
    </w:p>
    <w:tbl>
      <w:tblPr>
        <w:tblW w:w="0" w:type="auto"/>
        <w:jc w:val="left"/>
        <w:tblInd w:w="2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2550"/>
      </w:tblGrid>
      <w:tr>
        <w:trPr>
          <w:trHeight w:val="261" w:hRule="atLeast"/>
        </w:trPr>
        <w:tc>
          <w:tcPr>
            <w:tcW w:w="2973" w:type="dxa"/>
          </w:tcPr>
          <w:p>
            <w:pPr>
              <w:pStyle w:val="TableParagraph"/>
              <w:spacing w:line="211" w:lineRule="exact"/>
              <w:ind w:left="200"/>
              <w:rPr>
                <w:b/>
                <w:sz w:val="21"/>
              </w:rPr>
            </w:pPr>
            <w:r>
              <w:rPr>
                <w:b/>
                <w:sz w:val="21"/>
              </w:rPr>
              <w:t>医生和牙科医生</w:t>
            </w:r>
          </w:p>
        </w:tc>
        <w:tc>
          <w:tcPr>
            <w:tcW w:w="2550" w:type="dxa"/>
          </w:tcPr>
          <w:p>
            <w:pPr>
              <w:pStyle w:val="TableParagraph"/>
              <w:spacing w:line="211" w:lineRule="exact"/>
              <w:ind w:left="871"/>
              <w:rPr>
                <w:b/>
                <w:sz w:val="21"/>
              </w:rPr>
            </w:pPr>
            <w:r>
              <w:rPr>
                <w:b/>
                <w:sz w:val="21"/>
              </w:rPr>
              <w:t>护士</w:t>
            </w:r>
          </w:p>
        </w:tc>
      </w:tr>
      <w:tr>
        <w:trPr>
          <w:trHeight w:val="311" w:hRule="atLeast"/>
        </w:trPr>
        <w:tc>
          <w:tcPr>
            <w:tcW w:w="2973" w:type="dxa"/>
          </w:tcPr>
          <w:p>
            <w:pPr>
              <w:pStyle w:val="TableParagraph"/>
              <w:spacing w:line="261" w:lineRule="exact"/>
              <w:ind w:left="200"/>
              <w:rPr>
                <w:b/>
                <w:sz w:val="21"/>
              </w:rPr>
            </w:pPr>
            <w:r>
              <w:rPr>
                <w:b/>
                <w:sz w:val="21"/>
              </w:rPr>
              <w:t>医院化验室工作人员</w:t>
            </w:r>
          </w:p>
        </w:tc>
        <w:tc>
          <w:tcPr>
            <w:tcW w:w="2550" w:type="dxa"/>
          </w:tcPr>
          <w:p>
            <w:pPr>
              <w:pStyle w:val="TableParagraph"/>
              <w:spacing w:line="261" w:lineRule="exact"/>
              <w:ind w:left="871"/>
              <w:rPr>
                <w:b/>
                <w:sz w:val="21"/>
              </w:rPr>
            </w:pPr>
            <w:r>
              <w:rPr>
                <w:b/>
                <w:sz w:val="21"/>
              </w:rPr>
              <w:t>医院护工</w:t>
            </w:r>
          </w:p>
        </w:tc>
      </w:tr>
      <w:tr>
        <w:trPr>
          <w:trHeight w:val="312" w:hRule="atLeast"/>
        </w:trPr>
        <w:tc>
          <w:tcPr>
            <w:tcW w:w="2973" w:type="dxa"/>
          </w:tcPr>
          <w:p>
            <w:pPr>
              <w:pStyle w:val="TableParagraph"/>
              <w:spacing w:line="261" w:lineRule="exact"/>
              <w:ind w:left="200"/>
              <w:rPr>
                <w:b/>
                <w:sz w:val="21"/>
              </w:rPr>
            </w:pPr>
            <w:r>
              <w:rPr>
                <w:b/>
                <w:sz w:val="21"/>
              </w:rPr>
              <w:t>医生助理和牙医助理</w:t>
            </w:r>
          </w:p>
        </w:tc>
        <w:tc>
          <w:tcPr>
            <w:tcW w:w="2550" w:type="dxa"/>
          </w:tcPr>
          <w:p>
            <w:pPr>
              <w:pStyle w:val="TableParagraph"/>
              <w:spacing w:line="261" w:lineRule="exact"/>
              <w:ind w:left="871"/>
              <w:rPr>
                <w:b/>
                <w:sz w:val="21"/>
              </w:rPr>
            </w:pPr>
            <w:r>
              <w:rPr>
                <w:b/>
                <w:sz w:val="21"/>
              </w:rPr>
              <w:t>救护车工作人员</w:t>
            </w:r>
          </w:p>
        </w:tc>
      </w:tr>
      <w:tr>
        <w:trPr>
          <w:trHeight w:val="312" w:hRule="atLeast"/>
        </w:trPr>
        <w:tc>
          <w:tcPr>
            <w:tcW w:w="2973" w:type="dxa"/>
          </w:tcPr>
          <w:p>
            <w:pPr>
              <w:pStyle w:val="TableParagraph"/>
              <w:spacing w:line="261" w:lineRule="exact"/>
              <w:ind w:left="200"/>
              <w:rPr>
                <w:b/>
                <w:sz w:val="21"/>
              </w:rPr>
            </w:pPr>
            <w:r>
              <w:rPr>
                <w:b/>
                <w:sz w:val="21"/>
              </w:rPr>
              <w:t>助产士</w:t>
            </w:r>
          </w:p>
        </w:tc>
        <w:tc>
          <w:tcPr>
            <w:tcW w:w="2550" w:type="dxa"/>
          </w:tcPr>
          <w:p>
            <w:pPr>
              <w:pStyle w:val="TableParagraph"/>
              <w:spacing w:line="261" w:lineRule="exact"/>
              <w:ind w:left="871"/>
              <w:rPr>
                <w:b/>
                <w:sz w:val="21"/>
              </w:rPr>
            </w:pPr>
            <w:r>
              <w:rPr>
                <w:b/>
                <w:sz w:val="21"/>
              </w:rPr>
              <w:t>消防队员</w:t>
            </w:r>
          </w:p>
        </w:tc>
      </w:tr>
      <w:tr>
        <w:trPr>
          <w:trHeight w:val="261" w:hRule="atLeast"/>
        </w:trPr>
        <w:tc>
          <w:tcPr>
            <w:tcW w:w="2973" w:type="dxa"/>
          </w:tcPr>
          <w:p>
            <w:pPr>
              <w:pStyle w:val="TableParagraph"/>
              <w:spacing w:line="242" w:lineRule="exact"/>
              <w:ind w:left="200"/>
              <w:rPr>
                <w:b/>
                <w:sz w:val="21"/>
              </w:rPr>
            </w:pPr>
            <w:r>
              <w:rPr>
                <w:b/>
                <w:sz w:val="21"/>
              </w:rPr>
              <w:t>警察</w:t>
            </w:r>
          </w:p>
        </w:tc>
        <w:tc>
          <w:tcPr>
            <w:tcW w:w="2550" w:type="dxa"/>
          </w:tcPr>
          <w:p>
            <w:pPr>
              <w:pStyle w:val="TableParagraph"/>
              <w:spacing w:line="242" w:lineRule="exact"/>
              <w:ind w:left="871"/>
              <w:rPr>
                <w:b/>
                <w:sz w:val="21"/>
              </w:rPr>
            </w:pPr>
            <w:r>
              <w:rPr>
                <w:b/>
                <w:sz w:val="21"/>
              </w:rPr>
              <w:t>狱警</w:t>
            </w:r>
          </w:p>
        </w:tc>
      </w:tr>
    </w:tbl>
    <w:p>
      <w:pPr>
        <w:pStyle w:val="BodyText"/>
        <w:rPr>
          <w:sz w:val="20"/>
        </w:rPr>
      </w:pPr>
    </w:p>
    <w:p>
      <w:pPr>
        <w:pStyle w:val="BodyText"/>
        <w:spacing w:before="10"/>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19"/>
        <w:gridCol w:w="7579"/>
      </w:tblGrid>
      <w:tr>
        <w:trPr>
          <w:trHeight w:val="267" w:hRule="atLeast"/>
        </w:trPr>
        <w:tc>
          <w:tcPr>
            <w:tcW w:w="873" w:type="dxa"/>
          </w:tcPr>
          <w:p>
            <w:pPr>
              <w:pStyle w:val="TableParagraph"/>
              <w:spacing w:line="222" w:lineRule="exact"/>
              <w:ind w:left="50"/>
              <w:rPr>
                <w:i/>
                <w:sz w:val="22"/>
              </w:rPr>
            </w:pPr>
            <w:r>
              <w:rPr>
                <w:i/>
                <w:sz w:val="22"/>
              </w:rPr>
              <w:t>3.2.34</w:t>
            </w:r>
          </w:p>
        </w:tc>
        <w:tc>
          <w:tcPr>
            <w:tcW w:w="1619" w:type="dxa"/>
          </w:tcPr>
          <w:p>
            <w:pPr>
              <w:pStyle w:val="TableParagraph"/>
              <w:spacing w:line="222" w:lineRule="exact"/>
              <w:ind w:left="190"/>
              <w:rPr>
                <w:i/>
                <w:sz w:val="22"/>
              </w:rPr>
            </w:pPr>
            <w:r>
              <w:rPr>
                <w:i/>
                <w:w w:val="95"/>
                <w:sz w:val="22"/>
              </w:rPr>
              <w:t>经输血导致的</w:t>
            </w:r>
          </w:p>
        </w:tc>
        <w:tc>
          <w:tcPr>
            <w:tcW w:w="7579" w:type="dxa"/>
          </w:tcPr>
          <w:p>
            <w:pPr>
              <w:pStyle w:val="TableParagraph"/>
              <w:spacing w:line="221" w:lineRule="exact"/>
              <w:ind w:left="107"/>
              <w:rPr>
                <w:sz w:val="21"/>
              </w:rPr>
            </w:pPr>
            <w:r>
              <w:rPr>
                <w:sz w:val="21"/>
              </w:rPr>
              <w:t>被保险人感染上人类免疫缺陷病毒（HIV）并且满足下列全部条件：</w:t>
            </w:r>
          </w:p>
        </w:tc>
      </w:tr>
      <w:tr>
        <w:trPr>
          <w:trHeight w:val="312" w:hRule="atLeast"/>
        </w:trPr>
        <w:tc>
          <w:tcPr>
            <w:tcW w:w="873" w:type="dxa"/>
          </w:tcPr>
          <w:p>
            <w:pPr>
              <w:pStyle w:val="TableParagraph"/>
              <w:rPr>
                <w:rFonts w:ascii="Times New Roman"/>
                <w:sz w:val="20"/>
              </w:rPr>
            </w:pPr>
          </w:p>
        </w:tc>
        <w:tc>
          <w:tcPr>
            <w:tcW w:w="1619" w:type="dxa"/>
          </w:tcPr>
          <w:p>
            <w:pPr>
              <w:pStyle w:val="TableParagraph"/>
              <w:spacing w:line="267" w:lineRule="exact"/>
              <w:ind w:left="190"/>
              <w:rPr>
                <w:i/>
                <w:sz w:val="22"/>
              </w:rPr>
            </w:pPr>
            <w:r>
              <w:rPr>
                <w:i/>
                <w:w w:val="95"/>
                <w:sz w:val="22"/>
              </w:rPr>
              <w:t>人类免疫缺陷</w:t>
            </w:r>
          </w:p>
        </w:tc>
        <w:tc>
          <w:tcPr>
            <w:tcW w:w="7579" w:type="dxa"/>
          </w:tcPr>
          <w:p>
            <w:pPr>
              <w:pStyle w:val="TableParagraph"/>
              <w:spacing w:line="266" w:lineRule="exact"/>
              <w:ind w:left="107"/>
              <w:rPr>
                <w:sz w:val="21"/>
              </w:rPr>
            </w:pPr>
            <w:r>
              <w:rPr>
                <w:sz w:val="21"/>
              </w:rPr>
              <w:t>（1）在保障起始日或复效日之后，被保险人因输血而感染 HIV；</w:t>
            </w:r>
          </w:p>
        </w:tc>
      </w:tr>
      <w:tr>
        <w:trPr>
          <w:trHeight w:val="311" w:hRule="atLeast"/>
        </w:trPr>
        <w:tc>
          <w:tcPr>
            <w:tcW w:w="873" w:type="dxa"/>
          </w:tcPr>
          <w:p>
            <w:pPr>
              <w:pStyle w:val="TableParagraph"/>
              <w:rPr>
                <w:rFonts w:ascii="Times New Roman"/>
                <w:sz w:val="20"/>
              </w:rPr>
            </w:pPr>
          </w:p>
        </w:tc>
        <w:tc>
          <w:tcPr>
            <w:tcW w:w="1619" w:type="dxa"/>
          </w:tcPr>
          <w:p>
            <w:pPr>
              <w:pStyle w:val="TableParagraph"/>
              <w:spacing w:line="267" w:lineRule="exact"/>
              <w:ind w:left="190"/>
              <w:rPr>
                <w:i/>
                <w:sz w:val="22"/>
              </w:rPr>
            </w:pPr>
            <w:r>
              <w:rPr>
                <w:i/>
                <w:w w:val="95"/>
                <w:sz w:val="22"/>
              </w:rPr>
              <w:t>病毒（HIV）感</w:t>
            </w:r>
          </w:p>
        </w:tc>
        <w:tc>
          <w:tcPr>
            <w:tcW w:w="7579" w:type="dxa"/>
          </w:tcPr>
          <w:p>
            <w:pPr>
              <w:pStyle w:val="TableParagraph"/>
              <w:spacing w:line="266" w:lineRule="exact"/>
              <w:ind w:left="107"/>
              <w:rPr>
                <w:sz w:val="21"/>
              </w:rPr>
            </w:pPr>
            <w:r>
              <w:rPr>
                <w:sz w:val="21"/>
              </w:rPr>
              <w:t>（2）提供输血治疗的输血中心或医院出具该项输血感染属医疗责任事故的报告，</w:t>
            </w:r>
          </w:p>
        </w:tc>
      </w:tr>
      <w:tr>
        <w:trPr>
          <w:trHeight w:val="316" w:hRule="atLeast"/>
        </w:trPr>
        <w:tc>
          <w:tcPr>
            <w:tcW w:w="873" w:type="dxa"/>
          </w:tcPr>
          <w:p>
            <w:pPr>
              <w:pStyle w:val="TableParagraph"/>
              <w:rPr>
                <w:rFonts w:ascii="Times New Roman"/>
                <w:sz w:val="20"/>
              </w:rPr>
            </w:pPr>
          </w:p>
        </w:tc>
        <w:tc>
          <w:tcPr>
            <w:tcW w:w="1619" w:type="dxa"/>
          </w:tcPr>
          <w:p>
            <w:pPr>
              <w:pStyle w:val="TableParagraph"/>
              <w:spacing w:line="267" w:lineRule="exact"/>
              <w:ind w:left="190"/>
              <w:rPr>
                <w:i/>
                <w:sz w:val="22"/>
              </w:rPr>
            </w:pPr>
            <w:r>
              <w:rPr>
                <w:i/>
                <w:w w:val="96"/>
                <w:sz w:val="22"/>
              </w:rPr>
              <w:t>染</w:t>
            </w:r>
          </w:p>
        </w:tc>
        <w:tc>
          <w:tcPr>
            <w:tcW w:w="7579" w:type="dxa"/>
          </w:tcPr>
          <w:p>
            <w:pPr>
              <w:pStyle w:val="TableParagraph"/>
              <w:spacing w:line="266" w:lineRule="exact"/>
              <w:ind w:left="107"/>
              <w:rPr>
                <w:sz w:val="21"/>
              </w:rPr>
            </w:pPr>
            <w:r>
              <w:rPr>
                <w:sz w:val="21"/>
              </w:rPr>
              <w:t>或者法院终审裁定为医疗责任并且不准上诉；</w:t>
            </w:r>
          </w:p>
        </w:tc>
      </w:tr>
      <w:tr>
        <w:trPr>
          <w:trHeight w:val="311" w:hRule="atLeast"/>
        </w:trPr>
        <w:tc>
          <w:tcPr>
            <w:tcW w:w="2492" w:type="dxa"/>
            <w:gridSpan w:val="2"/>
            <w:vMerge w:val="restart"/>
          </w:tcPr>
          <w:p>
            <w:pPr>
              <w:pStyle w:val="TableParagraph"/>
              <w:rPr>
                <w:rFonts w:ascii="Times New Roman"/>
                <w:sz w:val="20"/>
              </w:rPr>
            </w:pPr>
          </w:p>
        </w:tc>
        <w:tc>
          <w:tcPr>
            <w:tcW w:w="7579" w:type="dxa"/>
          </w:tcPr>
          <w:p>
            <w:pPr>
              <w:pStyle w:val="TableParagraph"/>
              <w:spacing w:line="261" w:lineRule="exact"/>
              <w:ind w:left="107"/>
              <w:rPr>
                <w:sz w:val="21"/>
              </w:rPr>
            </w:pPr>
            <w:r>
              <w:rPr>
                <w:sz w:val="21"/>
              </w:rPr>
              <w:t>（3）受感染的被保险人不是血友病患者。</w:t>
            </w:r>
          </w:p>
        </w:tc>
      </w:tr>
      <w:tr>
        <w:trPr>
          <w:trHeight w:val="312" w:hRule="atLeast"/>
        </w:trPr>
        <w:tc>
          <w:tcPr>
            <w:tcW w:w="2492" w:type="dxa"/>
            <w:gridSpan w:val="2"/>
            <w:vMerge/>
            <w:tcBorders>
              <w:top w:val="nil"/>
            </w:tcBorders>
          </w:tcPr>
          <w:p>
            <w:pPr>
              <w:rPr>
                <w:sz w:val="2"/>
                <w:szCs w:val="2"/>
              </w:rPr>
            </w:pPr>
          </w:p>
        </w:tc>
        <w:tc>
          <w:tcPr>
            <w:tcW w:w="7579" w:type="dxa"/>
          </w:tcPr>
          <w:p>
            <w:pPr>
              <w:pStyle w:val="TableParagraph"/>
              <w:spacing w:line="261" w:lineRule="exact"/>
              <w:ind w:left="107"/>
              <w:rPr>
                <w:b/>
                <w:sz w:val="21"/>
              </w:rPr>
            </w:pPr>
            <w:r>
              <w:rPr>
                <w:b/>
                <w:sz w:val="21"/>
              </w:rPr>
              <w:t>在任何治愈艾滋病（AIDS）或阻止 HIV 病毒作用的疗法被发现以后，或能防止</w:t>
            </w:r>
          </w:p>
        </w:tc>
      </w:tr>
      <w:tr>
        <w:trPr>
          <w:trHeight w:val="311" w:hRule="atLeast"/>
        </w:trPr>
        <w:tc>
          <w:tcPr>
            <w:tcW w:w="2492" w:type="dxa"/>
            <w:gridSpan w:val="2"/>
            <w:vMerge/>
            <w:tcBorders>
              <w:top w:val="nil"/>
            </w:tcBorders>
          </w:tcPr>
          <w:p>
            <w:pPr>
              <w:rPr>
                <w:sz w:val="2"/>
                <w:szCs w:val="2"/>
              </w:rPr>
            </w:pPr>
          </w:p>
        </w:tc>
        <w:tc>
          <w:tcPr>
            <w:tcW w:w="7579" w:type="dxa"/>
          </w:tcPr>
          <w:p>
            <w:pPr>
              <w:pStyle w:val="TableParagraph"/>
              <w:spacing w:line="261" w:lineRule="exact"/>
              <w:ind w:left="107"/>
              <w:rPr>
                <w:b/>
                <w:sz w:val="21"/>
              </w:rPr>
            </w:pPr>
            <w:r>
              <w:rPr>
                <w:b/>
                <w:sz w:val="21"/>
              </w:rPr>
              <w:t>AIDS 发生的医疗方法被研究出来以后，本保障将不再予以赔付。</w:t>
            </w:r>
          </w:p>
        </w:tc>
      </w:tr>
      <w:tr>
        <w:trPr>
          <w:trHeight w:val="261" w:hRule="atLeast"/>
        </w:trPr>
        <w:tc>
          <w:tcPr>
            <w:tcW w:w="2492" w:type="dxa"/>
            <w:gridSpan w:val="2"/>
            <w:vMerge/>
            <w:tcBorders>
              <w:top w:val="nil"/>
            </w:tcBorders>
          </w:tcPr>
          <w:p>
            <w:pPr>
              <w:rPr>
                <w:sz w:val="2"/>
                <w:szCs w:val="2"/>
              </w:rPr>
            </w:pPr>
          </w:p>
        </w:tc>
        <w:tc>
          <w:tcPr>
            <w:tcW w:w="7579" w:type="dxa"/>
          </w:tcPr>
          <w:p>
            <w:pPr>
              <w:pStyle w:val="TableParagraph"/>
              <w:spacing w:line="242" w:lineRule="exact"/>
              <w:ind w:left="107"/>
              <w:rPr>
                <w:b/>
                <w:sz w:val="21"/>
              </w:rPr>
            </w:pPr>
            <w:r>
              <w:rPr>
                <w:b/>
                <w:spacing w:val="-3"/>
                <w:sz w:val="21"/>
              </w:rPr>
              <w:t>任何因其他传播方式</w:t>
            </w:r>
            <w:r>
              <w:rPr>
                <w:b/>
                <w:sz w:val="21"/>
              </w:rPr>
              <w:t>（</w:t>
            </w:r>
            <w:r>
              <w:rPr>
                <w:b/>
                <w:spacing w:val="-6"/>
                <w:sz w:val="21"/>
              </w:rPr>
              <w:t>包括：性传播或静脉注射毒品</w:t>
            </w:r>
            <w:r>
              <w:rPr>
                <w:b/>
                <w:spacing w:val="-25"/>
                <w:sz w:val="21"/>
              </w:rPr>
              <w:t>）</w:t>
            </w:r>
            <w:r>
              <w:rPr>
                <w:b/>
                <w:spacing w:val="-12"/>
                <w:sz w:val="21"/>
              </w:rPr>
              <w:t>导致的 </w:t>
            </w:r>
            <w:r>
              <w:rPr>
                <w:b/>
                <w:sz w:val="21"/>
              </w:rPr>
              <w:t>HIV</w:t>
            </w:r>
            <w:r>
              <w:rPr>
                <w:b/>
                <w:spacing w:val="-9"/>
                <w:sz w:val="21"/>
              </w:rPr>
              <w:t> 感染不在本保</w:t>
            </w:r>
          </w:p>
        </w:tc>
      </w:tr>
    </w:tbl>
    <w:p>
      <w:pPr>
        <w:spacing w:after="0" w:line="242" w:lineRule="exact"/>
        <w:rPr>
          <w:sz w:val="21"/>
        </w:rPr>
        <w:sectPr>
          <w:type w:val="continuous"/>
          <w:pgSz w:w="11910" w:h="16840"/>
          <w:pgMar w:top="240" w:bottom="280" w:left="86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729"/>
      </w:tblGrid>
      <w:tr>
        <w:trPr>
          <w:trHeight w:val="725" w:hRule="atLeast"/>
        </w:trPr>
        <w:tc>
          <w:tcPr>
            <w:tcW w:w="1023" w:type="dxa"/>
          </w:tcPr>
          <w:p>
            <w:pPr>
              <w:pStyle w:val="TableParagraph"/>
              <w:rPr>
                <w:rFonts w:ascii="Times New Roman"/>
                <w:sz w:val="20"/>
              </w:rPr>
            </w:pPr>
          </w:p>
        </w:tc>
        <w:tc>
          <w:tcPr>
            <w:tcW w:w="1618" w:type="dxa"/>
          </w:tcPr>
          <w:p>
            <w:pPr>
              <w:pStyle w:val="TableParagraph"/>
              <w:rPr>
                <w:rFonts w:ascii="Times New Roman"/>
                <w:sz w:val="20"/>
              </w:rPr>
            </w:pPr>
          </w:p>
        </w:tc>
        <w:tc>
          <w:tcPr>
            <w:tcW w:w="7729" w:type="dxa"/>
          </w:tcPr>
          <w:p>
            <w:pPr>
              <w:pStyle w:val="TableParagraph"/>
              <w:spacing w:line="204" w:lineRule="exact"/>
              <w:ind w:left="108"/>
              <w:rPr>
                <w:b/>
                <w:sz w:val="21"/>
              </w:rPr>
            </w:pPr>
            <w:r>
              <w:rPr>
                <w:b/>
                <w:sz w:val="21"/>
              </w:rPr>
              <w:t>单保障范围内。保险公司必须拥有获得使用被保险人的所有血液样本的权利和能</w:t>
            </w:r>
          </w:p>
          <w:p>
            <w:pPr>
              <w:pStyle w:val="TableParagraph"/>
              <w:spacing w:before="37"/>
              <w:ind w:left="108"/>
              <w:rPr>
                <w:b/>
                <w:sz w:val="21"/>
              </w:rPr>
            </w:pPr>
            <w:r>
              <w:rPr>
                <w:b/>
                <w:sz w:val="21"/>
              </w:rPr>
              <w:t>够对这些样本进行独立检验的权利。</w:t>
            </w:r>
          </w:p>
        </w:tc>
      </w:tr>
      <w:tr>
        <w:trPr>
          <w:trHeight w:val="1248" w:hRule="atLeast"/>
        </w:trPr>
        <w:tc>
          <w:tcPr>
            <w:tcW w:w="1023" w:type="dxa"/>
          </w:tcPr>
          <w:p>
            <w:pPr>
              <w:pStyle w:val="TableParagraph"/>
              <w:spacing w:before="128"/>
              <w:ind w:right="187"/>
              <w:jc w:val="right"/>
              <w:rPr>
                <w:i/>
                <w:sz w:val="22"/>
              </w:rPr>
            </w:pPr>
            <w:r>
              <w:rPr>
                <w:i/>
                <w:w w:val="95"/>
                <w:sz w:val="22"/>
              </w:rPr>
              <w:t>3.2.35</w:t>
            </w:r>
          </w:p>
        </w:tc>
        <w:tc>
          <w:tcPr>
            <w:tcW w:w="1618" w:type="dxa"/>
          </w:tcPr>
          <w:p>
            <w:pPr>
              <w:pStyle w:val="TableParagraph"/>
              <w:spacing w:before="128"/>
              <w:ind w:left="190"/>
              <w:rPr>
                <w:i/>
                <w:sz w:val="22"/>
              </w:rPr>
            </w:pPr>
            <w:r>
              <w:rPr>
                <w:i/>
                <w:w w:val="95"/>
                <w:sz w:val="22"/>
              </w:rPr>
              <w:t>严重克隆病</w:t>
            </w:r>
          </w:p>
        </w:tc>
        <w:tc>
          <w:tcPr>
            <w:tcW w:w="7729" w:type="dxa"/>
          </w:tcPr>
          <w:p>
            <w:pPr>
              <w:pStyle w:val="TableParagraph"/>
              <w:spacing w:line="273" w:lineRule="auto" w:before="140"/>
              <w:ind w:left="108" w:right="304"/>
              <w:jc w:val="both"/>
              <w:rPr>
                <w:b/>
                <w:sz w:val="21"/>
              </w:rPr>
            </w:pPr>
            <w:r>
              <w:rPr>
                <w:spacing w:val="-6"/>
                <w:sz w:val="21"/>
              </w:rPr>
              <w:t>克隆病是一种慢性肉芽肿性肠炎，具有特征性的克隆病病理组织学变化。诊断必</w:t>
            </w:r>
            <w:r>
              <w:rPr>
                <w:spacing w:val="-10"/>
                <w:sz w:val="21"/>
              </w:rPr>
              <w:t>须由病理检查结果证实。</w:t>
            </w:r>
            <w:r>
              <w:rPr>
                <w:b/>
                <w:spacing w:val="-3"/>
                <w:sz w:val="21"/>
              </w:rPr>
              <w:t>被保险人所患的克隆病必须已经造成瘘管形成并伴有肠梗阻或肠穿孔。</w:t>
            </w:r>
          </w:p>
        </w:tc>
      </w:tr>
      <w:tr>
        <w:trPr>
          <w:trHeight w:val="1560" w:hRule="atLeast"/>
        </w:trPr>
        <w:tc>
          <w:tcPr>
            <w:tcW w:w="1023" w:type="dxa"/>
          </w:tcPr>
          <w:p>
            <w:pPr>
              <w:pStyle w:val="TableParagraph"/>
              <w:spacing w:before="128"/>
              <w:ind w:right="187"/>
              <w:jc w:val="right"/>
              <w:rPr>
                <w:i/>
                <w:sz w:val="22"/>
              </w:rPr>
            </w:pPr>
            <w:r>
              <w:rPr>
                <w:i/>
                <w:w w:val="95"/>
                <w:sz w:val="22"/>
              </w:rPr>
              <w:t>3.2.36</w:t>
            </w:r>
          </w:p>
        </w:tc>
        <w:tc>
          <w:tcPr>
            <w:tcW w:w="1618" w:type="dxa"/>
          </w:tcPr>
          <w:p>
            <w:pPr>
              <w:pStyle w:val="TableParagraph"/>
              <w:spacing w:line="259" w:lineRule="auto" w:before="128"/>
              <w:ind w:left="190" w:right="104"/>
              <w:rPr>
                <w:i/>
                <w:sz w:val="22"/>
              </w:rPr>
            </w:pPr>
            <w:r>
              <w:rPr>
                <w:i/>
                <w:w w:val="95"/>
                <w:sz w:val="22"/>
              </w:rPr>
              <w:t>严重溃疡性结肠炎</w:t>
            </w:r>
          </w:p>
        </w:tc>
        <w:tc>
          <w:tcPr>
            <w:tcW w:w="7729" w:type="dxa"/>
          </w:tcPr>
          <w:p>
            <w:pPr>
              <w:pStyle w:val="TableParagraph"/>
              <w:spacing w:line="273" w:lineRule="auto" w:before="140"/>
              <w:ind w:left="108" w:right="304"/>
              <w:jc w:val="both"/>
              <w:rPr>
                <w:b/>
                <w:sz w:val="21"/>
              </w:rPr>
            </w:pPr>
            <w:r>
              <w:rPr>
                <w:sz w:val="21"/>
              </w:rPr>
              <w:t>本保障所指的严重溃疡性结肠炎是指伴有致命性电解质紊乱的急性暴发性溃疡</w:t>
            </w:r>
            <w:r>
              <w:rPr>
                <w:spacing w:val="-7"/>
                <w:sz w:val="21"/>
              </w:rPr>
              <w:t>性结肠炎，病变累及全结肠，表现为严重的血便和系统性症状体征，治疗通常采取全结肠切除和回肠造瘘术。</w:t>
            </w:r>
            <w:r>
              <w:rPr>
                <w:b/>
                <w:spacing w:val="-4"/>
                <w:sz w:val="21"/>
              </w:rPr>
              <w:t>溃疡性结肠炎必须根据组织病理学特点诊断，并且被保险人已经接受了结肠切除和</w:t>
            </w:r>
            <w:r>
              <w:rPr>
                <w:b/>
                <w:sz w:val="21"/>
              </w:rPr>
              <w:t>/或回肠造瘘术。</w:t>
            </w:r>
          </w:p>
        </w:tc>
      </w:tr>
      <w:tr>
        <w:trPr>
          <w:trHeight w:val="2808" w:hRule="atLeast"/>
        </w:trPr>
        <w:tc>
          <w:tcPr>
            <w:tcW w:w="1023" w:type="dxa"/>
          </w:tcPr>
          <w:p>
            <w:pPr>
              <w:pStyle w:val="TableParagraph"/>
              <w:spacing w:before="128"/>
              <w:ind w:right="187"/>
              <w:jc w:val="right"/>
              <w:rPr>
                <w:i/>
                <w:sz w:val="22"/>
              </w:rPr>
            </w:pPr>
            <w:r>
              <w:rPr>
                <w:i/>
                <w:w w:val="95"/>
                <w:sz w:val="22"/>
              </w:rPr>
              <w:t>3.2.37</w:t>
            </w:r>
          </w:p>
        </w:tc>
        <w:tc>
          <w:tcPr>
            <w:tcW w:w="1618" w:type="dxa"/>
          </w:tcPr>
          <w:p>
            <w:pPr>
              <w:pStyle w:val="TableParagraph"/>
              <w:spacing w:before="128"/>
              <w:ind w:left="190"/>
              <w:rPr>
                <w:i/>
                <w:sz w:val="22"/>
              </w:rPr>
            </w:pPr>
            <w:r>
              <w:rPr>
                <w:i/>
                <w:w w:val="95"/>
                <w:sz w:val="22"/>
              </w:rPr>
              <w:t>1 型糖尿病</w:t>
            </w:r>
          </w:p>
        </w:tc>
        <w:tc>
          <w:tcPr>
            <w:tcW w:w="7729" w:type="dxa"/>
          </w:tcPr>
          <w:p>
            <w:pPr>
              <w:pStyle w:val="TableParagraph"/>
              <w:spacing w:before="140"/>
              <w:ind w:left="108"/>
              <w:rPr>
                <w:sz w:val="21"/>
              </w:rPr>
            </w:pPr>
            <w:r>
              <w:rPr>
                <w:sz w:val="21"/>
              </w:rPr>
              <w:t>1 型糖尿病的特征为由于胰岛素分泌绝对不足引起严重胰岛素缺乏导致慢性血糖</w:t>
            </w:r>
          </w:p>
          <w:p>
            <w:pPr>
              <w:pStyle w:val="TableParagraph"/>
              <w:spacing w:line="273" w:lineRule="auto" w:before="37"/>
              <w:ind w:left="108" w:right="303"/>
              <w:jc w:val="both"/>
              <w:rPr>
                <w:sz w:val="21"/>
              </w:rPr>
            </w:pPr>
            <w:r>
              <w:rPr>
                <w:spacing w:val="-4"/>
                <w:sz w:val="21"/>
              </w:rPr>
              <w:t>升高，需要依赖外源性胰岛素进行机体的葡萄糖代谢和维持生命。被保险人的 </w:t>
            </w:r>
            <w:r>
              <w:rPr>
                <w:sz w:val="21"/>
              </w:rPr>
              <w:t>1 </w:t>
            </w:r>
            <w:r>
              <w:rPr>
                <w:spacing w:val="-9"/>
                <w:sz w:val="21"/>
              </w:rPr>
              <w:t>型糖尿病必须明确诊断，而且有血胰岛素测定及血 </w:t>
            </w:r>
            <w:r>
              <w:rPr>
                <w:sz w:val="21"/>
              </w:rPr>
              <w:t>C</w:t>
            </w:r>
            <w:r>
              <w:rPr>
                <w:spacing w:val="-19"/>
                <w:sz w:val="21"/>
              </w:rPr>
              <w:t> 肽或尿 </w:t>
            </w:r>
            <w:r>
              <w:rPr>
                <w:sz w:val="21"/>
              </w:rPr>
              <w:t>C</w:t>
            </w:r>
            <w:r>
              <w:rPr>
                <w:spacing w:val="-8"/>
                <w:sz w:val="21"/>
              </w:rPr>
              <w:t> 肽测定结果支持诊</w:t>
            </w:r>
            <w:r>
              <w:rPr>
                <w:spacing w:val="-5"/>
                <w:sz w:val="21"/>
              </w:rPr>
              <w:t>断，并且满足下列全部条件：</w:t>
            </w:r>
          </w:p>
          <w:p>
            <w:pPr>
              <w:pStyle w:val="TableParagraph"/>
              <w:spacing w:before="7"/>
              <w:ind w:left="108"/>
              <w:jc w:val="both"/>
              <w:rPr>
                <w:sz w:val="21"/>
              </w:rPr>
            </w:pPr>
            <w:r>
              <w:rPr>
                <w:sz w:val="21"/>
              </w:rPr>
              <w:t>（1）已经持续性地接受外源性胰岛素注射治疗连续 180 天以上；</w:t>
            </w:r>
          </w:p>
          <w:p>
            <w:pPr>
              <w:pStyle w:val="TableParagraph"/>
              <w:spacing w:before="36"/>
              <w:ind w:left="108"/>
              <w:jc w:val="both"/>
              <w:rPr>
                <w:sz w:val="21"/>
              </w:rPr>
            </w:pPr>
            <w:r>
              <w:rPr>
                <w:sz w:val="21"/>
              </w:rPr>
              <w:t>（2）因需要已经接受了下列治疗：</w:t>
            </w:r>
          </w:p>
          <w:p>
            <w:pPr>
              <w:pStyle w:val="TableParagraph"/>
              <w:numPr>
                <w:ilvl w:val="0"/>
                <w:numId w:val="3"/>
              </w:numPr>
              <w:tabs>
                <w:tab w:pos="425" w:val="left" w:leader="none"/>
              </w:tabs>
              <w:spacing w:line="240" w:lineRule="auto" w:before="36" w:after="0"/>
              <w:ind w:left="425" w:right="0" w:hanging="317"/>
              <w:jc w:val="both"/>
              <w:rPr>
                <w:sz w:val="21"/>
              </w:rPr>
            </w:pPr>
            <w:r>
              <w:rPr>
                <w:spacing w:val="-3"/>
                <w:sz w:val="21"/>
              </w:rPr>
              <w:t>因严重心律失常植入了心脏起搏器；或</w:t>
            </w:r>
          </w:p>
          <w:p>
            <w:pPr>
              <w:pStyle w:val="TableParagraph"/>
              <w:numPr>
                <w:ilvl w:val="0"/>
                <w:numId w:val="3"/>
              </w:numPr>
              <w:tabs>
                <w:tab w:pos="425" w:val="left" w:leader="none"/>
              </w:tabs>
              <w:spacing w:line="240" w:lineRule="auto" w:before="36" w:after="0"/>
              <w:ind w:left="425" w:right="0" w:hanging="317"/>
              <w:jc w:val="both"/>
              <w:rPr>
                <w:sz w:val="21"/>
              </w:rPr>
            </w:pPr>
            <w:r>
              <w:rPr>
                <w:spacing w:val="-3"/>
                <w:sz w:val="21"/>
              </w:rPr>
              <w:t>因坏疽自跖趾关节或以上切除了一趾或多趾。</w:t>
            </w:r>
          </w:p>
        </w:tc>
      </w:tr>
      <w:tr>
        <w:trPr>
          <w:trHeight w:val="1248" w:hRule="atLeast"/>
        </w:trPr>
        <w:tc>
          <w:tcPr>
            <w:tcW w:w="1023" w:type="dxa"/>
          </w:tcPr>
          <w:p>
            <w:pPr>
              <w:pStyle w:val="TableParagraph"/>
              <w:spacing w:before="128"/>
              <w:ind w:right="187"/>
              <w:jc w:val="right"/>
              <w:rPr>
                <w:i/>
                <w:sz w:val="22"/>
              </w:rPr>
            </w:pPr>
            <w:r>
              <w:rPr>
                <w:i/>
                <w:w w:val="95"/>
                <w:sz w:val="22"/>
              </w:rPr>
              <w:t>3.2.38</w:t>
            </w:r>
          </w:p>
        </w:tc>
        <w:tc>
          <w:tcPr>
            <w:tcW w:w="1618" w:type="dxa"/>
          </w:tcPr>
          <w:p>
            <w:pPr>
              <w:pStyle w:val="TableParagraph"/>
              <w:spacing w:before="128"/>
              <w:ind w:left="190"/>
              <w:rPr>
                <w:i/>
                <w:sz w:val="22"/>
              </w:rPr>
            </w:pPr>
            <w:r>
              <w:rPr>
                <w:i/>
                <w:w w:val="95"/>
                <w:sz w:val="22"/>
              </w:rPr>
              <w:t>肺源性心脏病</w:t>
            </w:r>
          </w:p>
        </w:tc>
        <w:tc>
          <w:tcPr>
            <w:tcW w:w="7729" w:type="dxa"/>
          </w:tcPr>
          <w:p>
            <w:pPr>
              <w:pStyle w:val="TableParagraph"/>
              <w:spacing w:line="273" w:lineRule="auto" w:before="140"/>
              <w:ind w:left="108" w:right="263"/>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560" w:hRule="atLeast"/>
        </w:trPr>
        <w:tc>
          <w:tcPr>
            <w:tcW w:w="1023" w:type="dxa"/>
          </w:tcPr>
          <w:p>
            <w:pPr>
              <w:pStyle w:val="TableParagraph"/>
              <w:spacing w:before="129"/>
              <w:ind w:right="187"/>
              <w:jc w:val="right"/>
              <w:rPr>
                <w:i/>
                <w:sz w:val="22"/>
              </w:rPr>
            </w:pPr>
            <w:r>
              <w:rPr>
                <w:i/>
                <w:w w:val="95"/>
                <w:sz w:val="22"/>
              </w:rPr>
              <w:t>3.2.39</w:t>
            </w:r>
          </w:p>
        </w:tc>
        <w:tc>
          <w:tcPr>
            <w:tcW w:w="1618" w:type="dxa"/>
          </w:tcPr>
          <w:p>
            <w:pPr>
              <w:pStyle w:val="TableParagraph"/>
              <w:spacing w:before="129"/>
              <w:ind w:left="190"/>
              <w:rPr>
                <w:i/>
                <w:sz w:val="22"/>
              </w:rPr>
            </w:pPr>
            <w:r>
              <w:rPr>
                <w:i/>
                <w:w w:val="95"/>
                <w:sz w:val="22"/>
              </w:rPr>
              <w:t>植物人状态</w:t>
            </w:r>
          </w:p>
        </w:tc>
        <w:tc>
          <w:tcPr>
            <w:tcW w:w="7729" w:type="dxa"/>
          </w:tcPr>
          <w:p>
            <w:pPr>
              <w:pStyle w:val="TableParagraph"/>
              <w:spacing w:line="273" w:lineRule="auto" w:before="140"/>
              <w:ind w:left="108" w:right="302"/>
              <w:jc w:val="both"/>
              <w:rPr>
                <w:b/>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8"/>
                <w:sz w:val="21"/>
              </w:rPr>
              <w:t>病状态。植物人状态必须明确诊断并且具有严重颅脑外伤和脑损害的证据。</w:t>
            </w:r>
            <w:r>
              <w:rPr>
                <w:b/>
                <w:sz w:val="21"/>
              </w:rPr>
              <w:t>植物</w:t>
            </w:r>
            <w:r>
              <w:rPr>
                <w:b/>
                <w:spacing w:val="-7"/>
                <w:sz w:val="21"/>
              </w:rPr>
              <w:t>人状态必须持续 </w:t>
            </w:r>
            <w:r>
              <w:rPr>
                <w:b/>
                <w:sz w:val="21"/>
              </w:rPr>
              <w:t>30</w:t>
            </w:r>
            <w:r>
              <w:rPr>
                <w:b/>
                <w:spacing w:val="-8"/>
                <w:sz w:val="21"/>
              </w:rPr>
              <w:t> 天以上方可申请理赔。</w:t>
            </w:r>
          </w:p>
        </w:tc>
      </w:tr>
      <w:tr>
        <w:trPr>
          <w:trHeight w:val="3436" w:hRule="atLeast"/>
        </w:trPr>
        <w:tc>
          <w:tcPr>
            <w:tcW w:w="1023" w:type="dxa"/>
          </w:tcPr>
          <w:p>
            <w:pPr>
              <w:pStyle w:val="TableParagraph"/>
              <w:spacing w:before="128"/>
              <w:ind w:right="187"/>
              <w:jc w:val="right"/>
              <w:rPr>
                <w:i/>
                <w:sz w:val="22"/>
              </w:rPr>
            </w:pPr>
            <w:r>
              <w:rPr>
                <w:i/>
                <w:w w:val="95"/>
                <w:sz w:val="22"/>
              </w:rPr>
              <w:t>3.2.40</w:t>
            </w:r>
          </w:p>
        </w:tc>
        <w:tc>
          <w:tcPr>
            <w:tcW w:w="1618" w:type="dxa"/>
          </w:tcPr>
          <w:p>
            <w:pPr>
              <w:pStyle w:val="TableParagraph"/>
              <w:spacing w:line="259" w:lineRule="auto" w:before="128"/>
              <w:ind w:left="190" w:right="104"/>
              <w:rPr>
                <w:i/>
                <w:sz w:val="22"/>
              </w:rPr>
            </w:pPr>
            <w:r>
              <w:rPr>
                <w:i/>
                <w:w w:val="95"/>
                <w:sz w:val="22"/>
              </w:rPr>
              <w:t>严重类风湿性关节炎</w:t>
            </w:r>
          </w:p>
        </w:tc>
        <w:tc>
          <w:tcPr>
            <w:tcW w:w="7729" w:type="dxa"/>
          </w:tcPr>
          <w:p>
            <w:pPr>
              <w:pStyle w:val="TableParagraph"/>
              <w:spacing w:line="273" w:lineRule="auto" w:before="140"/>
              <w:ind w:left="108"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pacing w:val="-3"/>
                <w:sz w:val="21"/>
              </w:rPr>
              <w:t>（</w:t>
            </w:r>
            <w:r>
              <w:rPr>
                <w:spacing w:val="-6"/>
                <w:sz w:val="21"/>
              </w:rPr>
              <w:t>关节活动严重限制，不能完成</w:t>
            </w:r>
            <w:r>
              <w:rPr>
                <w:spacing w:val="-3"/>
                <w:sz w:val="21"/>
              </w:rPr>
              <w:t>大部分的日常工作和活动</w:t>
            </w:r>
            <w:r>
              <w:rPr>
                <w:sz w:val="21"/>
              </w:rPr>
              <w:t>）</w:t>
            </w:r>
            <w:r>
              <w:rPr>
                <w:spacing w:val="-3"/>
                <w:sz w:val="21"/>
              </w:rPr>
              <w:t>并且满足下列全部条件：</w:t>
            </w:r>
          </w:p>
          <w:p>
            <w:pPr>
              <w:pStyle w:val="TableParagraph"/>
              <w:spacing w:before="7"/>
              <w:ind w:left="108"/>
              <w:rPr>
                <w:sz w:val="21"/>
              </w:rPr>
            </w:pPr>
            <w:r>
              <w:rPr>
                <w:sz w:val="21"/>
              </w:rPr>
              <w:t>（1）晨僵；</w:t>
            </w:r>
          </w:p>
          <w:p>
            <w:pPr>
              <w:pStyle w:val="TableParagraph"/>
              <w:spacing w:before="37"/>
              <w:ind w:left="108"/>
              <w:rPr>
                <w:sz w:val="21"/>
              </w:rPr>
            </w:pPr>
            <w:r>
              <w:rPr>
                <w:sz w:val="21"/>
              </w:rPr>
              <w:t>（2）对称性关节炎；</w:t>
            </w:r>
          </w:p>
          <w:p>
            <w:pPr>
              <w:pStyle w:val="TableParagraph"/>
              <w:spacing w:before="38"/>
              <w:ind w:left="108"/>
              <w:rPr>
                <w:sz w:val="21"/>
              </w:rPr>
            </w:pPr>
            <w:r>
              <w:rPr>
                <w:sz w:val="21"/>
              </w:rPr>
              <w:t>（3）类风湿性皮下结节；</w:t>
            </w:r>
          </w:p>
          <w:p>
            <w:pPr>
              <w:pStyle w:val="TableParagraph"/>
              <w:spacing w:before="37"/>
              <w:ind w:left="108"/>
              <w:rPr>
                <w:sz w:val="21"/>
              </w:rPr>
            </w:pPr>
            <w:r>
              <w:rPr>
                <w:sz w:val="21"/>
              </w:rPr>
              <w:t>（4）类风湿因子滴度升高；</w:t>
            </w:r>
          </w:p>
          <w:p>
            <w:pPr>
              <w:pStyle w:val="TableParagraph"/>
              <w:spacing w:before="37"/>
              <w:ind w:left="108"/>
              <w:rPr>
                <w:sz w:val="21"/>
              </w:rPr>
            </w:pPr>
            <w:r>
              <w:rPr>
                <w:sz w:val="21"/>
              </w:rPr>
              <w:t>（5）X 线显示严重的关节（软骨和骨）破坏和关节畸形。</w:t>
            </w:r>
          </w:p>
        </w:tc>
      </w:tr>
      <w:tr>
        <w:trPr>
          <w:trHeight w:val="1090" w:hRule="atLeast"/>
        </w:trPr>
        <w:tc>
          <w:tcPr>
            <w:tcW w:w="1023" w:type="dxa"/>
          </w:tcPr>
          <w:p>
            <w:pPr>
              <w:pStyle w:val="TableParagraph"/>
              <w:spacing w:before="132"/>
              <w:ind w:right="187"/>
              <w:jc w:val="right"/>
              <w:rPr>
                <w:i/>
                <w:sz w:val="22"/>
              </w:rPr>
            </w:pPr>
            <w:r>
              <w:rPr>
                <w:i/>
                <w:w w:val="95"/>
                <w:sz w:val="22"/>
              </w:rPr>
              <w:t>3.2.41</w:t>
            </w:r>
          </w:p>
        </w:tc>
        <w:tc>
          <w:tcPr>
            <w:tcW w:w="1618" w:type="dxa"/>
          </w:tcPr>
          <w:p>
            <w:pPr>
              <w:pStyle w:val="TableParagraph"/>
              <w:spacing w:line="259" w:lineRule="auto" w:before="132"/>
              <w:ind w:left="190" w:right="163"/>
              <w:jc w:val="both"/>
              <w:rPr>
                <w:i/>
                <w:sz w:val="22"/>
              </w:rPr>
            </w:pPr>
            <w:r>
              <w:rPr>
                <w:i/>
                <w:w w:val="95"/>
                <w:sz w:val="22"/>
              </w:rPr>
              <w:t>非阿尔茨海默病所致严重痴</w:t>
            </w:r>
            <w:r>
              <w:rPr>
                <w:i/>
                <w:sz w:val="22"/>
              </w:rPr>
              <w:t>呆</w:t>
            </w:r>
          </w:p>
        </w:tc>
        <w:tc>
          <w:tcPr>
            <w:tcW w:w="7729" w:type="dxa"/>
          </w:tcPr>
          <w:p>
            <w:pPr>
              <w:pStyle w:val="TableParagraph"/>
              <w:spacing w:before="168"/>
              <w:ind w:left="108"/>
              <w:rPr>
                <w:sz w:val="21"/>
              </w:rPr>
            </w:pPr>
            <w:r>
              <w:rPr>
                <w:sz w:val="21"/>
              </w:rPr>
              <w:t>指因阿尔茨海默病以外的脑的器质性疾病造成脑功能衰竭导致永久不可逆性的</w:t>
            </w:r>
          </w:p>
          <w:p>
            <w:pPr>
              <w:pStyle w:val="TableParagraph"/>
              <w:spacing w:line="320" w:lineRule="atLeast" w:before="1"/>
              <w:ind w:left="108" w:right="302"/>
              <w:rPr>
                <w:sz w:val="21"/>
              </w:rPr>
            </w:pP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w:t>
            </w:r>
          </w:p>
        </w:tc>
      </w:tr>
    </w:tbl>
    <w:p>
      <w:pPr>
        <w:spacing w:after="0" w:line="320" w:lineRule="atLeast"/>
        <w:rPr>
          <w:sz w:val="21"/>
        </w:rPr>
        <w:sectPr>
          <w:pgSz w:w="11910" w:h="16840"/>
          <w:pgMar w:header="0" w:footer="922" w:top="148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91"/>
        <w:gridCol w:w="7754"/>
      </w:tblGrid>
      <w:tr>
        <w:trPr>
          <w:trHeight w:val="1049" w:hRule="atLeast"/>
        </w:trPr>
        <w:tc>
          <w:tcPr>
            <w:tcW w:w="1023" w:type="dxa"/>
          </w:tcPr>
          <w:p>
            <w:pPr>
              <w:pStyle w:val="TableParagraph"/>
              <w:rPr>
                <w:rFonts w:ascii="Times New Roman"/>
                <w:sz w:val="20"/>
              </w:rPr>
            </w:pPr>
          </w:p>
        </w:tc>
        <w:tc>
          <w:tcPr>
            <w:tcW w:w="1591" w:type="dxa"/>
          </w:tcPr>
          <w:p>
            <w:pPr>
              <w:pStyle w:val="TableParagraph"/>
              <w:rPr>
                <w:rFonts w:ascii="Times New Roman"/>
                <w:sz w:val="20"/>
              </w:rPr>
            </w:pPr>
          </w:p>
        </w:tc>
        <w:tc>
          <w:tcPr>
            <w:tcW w:w="7754" w:type="dxa"/>
          </w:tcPr>
          <w:p>
            <w:pPr>
              <w:pStyle w:val="TableParagraph"/>
              <w:spacing w:line="208" w:lineRule="exact"/>
              <w:ind w:left="135"/>
              <w:rPr>
                <w:sz w:val="21"/>
              </w:rPr>
            </w:pPr>
            <w:r>
              <w:rPr>
                <w:sz w:val="21"/>
              </w:rPr>
              <w:t>以上，日常生活必须持续受到他人监护。导致痴呆的疾病必须明确诊断，并且由</w:t>
            </w:r>
          </w:p>
          <w:p>
            <w:pPr>
              <w:pStyle w:val="TableParagraph"/>
              <w:spacing w:line="280" w:lineRule="auto" w:before="44"/>
              <w:ind w:left="135" w:right="246"/>
              <w:rPr>
                <w:b/>
                <w:sz w:val="21"/>
              </w:rPr>
            </w:pPr>
            <w:r>
              <w:rPr>
                <w:sz w:val="21"/>
              </w:rPr>
              <w:t>完整的临床、实验室和影像学检查结果证实。</w:t>
            </w:r>
            <w:r>
              <w:rPr>
                <w:b/>
                <w:sz w:val="21"/>
              </w:rPr>
              <w:t>神经官能症和精神疾病不在保障范围内。</w:t>
            </w:r>
          </w:p>
        </w:tc>
      </w:tr>
      <w:tr>
        <w:trPr>
          <w:trHeight w:val="1867" w:hRule="atLeast"/>
        </w:trPr>
        <w:tc>
          <w:tcPr>
            <w:tcW w:w="1023" w:type="dxa"/>
          </w:tcPr>
          <w:p>
            <w:pPr>
              <w:pStyle w:val="TableParagraph"/>
              <w:spacing w:before="128"/>
              <w:ind w:right="187"/>
              <w:jc w:val="right"/>
              <w:rPr>
                <w:i/>
                <w:sz w:val="22"/>
              </w:rPr>
            </w:pPr>
            <w:r>
              <w:rPr>
                <w:i/>
                <w:w w:val="95"/>
                <w:sz w:val="22"/>
              </w:rPr>
              <w:t>3.2.42</w:t>
            </w:r>
          </w:p>
        </w:tc>
        <w:tc>
          <w:tcPr>
            <w:tcW w:w="1591" w:type="dxa"/>
          </w:tcPr>
          <w:p>
            <w:pPr>
              <w:pStyle w:val="TableParagraph"/>
              <w:spacing w:before="128"/>
              <w:ind w:left="190"/>
              <w:rPr>
                <w:i/>
                <w:sz w:val="22"/>
              </w:rPr>
            </w:pPr>
            <w:r>
              <w:rPr>
                <w:i/>
                <w:w w:val="95"/>
                <w:sz w:val="22"/>
              </w:rPr>
              <w:t>终末期疾病</w:t>
            </w:r>
          </w:p>
        </w:tc>
        <w:tc>
          <w:tcPr>
            <w:tcW w:w="7754" w:type="dxa"/>
          </w:tcPr>
          <w:p>
            <w:pPr>
              <w:pStyle w:val="TableParagraph"/>
              <w:spacing w:line="273" w:lineRule="auto" w:before="139"/>
              <w:ind w:left="135" w:right="300"/>
              <w:jc w:val="both"/>
              <w:rPr>
                <w:b/>
                <w:sz w:val="21"/>
              </w:rPr>
            </w:pPr>
            <w:r>
              <w:rPr>
                <w:sz w:val="21"/>
              </w:rPr>
              <w:t>被保险人被确诊为疾病的终末期状态。疾病已经无法以现有的医疗技术医治缓</w:t>
            </w:r>
            <w:r>
              <w:rPr>
                <w:spacing w:val="-7"/>
                <w:sz w:val="21"/>
              </w:rPr>
              <w:t>解，并且根据临床医学经验判断被保险人将于未来六个月内死亡。在家属及患者的要求和医师的同意下积极治疗已被放弃，所有治疗措施仅以减轻患者痛苦为目</w:t>
            </w:r>
            <w:r>
              <w:rPr>
                <w:spacing w:val="-39"/>
                <w:sz w:val="21"/>
              </w:rPr>
              <w:t>的。</w:t>
            </w:r>
            <w:r>
              <w:rPr>
                <w:b/>
                <w:spacing w:val="-3"/>
                <w:sz w:val="21"/>
              </w:rPr>
              <w:t>此疾病状态必须在被保险人生前已经确诊并且具有医疗证明文件和临床检查依据。</w:t>
            </w:r>
          </w:p>
        </w:tc>
      </w:tr>
      <w:tr>
        <w:trPr>
          <w:trHeight w:val="2496" w:hRule="atLeast"/>
        </w:trPr>
        <w:tc>
          <w:tcPr>
            <w:tcW w:w="1023" w:type="dxa"/>
          </w:tcPr>
          <w:p>
            <w:pPr>
              <w:pStyle w:val="TableParagraph"/>
              <w:spacing w:before="132"/>
              <w:ind w:right="187"/>
              <w:jc w:val="right"/>
              <w:rPr>
                <w:i/>
                <w:sz w:val="22"/>
              </w:rPr>
            </w:pPr>
            <w:r>
              <w:rPr>
                <w:i/>
                <w:w w:val="95"/>
                <w:sz w:val="22"/>
              </w:rPr>
              <w:t>3.2.43</w:t>
            </w:r>
          </w:p>
        </w:tc>
        <w:tc>
          <w:tcPr>
            <w:tcW w:w="1591" w:type="dxa"/>
          </w:tcPr>
          <w:p>
            <w:pPr>
              <w:pStyle w:val="TableParagraph"/>
              <w:spacing w:line="247" w:lineRule="auto" w:before="132"/>
              <w:ind w:left="190" w:right="131"/>
              <w:rPr>
                <w:b/>
                <w:i/>
                <w:sz w:val="22"/>
              </w:rPr>
            </w:pPr>
            <w:r>
              <w:rPr>
                <w:b/>
                <w:i/>
                <w:w w:val="95"/>
                <w:sz w:val="22"/>
              </w:rPr>
              <w:t>严重哮喘（</w:t>
            </w:r>
            <w:r>
              <w:rPr>
                <w:rFonts w:ascii="Times New Roman" w:eastAsia="Times New Roman"/>
                <w:b/>
                <w:i/>
                <w:w w:val="95"/>
                <w:sz w:val="21"/>
              </w:rPr>
              <w:t>25 </w:t>
            </w:r>
            <w:r>
              <w:rPr>
                <w:b/>
                <w:i/>
                <w:w w:val="95"/>
                <w:sz w:val="22"/>
              </w:rPr>
              <w:t>周岁前理赔）</w:t>
            </w:r>
          </w:p>
        </w:tc>
        <w:tc>
          <w:tcPr>
            <w:tcW w:w="7754" w:type="dxa"/>
          </w:tcPr>
          <w:p>
            <w:pPr>
              <w:pStyle w:val="TableParagraph"/>
              <w:spacing w:line="273" w:lineRule="auto" w:before="144"/>
              <w:ind w:left="135" w:right="253"/>
              <w:rPr>
                <w:sz w:val="21"/>
              </w:rPr>
            </w:pPr>
            <w:r>
              <w:rPr>
                <w:sz w:val="21"/>
              </w:rPr>
              <w:t>指一种反复发作的严重支气管阻塞性疾病，经我们认可的专科医生确诊，且必须同时符合下列标准：</w:t>
            </w:r>
          </w:p>
          <w:p>
            <w:pPr>
              <w:pStyle w:val="TableParagraph"/>
              <w:spacing w:before="7"/>
              <w:ind w:left="135"/>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35"/>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135"/>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135" w:right="2256"/>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567" w:hRule="atLeast"/>
        </w:trPr>
        <w:tc>
          <w:tcPr>
            <w:tcW w:w="1023" w:type="dxa"/>
          </w:tcPr>
          <w:p>
            <w:pPr>
              <w:pStyle w:val="TableParagraph"/>
              <w:spacing w:before="132"/>
              <w:ind w:right="187"/>
              <w:jc w:val="right"/>
              <w:rPr>
                <w:i/>
                <w:sz w:val="22"/>
              </w:rPr>
            </w:pPr>
            <w:r>
              <w:rPr>
                <w:i/>
                <w:w w:val="95"/>
                <w:sz w:val="22"/>
              </w:rPr>
              <w:t>3.2.44</w:t>
            </w:r>
          </w:p>
        </w:tc>
        <w:tc>
          <w:tcPr>
            <w:tcW w:w="1591" w:type="dxa"/>
          </w:tcPr>
          <w:p>
            <w:pPr>
              <w:pStyle w:val="TableParagraph"/>
              <w:spacing w:before="132"/>
              <w:ind w:left="190"/>
              <w:rPr>
                <w:i/>
                <w:sz w:val="22"/>
              </w:rPr>
            </w:pPr>
            <w:r>
              <w:rPr>
                <w:i/>
                <w:w w:val="95"/>
                <w:sz w:val="22"/>
              </w:rPr>
              <w:t>严重川崎病</w:t>
            </w:r>
          </w:p>
        </w:tc>
        <w:tc>
          <w:tcPr>
            <w:tcW w:w="7754" w:type="dxa"/>
          </w:tcPr>
          <w:p>
            <w:pPr>
              <w:pStyle w:val="TableParagraph"/>
              <w:spacing w:line="273" w:lineRule="auto" w:before="144"/>
              <w:ind w:left="135" w:right="302"/>
              <w:rPr>
                <w:sz w:val="21"/>
              </w:rPr>
            </w:pPr>
            <w:r>
              <w:rPr>
                <w:spacing w:val="-6"/>
                <w:sz w:val="21"/>
              </w:rPr>
              <w:t>是指原因不明的系统性血管炎，本病须经专科医师明确诊断，并须满足下列全部条件：</w:t>
            </w:r>
          </w:p>
          <w:p>
            <w:pPr>
              <w:pStyle w:val="TableParagraph"/>
              <w:spacing w:before="7"/>
              <w:ind w:left="135"/>
              <w:rPr>
                <w:sz w:val="21"/>
              </w:rPr>
            </w:pPr>
            <w:r>
              <w:rPr>
                <w:sz w:val="21"/>
              </w:rPr>
              <w:t>（</w:t>
            </w:r>
            <w:r>
              <w:rPr>
                <w:rFonts w:ascii="Times New Roman" w:eastAsia="Times New Roman"/>
                <w:sz w:val="21"/>
              </w:rPr>
              <w:t>1</w:t>
            </w:r>
            <w:r>
              <w:rPr>
                <w:sz w:val="21"/>
              </w:rPr>
              <w:t>）超声心动图显示川崎病并发冠状动脉瘤或其他心血管异常；</w:t>
            </w:r>
          </w:p>
          <w:p>
            <w:pPr>
              <w:pStyle w:val="TableParagraph"/>
              <w:spacing w:before="21"/>
              <w:ind w:left="135"/>
              <w:rPr>
                <w:sz w:val="21"/>
              </w:rPr>
            </w:pPr>
            <w:r>
              <w:rPr>
                <w:sz w:val="21"/>
              </w:rPr>
              <w:t>（</w:t>
            </w:r>
            <w:r>
              <w:rPr>
                <w:rFonts w:ascii="Times New Roman" w:eastAsia="Times New Roman"/>
                <w:sz w:val="21"/>
              </w:rPr>
              <w:t>2</w:t>
            </w:r>
            <w:r>
              <w:rPr>
                <w:sz w:val="21"/>
              </w:rPr>
              <w:t>）已接受了针对川崎病并发冠状动脉瘤或其他心血管异常所进行的手术治疗。</w:t>
            </w:r>
          </w:p>
        </w:tc>
      </w:tr>
      <w:tr>
        <w:trPr>
          <w:trHeight w:val="1872" w:hRule="atLeast"/>
        </w:trPr>
        <w:tc>
          <w:tcPr>
            <w:tcW w:w="1023" w:type="dxa"/>
          </w:tcPr>
          <w:p>
            <w:pPr>
              <w:pStyle w:val="TableParagraph"/>
              <w:spacing w:before="124"/>
              <w:ind w:right="187"/>
              <w:jc w:val="right"/>
              <w:rPr>
                <w:i/>
                <w:sz w:val="22"/>
              </w:rPr>
            </w:pPr>
            <w:r>
              <w:rPr>
                <w:i/>
                <w:w w:val="95"/>
                <w:sz w:val="22"/>
              </w:rPr>
              <w:t>3.2.45</w:t>
            </w:r>
          </w:p>
        </w:tc>
        <w:tc>
          <w:tcPr>
            <w:tcW w:w="1591" w:type="dxa"/>
          </w:tcPr>
          <w:p>
            <w:pPr>
              <w:pStyle w:val="TableParagraph"/>
              <w:spacing w:line="259" w:lineRule="auto" w:before="124"/>
              <w:ind w:left="190" w:right="136"/>
              <w:rPr>
                <w:i/>
                <w:sz w:val="22"/>
              </w:rPr>
            </w:pPr>
            <w:r>
              <w:rPr>
                <w:i/>
                <w:w w:val="95"/>
                <w:sz w:val="22"/>
              </w:rPr>
              <w:t>严重的系统性硬皮病</w:t>
            </w:r>
          </w:p>
        </w:tc>
        <w:tc>
          <w:tcPr>
            <w:tcW w:w="7754" w:type="dxa"/>
          </w:tcPr>
          <w:p>
            <w:pPr>
              <w:pStyle w:val="TableParagraph"/>
              <w:spacing w:line="273" w:lineRule="auto" w:before="136"/>
              <w:ind w:left="135" w:right="253"/>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35"/>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35"/>
              <w:rPr>
                <w:sz w:val="21"/>
              </w:rPr>
            </w:pPr>
            <w:r>
              <w:rPr>
                <w:sz w:val="21"/>
              </w:rPr>
              <w:t>（</w:t>
            </w:r>
            <w:r>
              <w:rPr>
                <w:rFonts w:ascii="Times New Roman" w:eastAsia="Times New Roman"/>
                <w:sz w:val="21"/>
              </w:rPr>
              <w:t>2</w:t>
            </w:r>
            <w:r>
              <w:rPr>
                <w:sz w:val="21"/>
              </w:rPr>
              <w:t>）心脏：心功能受损达到纽约心脏病学会的心功能分级标准之心功能 </w:t>
            </w:r>
            <w:r>
              <w:rPr>
                <w:rFonts w:ascii="Times New Roman" w:eastAsia="Times New Roman"/>
                <w:sz w:val="21"/>
              </w:rPr>
              <w:t>IV </w:t>
            </w:r>
            <w:r>
              <w:rPr>
                <w:sz w:val="21"/>
              </w:rPr>
              <w:t>级；</w:t>
            </w:r>
          </w:p>
          <w:p>
            <w:pPr>
              <w:pStyle w:val="TableParagraph"/>
              <w:spacing w:before="20"/>
              <w:ind w:left="135"/>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240" w:hRule="atLeast"/>
        </w:trPr>
        <w:tc>
          <w:tcPr>
            <w:tcW w:w="1023" w:type="dxa"/>
          </w:tcPr>
          <w:p>
            <w:pPr>
              <w:pStyle w:val="TableParagraph"/>
              <w:spacing w:before="124"/>
              <w:ind w:right="187"/>
              <w:jc w:val="right"/>
              <w:rPr>
                <w:i/>
                <w:sz w:val="22"/>
              </w:rPr>
            </w:pPr>
            <w:r>
              <w:rPr>
                <w:i/>
                <w:w w:val="95"/>
                <w:sz w:val="22"/>
              </w:rPr>
              <w:t>3.2.46</w:t>
            </w:r>
          </w:p>
        </w:tc>
        <w:tc>
          <w:tcPr>
            <w:tcW w:w="1591" w:type="dxa"/>
          </w:tcPr>
          <w:p>
            <w:pPr>
              <w:pStyle w:val="TableParagraph"/>
              <w:spacing w:line="259" w:lineRule="auto" w:before="124"/>
              <w:ind w:left="190" w:right="136"/>
              <w:rPr>
                <w:i/>
                <w:sz w:val="22"/>
              </w:rPr>
            </w:pPr>
            <w:r>
              <w:rPr>
                <w:i/>
                <w:w w:val="95"/>
                <w:sz w:val="22"/>
              </w:rPr>
              <w:t>丝虫病所致象皮肿</w:t>
            </w:r>
          </w:p>
        </w:tc>
        <w:tc>
          <w:tcPr>
            <w:tcW w:w="7754" w:type="dxa"/>
          </w:tcPr>
          <w:p>
            <w:pPr>
              <w:pStyle w:val="TableParagraph"/>
              <w:spacing w:line="264" w:lineRule="auto" w:before="136"/>
              <w:ind w:left="135" w:right="300"/>
              <w:jc w:val="both"/>
              <w:rPr>
                <w:sz w:val="21"/>
              </w:rPr>
            </w:pPr>
            <w:r>
              <w:rPr>
                <w:spacing w:val="-5"/>
                <w:sz w:val="21"/>
              </w:rPr>
              <w:t>指因丝虫感染导致淋巴阻塞性出现严重淋巴水肿，达到国际淋巴学会淋巴肿分期</w:t>
            </w:r>
            <w:r>
              <w:rPr>
                <w:spacing w:val="-16"/>
                <w:sz w:val="21"/>
              </w:rPr>
              <w:t>第 </w:t>
            </w:r>
            <w:r>
              <w:rPr>
                <w:rFonts w:ascii="Times New Roman" w:eastAsia="Times New Roman"/>
                <w:sz w:val="21"/>
              </w:rPr>
              <w:t>III </w:t>
            </w:r>
            <w:r>
              <w:rPr>
                <w:spacing w:val="-5"/>
                <w:sz w:val="21"/>
              </w:rPr>
              <w:t>期，临床表现为肢体象皮肿，患肢较键肢增粗 </w:t>
            </w:r>
            <w:r>
              <w:rPr>
                <w:rFonts w:ascii="Times New Roman" w:eastAsia="Times New Roman"/>
                <w:sz w:val="21"/>
              </w:rPr>
              <w:t>30%</w:t>
            </w:r>
            <w:r>
              <w:rPr>
                <w:spacing w:val="-3"/>
                <w:sz w:val="21"/>
              </w:rPr>
              <w:t>以上，日常生活不能自理。此病症须经专科医生根据临床表现和微丝蚴的化验结果确诊。</w:t>
            </w:r>
          </w:p>
        </w:tc>
      </w:tr>
      <w:tr>
        <w:trPr>
          <w:trHeight w:val="936" w:hRule="atLeast"/>
        </w:trPr>
        <w:tc>
          <w:tcPr>
            <w:tcW w:w="1023" w:type="dxa"/>
          </w:tcPr>
          <w:p>
            <w:pPr>
              <w:pStyle w:val="TableParagraph"/>
              <w:spacing w:before="132"/>
              <w:ind w:right="187"/>
              <w:jc w:val="right"/>
              <w:rPr>
                <w:i/>
                <w:sz w:val="22"/>
              </w:rPr>
            </w:pPr>
            <w:r>
              <w:rPr>
                <w:i/>
                <w:w w:val="95"/>
                <w:sz w:val="22"/>
              </w:rPr>
              <w:t>3.2.47</w:t>
            </w:r>
          </w:p>
        </w:tc>
        <w:tc>
          <w:tcPr>
            <w:tcW w:w="1591" w:type="dxa"/>
          </w:tcPr>
          <w:p>
            <w:pPr>
              <w:pStyle w:val="TableParagraph"/>
              <w:spacing w:before="132"/>
              <w:ind w:left="190"/>
              <w:rPr>
                <w:i/>
                <w:sz w:val="22"/>
              </w:rPr>
            </w:pPr>
            <w:r>
              <w:rPr>
                <w:i/>
                <w:w w:val="95"/>
                <w:sz w:val="22"/>
              </w:rPr>
              <w:t>胰腺移植</w:t>
            </w:r>
          </w:p>
        </w:tc>
        <w:tc>
          <w:tcPr>
            <w:tcW w:w="7754" w:type="dxa"/>
          </w:tcPr>
          <w:p>
            <w:pPr>
              <w:pStyle w:val="TableParagraph"/>
              <w:spacing w:line="273" w:lineRule="auto" w:before="144"/>
              <w:ind w:left="135" w:right="264"/>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1248" w:hRule="atLeast"/>
        </w:trPr>
        <w:tc>
          <w:tcPr>
            <w:tcW w:w="1023" w:type="dxa"/>
          </w:tcPr>
          <w:p>
            <w:pPr>
              <w:pStyle w:val="TableParagraph"/>
              <w:spacing w:before="132"/>
              <w:ind w:right="187"/>
              <w:jc w:val="right"/>
              <w:rPr>
                <w:i/>
                <w:sz w:val="22"/>
              </w:rPr>
            </w:pPr>
            <w:r>
              <w:rPr>
                <w:i/>
                <w:w w:val="95"/>
                <w:sz w:val="22"/>
              </w:rPr>
              <w:t>3.2.48</w:t>
            </w:r>
          </w:p>
        </w:tc>
        <w:tc>
          <w:tcPr>
            <w:tcW w:w="1591" w:type="dxa"/>
          </w:tcPr>
          <w:p>
            <w:pPr>
              <w:pStyle w:val="TableParagraph"/>
              <w:spacing w:line="261" w:lineRule="auto" w:before="132"/>
              <w:ind w:left="190" w:right="136"/>
              <w:rPr>
                <w:i/>
                <w:sz w:val="22"/>
              </w:rPr>
            </w:pPr>
            <w:r>
              <w:rPr>
                <w:i/>
                <w:w w:val="95"/>
                <w:sz w:val="22"/>
              </w:rPr>
              <w:t>急性坏死性胰腺炎开腹手术</w:t>
            </w:r>
          </w:p>
        </w:tc>
        <w:tc>
          <w:tcPr>
            <w:tcW w:w="7754" w:type="dxa"/>
          </w:tcPr>
          <w:p>
            <w:pPr>
              <w:pStyle w:val="TableParagraph"/>
              <w:spacing w:line="273" w:lineRule="auto" w:before="144"/>
              <w:ind w:left="135" w:right="302"/>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before="7"/>
              <w:ind w:left="135"/>
              <w:rPr>
                <w:b/>
                <w:sz w:val="21"/>
              </w:rPr>
            </w:pPr>
            <w:r>
              <w:rPr>
                <w:b/>
                <w:sz w:val="21"/>
              </w:rPr>
              <w:t>因酒精作用所致的急性胰腺炎不在保障范围内。</w:t>
            </w:r>
          </w:p>
        </w:tc>
      </w:tr>
      <w:tr>
        <w:trPr>
          <w:trHeight w:val="1358" w:hRule="atLeast"/>
        </w:trPr>
        <w:tc>
          <w:tcPr>
            <w:tcW w:w="1023" w:type="dxa"/>
          </w:tcPr>
          <w:p>
            <w:pPr>
              <w:pStyle w:val="TableParagraph"/>
              <w:spacing w:before="132"/>
              <w:ind w:right="187"/>
              <w:jc w:val="right"/>
              <w:rPr>
                <w:i/>
                <w:sz w:val="22"/>
              </w:rPr>
            </w:pPr>
            <w:r>
              <w:rPr>
                <w:i/>
                <w:w w:val="95"/>
                <w:sz w:val="22"/>
              </w:rPr>
              <w:t>3.2.49</w:t>
            </w:r>
          </w:p>
        </w:tc>
        <w:tc>
          <w:tcPr>
            <w:tcW w:w="1591" w:type="dxa"/>
          </w:tcPr>
          <w:p>
            <w:pPr>
              <w:pStyle w:val="TableParagraph"/>
              <w:spacing w:line="259" w:lineRule="auto" w:before="132"/>
              <w:ind w:left="190" w:right="136"/>
              <w:rPr>
                <w:i/>
                <w:sz w:val="22"/>
              </w:rPr>
            </w:pPr>
            <w:r>
              <w:rPr>
                <w:i/>
                <w:w w:val="95"/>
                <w:sz w:val="22"/>
              </w:rPr>
              <w:t>慢性复发性胰腺炎</w:t>
            </w:r>
          </w:p>
        </w:tc>
        <w:tc>
          <w:tcPr>
            <w:tcW w:w="7754" w:type="dxa"/>
          </w:tcPr>
          <w:p>
            <w:pPr>
              <w:pStyle w:val="TableParagraph"/>
              <w:spacing w:line="273" w:lineRule="auto" w:before="144"/>
              <w:ind w:left="135" w:right="197"/>
              <w:rPr>
                <w:sz w:val="21"/>
              </w:rPr>
            </w:pPr>
            <w:r>
              <w:rPr>
                <w:spacing w:val="-5"/>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90" w:lineRule="atLeast" w:before="7"/>
              <w:ind w:left="135" w:right="302"/>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tc>
      </w:tr>
    </w:tbl>
    <w:p>
      <w:pPr>
        <w:spacing w:after="0" w:line="290" w:lineRule="atLeast"/>
        <w:rPr>
          <w:sz w:val="21"/>
        </w:rPr>
        <w:sectPr>
          <w:pgSz w:w="11910" w:h="16840"/>
          <w:pgMar w:header="0" w:footer="922" w:top="150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89"/>
        <w:gridCol w:w="7756"/>
      </w:tblGrid>
      <w:tr>
        <w:trPr>
          <w:trHeight w:val="731" w:hRule="atLeast"/>
        </w:trPr>
        <w:tc>
          <w:tcPr>
            <w:tcW w:w="1023" w:type="dxa"/>
          </w:tcPr>
          <w:p>
            <w:pPr>
              <w:pStyle w:val="TableParagraph"/>
              <w:rPr>
                <w:rFonts w:ascii="Times New Roman"/>
                <w:sz w:val="20"/>
              </w:rPr>
            </w:pPr>
          </w:p>
        </w:tc>
        <w:tc>
          <w:tcPr>
            <w:tcW w:w="1589" w:type="dxa"/>
          </w:tcPr>
          <w:p>
            <w:pPr>
              <w:pStyle w:val="TableParagraph"/>
              <w:rPr>
                <w:rFonts w:ascii="Times New Roman"/>
                <w:sz w:val="20"/>
              </w:rPr>
            </w:pPr>
          </w:p>
        </w:tc>
        <w:tc>
          <w:tcPr>
            <w:tcW w:w="7756" w:type="dxa"/>
          </w:tcPr>
          <w:p>
            <w:pPr>
              <w:pStyle w:val="TableParagraph"/>
              <w:spacing w:line="234" w:lineRule="exact"/>
              <w:ind w:left="137"/>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p>
          <w:p>
            <w:pPr>
              <w:pStyle w:val="TableParagraph"/>
              <w:spacing w:before="21"/>
              <w:ind w:left="137"/>
              <w:rPr>
                <w:b/>
                <w:sz w:val="21"/>
              </w:rPr>
            </w:pPr>
            <w:r>
              <w:rPr>
                <w:b/>
                <w:sz w:val="21"/>
              </w:rPr>
              <w:t>酒精导致的慢性复发性胰腺炎不在本保障范围内。</w:t>
            </w:r>
          </w:p>
        </w:tc>
      </w:tr>
      <w:tr>
        <w:trPr>
          <w:trHeight w:val="1872" w:hRule="atLeast"/>
        </w:trPr>
        <w:tc>
          <w:tcPr>
            <w:tcW w:w="1023" w:type="dxa"/>
          </w:tcPr>
          <w:p>
            <w:pPr>
              <w:pStyle w:val="TableParagraph"/>
              <w:spacing w:before="136"/>
              <w:ind w:right="187"/>
              <w:jc w:val="right"/>
              <w:rPr>
                <w:i/>
                <w:sz w:val="22"/>
              </w:rPr>
            </w:pPr>
            <w:r>
              <w:rPr>
                <w:i/>
                <w:w w:val="95"/>
                <w:sz w:val="22"/>
              </w:rPr>
              <w:t>3.2.50</w:t>
            </w:r>
          </w:p>
        </w:tc>
        <w:tc>
          <w:tcPr>
            <w:tcW w:w="1589" w:type="dxa"/>
          </w:tcPr>
          <w:p>
            <w:pPr>
              <w:pStyle w:val="TableParagraph"/>
              <w:spacing w:before="136"/>
              <w:ind w:left="190"/>
              <w:rPr>
                <w:i/>
                <w:sz w:val="22"/>
              </w:rPr>
            </w:pPr>
            <w:r>
              <w:rPr>
                <w:i/>
                <w:w w:val="95"/>
                <w:sz w:val="22"/>
              </w:rPr>
              <w:t>疯牛病</w:t>
            </w:r>
          </w:p>
        </w:tc>
        <w:tc>
          <w:tcPr>
            <w:tcW w:w="7756" w:type="dxa"/>
          </w:tcPr>
          <w:p>
            <w:pPr>
              <w:pStyle w:val="TableParagraph"/>
              <w:spacing w:line="266" w:lineRule="auto" w:before="147"/>
              <w:ind w:left="137" w:right="300"/>
              <w:jc w:val="both"/>
              <w:rPr>
                <w:sz w:val="21"/>
              </w:rPr>
            </w:pPr>
            <w:r>
              <w:rPr>
                <w:spacing w:val="-6"/>
                <w:sz w:val="21"/>
              </w:rPr>
              <w:t>是一种传染性海绵状脑病，临床表现为快速进行性痴呆、肌阵挛和特征性脑电图</w:t>
            </w:r>
            <w:r>
              <w:rPr>
                <w:spacing w:val="-7"/>
                <w:sz w:val="21"/>
              </w:rPr>
              <w:t>变化。本病须经三级医院的专科医生根据 </w:t>
            </w:r>
            <w:r>
              <w:rPr>
                <w:rFonts w:ascii="Times New Roman" w:eastAsia="Times New Roman"/>
                <w:sz w:val="21"/>
              </w:rPr>
              <w:t>WHO </w:t>
            </w:r>
            <w:r>
              <w:rPr>
                <w:spacing w:val="-4"/>
                <w:sz w:val="21"/>
              </w:rPr>
              <w:t>诊断标准明确诊断，并且被保险</w:t>
            </w:r>
            <w:r>
              <w:rPr>
                <w:spacing w:val="-6"/>
                <w:sz w:val="21"/>
              </w:rPr>
              <w:t>人自主生活能力完全丧失，无法独立完成六项基本日常生活活动中的三项或三项以上。</w:t>
            </w:r>
          </w:p>
          <w:p>
            <w:pPr>
              <w:pStyle w:val="TableParagraph"/>
              <w:spacing w:before="13"/>
              <w:ind w:left="137"/>
              <w:jc w:val="both"/>
              <w:rPr>
                <w:b/>
                <w:sz w:val="21"/>
              </w:rPr>
            </w:pPr>
            <w:r>
              <w:rPr>
                <w:b/>
                <w:sz w:val="21"/>
              </w:rPr>
              <w:t>疑似病例不在本保障范围内。</w:t>
            </w:r>
          </w:p>
        </w:tc>
      </w:tr>
      <w:tr>
        <w:trPr>
          <w:trHeight w:val="1568" w:hRule="atLeast"/>
        </w:trPr>
        <w:tc>
          <w:tcPr>
            <w:tcW w:w="1023" w:type="dxa"/>
          </w:tcPr>
          <w:p>
            <w:pPr>
              <w:pStyle w:val="TableParagraph"/>
              <w:spacing w:before="136"/>
              <w:ind w:right="187"/>
              <w:jc w:val="right"/>
              <w:rPr>
                <w:i/>
                <w:sz w:val="22"/>
              </w:rPr>
            </w:pPr>
            <w:r>
              <w:rPr>
                <w:i/>
                <w:w w:val="95"/>
                <w:sz w:val="22"/>
              </w:rPr>
              <w:t>3.2.51</w:t>
            </w:r>
          </w:p>
        </w:tc>
        <w:tc>
          <w:tcPr>
            <w:tcW w:w="1589" w:type="dxa"/>
          </w:tcPr>
          <w:p>
            <w:pPr>
              <w:pStyle w:val="TableParagraph"/>
              <w:spacing w:before="136"/>
              <w:ind w:left="190"/>
              <w:rPr>
                <w:i/>
                <w:sz w:val="22"/>
              </w:rPr>
            </w:pPr>
            <w:r>
              <w:rPr>
                <w:i/>
                <w:w w:val="95"/>
                <w:sz w:val="22"/>
              </w:rPr>
              <w:t>肾髓质囊性病</w:t>
            </w:r>
          </w:p>
        </w:tc>
        <w:tc>
          <w:tcPr>
            <w:tcW w:w="7756" w:type="dxa"/>
          </w:tcPr>
          <w:p>
            <w:pPr>
              <w:pStyle w:val="TableParagraph"/>
              <w:spacing w:before="147"/>
              <w:ind w:left="137"/>
              <w:rPr>
                <w:sz w:val="21"/>
              </w:rPr>
            </w:pPr>
            <w:r>
              <w:rPr>
                <w:sz w:val="21"/>
              </w:rPr>
              <w:t>肾髓质囊性病的诊断须同时符合下列要求：</w:t>
            </w:r>
          </w:p>
          <w:p>
            <w:pPr>
              <w:pStyle w:val="TableParagraph"/>
              <w:spacing w:before="36"/>
              <w:ind w:left="1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37"/>
              <w:rPr>
                <w:sz w:val="21"/>
              </w:rPr>
            </w:pPr>
            <w:r>
              <w:rPr>
                <w:sz w:val="21"/>
              </w:rPr>
              <w:t>（</w:t>
            </w:r>
            <w:r>
              <w:rPr>
                <w:rFonts w:ascii="Times New Roman" w:eastAsia="Times New Roman"/>
                <w:sz w:val="21"/>
              </w:rPr>
              <w:t>2</w:t>
            </w:r>
            <w:r>
              <w:rPr>
                <w:sz w:val="21"/>
              </w:rPr>
              <w:t>）肾功能衰竭；</w:t>
            </w:r>
          </w:p>
          <w:p>
            <w:pPr>
              <w:pStyle w:val="TableParagraph"/>
              <w:spacing w:before="20"/>
              <w:ind w:left="137"/>
              <w:rPr>
                <w:sz w:val="21"/>
              </w:rPr>
            </w:pPr>
            <w:r>
              <w:rPr>
                <w:sz w:val="21"/>
              </w:rPr>
              <w:t>（</w:t>
            </w:r>
            <w:r>
              <w:rPr>
                <w:rFonts w:ascii="Times New Roman" w:eastAsia="Times New Roman"/>
                <w:sz w:val="21"/>
              </w:rPr>
              <w:t>3</w:t>
            </w:r>
            <w:r>
              <w:rPr>
                <w:sz w:val="21"/>
              </w:rPr>
              <w:t>）诊断须由肾组织活检确定。</w:t>
            </w:r>
          </w:p>
        </w:tc>
      </w:tr>
      <w:tr>
        <w:trPr>
          <w:trHeight w:val="2800" w:hRule="atLeast"/>
        </w:trPr>
        <w:tc>
          <w:tcPr>
            <w:tcW w:w="1023" w:type="dxa"/>
          </w:tcPr>
          <w:p>
            <w:pPr>
              <w:pStyle w:val="TableParagraph"/>
              <w:spacing w:before="128"/>
              <w:ind w:right="187"/>
              <w:jc w:val="right"/>
              <w:rPr>
                <w:i/>
                <w:sz w:val="22"/>
              </w:rPr>
            </w:pPr>
            <w:r>
              <w:rPr>
                <w:i/>
                <w:w w:val="95"/>
                <w:sz w:val="22"/>
              </w:rPr>
              <w:t>3.2.52</w:t>
            </w:r>
          </w:p>
        </w:tc>
        <w:tc>
          <w:tcPr>
            <w:tcW w:w="1589" w:type="dxa"/>
          </w:tcPr>
          <w:p>
            <w:pPr>
              <w:pStyle w:val="TableParagraph"/>
              <w:spacing w:line="259" w:lineRule="auto" w:before="128"/>
              <w:ind w:left="190" w:right="134"/>
              <w:rPr>
                <w:i/>
                <w:sz w:val="22"/>
              </w:rPr>
            </w:pPr>
            <w:r>
              <w:rPr>
                <w:i/>
                <w:w w:val="95"/>
                <w:sz w:val="22"/>
              </w:rPr>
              <w:t>严重的原发性硬化性胆管炎</w:t>
            </w:r>
          </w:p>
        </w:tc>
        <w:tc>
          <w:tcPr>
            <w:tcW w:w="7756" w:type="dxa"/>
          </w:tcPr>
          <w:p>
            <w:pPr>
              <w:pStyle w:val="TableParagraph"/>
              <w:spacing w:line="273" w:lineRule="auto" w:before="140"/>
              <w:ind w:left="137" w:right="197"/>
              <w:rPr>
                <w:sz w:val="21"/>
              </w:rPr>
            </w:pPr>
            <w:r>
              <w:rPr>
                <w:spacing w:val="-5"/>
                <w:sz w:val="21"/>
              </w:rPr>
              <w:t>原发性硬化性胆管炎指一种胆汁淤积综合征，其特征是肝内、肝外胆道因非细菌</w:t>
            </w:r>
            <w:r>
              <w:rPr>
                <w:spacing w:val="-16"/>
                <w:sz w:val="21"/>
              </w:rPr>
              <w:t>性炎症、慢性纤维化逐渐狭窄，并最终导致完全阻塞而发展为胆汁於积性肝硬化。</w:t>
            </w:r>
            <w:r>
              <w:rPr>
                <w:spacing w:val="-7"/>
                <w:sz w:val="21"/>
              </w:rPr>
              <w:t>须满足下列全部条件：</w:t>
            </w:r>
          </w:p>
          <w:p>
            <w:pPr>
              <w:pStyle w:val="TableParagraph"/>
              <w:numPr>
                <w:ilvl w:val="0"/>
                <w:numId w:val="4"/>
              </w:numPr>
              <w:tabs>
                <w:tab w:pos="488" w:val="left" w:leader="none"/>
              </w:tabs>
              <w:spacing w:line="240" w:lineRule="auto" w:before="8" w:after="0"/>
              <w:ind w:left="487" w:right="0" w:hanging="350"/>
              <w:jc w:val="left"/>
              <w:rPr>
                <w:sz w:val="21"/>
              </w:rPr>
            </w:pPr>
            <w:r>
              <w:rPr>
                <w:spacing w:val="-3"/>
                <w:sz w:val="21"/>
              </w:rPr>
              <w:t>持续性黄疸病史；</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总胆红素和直接胆红素同时升高，血清 </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经内镜逆行胰胆管造影</w:t>
            </w:r>
            <w:r>
              <w:rPr>
                <w:spacing w:val="-1"/>
                <w:sz w:val="21"/>
              </w:rPr>
              <w:t>（</w:t>
            </w:r>
            <w:r>
              <w:rPr>
                <w:rFonts w:ascii="Times New Roman" w:eastAsia="Times New Roman"/>
                <w:spacing w:val="-1"/>
                <w:sz w:val="21"/>
              </w:rPr>
              <w:t>ERCP</w:t>
            </w:r>
            <w:r>
              <w:rPr>
                <w:spacing w:val="-1"/>
                <w:sz w:val="21"/>
              </w:rPr>
              <w:t>）</w:t>
            </w:r>
            <w:r>
              <w:rPr>
                <w:spacing w:val="-3"/>
                <w:sz w:val="21"/>
              </w:rPr>
              <w:t>影像学检查确诊；</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出现胆汁於积性肝硬化或门脉高压。</w:t>
            </w:r>
          </w:p>
          <w:p>
            <w:pPr>
              <w:pStyle w:val="TableParagraph"/>
              <w:spacing w:before="21"/>
              <w:ind w:left="137"/>
              <w:rPr>
                <w:b/>
                <w:sz w:val="21"/>
              </w:rPr>
            </w:pPr>
            <w:r>
              <w:rPr>
                <w:b/>
                <w:sz w:val="21"/>
              </w:rPr>
              <w:t>因肿瘤或胆管损伤等继发性的硬化性胆管炎不在保障范围内。</w:t>
            </w:r>
          </w:p>
        </w:tc>
      </w:tr>
      <w:tr>
        <w:trPr>
          <w:trHeight w:val="3432" w:hRule="atLeast"/>
        </w:trPr>
        <w:tc>
          <w:tcPr>
            <w:tcW w:w="1023" w:type="dxa"/>
          </w:tcPr>
          <w:p>
            <w:pPr>
              <w:pStyle w:val="TableParagraph"/>
              <w:spacing w:before="136"/>
              <w:ind w:right="187"/>
              <w:jc w:val="right"/>
              <w:rPr>
                <w:i/>
                <w:sz w:val="22"/>
              </w:rPr>
            </w:pPr>
            <w:r>
              <w:rPr>
                <w:i/>
                <w:w w:val="95"/>
                <w:sz w:val="22"/>
              </w:rPr>
              <w:t>3.2.53</w:t>
            </w:r>
          </w:p>
        </w:tc>
        <w:tc>
          <w:tcPr>
            <w:tcW w:w="1589" w:type="dxa"/>
          </w:tcPr>
          <w:p>
            <w:pPr>
              <w:pStyle w:val="TableParagraph"/>
              <w:spacing w:line="259" w:lineRule="auto" w:before="136"/>
              <w:ind w:left="190" w:right="134"/>
              <w:jc w:val="both"/>
              <w:rPr>
                <w:i/>
                <w:sz w:val="22"/>
              </w:rPr>
            </w:pPr>
            <w:r>
              <w:rPr>
                <w:i/>
                <w:w w:val="95"/>
                <w:sz w:val="22"/>
              </w:rPr>
              <w:t>特发性慢性肾上腺皮质功能减退</w:t>
            </w:r>
          </w:p>
        </w:tc>
        <w:tc>
          <w:tcPr>
            <w:tcW w:w="7756" w:type="dxa"/>
          </w:tcPr>
          <w:p>
            <w:pPr>
              <w:pStyle w:val="TableParagraph"/>
              <w:spacing w:line="273" w:lineRule="auto" w:before="147"/>
              <w:ind w:left="137" w:right="245"/>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37"/>
              <w:rPr>
                <w:sz w:val="21"/>
              </w:rPr>
            </w:pPr>
            <w:r>
              <w:rPr>
                <w:sz w:val="21"/>
              </w:rPr>
              <w:t>（一）必须由专科医生明确诊断，符合所有以下诊断标准：</w:t>
            </w:r>
          </w:p>
          <w:p>
            <w:pPr>
              <w:pStyle w:val="TableParagraph"/>
              <w:spacing w:before="36"/>
              <w:ind w:left="137"/>
              <w:rPr>
                <w:sz w:val="21"/>
              </w:rPr>
            </w:pPr>
            <w:r>
              <w:rPr>
                <w:sz w:val="21"/>
              </w:rPr>
              <w:t>（</w:t>
            </w:r>
            <w:r>
              <w:rPr>
                <w:rFonts w:ascii="Times New Roman" w:eastAsia="Times New Roman"/>
                <w:sz w:val="21"/>
              </w:rPr>
              <w:t>1)  </w:t>
            </w:r>
            <w:r>
              <w:rPr>
                <w:sz w:val="21"/>
              </w:rPr>
              <w:t>血浆促肾上腺皮质激素</w:t>
            </w:r>
            <w:r>
              <w:rPr>
                <w:rFonts w:ascii="Times New Roman" w:eastAsia="Times New Roman"/>
                <w:sz w:val="21"/>
              </w:rPr>
              <w:t>(ACTH)</w:t>
            </w:r>
            <w:r>
              <w:rPr>
                <w:sz w:val="21"/>
              </w:rPr>
              <w:t>水平测定，</w:t>
            </w:r>
            <w:r>
              <w:rPr>
                <w:rFonts w:ascii="Times New Roman" w:eastAsia="Times New Roman"/>
                <w:sz w:val="21"/>
              </w:rPr>
              <w:t>&gt;100pg/ml</w:t>
            </w:r>
            <w:r>
              <w:rPr>
                <w:sz w:val="21"/>
              </w:rPr>
              <w:t>；</w:t>
            </w:r>
          </w:p>
          <w:p>
            <w:pPr>
              <w:pStyle w:val="TableParagraph"/>
              <w:spacing w:line="256" w:lineRule="auto" w:before="20"/>
              <w:ind w:left="137" w:right="302"/>
              <w:rPr>
                <w:sz w:val="21"/>
              </w:rPr>
            </w:pPr>
            <w:r>
              <w:rPr>
                <w:sz w:val="21"/>
              </w:rPr>
              <w:t>（</w:t>
            </w:r>
            <w:r>
              <w:rPr>
                <w:rFonts w:ascii="Times New Roman" w:eastAsia="Times New Roman"/>
                <w:sz w:val="21"/>
              </w:rPr>
              <w:t>2) </w:t>
            </w:r>
            <w:r>
              <w:rPr>
                <w:sz w:val="21"/>
              </w:rPr>
              <w:t>血浆肾素活性、血管紧张素 </w:t>
            </w:r>
            <w:r>
              <w:rPr>
                <w:rFonts w:ascii="Times New Roman" w:eastAsia="Times New Roman"/>
                <w:sz w:val="21"/>
              </w:rPr>
              <w:t>II </w:t>
            </w:r>
            <w:r>
              <w:rPr>
                <w:sz w:val="21"/>
              </w:rPr>
              <w:t>和醛固酮测定，显示为原发性肾上腺皮质功能减退症；</w:t>
            </w:r>
          </w:p>
          <w:p>
            <w:pPr>
              <w:pStyle w:val="TableParagraph"/>
              <w:spacing w:before="21"/>
              <w:ind w:left="137"/>
              <w:rPr>
                <w:sz w:val="21"/>
              </w:rPr>
            </w:pPr>
            <w:r>
              <w:rPr>
                <w:sz w:val="21"/>
              </w:rPr>
              <w:t>（</w:t>
            </w:r>
            <w:r>
              <w:rPr>
                <w:rFonts w:ascii="Times New Roman" w:eastAsia="Times New Roman"/>
                <w:sz w:val="21"/>
              </w:rPr>
              <w:t>3)  </w:t>
            </w:r>
            <w:r>
              <w:rPr>
                <w:sz w:val="21"/>
              </w:rPr>
              <w:t>促肾上腺皮质激素</w:t>
            </w:r>
            <w:r>
              <w:rPr>
                <w:rFonts w:ascii="Times New Roman" w:eastAsia="Times New Roman"/>
                <w:sz w:val="21"/>
              </w:rPr>
              <w:t>(ACTH)</w:t>
            </w:r>
            <w:r>
              <w:rPr>
                <w:sz w:val="21"/>
              </w:rPr>
              <w:t>刺激试验显示为原发性肾上腺皮质功能减退症。</w:t>
            </w:r>
          </w:p>
          <w:p>
            <w:pPr>
              <w:pStyle w:val="TableParagraph"/>
              <w:spacing w:before="20"/>
              <w:ind w:left="137"/>
              <w:rPr>
                <w:sz w:val="21"/>
              </w:rPr>
            </w:pPr>
            <w:r>
              <w:rPr>
                <w:sz w:val="21"/>
              </w:rPr>
              <w:t>（二）已经采用皮质类固醇替代治疗 </w:t>
            </w:r>
            <w:r>
              <w:rPr>
                <w:rFonts w:ascii="Times New Roman" w:eastAsia="Times New Roman"/>
                <w:sz w:val="21"/>
              </w:rPr>
              <w:t>180 </w:t>
            </w:r>
            <w:r>
              <w:rPr>
                <w:sz w:val="21"/>
              </w:rPr>
              <w:t>天以上。</w:t>
            </w:r>
          </w:p>
          <w:p>
            <w:pPr>
              <w:pStyle w:val="TableParagraph"/>
              <w:spacing w:line="256" w:lineRule="auto" w:before="20"/>
              <w:ind w:left="137" w:right="303"/>
              <w:rPr>
                <w:b/>
                <w:sz w:val="21"/>
              </w:rPr>
            </w:pPr>
            <w:r>
              <w:rPr>
                <w:b/>
                <w:spacing w:val="-6"/>
                <w:sz w:val="21"/>
              </w:rPr>
              <w:t>肾上腺结核、</w:t>
            </w:r>
            <w:r>
              <w:rPr>
                <w:rFonts w:ascii="Times New Roman" w:eastAsia="Times New Roman"/>
                <w:b/>
                <w:sz w:val="21"/>
              </w:rPr>
              <w:t>HIV </w:t>
            </w:r>
            <w:r>
              <w:rPr>
                <w:b/>
                <w:spacing w:val="-8"/>
                <w:sz w:val="21"/>
              </w:rPr>
              <w:t>感染或艾滋病、感染、肿瘤所致的原发性肾上腺皮质功能减退和继发性肾上腺皮质功能减退不在本保障范围内。</w:t>
            </w:r>
          </w:p>
        </w:tc>
      </w:tr>
      <w:tr>
        <w:trPr>
          <w:trHeight w:val="1248" w:hRule="atLeast"/>
        </w:trPr>
        <w:tc>
          <w:tcPr>
            <w:tcW w:w="1023" w:type="dxa"/>
          </w:tcPr>
          <w:p>
            <w:pPr>
              <w:pStyle w:val="TableParagraph"/>
              <w:spacing w:before="136"/>
              <w:ind w:right="187"/>
              <w:jc w:val="right"/>
              <w:rPr>
                <w:i/>
                <w:sz w:val="22"/>
              </w:rPr>
            </w:pPr>
            <w:r>
              <w:rPr>
                <w:i/>
                <w:w w:val="95"/>
                <w:sz w:val="22"/>
              </w:rPr>
              <w:t>3.2.54</w:t>
            </w:r>
          </w:p>
        </w:tc>
        <w:tc>
          <w:tcPr>
            <w:tcW w:w="1589" w:type="dxa"/>
          </w:tcPr>
          <w:p>
            <w:pPr>
              <w:pStyle w:val="TableParagraph"/>
              <w:spacing w:line="259" w:lineRule="auto" w:before="136"/>
              <w:ind w:left="190" w:right="134"/>
              <w:rPr>
                <w:i/>
                <w:sz w:val="22"/>
              </w:rPr>
            </w:pPr>
            <w:r>
              <w:rPr>
                <w:i/>
                <w:w w:val="95"/>
                <w:sz w:val="22"/>
              </w:rPr>
              <w:t>溶血性链球菌引起的坏疽</w:t>
            </w:r>
          </w:p>
        </w:tc>
        <w:tc>
          <w:tcPr>
            <w:tcW w:w="7756" w:type="dxa"/>
          </w:tcPr>
          <w:p>
            <w:pPr>
              <w:pStyle w:val="TableParagraph"/>
              <w:spacing w:line="264" w:lineRule="auto" w:before="147"/>
              <w:ind w:left="137" w:right="302"/>
              <w:jc w:val="both"/>
              <w:rPr>
                <w:sz w:val="21"/>
              </w:rPr>
            </w:pPr>
            <w:r>
              <w:rPr>
                <w:spacing w:val="-3"/>
                <w:sz w:val="21"/>
              </w:rPr>
              <w:t>包围肢体或躯干的浅筋膜和</w:t>
            </w:r>
            <w:r>
              <w:rPr>
                <w:rFonts w:ascii="Times New Roman" w:eastAsia="Times New Roman"/>
                <w:sz w:val="21"/>
              </w:rPr>
              <w:t>/</w:t>
            </w:r>
            <w:r>
              <w:rPr>
                <w:spacing w:val="-9"/>
                <w:sz w:val="21"/>
              </w:rPr>
              <w:t>或深筋膜受到溶血性链球菌的感染，病情在短时间内</w:t>
            </w:r>
            <w:r>
              <w:rPr>
                <w:spacing w:val="-8"/>
                <w:sz w:val="21"/>
              </w:rPr>
              <w:t>急剧恶化，必须立刻进行手术及清创术。最后的诊断必须由微生物或病理学专家</w:t>
            </w:r>
            <w:r>
              <w:rPr>
                <w:spacing w:val="-5"/>
                <w:sz w:val="21"/>
              </w:rPr>
              <w:t>进行相关检查后证实。</w:t>
            </w:r>
          </w:p>
        </w:tc>
      </w:tr>
      <w:tr>
        <w:trPr>
          <w:trHeight w:val="1560" w:hRule="atLeast"/>
        </w:trPr>
        <w:tc>
          <w:tcPr>
            <w:tcW w:w="1023" w:type="dxa"/>
          </w:tcPr>
          <w:p>
            <w:pPr>
              <w:pStyle w:val="TableParagraph"/>
              <w:spacing w:before="136"/>
              <w:ind w:right="187"/>
              <w:jc w:val="right"/>
              <w:rPr>
                <w:i/>
                <w:sz w:val="22"/>
              </w:rPr>
            </w:pPr>
            <w:r>
              <w:rPr>
                <w:i/>
                <w:w w:val="95"/>
                <w:sz w:val="22"/>
              </w:rPr>
              <w:t>3.2.55</w:t>
            </w:r>
          </w:p>
        </w:tc>
        <w:tc>
          <w:tcPr>
            <w:tcW w:w="1589" w:type="dxa"/>
          </w:tcPr>
          <w:p>
            <w:pPr>
              <w:pStyle w:val="TableParagraph"/>
              <w:spacing w:before="136"/>
              <w:ind w:left="190"/>
              <w:rPr>
                <w:i/>
                <w:sz w:val="22"/>
              </w:rPr>
            </w:pPr>
            <w:r>
              <w:rPr>
                <w:i/>
                <w:w w:val="95"/>
                <w:sz w:val="22"/>
              </w:rPr>
              <w:t>颅脑手术</w:t>
            </w:r>
          </w:p>
        </w:tc>
        <w:tc>
          <w:tcPr>
            <w:tcW w:w="7756" w:type="dxa"/>
          </w:tcPr>
          <w:p>
            <w:pPr>
              <w:pStyle w:val="TableParagraph"/>
              <w:spacing w:line="273" w:lineRule="auto" w:before="148"/>
              <w:ind w:left="137" w:right="313"/>
              <w:rPr>
                <w:sz w:val="21"/>
              </w:rPr>
            </w:pPr>
            <w:r>
              <w:rPr>
                <w:sz w:val="21"/>
              </w:rPr>
              <w:t>被保险人确已实施全麻下的开颅手术（不包括颅骨钻孔手术和经鼻蝶窦入颅手术）。</w:t>
            </w:r>
          </w:p>
          <w:p>
            <w:pPr>
              <w:pStyle w:val="TableParagraph"/>
              <w:spacing w:before="8"/>
              <w:ind w:left="137"/>
              <w:rPr>
                <w:b/>
                <w:sz w:val="21"/>
              </w:rPr>
            </w:pPr>
            <w:r>
              <w:rPr>
                <w:b/>
                <w:sz w:val="21"/>
              </w:rPr>
              <w:t>因外伤而实施的脑外科手术不在保障范围之内。</w:t>
            </w:r>
          </w:p>
          <w:p>
            <w:pPr>
              <w:pStyle w:val="TableParagraph"/>
              <w:spacing w:before="37"/>
              <w:ind w:left="137"/>
              <w:rPr>
                <w:b/>
                <w:sz w:val="21"/>
              </w:rPr>
            </w:pPr>
            <w:r>
              <w:rPr>
                <w:b/>
                <w:sz w:val="21"/>
              </w:rPr>
              <w:t>理赔时必须提供由神经外科医生出具的诊断书及手术报告。</w:t>
            </w:r>
          </w:p>
        </w:tc>
      </w:tr>
      <w:tr>
        <w:trPr>
          <w:trHeight w:val="424" w:hRule="atLeast"/>
        </w:trPr>
        <w:tc>
          <w:tcPr>
            <w:tcW w:w="1023" w:type="dxa"/>
          </w:tcPr>
          <w:p>
            <w:pPr>
              <w:pStyle w:val="TableParagraph"/>
              <w:spacing w:line="268" w:lineRule="exact" w:before="136"/>
              <w:ind w:right="187"/>
              <w:jc w:val="right"/>
              <w:rPr>
                <w:i/>
                <w:sz w:val="22"/>
              </w:rPr>
            </w:pPr>
            <w:r>
              <w:rPr>
                <w:i/>
                <w:w w:val="95"/>
                <w:sz w:val="22"/>
              </w:rPr>
              <w:t>3.2.56</w:t>
            </w:r>
          </w:p>
        </w:tc>
        <w:tc>
          <w:tcPr>
            <w:tcW w:w="1589" w:type="dxa"/>
          </w:tcPr>
          <w:p>
            <w:pPr>
              <w:pStyle w:val="TableParagraph"/>
              <w:spacing w:line="268" w:lineRule="exact" w:before="136"/>
              <w:ind w:left="190"/>
              <w:rPr>
                <w:i/>
                <w:sz w:val="22"/>
              </w:rPr>
            </w:pPr>
            <w:r>
              <w:rPr>
                <w:i/>
                <w:w w:val="95"/>
                <w:sz w:val="22"/>
              </w:rPr>
              <w:t>严重肌营养不</w:t>
            </w:r>
          </w:p>
        </w:tc>
        <w:tc>
          <w:tcPr>
            <w:tcW w:w="7756" w:type="dxa"/>
          </w:tcPr>
          <w:p>
            <w:pPr>
              <w:pStyle w:val="TableParagraph"/>
              <w:spacing w:line="257" w:lineRule="exact" w:before="147"/>
              <w:ind w:left="137"/>
              <w:rPr>
                <w:sz w:val="21"/>
              </w:rPr>
            </w:pPr>
            <w:r>
              <w:rPr>
                <w:sz w:val="21"/>
              </w:rPr>
              <w:t>指一组遗传性肌肉变性病变，临床特征为与神经系统无关的骨骼肌肉对称地进行</w:t>
            </w:r>
          </w:p>
        </w:tc>
      </w:tr>
    </w:tbl>
    <w:p>
      <w:pPr>
        <w:spacing w:after="0" w:line="257" w:lineRule="exact"/>
        <w:rPr>
          <w:sz w:val="21"/>
        </w:rPr>
        <w:sectPr>
          <w:pgSz w:w="11910" w:h="16840"/>
          <w:pgMar w:header="0" w:footer="922" w:top="146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5"/>
        <w:gridCol w:w="7732"/>
      </w:tblGrid>
      <w:tr>
        <w:trPr>
          <w:trHeight w:val="1670" w:hRule="atLeast"/>
        </w:trPr>
        <w:tc>
          <w:tcPr>
            <w:tcW w:w="1023" w:type="dxa"/>
          </w:tcPr>
          <w:p>
            <w:pPr>
              <w:pStyle w:val="TableParagraph"/>
              <w:rPr>
                <w:rFonts w:ascii="Times New Roman"/>
                <w:sz w:val="20"/>
              </w:rPr>
            </w:pPr>
          </w:p>
        </w:tc>
        <w:tc>
          <w:tcPr>
            <w:tcW w:w="1615" w:type="dxa"/>
          </w:tcPr>
          <w:p>
            <w:pPr>
              <w:pStyle w:val="TableParagraph"/>
              <w:spacing w:line="222" w:lineRule="exact"/>
              <w:ind w:left="190"/>
              <w:rPr>
                <w:i/>
                <w:sz w:val="22"/>
              </w:rPr>
            </w:pPr>
            <w:r>
              <w:rPr>
                <w:i/>
                <w:w w:val="95"/>
                <w:sz w:val="22"/>
              </w:rPr>
              <w:t>良症</w:t>
            </w:r>
          </w:p>
        </w:tc>
        <w:tc>
          <w:tcPr>
            <w:tcW w:w="7732" w:type="dxa"/>
          </w:tcPr>
          <w:p>
            <w:pPr>
              <w:pStyle w:val="TableParagraph"/>
              <w:spacing w:line="221" w:lineRule="exact"/>
              <w:ind w:left="111"/>
              <w:rPr>
                <w:sz w:val="21"/>
              </w:rPr>
            </w:pPr>
            <w:r>
              <w:rPr>
                <w:sz w:val="21"/>
              </w:rPr>
              <w:t>性无力和萎缩。其诊断需满足下列全部条件：</w:t>
            </w:r>
          </w:p>
          <w:p>
            <w:pPr>
              <w:pStyle w:val="TableParagraph"/>
              <w:spacing w:before="37"/>
              <w:ind w:left="111"/>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20"/>
              <w:ind w:left="111"/>
              <w:rPr>
                <w:sz w:val="21"/>
              </w:rPr>
            </w:pPr>
            <w:r>
              <w:rPr>
                <w:w w:val="100"/>
                <w:sz w:val="21"/>
              </w:rPr>
              <w:t>（</w:t>
            </w:r>
            <w:r>
              <w:rPr>
                <w:rFonts w:ascii="Times New Roman" w:eastAsia="Times New Roman"/>
                <w:w w:val="100"/>
                <w:sz w:val="21"/>
              </w:rPr>
              <w:t>2</w:t>
            </w:r>
            <w:r>
              <w:rPr>
                <w:spacing w:val="-99"/>
                <w:w w:val="100"/>
                <w:sz w:val="21"/>
              </w:rPr>
              <w:t>）</w:t>
            </w:r>
            <w:r>
              <w:rPr>
                <w:spacing w:val="-3"/>
                <w:w w:val="100"/>
                <w:sz w:val="21"/>
              </w:rPr>
              <w:t>肌肉活检的病理学诊断符合肌营养不良症的肌肉细胞变性</w:t>
            </w:r>
            <w:r>
              <w:rPr>
                <w:rFonts w:ascii="Times New Roman" w:eastAsia="Times New Roman"/>
                <w:spacing w:val="-4"/>
                <w:w w:val="100"/>
                <w:sz w:val="21"/>
              </w:rPr>
              <w:t>\</w:t>
            </w:r>
            <w:r>
              <w:rPr>
                <w:spacing w:val="-3"/>
                <w:w w:val="100"/>
                <w:sz w:val="21"/>
              </w:rPr>
              <w:t>坏死等阳性改变；</w:t>
            </w:r>
          </w:p>
          <w:p>
            <w:pPr>
              <w:pStyle w:val="TableParagraph"/>
              <w:spacing w:line="256" w:lineRule="auto" w:before="20"/>
              <w:ind w:left="111" w:right="310"/>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2192" w:hRule="atLeast"/>
        </w:trPr>
        <w:tc>
          <w:tcPr>
            <w:tcW w:w="1023" w:type="dxa"/>
          </w:tcPr>
          <w:p>
            <w:pPr>
              <w:pStyle w:val="TableParagraph"/>
              <w:spacing w:before="136"/>
              <w:ind w:right="187"/>
              <w:jc w:val="right"/>
              <w:rPr>
                <w:i/>
                <w:sz w:val="22"/>
              </w:rPr>
            </w:pPr>
            <w:r>
              <w:rPr>
                <w:i/>
                <w:w w:val="95"/>
                <w:sz w:val="22"/>
              </w:rPr>
              <w:t>3.2.57</w:t>
            </w:r>
          </w:p>
        </w:tc>
        <w:tc>
          <w:tcPr>
            <w:tcW w:w="1615" w:type="dxa"/>
          </w:tcPr>
          <w:p>
            <w:pPr>
              <w:pStyle w:val="TableParagraph"/>
              <w:spacing w:before="136"/>
              <w:ind w:left="190"/>
              <w:rPr>
                <w:i/>
                <w:sz w:val="22"/>
              </w:rPr>
            </w:pPr>
            <w:r>
              <w:rPr>
                <w:i/>
                <w:w w:val="95"/>
                <w:sz w:val="22"/>
              </w:rPr>
              <w:t>严重心肌炎</w:t>
            </w:r>
          </w:p>
        </w:tc>
        <w:tc>
          <w:tcPr>
            <w:tcW w:w="7732" w:type="dxa"/>
          </w:tcPr>
          <w:p>
            <w:pPr>
              <w:pStyle w:val="TableParagraph"/>
              <w:spacing w:line="273" w:lineRule="auto" w:before="147"/>
              <w:ind w:left="111" w:right="315"/>
              <w:rPr>
                <w:sz w:val="21"/>
              </w:rPr>
            </w:pPr>
            <w:r>
              <w:rPr>
                <w:sz w:val="21"/>
              </w:rPr>
              <w:t>指被保险人因严重心肌炎性病变导致心功能损害造成持续的永久不可逆性的心功能衰竭。必须满足所有以下条件：</w:t>
            </w:r>
          </w:p>
          <w:p>
            <w:pPr>
              <w:pStyle w:val="TableParagraph"/>
              <w:spacing w:line="256" w:lineRule="auto" w:before="7"/>
              <w:ind w:left="111" w:right="304"/>
              <w:rPr>
                <w:sz w:val="21"/>
              </w:rPr>
            </w:pPr>
            <w:r>
              <w:rPr>
                <w:spacing w:val="-9"/>
                <w:sz w:val="21"/>
              </w:rPr>
              <w:t>（</w:t>
            </w:r>
            <w:r>
              <w:rPr>
                <w:rFonts w:ascii="Times New Roman" w:eastAsia="Times New Roman"/>
                <w:spacing w:val="-9"/>
                <w:sz w:val="21"/>
              </w:rPr>
              <w:t>1</w:t>
            </w:r>
            <w:r>
              <w:rPr>
                <w:spacing w:val="-9"/>
                <w:sz w:val="21"/>
              </w:rPr>
              <w:t>）</w:t>
            </w:r>
            <w:r>
              <w:rPr>
                <w:spacing w:val="-5"/>
                <w:sz w:val="21"/>
              </w:rPr>
              <w:t>心功能衰竭程度达到纽约心脏病学会的心功能分级标准之心功能 </w:t>
            </w:r>
            <w:r>
              <w:rPr>
                <w:rFonts w:ascii="Times New Roman" w:eastAsia="Times New Roman"/>
                <w:sz w:val="21"/>
              </w:rPr>
              <w:t>IV </w:t>
            </w:r>
            <w:r>
              <w:rPr>
                <w:spacing w:val="-11"/>
                <w:sz w:val="21"/>
              </w:rPr>
              <w:t>级，或左室射血分数低于 </w:t>
            </w:r>
            <w:r>
              <w:rPr>
                <w:rFonts w:ascii="Times New Roman" w:eastAsia="Times New Roman"/>
                <w:sz w:val="21"/>
              </w:rPr>
              <w:t>30%</w:t>
            </w:r>
            <w:r>
              <w:rPr>
                <w:sz w:val="21"/>
              </w:rPr>
              <w:t>；</w:t>
            </w:r>
          </w:p>
          <w:p>
            <w:pPr>
              <w:pStyle w:val="TableParagraph"/>
              <w:spacing w:before="4"/>
              <w:ind w:left="111"/>
              <w:rPr>
                <w:sz w:val="21"/>
              </w:rPr>
            </w:pPr>
            <w:r>
              <w:rPr>
                <w:sz w:val="21"/>
              </w:rPr>
              <w:t>（</w:t>
            </w:r>
            <w:r>
              <w:rPr>
                <w:rFonts w:ascii="Times New Roman" w:eastAsia="Times New Roman"/>
                <w:sz w:val="21"/>
              </w:rPr>
              <w:t>2</w:t>
            </w:r>
            <w:r>
              <w:rPr>
                <w:sz w:val="21"/>
              </w:rPr>
              <w:t>）持续不间断 </w:t>
            </w:r>
            <w:r>
              <w:rPr>
                <w:rFonts w:ascii="Times New Roman" w:eastAsia="Times New Roman"/>
                <w:sz w:val="21"/>
              </w:rPr>
              <w:t>180 </w:t>
            </w:r>
            <w:r>
              <w:rPr>
                <w:sz w:val="21"/>
              </w:rPr>
              <w:t>天以上；</w:t>
            </w:r>
          </w:p>
          <w:p>
            <w:pPr>
              <w:pStyle w:val="TableParagraph"/>
              <w:spacing w:before="20"/>
              <w:ind w:left="111"/>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2184" w:hRule="atLeast"/>
        </w:trPr>
        <w:tc>
          <w:tcPr>
            <w:tcW w:w="1023" w:type="dxa"/>
          </w:tcPr>
          <w:p>
            <w:pPr>
              <w:pStyle w:val="TableParagraph"/>
              <w:spacing w:before="128"/>
              <w:ind w:right="187"/>
              <w:jc w:val="right"/>
              <w:rPr>
                <w:i/>
                <w:sz w:val="22"/>
              </w:rPr>
            </w:pPr>
            <w:r>
              <w:rPr>
                <w:i/>
                <w:w w:val="95"/>
                <w:sz w:val="22"/>
              </w:rPr>
              <w:t>3.2.58</w:t>
            </w:r>
          </w:p>
        </w:tc>
        <w:tc>
          <w:tcPr>
            <w:tcW w:w="1615" w:type="dxa"/>
          </w:tcPr>
          <w:p>
            <w:pPr>
              <w:pStyle w:val="TableParagraph"/>
              <w:spacing w:before="128"/>
              <w:ind w:left="190"/>
              <w:rPr>
                <w:i/>
                <w:sz w:val="22"/>
              </w:rPr>
            </w:pPr>
            <w:r>
              <w:rPr>
                <w:i/>
                <w:w w:val="95"/>
                <w:sz w:val="22"/>
              </w:rPr>
              <w:t>肝豆状核变性</w:t>
            </w:r>
          </w:p>
          <w:p>
            <w:pPr>
              <w:pStyle w:val="TableParagraph"/>
              <w:spacing w:before="24"/>
              <w:ind w:left="190"/>
              <w:rPr>
                <w:rFonts w:ascii="Times New Roman" w:eastAsia="Times New Roman"/>
                <w:i/>
                <w:sz w:val="21"/>
              </w:rPr>
            </w:pPr>
            <w:r>
              <w:rPr>
                <w:rFonts w:ascii="Times New Roman" w:eastAsia="Times New Roman"/>
                <w:i/>
                <w:sz w:val="21"/>
              </w:rPr>
              <w:t>(</w:t>
            </w:r>
            <w:r>
              <w:rPr>
                <w:i/>
                <w:sz w:val="22"/>
              </w:rPr>
              <w:t>或称 </w:t>
            </w:r>
            <w:r>
              <w:rPr>
                <w:rFonts w:ascii="Times New Roman" w:eastAsia="Times New Roman"/>
                <w:i/>
                <w:sz w:val="21"/>
              </w:rPr>
              <w:t>Wilson</w:t>
            </w:r>
          </w:p>
          <w:p>
            <w:pPr>
              <w:pStyle w:val="TableParagraph"/>
              <w:spacing w:before="9"/>
              <w:ind w:left="190"/>
              <w:rPr>
                <w:rFonts w:ascii="Times New Roman" w:eastAsia="Times New Roman"/>
                <w:i/>
                <w:sz w:val="21"/>
              </w:rPr>
            </w:pPr>
            <w:r>
              <w:rPr>
                <w:i/>
                <w:w w:val="95"/>
                <w:sz w:val="22"/>
              </w:rPr>
              <w:t>病</w:t>
            </w:r>
            <w:r>
              <w:rPr>
                <w:rFonts w:ascii="Times New Roman" w:eastAsia="Times New Roman"/>
                <w:i/>
                <w:w w:val="95"/>
                <w:sz w:val="21"/>
              </w:rPr>
              <w:t>)</w:t>
            </w:r>
          </w:p>
        </w:tc>
        <w:tc>
          <w:tcPr>
            <w:tcW w:w="7732" w:type="dxa"/>
          </w:tcPr>
          <w:p>
            <w:pPr>
              <w:pStyle w:val="TableParagraph"/>
              <w:spacing w:line="273" w:lineRule="auto" w:before="140"/>
              <w:ind w:left="111" w:right="681"/>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ind w:left="111"/>
              <w:rPr>
                <w:sz w:val="21"/>
              </w:rPr>
            </w:pPr>
            <w:r>
              <w:rPr>
                <w:rFonts w:ascii="Times New Roman" w:eastAsia="Times New Roman"/>
                <w:sz w:val="21"/>
              </w:rPr>
              <w:t>(1)</w:t>
            </w:r>
            <w:r>
              <w:rPr>
                <w:sz w:val="21"/>
              </w:rPr>
              <w:t>典型症状；</w:t>
            </w:r>
          </w:p>
          <w:p>
            <w:pPr>
              <w:pStyle w:val="TableParagraph"/>
              <w:spacing w:before="21"/>
              <w:ind w:left="111"/>
              <w:rPr>
                <w:sz w:val="21"/>
              </w:rPr>
            </w:pPr>
            <w:r>
              <w:rPr>
                <w:rFonts w:ascii="Times New Roman" w:eastAsia="Times New Roman"/>
                <w:sz w:val="21"/>
              </w:rPr>
              <w:t>(2)</w:t>
            </w:r>
            <w:r>
              <w:rPr>
                <w:sz w:val="21"/>
              </w:rPr>
              <w:t>角膜色素环（</w:t>
            </w:r>
            <w:r>
              <w:rPr>
                <w:rFonts w:ascii="Times New Roman" w:eastAsia="Times New Roman"/>
                <w:sz w:val="21"/>
              </w:rPr>
              <w:t>K-F  </w:t>
            </w:r>
            <w:r>
              <w:rPr>
                <w:sz w:val="21"/>
              </w:rPr>
              <w:t>环）；</w:t>
            </w:r>
          </w:p>
          <w:p>
            <w:pPr>
              <w:pStyle w:val="TableParagraph"/>
              <w:spacing w:before="21"/>
              <w:ind w:left="111"/>
              <w:rPr>
                <w:sz w:val="21"/>
              </w:rPr>
            </w:pPr>
            <w:r>
              <w:rPr>
                <w:rFonts w:ascii="Times New Roman" w:eastAsia="Times New Roman"/>
                <w:sz w:val="21"/>
              </w:rPr>
              <w:t>(3)</w:t>
            </w:r>
            <w:r>
              <w:rPr>
                <w:sz w:val="21"/>
              </w:rPr>
              <w:t>血清铜和血清铜蓝蛋白降低，尿铜增加；</w:t>
            </w:r>
          </w:p>
          <w:p>
            <w:pPr>
              <w:pStyle w:val="TableParagraph"/>
              <w:spacing w:before="21"/>
              <w:ind w:left="111"/>
              <w:rPr>
                <w:sz w:val="21"/>
              </w:rPr>
            </w:pPr>
            <w:r>
              <w:rPr>
                <w:rFonts w:ascii="Times New Roman" w:eastAsia="Times New Roman"/>
                <w:sz w:val="21"/>
              </w:rPr>
              <w:t>(4)</w:t>
            </w:r>
            <w:r>
              <w:rPr>
                <w:sz w:val="21"/>
              </w:rPr>
              <w:t>经肝脏活检确诊。</w:t>
            </w:r>
          </w:p>
        </w:tc>
      </w:tr>
      <w:tr>
        <w:trPr>
          <w:trHeight w:val="1248" w:hRule="atLeast"/>
        </w:trPr>
        <w:tc>
          <w:tcPr>
            <w:tcW w:w="1023" w:type="dxa"/>
          </w:tcPr>
          <w:p>
            <w:pPr>
              <w:pStyle w:val="TableParagraph"/>
              <w:spacing w:before="128"/>
              <w:ind w:right="187"/>
              <w:jc w:val="right"/>
              <w:rPr>
                <w:i/>
                <w:sz w:val="22"/>
              </w:rPr>
            </w:pPr>
            <w:r>
              <w:rPr>
                <w:i/>
                <w:w w:val="95"/>
                <w:sz w:val="22"/>
              </w:rPr>
              <w:t>3.2.59</w:t>
            </w:r>
          </w:p>
        </w:tc>
        <w:tc>
          <w:tcPr>
            <w:tcW w:w="1615" w:type="dxa"/>
          </w:tcPr>
          <w:p>
            <w:pPr>
              <w:pStyle w:val="TableParagraph"/>
              <w:spacing w:before="128"/>
              <w:ind w:left="190"/>
              <w:rPr>
                <w:i/>
                <w:sz w:val="22"/>
              </w:rPr>
            </w:pPr>
            <w:r>
              <w:rPr>
                <w:i/>
                <w:w w:val="95"/>
                <w:sz w:val="22"/>
              </w:rPr>
              <w:t>侵蚀性葡萄胎</w:t>
            </w:r>
          </w:p>
          <w:p>
            <w:pPr>
              <w:pStyle w:val="TableParagraph"/>
              <w:spacing w:line="247" w:lineRule="auto" w:before="24"/>
              <w:ind w:left="190" w:right="299"/>
              <w:rPr>
                <w:rFonts w:ascii="Times New Roman" w:eastAsia="Times New Roman"/>
                <w:i/>
                <w:sz w:val="21"/>
              </w:rPr>
            </w:pPr>
            <w:r>
              <w:rPr>
                <w:rFonts w:ascii="Times New Roman" w:eastAsia="Times New Roman"/>
                <w:i/>
                <w:w w:val="95"/>
                <w:sz w:val="21"/>
              </w:rPr>
              <w:t>(</w:t>
            </w:r>
            <w:r>
              <w:rPr>
                <w:i/>
                <w:w w:val="95"/>
                <w:sz w:val="22"/>
              </w:rPr>
              <w:t>或称恶性葡萄胎</w:t>
            </w:r>
            <w:r>
              <w:rPr>
                <w:rFonts w:ascii="Times New Roman" w:eastAsia="Times New Roman"/>
                <w:i/>
                <w:w w:val="95"/>
                <w:sz w:val="21"/>
              </w:rPr>
              <w:t>)</w:t>
            </w:r>
          </w:p>
        </w:tc>
        <w:tc>
          <w:tcPr>
            <w:tcW w:w="7732" w:type="dxa"/>
          </w:tcPr>
          <w:p>
            <w:pPr>
              <w:pStyle w:val="TableParagraph"/>
              <w:spacing w:line="273" w:lineRule="auto" w:before="139"/>
              <w:ind w:left="111" w:right="315"/>
              <w:rPr>
                <w:sz w:val="21"/>
              </w:rPr>
            </w:pPr>
            <w:r>
              <w:rPr>
                <w:sz w:val="21"/>
              </w:rPr>
              <w:t>该类疾病是指异常增生的绒毛组织浸润性生长侵入子宫肌层或转移至其他器官或组织的葡萄胎，并已经进行化疗或手术治疗的。</w:t>
            </w:r>
          </w:p>
        </w:tc>
      </w:tr>
      <w:tr>
        <w:trPr>
          <w:trHeight w:val="1552" w:hRule="atLeast"/>
        </w:trPr>
        <w:tc>
          <w:tcPr>
            <w:tcW w:w="1023" w:type="dxa"/>
          </w:tcPr>
          <w:p>
            <w:pPr>
              <w:pStyle w:val="TableParagraph"/>
              <w:spacing w:before="128"/>
              <w:ind w:right="187"/>
              <w:jc w:val="right"/>
              <w:rPr>
                <w:i/>
                <w:sz w:val="22"/>
              </w:rPr>
            </w:pPr>
            <w:r>
              <w:rPr>
                <w:i/>
                <w:w w:val="95"/>
                <w:sz w:val="22"/>
              </w:rPr>
              <w:t>3.2.60</w:t>
            </w:r>
          </w:p>
        </w:tc>
        <w:tc>
          <w:tcPr>
            <w:tcW w:w="1615" w:type="dxa"/>
          </w:tcPr>
          <w:p>
            <w:pPr>
              <w:pStyle w:val="TableParagraph"/>
              <w:spacing w:line="261" w:lineRule="auto" w:before="128"/>
              <w:ind w:left="190" w:right="160"/>
              <w:rPr>
                <w:i/>
                <w:sz w:val="22"/>
              </w:rPr>
            </w:pPr>
            <w:r>
              <w:rPr>
                <w:i/>
                <w:w w:val="95"/>
                <w:sz w:val="22"/>
              </w:rPr>
              <w:t>破裂脑动脉瘤夹闭手术</w:t>
            </w:r>
          </w:p>
        </w:tc>
        <w:tc>
          <w:tcPr>
            <w:tcW w:w="7732" w:type="dxa"/>
          </w:tcPr>
          <w:p>
            <w:pPr>
              <w:pStyle w:val="TableParagraph"/>
              <w:spacing w:line="273" w:lineRule="auto" w:before="139"/>
              <w:ind w:left="111" w:right="255"/>
              <w:rPr>
                <w:sz w:val="21"/>
              </w:rPr>
            </w:pPr>
            <w:r>
              <w:rPr>
                <w:sz w:val="21"/>
              </w:rPr>
              <w:t>指因脑动脉瘤破裂造成蛛网膜下腔出血，被保险人实际接受了在全麻下进行的开颅动脉瘤夹闭手术。</w:t>
            </w:r>
          </w:p>
          <w:p>
            <w:pPr>
              <w:pStyle w:val="TableParagraph"/>
              <w:spacing w:line="273" w:lineRule="auto" w:before="7"/>
              <w:ind w:left="111" w:right="305"/>
              <w:rPr>
                <w:b/>
                <w:sz w:val="21"/>
              </w:rPr>
            </w:pPr>
            <w:r>
              <w:rPr>
                <w:b/>
                <w:spacing w:val="-4"/>
                <w:sz w:val="21"/>
              </w:rPr>
              <w:t>脑动脉瘤</w:t>
            </w:r>
            <w:r>
              <w:rPr>
                <w:b/>
                <w:sz w:val="21"/>
              </w:rPr>
              <w:t>（未破裂</w:t>
            </w:r>
            <w:r>
              <w:rPr>
                <w:b/>
                <w:spacing w:val="-15"/>
                <w:sz w:val="21"/>
              </w:rPr>
              <w:t>）</w:t>
            </w:r>
            <w:r>
              <w:rPr>
                <w:b/>
                <w:spacing w:val="-7"/>
                <w:sz w:val="21"/>
              </w:rPr>
              <w:t>预防性手术、颅骨打孔手术、动脉瘤栓塞手术、血管内手术及其他颅脑手术不在本保障范围内。</w:t>
            </w:r>
          </w:p>
        </w:tc>
      </w:tr>
      <w:tr>
        <w:trPr>
          <w:trHeight w:val="936" w:hRule="atLeast"/>
        </w:trPr>
        <w:tc>
          <w:tcPr>
            <w:tcW w:w="1023" w:type="dxa"/>
          </w:tcPr>
          <w:p>
            <w:pPr>
              <w:pStyle w:val="TableParagraph"/>
              <w:spacing w:before="136"/>
              <w:ind w:right="187"/>
              <w:jc w:val="right"/>
              <w:rPr>
                <w:i/>
                <w:sz w:val="22"/>
              </w:rPr>
            </w:pPr>
            <w:r>
              <w:rPr>
                <w:i/>
                <w:w w:val="95"/>
                <w:sz w:val="22"/>
              </w:rPr>
              <w:t>3.2.61</w:t>
            </w:r>
          </w:p>
        </w:tc>
        <w:tc>
          <w:tcPr>
            <w:tcW w:w="1615" w:type="dxa"/>
          </w:tcPr>
          <w:p>
            <w:pPr>
              <w:pStyle w:val="TableParagraph"/>
              <w:spacing w:line="259" w:lineRule="auto" w:before="136"/>
              <w:ind w:left="190" w:right="160"/>
              <w:rPr>
                <w:i/>
                <w:sz w:val="22"/>
              </w:rPr>
            </w:pPr>
            <w:r>
              <w:rPr>
                <w:i/>
                <w:w w:val="95"/>
                <w:sz w:val="22"/>
              </w:rPr>
              <w:t>需手术切除的嗜铬细胞瘤</w:t>
            </w:r>
          </w:p>
        </w:tc>
        <w:tc>
          <w:tcPr>
            <w:tcW w:w="7732" w:type="dxa"/>
          </w:tcPr>
          <w:p>
            <w:pPr>
              <w:pStyle w:val="TableParagraph"/>
              <w:spacing w:line="259" w:lineRule="auto" w:before="147"/>
              <w:ind w:left="111" w:right="304"/>
              <w:rPr>
                <w:sz w:val="21"/>
              </w:rPr>
            </w:pPr>
            <w:r>
              <w:rPr>
                <w:spacing w:val="-4"/>
                <w:sz w:val="21"/>
              </w:rPr>
              <w:t>是指肾上腺或嗜铬外组织出现神经内分泌肿瘤，并分</w:t>
            </w:r>
            <w:r>
              <w:rPr>
                <w:rFonts w:ascii="Arial" w:eastAsia="Arial"/>
                <w:w w:val="115"/>
                <w:sz w:val="21"/>
              </w:rPr>
              <w:t>泌</w:t>
            </w:r>
            <w:r>
              <w:rPr>
                <w:spacing w:val="-12"/>
                <w:sz w:val="21"/>
              </w:rPr>
              <w:t>过多的儿茶酚胺类，需要</w:t>
            </w:r>
            <w:r>
              <w:rPr>
                <w:spacing w:val="-1"/>
                <w:sz w:val="21"/>
              </w:rPr>
              <w:t>并实际进</w:t>
            </w:r>
            <w:r>
              <w:rPr>
                <w:rFonts w:ascii="Arial" w:eastAsia="Arial"/>
                <w:spacing w:val="-3"/>
                <w:w w:val="115"/>
                <w:sz w:val="21"/>
              </w:rPr>
              <w:t>行</w:t>
            </w:r>
            <w:r>
              <w:rPr>
                <w:spacing w:val="-3"/>
                <w:sz w:val="21"/>
              </w:rPr>
              <w:t>了手术切除肿瘤。嗜铬细胞瘤的诊断必须由内分泌专科医生确定。</w:t>
            </w:r>
          </w:p>
        </w:tc>
      </w:tr>
      <w:tr>
        <w:trPr>
          <w:trHeight w:val="1879" w:hRule="atLeast"/>
        </w:trPr>
        <w:tc>
          <w:tcPr>
            <w:tcW w:w="1023" w:type="dxa"/>
          </w:tcPr>
          <w:p>
            <w:pPr>
              <w:pStyle w:val="TableParagraph"/>
              <w:spacing w:before="135"/>
              <w:ind w:right="187"/>
              <w:jc w:val="right"/>
              <w:rPr>
                <w:i/>
                <w:sz w:val="22"/>
              </w:rPr>
            </w:pPr>
            <w:r>
              <w:rPr>
                <w:i/>
                <w:w w:val="95"/>
                <w:sz w:val="22"/>
              </w:rPr>
              <w:t>3.2.62</w:t>
            </w:r>
          </w:p>
        </w:tc>
        <w:tc>
          <w:tcPr>
            <w:tcW w:w="1615" w:type="dxa"/>
          </w:tcPr>
          <w:p>
            <w:pPr>
              <w:pStyle w:val="TableParagraph"/>
              <w:spacing w:line="254" w:lineRule="auto" w:before="135"/>
              <w:ind w:left="190" w:right="160"/>
              <w:rPr>
                <w:i/>
                <w:sz w:val="22"/>
              </w:rPr>
            </w:pPr>
            <w:r>
              <w:rPr>
                <w:i/>
                <w:w w:val="95"/>
                <w:sz w:val="22"/>
              </w:rPr>
              <w:t>进行性核上性</w:t>
            </w:r>
            <w:r>
              <w:rPr>
                <w:i/>
                <w:sz w:val="22"/>
              </w:rPr>
              <w:t>麻痹</w:t>
            </w:r>
            <w:r>
              <w:rPr>
                <w:rFonts w:ascii="Times New Roman" w:hAnsi="Times New Roman" w:eastAsia="Times New Roman"/>
                <w:i/>
                <w:sz w:val="21"/>
              </w:rPr>
              <w:t>(Steele- </w:t>
            </w:r>
            <w:r>
              <w:rPr>
                <w:rFonts w:ascii="Times New Roman" w:hAnsi="Times New Roman" w:eastAsia="Times New Roman"/>
                <w:i/>
                <w:sz w:val="21"/>
              </w:rPr>
              <w:t>Rchardson</w:t>
            </w:r>
            <w:r>
              <w:rPr>
                <w:i/>
                <w:sz w:val="22"/>
              </w:rPr>
              <w:t>—</w:t>
            </w:r>
          </w:p>
          <w:p>
            <w:pPr>
              <w:pStyle w:val="TableParagraph"/>
              <w:spacing w:line="247" w:lineRule="auto"/>
              <w:ind w:left="190" w:right="59"/>
              <w:rPr>
                <w:rFonts w:ascii="Times New Roman" w:eastAsia="Times New Roman"/>
                <w:i/>
                <w:sz w:val="21"/>
              </w:rPr>
            </w:pPr>
            <w:r>
              <w:rPr>
                <w:rFonts w:ascii="Times New Roman" w:eastAsia="Times New Roman"/>
                <w:i/>
                <w:sz w:val="21"/>
              </w:rPr>
              <w:t>Olszewski </w:t>
            </w:r>
            <w:r>
              <w:rPr>
                <w:i/>
                <w:sz w:val="22"/>
              </w:rPr>
              <w:t>综合</w:t>
            </w:r>
            <w:r>
              <w:rPr>
                <w:i/>
                <w:w w:val="95"/>
                <w:sz w:val="22"/>
              </w:rPr>
              <w:t>征</w:t>
            </w:r>
            <w:r>
              <w:rPr>
                <w:rFonts w:ascii="Times New Roman" w:eastAsia="Times New Roman"/>
                <w:i/>
                <w:w w:val="95"/>
                <w:sz w:val="21"/>
              </w:rPr>
              <w:t>)</w:t>
            </w:r>
          </w:p>
        </w:tc>
        <w:tc>
          <w:tcPr>
            <w:tcW w:w="7732" w:type="dxa"/>
          </w:tcPr>
          <w:p>
            <w:pPr>
              <w:pStyle w:val="TableParagraph"/>
              <w:spacing w:line="264" w:lineRule="auto" w:before="146"/>
              <w:ind w:left="111" w:right="196"/>
              <w:rPr>
                <w:sz w:val="21"/>
              </w:rPr>
            </w:pPr>
            <w:r>
              <w:rPr>
                <w:spacing w:val="-3"/>
                <w:sz w:val="21"/>
              </w:rPr>
              <w:t>进行性核上性麻痹</w:t>
            </w:r>
            <w:r>
              <w:rPr>
                <w:sz w:val="21"/>
              </w:rPr>
              <w:t>（</w:t>
            </w:r>
            <w:r>
              <w:rPr>
                <w:rFonts w:ascii="Times New Roman" w:hAnsi="Times New Roman" w:eastAsia="Times New Roman"/>
                <w:sz w:val="21"/>
              </w:rPr>
              <w:t>PSP</w:t>
            </w:r>
            <w:r>
              <w:rPr>
                <w:sz w:val="21"/>
              </w:rPr>
              <w:t>）</w:t>
            </w:r>
            <w:r>
              <w:rPr>
                <w:spacing w:val="-3"/>
                <w:sz w:val="21"/>
              </w:rPr>
              <w:t>又称 </w:t>
            </w:r>
            <w:r>
              <w:rPr>
                <w:rFonts w:ascii="Times New Roman" w:hAnsi="Times New Roman" w:eastAsia="Times New Roman"/>
                <w:sz w:val="21"/>
              </w:rPr>
              <w:t>Steele-Rchardson</w:t>
            </w:r>
            <w:r>
              <w:rPr>
                <w:sz w:val="21"/>
              </w:rPr>
              <w:t>—</w:t>
            </w:r>
            <w:r>
              <w:rPr>
                <w:rFonts w:ascii="Times New Roman" w:hAnsi="Times New Roman" w:eastAsia="Times New Roman"/>
                <w:sz w:val="21"/>
              </w:rPr>
              <w:t>Olszewski </w:t>
            </w:r>
            <w:r>
              <w:rPr>
                <w:spacing w:val="-3"/>
                <w:sz w:val="21"/>
              </w:rPr>
              <w:t>综合征，是一种少</w:t>
            </w:r>
            <w:r>
              <w:rPr>
                <w:spacing w:val="-13"/>
                <w:sz w:val="21"/>
              </w:rPr>
              <w:t>见的神经系统变性疾病，以假球麻痹、垂直性核上性眼肌麻痹、锥体外系肌僵直、</w:t>
            </w:r>
            <w:r>
              <w:rPr>
                <w:spacing w:val="-7"/>
                <w:sz w:val="21"/>
              </w:rPr>
              <w:t>步态共济失调和轻度痴呆为主要临床特征。</w:t>
            </w:r>
            <w:r>
              <w:rPr>
                <w:rFonts w:ascii="Times New Roman" w:hAnsi="Times New Roman" w:eastAsia="Times New Roman"/>
                <w:sz w:val="21"/>
              </w:rPr>
              <w:t>PSP </w:t>
            </w:r>
            <w:r>
              <w:rPr>
                <w:spacing w:val="-3"/>
                <w:sz w:val="21"/>
              </w:rPr>
              <w:t>必须由三级甲等医院的神经内科</w:t>
            </w:r>
            <w:r>
              <w:rPr>
                <w:spacing w:val="-7"/>
                <w:sz w:val="21"/>
              </w:rPr>
              <w:t>专科医生确诊，并且被保险人自主生活能力完全丧失，无法独立完成六项基本日</w:t>
            </w:r>
            <w:r>
              <w:rPr>
                <w:spacing w:val="-5"/>
                <w:sz w:val="21"/>
              </w:rPr>
              <w:t>常生活活动中的三项或三项以上。</w:t>
            </w:r>
          </w:p>
        </w:tc>
      </w:tr>
      <w:tr>
        <w:trPr>
          <w:trHeight w:val="1552" w:hRule="atLeast"/>
        </w:trPr>
        <w:tc>
          <w:tcPr>
            <w:tcW w:w="1023" w:type="dxa"/>
          </w:tcPr>
          <w:p>
            <w:pPr>
              <w:pStyle w:val="TableParagraph"/>
              <w:spacing w:before="128"/>
              <w:ind w:right="187"/>
              <w:jc w:val="right"/>
              <w:rPr>
                <w:i/>
                <w:sz w:val="22"/>
              </w:rPr>
            </w:pPr>
            <w:r>
              <w:rPr>
                <w:i/>
                <w:w w:val="95"/>
                <w:sz w:val="22"/>
              </w:rPr>
              <w:t>3.2.63</w:t>
            </w:r>
          </w:p>
        </w:tc>
        <w:tc>
          <w:tcPr>
            <w:tcW w:w="1615" w:type="dxa"/>
          </w:tcPr>
          <w:p>
            <w:pPr>
              <w:pStyle w:val="TableParagraph"/>
              <w:spacing w:line="259" w:lineRule="auto" w:before="128"/>
              <w:ind w:left="190" w:right="160"/>
              <w:rPr>
                <w:i/>
                <w:sz w:val="22"/>
              </w:rPr>
            </w:pPr>
            <w:r>
              <w:rPr>
                <w:i/>
                <w:w w:val="95"/>
                <w:sz w:val="22"/>
              </w:rPr>
              <w:t>严重幼年型类风湿性关节炎</w:t>
            </w:r>
          </w:p>
        </w:tc>
        <w:tc>
          <w:tcPr>
            <w:tcW w:w="7732" w:type="dxa"/>
          </w:tcPr>
          <w:p>
            <w:pPr>
              <w:pStyle w:val="TableParagraph"/>
              <w:spacing w:line="273" w:lineRule="auto" w:before="140"/>
              <w:ind w:left="111" w:right="255"/>
              <w:rPr>
                <w:sz w:val="21"/>
              </w:rPr>
            </w:pPr>
            <w:r>
              <w:rPr>
                <w:sz w:val="21"/>
              </w:rPr>
              <w:t>幼年型类风湿关节炎是一种儿童期发病的慢性关节炎，其特点为在高热和系统性病征出现数月后发生关节炎。</w:t>
            </w:r>
          </w:p>
          <w:p>
            <w:pPr>
              <w:pStyle w:val="TableParagraph"/>
              <w:spacing w:line="273" w:lineRule="auto" w:before="8"/>
              <w:ind w:left="111" w:right="310"/>
              <w:rPr>
                <w:b/>
                <w:sz w:val="21"/>
              </w:rPr>
            </w:pPr>
            <w:r>
              <w:rPr>
                <w:b/>
                <w:sz w:val="21"/>
              </w:rPr>
              <w:t>本保单仅对实际接受了膝关节或髋关节置换手术治疗的严重的幼年型类风湿关节炎予以理赔。</w:t>
            </w:r>
          </w:p>
        </w:tc>
      </w:tr>
      <w:tr>
        <w:trPr>
          <w:trHeight w:val="424" w:hRule="atLeast"/>
        </w:trPr>
        <w:tc>
          <w:tcPr>
            <w:tcW w:w="1023" w:type="dxa"/>
          </w:tcPr>
          <w:p>
            <w:pPr>
              <w:pStyle w:val="TableParagraph"/>
              <w:spacing w:line="268" w:lineRule="exact" w:before="136"/>
              <w:ind w:right="187"/>
              <w:jc w:val="right"/>
              <w:rPr>
                <w:i/>
                <w:sz w:val="22"/>
              </w:rPr>
            </w:pPr>
            <w:r>
              <w:rPr>
                <w:i/>
                <w:w w:val="95"/>
                <w:sz w:val="22"/>
              </w:rPr>
              <w:t>3.2.64</w:t>
            </w:r>
          </w:p>
        </w:tc>
        <w:tc>
          <w:tcPr>
            <w:tcW w:w="1615" w:type="dxa"/>
          </w:tcPr>
          <w:p>
            <w:pPr>
              <w:pStyle w:val="TableParagraph"/>
              <w:spacing w:line="268" w:lineRule="exact" w:before="136"/>
              <w:ind w:left="190"/>
              <w:rPr>
                <w:b/>
                <w:i/>
                <w:sz w:val="22"/>
              </w:rPr>
            </w:pPr>
            <w:r>
              <w:rPr>
                <w:b/>
                <w:i/>
                <w:w w:val="95"/>
                <w:sz w:val="22"/>
              </w:rPr>
              <w:t>严重肠道疾病</w:t>
            </w:r>
          </w:p>
        </w:tc>
        <w:tc>
          <w:tcPr>
            <w:tcW w:w="7732" w:type="dxa"/>
          </w:tcPr>
          <w:p>
            <w:pPr>
              <w:pStyle w:val="TableParagraph"/>
              <w:spacing w:line="257" w:lineRule="exact" w:before="147"/>
              <w:ind w:left="111"/>
              <w:rPr>
                <w:sz w:val="21"/>
              </w:rPr>
            </w:pPr>
            <w:r>
              <w:rPr>
                <w:sz w:val="21"/>
              </w:rPr>
              <w:t>严重肠道疾病或外伤导致小肠损害并发症，必须满足以下所有条件：</w:t>
            </w:r>
          </w:p>
        </w:tc>
      </w:tr>
    </w:tbl>
    <w:p>
      <w:pPr>
        <w:spacing w:after="0" w:line="257" w:lineRule="exact"/>
        <w:rPr>
          <w:sz w:val="21"/>
        </w:rPr>
        <w:sectPr>
          <w:pgSz w:w="11910" w:h="16840"/>
          <w:pgMar w:header="0" w:footer="922" w:top="146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7"/>
        <w:gridCol w:w="7624"/>
      </w:tblGrid>
      <w:tr>
        <w:trPr>
          <w:trHeight w:val="1678" w:hRule="atLeast"/>
        </w:trPr>
        <w:tc>
          <w:tcPr>
            <w:tcW w:w="1023" w:type="dxa"/>
          </w:tcPr>
          <w:p>
            <w:pPr>
              <w:pStyle w:val="TableParagraph"/>
              <w:rPr>
                <w:rFonts w:ascii="Times New Roman"/>
                <w:sz w:val="20"/>
              </w:rPr>
            </w:pPr>
          </w:p>
        </w:tc>
        <w:tc>
          <w:tcPr>
            <w:tcW w:w="1617" w:type="dxa"/>
          </w:tcPr>
          <w:p>
            <w:pPr>
              <w:pStyle w:val="TableParagraph"/>
              <w:spacing w:line="237" w:lineRule="exact"/>
              <w:ind w:left="190"/>
              <w:rPr>
                <w:b/>
                <w:i/>
                <w:sz w:val="22"/>
              </w:rPr>
            </w:pPr>
            <w:r>
              <w:rPr>
                <w:b/>
                <w:i/>
                <w:w w:val="95"/>
                <w:sz w:val="22"/>
              </w:rPr>
              <w:t>并发症</w:t>
            </w:r>
            <w:r>
              <w:rPr>
                <w:rFonts w:ascii="Times New Roman" w:eastAsia="Times New Roman"/>
                <w:b/>
                <w:i/>
                <w:w w:val="95"/>
                <w:sz w:val="21"/>
              </w:rPr>
              <w:t>(</w:t>
            </w:r>
            <w:r>
              <w:rPr>
                <w:b/>
                <w:i/>
                <w:w w:val="95"/>
                <w:sz w:val="22"/>
              </w:rPr>
              <w:t>本项</w:t>
            </w:r>
          </w:p>
          <w:p>
            <w:pPr>
              <w:pStyle w:val="TableParagraph"/>
              <w:spacing w:line="256" w:lineRule="auto" w:before="10"/>
              <w:ind w:left="190" w:right="104"/>
              <w:jc w:val="both"/>
              <w:rPr>
                <w:rFonts w:ascii="Times New Roman" w:eastAsia="Times New Roman"/>
                <w:b/>
                <w:i/>
                <w:sz w:val="21"/>
              </w:rPr>
            </w:pPr>
            <w:r>
              <w:rPr>
                <w:b/>
                <w:i/>
                <w:w w:val="95"/>
                <w:sz w:val="22"/>
              </w:rPr>
              <w:t>保险责任仅在被保险人</w:t>
            </w:r>
            <w:r>
              <w:rPr>
                <w:rFonts w:ascii="Times New Roman" w:eastAsia="Times New Roman"/>
                <w:b/>
                <w:i/>
                <w:w w:val="95"/>
                <w:sz w:val="21"/>
              </w:rPr>
              <w:t>18 </w:t>
            </w:r>
            <w:r>
              <w:rPr>
                <w:b/>
                <w:i/>
                <w:w w:val="95"/>
                <w:sz w:val="22"/>
              </w:rPr>
              <w:t>周岁以前提供保障</w:t>
            </w:r>
            <w:r>
              <w:rPr>
                <w:rFonts w:ascii="Times New Roman" w:eastAsia="Times New Roman"/>
                <w:b/>
                <w:i/>
                <w:w w:val="95"/>
                <w:sz w:val="21"/>
              </w:rPr>
              <w:t>)</w:t>
            </w:r>
          </w:p>
        </w:tc>
        <w:tc>
          <w:tcPr>
            <w:tcW w:w="7624" w:type="dxa"/>
          </w:tcPr>
          <w:p>
            <w:pPr>
              <w:pStyle w:val="TableParagraph"/>
              <w:spacing w:line="221" w:lineRule="exact"/>
              <w:ind w:left="109"/>
              <w:rPr>
                <w:sz w:val="21"/>
              </w:rPr>
            </w:pPr>
            <w:r>
              <w:rPr>
                <w:sz w:val="21"/>
              </w:rPr>
              <w:t>（一）至少切除了三分之二小肠；</w:t>
            </w:r>
          </w:p>
          <w:p>
            <w:pPr>
              <w:pStyle w:val="TableParagraph"/>
              <w:spacing w:before="37"/>
              <w:ind w:left="109"/>
              <w:rPr>
                <w:sz w:val="21"/>
              </w:rPr>
            </w:pPr>
            <w:r>
              <w:rPr>
                <w:sz w:val="21"/>
              </w:rPr>
              <w:t>（二）完全肠外营养支持 </w:t>
            </w:r>
            <w:r>
              <w:rPr>
                <w:rFonts w:ascii="Times New Roman" w:eastAsia="Times New Roman"/>
                <w:sz w:val="21"/>
              </w:rPr>
              <w:t>3 </w:t>
            </w:r>
            <w:r>
              <w:rPr>
                <w:sz w:val="21"/>
              </w:rPr>
              <w:t>个月以上。</w:t>
            </w:r>
          </w:p>
          <w:p>
            <w:pPr>
              <w:pStyle w:val="TableParagraph"/>
              <w:spacing w:before="20"/>
              <w:ind w:left="109"/>
              <w:rPr>
                <w:b/>
                <w:sz w:val="21"/>
              </w:rPr>
            </w:pPr>
            <w:r>
              <w:rPr>
                <w:b/>
                <w:sz w:val="21"/>
              </w:rPr>
              <w:t>本项保险责任仅在被保险人 </w:t>
            </w:r>
            <w:r>
              <w:rPr>
                <w:rFonts w:ascii="Times New Roman" w:eastAsia="Times New Roman"/>
                <w:b/>
                <w:sz w:val="21"/>
              </w:rPr>
              <w:t>18 </w:t>
            </w:r>
            <w:r>
              <w:rPr>
                <w:b/>
                <w:sz w:val="21"/>
              </w:rPr>
              <w:t>周岁以前提供保障。</w:t>
            </w:r>
          </w:p>
        </w:tc>
      </w:tr>
      <w:tr>
        <w:trPr>
          <w:trHeight w:val="2496" w:hRule="atLeast"/>
        </w:trPr>
        <w:tc>
          <w:tcPr>
            <w:tcW w:w="1023" w:type="dxa"/>
          </w:tcPr>
          <w:p>
            <w:pPr>
              <w:pStyle w:val="TableParagraph"/>
              <w:spacing w:before="128"/>
              <w:ind w:right="187"/>
              <w:jc w:val="right"/>
              <w:rPr>
                <w:i/>
                <w:sz w:val="22"/>
              </w:rPr>
            </w:pPr>
            <w:r>
              <w:rPr>
                <w:i/>
                <w:w w:val="95"/>
                <w:sz w:val="22"/>
              </w:rPr>
              <w:t>3.2.65</w:t>
            </w:r>
          </w:p>
        </w:tc>
        <w:tc>
          <w:tcPr>
            <w:tcW w:w="1617" w:type="dxa"/>
          </w:tcPr>
          <w:p>
            <w:pPr>
              <w:pStyle w:val="TableParagraph"/>
              <w:spacing w:line="256" w:lineRule="auto" w:before="128"/>
              <w:ind w:left="190" w:right="104"/>
              <w:jc w:val="both"/>
              <w:rPr>
                <w:i/>
                <w:sz w:val="22"/>
              </w:rPr>
            </w:pPr>
            <w:r>
              <w:rPr>
                <w:i/>
                <w:spacing w:val="-2"/>
                <w:w w:val="95"/>
                <w:sz w:val="22"/>
              </w:rPr>
              <w:t>严重瑞氏综合</w:t>
            </w:r>
            <w:r>
              <w:rPr>
                <w:i/>
                <w:spacing w:val="-34"/>
                <w:sz w:val="22"/>
              </w:rPr>
              <w:t>症</w:t>
            </w:r>
            <w:r>
              <w:rPr>
                <w:i/>
                <w:sz w:val="22"/>
              </w:rPr>
              <w:t>（</w:t>
            </w:r>
            <w:r>
              <w:rPr>
                <w:rFonts w:ascii="Times New Roman" w:eastAsia="Times New Roman"/>
                <w:i/>
                <w:sz w:val="21"/>
              </w:rPr>
              <w:t>Reye </w:t>
            </w:r>
            <w:r>
              <w:rPr>
                <w:i/>
                <w:spacing w:val="-3"/>
                <w:sz w:val="22"/>
              </w:rPr>
              <w:t>综合</w:t>
            </w:r>
            <w:r>
              <w:rPr>
                <w:i/>
                <w:spacing w:val="-2"/>
                <w:w w:val="95"/>
                <w:sz w:val="22"/>
              </w:rPr>
              <w:t>征，也称赖氏</w:t>
            </w:r>
            <w:r>
              <w:rPr>
                <w:i/>
                <w:spacing w:val="-3"/>
                <w:w w:val="95"/>
                <w:sz w:val="22"/>
              </w:rPr>
              <w:t>综合征、雷氏综合征</w:t>
            </w:r>
            <w:r>
              <w:rPr>
                <w:i/>
                <w:w w:val="95"/>
                <w:sz w:val="22"/>
              </w:rPr>
              <w:t>）</w:t>
            </w:r>
          </w:p>
        </w:tc>
        <w:tc>
          <w:tcPr>
            <w:tcW w:w="7624" w:type="dxa"/>
          </w:tcPr>
          <w:p>
            <w:pPr>
              <w:pStyle w:val="TableParagraph"/>
              <w:spacing w:line="273" w:lineRule="auto" w:before="139"/>
              <w:ind w:left="109" w:right="196"/>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7"/>
              <w:ind w:left="109"/>
              <w:jc w:val="both"/>
              <w:rPr>
                <w:sz w:val="21"/>
              </w:rPr>
            </w:pPr>
            <w:r>
              <w:rPr>
                <w:sz w:val="21"/>
              </w:rPr>
              <w:t>瑞氏综合征需由三级医院的儿科专科医生确诊，并符合下列所有条件：</w:t>
            </w:r>
          </w:p>
          <w:p>
            <w:pPr>
              <w:pStyle w:val="TableParagraph"/>
              <w:spacing w:before="37"/>
              <w:ind w:left="109"/>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1"/>
              <w:ind w:left="109"/>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1"/>
              <w:ind w:left="109"/>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808" w:hRule="atLeast"/>
        </w:trPr>
        <w:tc>
          <w:tcPr>
            <w:tcW w:w="1023" w:type="dxa"/>
          </w:tcPr>
          <w:p>
            <w:pPr>
              <w:pStyle w:val="TableParagraph"/>
              <w:spacing w:before="128"/>
              <w:ind w:right="187"/>
              <w:jc w:val="right"/>
              <w:rPr>
                <w:i/>
                <w:sz w:val="22"/>
              </w:rPr>
            </w:pPr>
            <w:r>
              <w:rPr>
                <w:i/>
                <w:w w:val="95"/>
                <w:sz w:val="22"/>
              </w:rPr>
              <w:t>3.2.66</w:t>
            </w:r>
          </w:p>
        </w:tc>
        <w:tc>
          <w:tcPr>
            <w:tcW w:w="1617" w:type="dxa"/>
          </w:tcPr>
          <w:p>
            <w:pPr>
              <w:pStyle w:val="TableParagraph"/>
              <w:spacing w:line="259" w:lineRule="auto" w:before="128"/>
              <w:ind w:left="190" w:right="162"/>
              <w:rPr>
                <w:i/>
                <w:sz w:val="22"/>
              </w:rPr>
            </w:pPr>
            <w:r>
              <w:rPr>
                <w:i/>
                <w:w w:val="95"/>
                <w:sz w:val="22"/>
              </w:rPr>
              <w:t>严重自身免疫性肝炎</w:t>
            </w:r>
          </w:p>
        </w:tc>
        <w:tc>
          <w:tcPr>
            <w:tcW w:w="7624" w:type="dxa"/>
          </w:tcPr>
          <w:p>
            <w:pPr>
              <w:pStyle w:val="TableParagraph"/>
              <w:spacing w:line="273" w:lineRule="auto" w:before="140"/>
              <w:ind w:left="109" w:right="196"/>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109"/>
              <w:rPr>
                <w:sz w:val="21"/>
              </w:rPr>
            </w:pPr>
            <w:r>
              <w:rPr>
                <w:sz w:val="21"/>
              </w:rPr>
              <w:t>（</w:t>
            </w:r>
            <w:r>
              <w:rPr>
                <w:rFonts w:ascii="Times New Roman" w:hAnsi="Times New Roman" w:eastAsia="Times New Roman"/>
                <w:sz w:val="21"/>
              </w:rPr>
              <w:t>1</w:t>
            </w:r>
            <w:r>
              <w:rPr>
                <w:sz w:val="21"/>
              </w:rPr>
              <w:t>）高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56" w:lineRule="auto" w:before="21"/>
              <w:ind w:left="109" w:right="200"/>
              <w:rPr>
                <w:sz w:val="21"/>
              </w:rPr>
            </w:pPr>
            <w:r>
              <w:rPr>
                <w:spacing w:val="-5"/>
                <w:sz w:val="21"/>
              </w:rPr>
              <w:t>（</w:t>
            </w:r>
            <w:r>
              <w:rPr>
                <w:rFonts w:ascii="Times New Roman" w:eastAsia="Times New Roman"/>
                <w:spacing w:val="-5"/>
                <w:sz w:val="21"/>
              </w:rPr>
              <w:t>2</w:t>
            </w:r>
            <w:r>
              <w:rPr>
                <w:spacing w:val="-5"/>
                <w:sz w:val="21"/>
              </w:rPr>
              <w:t>）血液中存在高水平的自身免疫抗体，如 </w:t>
            </w:r>
            <w:r>
              <w:rPr>
                <w:rFonts w:ascii="Times New Roman" w:eastAsia="Times New Roman"/>
                <w:spacing w:val="-4"/>
                <w:sz w:val="21"/>
              </w:rPr>
              <w:t>ANA</w:t>
            </w:r>
            <w:r>
              <w:rPr>
                <w:spacing w:val="-4"/>
                <w:sz w:val="21"/>
              </w:rPr>
              <w:t>（</w:t>
            </w:r>
            <w:r>
              <w:rPr>
                <w:spacing w:val="-1"/>
                <w:sz w:val="21"/>
              </w:rPr>
              <w:t>抗核抗体</w:t>
            </w:r>
            <w:r>
              <w:rPr>
                <w:spacing w:val="-13"/>
                <w:sz w:val="21"/>
              </w:rPr>
              <w:t>）</w:t>
            </w:r>
            <w:r>
              <w:rPr>
                <w:spacing w:val="-10"/>
                <w:sz w:val="21"/>
              </w:rPr>
              <w:t>、</w:t>
            </w:r>
            <w:r>
              <w:rPr>
                <w:rFonts w:ascii="Times New Roman" w:eastAsia="Times New Roman"/>
                <w:spacing w:val="-4"/>
                <w:sz w:val="21"/>
              </w:rPr>
              <w:t>SMA</w:t>
            </w:r>
            <w:r>
              <w:rPr>
                <w:spacing w:val="-4"/>
                <w:sz w:val="21"/>
              </w:rPr>
              <w:t>（</w:t>
            </w:r>
            <w:r>
              <w:rPr>
                <w:spacing w:val="-2"/>
                <w:sz w:val="21"/>
              </w:rPr>
              <w:t>抗平滑</w:t>
            </w:r>
            <w:r>
              <w:rPr>
                <w:spacing w:val="-3"/>
                <w:sz w:val="21"/>
              </w:rPr>
              <w:t>肌抗体</w:t>
            </w:r>
            <w:r>
              <w:rPr>
                <w:sz w:val="21"/>
              </w:rPr>
              <w:t>）</w:t>
            </w:r>
            <w:r>
              <w:rPr>
                <w:spacing w:val="-19"/>
                <w:sz w:val="21"/>
              </w:rPr>
              <w:t>、抗 </w:t>
            </w:r>
            <w:r>
              <w:rPr>
                <w:rFonts w:ascii="Times New Roman" w:eastAsia="Times New Roman"/>
                <w:sz w:val="21"/>
              </w:rPr>
              <w:t>LKM1 </w:t>
            </w:r>
            <w:r>
              <w:rPr>
                <w:spacing w:val="-2"/>
                <w:sz w:val="21"/>
              </w:rPr>
              <w:t>抗体或抗</w:t>
            </w:r>
            <w:r>
              <w:rPr>
                <w:rFonts w:ascii="Times New Roman" w:eastAsia="Times New Roman"/>
                <w:sz w:val="21"/>
              </w:rPr>
              <w:t>-SLA/LP </w:t>
            </w:r>
            <w:r>
              <w:rPr>
                <w:spacing w:val="-2"/>
                <w:sz w:val="21"/>
              </w:rPr>
              <w:t>抗体；</w:t>
            </w:r>
          </w:p>
          <w:p>
            <w:pPr>
              <w:pStyle w:val="TableParagraph"/>
              <w:spacing w:before="4"/>
              <w:ind w:left="109"/>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0"/>
              <w:ind w:left="109"/>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872" w:hRule="atLeast"/>
        </w:trPr>
        <w:tc>
          <w:tcPr>
            <w:tcW w:w="1023" w:type="dxa"/>
          </w:tcPr>
          <w:p>
            <w:pPr>
              <w:pStyle w:val="TableParagraph"/>
              <w:spacing w:before="128"/>
              <w:ind w:right="187"/>
              <w:jc w:val="right"/>
              <w:rPr>
                <w:i/>
                <w:sz w:val="22"/>
              </w:rPr>
            </w:pPr>
            <w:r>
              <w:rPr>
                <w:i/>
                <w:w w:val="95"/>
                <w:sz w:val="22"/>
              </w:rPr>
              <w:t>3.2.67</w:t>
            </w:r>
          </w:p>
        </w:tc>
        <w:tc>
          <w:tcPr>
            <w:tcW w:w="1617" w:type="dxa"/>
          </w:tcPr>
          <w:p>
            <w:pPr>
              <w:pStyle w:val="TableParagraph"/>
              <w:spacing w:line="247" w:lineRule="auto" w:before="128"/>
              <w:ind w:left="190" w:right="104"/>
              <w:rPr>
                <w:i/>
                <w:sz w:val="22"/>
              </w:rPr>
            </w:pPr>
            <w:r>
              <w:rPr>
                <w:i/>
                <w:w w:val="95"/>
                <w:sz w:val="22"/>
              </w:rPr>
              <w:t>严重的</w:t>
            </w:r>
            <w:r>
              <w:rPr>
                <w:rFonts w:ascii="Times New Roman" w:eastAsia="Times New Roman"/>
                <w:i/>
                <w:w w:val="95"/>
                <w:sz w:val="21"/>
              </w:rPr>
              <w:t>III </w:t>
            </w:r>
            <w:r>
              <w:rPr>
                <w:i/>
                <w:w w:val="95"/>
                <w:sz w:val="22"/>
              </w:rPr>
              <w:t>度房室传导阻滞</w:t>
            </w:r>
          </w:p>
        </w:tc>
        <w:tc>
          <w:tcPr>
            <w:tcW w:w="7624" w:type="dxa"/>
          </w:tcPr>
          <w:p>
            <w:pPr>
              <w:pStyle w:val="TableParagraph"/>
              <w:spacing w:line="273" w:lineRule="auto" w:before="139"/>
              <w:ind w:left="109" w:right="575"/>
              <w:rPr>
                <w:sz w:val="21"/>
              </w:rPr>
            </w:pPr>
            <w:r>
              <w:rPr>
                <w:sz w:val="21"/>
              </w:rPr>
              <w:t>指心房激动在房室交界区、房室束及其分支内发生阻滞，不能正常地传到心室的心脏传导性疾病，须满足下列所有条件：</w:t>
            </w:r>
          </w:p>
          <w:p>
            <w:pPr>
              <w:pStyle w:val="TableParagraph"/>
              <w:spacing w:before="7"/>
              <w:ind w:left="109"/>
              <w:rPr>
                <w:sz w:val="21"/>
              </w:rPr>
            </w:pP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20"/>
              <w:ind w:left="109"/>
              <w:rPr>
                <w:sz w:val="21"/>
              </w:rPr>
            </w:pPr>
            <w:r>
              <w:rPr>
                <w:rFonts w:ascii="Times New Roman" w:eastAsia="Times New Roman"/>
                <w:sz w:val="21"/>
              </w:rPr>
              <w:t>(2)</w:t>
            </w:r>
            <w:r>
              <w:rPr>
                <w:sz w:val="21"/>
              </w:rPr>
              <w:t>出现阿</w:t>
            </w:r>
            <w:r>
              <w:rPr>
                <w:rFonts w:ascii="Times New Roman" w:eastAsia="Times New Roman"/>
                <w:sz w:val="21"/>
              </w:rPr>
              <w:t>-</w:t>
            </w:r>
            <w:r>
              <w:rPr>
                <w:sz w:val="21"/>
              </w:rPr>
              <w:t>斯综合征或心力衰竭的表现；</w:t>
            </w:r>
          </w:p>
          <w:p>
            <w:pPr>
              <w:pStyle w:val="TableParagraph"/>
              <w:spacing w:before="20"/>
              <w:ind w:left="109"/>
              <w:rPr>
                <w:sz w:val="21"/>
              </w:rPr>
            </w:pPr>
            <w:r>
              <w:rPr>
                <w:rFonts w:ascii="Times New Roman" w:eastAsia="Times New Roman"/>
                <w:sz w:val="21"/>
              </w:rPr>
              <w:t>(3)</w:t>
            </w:r>
            <w:r>
              <w:rPr>
                <w:sz w:val="21"/>
              </w:rPr>
              <w:t>必须持续性依赖心脏起搏器维持心脏正常功能，且已经放置心脏起搏器。</w:t>
            </w:r>
          </w:p>
        </w:tc>
      </w:tr>
      <w:tr>
        <w:trPr>
          <w:trHeight w:val="1864" w:hRule="atLeast"/>
        </w:trPr>
        <w:tc>
          <w:tcPr>
            <w:tcW w:w="1023" w:type="dxa"/>
          </w:tcPr>
          <w:p>
            <w:pPr>
              <w:pStyle w:val="TableParagraph"/>
              <w:spacing w:before="128"/>
              <w:ind w:right="187"/>
              <w:jc w:val="right"/>
              <w:rPr>
                <w:i/>
                <w:sz w:val="22"/>
              </w:rPr>
            </w:pPr>
            <w:r>
              <w:rPr>
                <w:i/>
                <w:w w:val="95"/>
                <w:sz w:val="22"/>
              </w:rPr>
              <w:t>3.2.68</w:t>
            </w:r>
          </w:p>
        </w:tc>
        <w:tc>
          <w:tcPr>
            <w:tcW w:w="1617" w:type="dxa"/>
          </w:tcPr>
          <w:p>
            <w:pPr>
              <w:pStyle w:val="TableParagraph"/>
              <w:spacing w:line="259" w:lineRule="auto" w:before="128"/>
              <w:ind w:left="190" w:right="162"/>
              <w:rPr>
                <w:i/>
                <w:sz w:val="22"/>
              </w:rPr>
            </w:pPr>
            <w:r>
              <w:rPr>
                <w:i/>
                <w:w w:val="95"/>
                <w:sz w:val="22"/>
              </w:rPr>
              <w:t>细菌性脑脊髓膜炎</w:t>
            </w:r>
          </w:p>
        </w:tc>
        <w:tc>
          <w:tcPr>
            <w:tcW w:w="7624" w:type="dxa"/>
          </w:tcPr>
          <w:p>
            <w:pPr>
              <w:pStyle w:val="TableParagraph"/>
              <w:spacing w:before="139"/>
              <w:ind w:left="109"/>
              <w:rPr>
                <w:sz w:val="21"/>
              </w:rPr>
            </w:pPr>
            <w:r>
              <w:rPr>
                <w:sz w:val="21"/>
              </w:rPr>
              <w:t>指因脑膜炎双球菌感染引起脑脊髓膜化脓性病变，且导致永久性神经损害，持续</w:t>
            </w:r>
          </w:p>
          <w:p>
            <w:pPr>
              <w:pStyle w:val="TableParagraph"/>
              <w:spacing w:before="36"/>
              <w:ind w:left="109"/>
              <w:rPr>
                <w:sz w:val="21"/>
              </w:rPr>
            </w:pPr>
            <w:r>
              <w:rPr>
                <w:rFonts w:ascii="Times New Roman" w:eastAsia="Times New Roman"/>
                <w:sz w:val="21"/>
              </w:rPr>
              <w:t>90 </w:t>
            </w:r>
            <w:r>
              <w:rPr>
                <w:sz w:val="21"/>
              </w:rPr>
              <w:t>天以上，并且脑脊液检查显示脑膜炎双球菌阳性。</w:t>
            </w:r>
          </w:p>
          <w:p>
            <w:pPr>
              <w:pStyle w:val="TableParagraph"/>
              <w:spacing w:line="264" w:lineRule="auto" w:before="20"/>
              <w:ind w:left="109" w:right="195"/>
              <w:jc w:val="both"/>
              <w:rPr>
                <w:sz w:val="21"/>
              </w:rPr>
            </w:pPr>
            <w:r>
              <w:rPr>
                <w:spacing w:val="-6"/>
                <w:sz w:val="21"/>
              </w:rPr>
              <w:t>永久性神经损害是指由细菌性脑脊髓膜炎引起的耳聋、失明、动眼神经麻痹、瘫</w:t>
            </w:r>
            <w:r>
              <w:rPr>
                <w:spacing w:val="-5"/>
                <w:sz w:val="21"/>
              </w:rPr>
              <w:t>痪、脑积水、智力或性情中度以上的损害，且上述症状持续 </w:t>
            </w:r>
            <w:r>
              <w:rPr>
                <w:rFonts w:ascii="Times New Roman" w:eastAsia="Times New Roman"/>
                <w:sz w:val="21"/>
              </w:rPr>
              <w:t>90 </w:t>
            </w:r>
            <w:r>
              <w:rPr>
                <w:spacing w:val="-3"/>
                <w:sz w:val="21"/>
              </w:rPr>
              <w:t>天以上仍无改善迹象。</w:t>
            </w:r>
          </w:p>
        </w:tc>
      </w:tr>
      <w:tr>
        <w:trPr>
          <w:trHeight w:val="2935" w:hRule="atLeast"/>
        </w:trPr>
        <w:tc>
          <w:tcPr>
            <w:tcW w:w="1023" w:type="dxa"/>
          </w:tcPr>
          <w:p>
            <w:pPr>
              <w:pStyle w:val="TableParagraph"/>
              <w:spacing w:before="136"/>
              <w:ind w:right="187"/>
              <w:jc w:val="right"/>
              <w:rPr>
                <w:i/>
                <w:sz w:val="22"/>
              </w:rPr>
            </w:pPr>
            <w:r>
              <w:rPr>
                <w:i/>
                <w:w w:val="95"/>
                <w:sz w:val="22"/>
              </w:rPr>
              <w:t>3.2.69</w:t>
            </w:r>
          </w:p>
        </w:tc>
        <w:tc>
          <w:tcPr>
            <w:tcW w:w="1617" w:type="dxa"/>
          </w:tcPr>
          <w:p>
            <w:pPr>
              <w:pStyle w:val="TableParagraph"/>
              <w:spacing w:line="259" w:lineRule="auto" w:before="136"/>
              <w:ind w:left="190" w:right="162"/>
              <w:rPr>
                <w:i/>
                <w:sz w:val="22"/>
              </w:rPr>
            </w:pPr>
            <w:r>
              <w:rPr>
                <w:i/>
                <w:w w:val="95"/>
                <w:sz w:val="22"/>
              </w:rPr>
              <w:t>严重感染性心内膜炎</w:t>
            </w:r>
          </w:p>
        </w:tc>
        <w:tc>
          <w:tcPr>
            <w:tcW w:w="7624" w:type="dxa"/>
          </w:tcPr>
          <w:p>
            <w:pPr>
              <w:pStyle w:val="TableParagraph"/>
              <w:spacing w:before="147"/>
              <w:ind w:left="109"/>
              <w:rPr>
                <w:sz w:val="21"/>
              </w:rPr>
            </w:pPr>
            <w:r>
              <w:rPr>
                <w:sz w:val="21"/>
              </w:rPr>
              <w:t>因感染性病原体造成心脏内膜发炎，并符合下列所有条件：</w:t>
            </w:r>
          </w:p>
          <w:p>
            <w:pPr>
              <w:pStyle w:val="TableParagraph"/>
              <w:spacing w:before="36"/>
              <w:ind w:left="109"/>
              <w:rPr>
                <w:sz w:val="21"/>
              </w:rPr>
            </w:pPr>
            <w:r>
              <w:rPr>
                <w:sz w:val="21"/>
              </w:rPr>
              <w:t>（</w:t>
            </w:r>
            <w:r>
              <w:rPr>
                <w:rFonts w:ascii="Times New Roman" w:eastAsia="Times New Roman"/>
                <w:sz w:val="21"/>
              </w:rPr>
              <w:t>1</w:t>
            </w:r>
            <w:r>
              <w:rPr>
                <w:sz w:val="21"/>
              </w:rPr>
              <w:t>）血液培养测试结果为阳性，证实存在感染病原体：</w:t>
            </w:r>
          </w:p>
          <w:p>
            <w:pPr>
              <w:pStyle w:val="TableParagraph"/>
              <w:numPr>
                <w:ilvl w:val="1"/>
                <w:numId w:val="5"/>
              </w:numPr>
              <w:tabs>
                <w:tab w:pos="479" w:val="left" w:leader="none"/>
              </w:tabs>
              <w:spacing w:line="256" w:lineRule="auto" w:before="21" w:after="0"/>
              <w:ind w:left="109" w:right="200" w:firstLine="0"/>
              <w:jc w:val="left"/>
              <w:rPr>
                <w:sz w:val="21"/>
              </w:rPr>
            </w:pPr>
            <w:r>
              <w:rPr>
                <w:spacing w:val="-3"/>
                <w:sz w:val="21"/>
              </w:rPr>
              <w:t>微生物：在赘生物、栓塞的赘生物或心脏内脓疡经培养或组织检查证实有微生物；或</w:t>
            </w:r>
          </w:p>
          <w:p>
            <w:pPr>
              <w:pStyle w:val="TableParagraph"/>
              <w:numPr>
                <w:ilvl w:val="1"/>
                <w:numId w:val="5"/>
              </w:numPr>
              <w:tabs>
                <w:tab w:pos="479" w:val="left" w:leader="none"/>
              </w:tabs>
              <w:spacing w:line="256" w:lineRule="auto" w:before="22" w:after="0"/>
              <w:ind w:left="109" w:right="201" w:firstLine="0"/>
              <w:jc w:val="left"/>
              <w:rPr>
                <w:sz w:val="21"/>
              </w:rPr>
            </w:pPr>
            <w:r>
              <w:rPr>
                <w:spacing w:val="-3"/>
                <w:sz w:val="21"/>
              </w:rPr>
              <w:t>病理性病灶：组织病理学检查证实赘生物或心脏内脓疡有活动性心内膜炎； 或</w:t>
            </w:r>
          </w:p>
          <w:p>
            <w:pPr>
              <w:pStyle w:val="TableParagraph"/>
              <w:numPr>
                <w:ilvl w:val="1"/>
                <w:numId w:val="5"/>
              </w:numPr>
              <w:tabs>
                <w:tab w:pos="426" w:val="left" w:leader="none"/>
              </w:tabs>
              <w:spacing w:line="240" w:lineRule="auto" w:before="22" w:after="0"/>
              <w:ind w:left="426" w:right="0" w:hanging="317"/>
              <w:jc w:val="left"/>
              <w:rPr>
                <w:sz w:val="21"/>
              </w:rPr>
            </w:pPr>
            <w:r>
              <w:rPr>
                <w:spacing w:val="-3"/>
                <w:sz w:val="21"/>
              </w:rPr>
              <w:t>分别两次血液培养证实有典型的病原体且与心内膜炎吻合；或</w:t>
            </w:r>
          </w:p>
          <w:p>
            <w:pPr>
              <w:pStyle w:val="TableParagraph"/>
              <w:numPr>
                <w:ilvl w:val="1"/>
                <w:numId w:val="5"/>
              </w:numPr>
              <w:tabs>
                <w:tab w:pos="426" w:val="left" w:leader="none"/>
              </w:tabs>
              <w:spacing w:line="240" w:lineRule="auto" w:before="21" w:after="0"/>
              <w:ind w:left="426" w:right="0" w:hanging="317"/>
              <w:jc w:val="left"/>
              <w:rPr>
                <w:sz w:val="21"/>
              </w:rPr>
            </w:pPr>
            <w:r>
              <w:rPr>
                <w:spacing w:val="-3"/>
                <w:sz w:val="21"/>
              </w:rPr>
              <w:t>持续血液培养证实有病原体阳性反应，且与心内膜炎吻合。</w:t>
            </w:r>
          </w:p>
          <w:p>
            <w:pPr>
              <w:pStyle w:val="TableParagraph"/>
              <w:spacing w:line="271" w:lineRule="exact" w:before="21"/>
              <w:ind w:left="109"/>
              <w:rPr>
                <w:sz w:val="21"/>
              </w:rPr>
            </w:pPr>
            <w:r>
              <w:rPr>
                <w:sz w:val="21"/>
              </w:rPr>
              <w:t>（</w:t>
            </w:r>
            <w:r>
              <w:rPr>
                <w:rFonts w:ascii="Times New Roman" w:eastAsia="Times New Roman"/>
                <w:sz w:val="21"/>
              </w:rPr>
              <w:t>2</w:t>
            </w:r>
            <w:r>
              <w:rPr>
                <w:sz w:val="21"/>
              </w:rPr>
              <w:t>）心内膜炎引起中度心瓣膜闭锁不全（指返流分数 </w:t>
            </w:r>
            <w:r>
              <w:rPr>
                <w:rFonts w:ascii="Times New Roman" w:eastAsia="Times New Roman"/>
                <w:sz w:val="21"/>
              </w:rPr>
              <w:t>20%</w:t>
            </w:r>
            <w:r>
              <w:rPr>
                <w:sz w:val="21"/>
              </w:rPr>
              <w:t>或以上）或中度心瓣</w:t>
            </w:r>
          </w:p>
        </w:tc>
      </w:tr>
    </w:tbl>
    <w:p>
      <w:pPr>
        <w:spacing w:after="0" w:line="271" w:lineRule="exact"/>
        <w:rPr>
          <w:sz w:val="21"/>
        </w:rPr>
        <w:sectPr>
          <w:pgSz w:w="11910" w:h="16840"/>
          <w:pgMar w:header="0" w:footer="922" w:top="1460" w:bottom="1120" w:left="72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660"/>
      </w:tblGrid>
      <w:tr>
        <w:trPr>
          <w:trHeight w:val="739" w:hRule="atLeast"/>
        </w:trPr>
        <w:tc>
          <w:tcPr>
            <w:tcW w:w="1023" w:type="dxa"/>
          </w:tcPr>
          <w:p>
            <w:pPr>
              <w:pStyle w:val="TableParagraph"/>
              <w:rPr>
                <w:rFonts w:ascii="Times New Roman"/>
                <w:sz w:val="20"/>
              </w:rPr>
            </w:pPr>
          </w:p>
        </w:tc>
        <w:tc>
          <w:tcPr>
            <w:tcW w:w="1618" w:type="dxa"/>
          </w:tcPr>
          <w:p>
            <w:pPr>
              <w:pStyle w:val="TableParagraph"/>
              <w:rPr>
                <w:rFonts w:ascii="Times New Roman"/>
                <w:sz w:val="20"/>
              </w:rPr>
            </w:pPr>
          </w:p>
        </w:tc>
        <w:tc>
          <w:tcPr>
            <w:tcW w:w="7660" w:type="dxa"/>
          </w:tcPr>
          <w:p>
            <w:pPr>
              <w:pStyle w:val="TableParagraph"/>
              <w:spacing w:line="234" w:lineRule="exact"/>
              <w:ind w:left="108"/>
              <w:rPr>
                <w:sz w:val="21"/>
              </w:rPr>
            </w:pPr>
            <w:r>
              <w:rPr>
                <w:sz w:val="21"/>
              </w:rPr>
              <w:t>膜狭窄（指心瓣膜开口范围小于或等于正常的 </w:t>
            </w:r>
            <w:r>
              <w:rPr>
                <w:rFonts w:ascii="Times New Roman" w:eastAsia="Times New Roman"/>
                <w:sz w:val="21"/>
              </w:rPr>
              <w:t>30%</w:t>
            </w:r>
            <w:r>
              <w:rPr>
                <w:sz w:val="21"/>
              </w:rPr>
              <w:t>）；及</w:t>
            </w:r>
          </w:p>
          <w:p>
            <w:pPr>
              <w:pStyle w:val="TableParagraph"/>
              <w:spacing w:before="21"/>
              <w:ind w:left="108"/>
              <w:rPr>
                <w:sz w:val="21"/>
              </w:rPr>
            </w:pPr>
            <w:r>
              <w:rPr>
                <w:sz w:val="21"/>
              </w:rPr>
              <w:t>（</w:t>
            </w:r>
            <w:r>
              <w:rPr>
                <w:rFonts w:ascii="Times New Roman" w:eastAsia="Times New Roman"/>
                <w:sz w:val="21"/>
              </w:rPr>
              <w:t>3</w:t>
            </w:r>
            <w:r>
              <w:rPr>
                <w:sz w:val="21"/>
              </w:rPr>
              <w:t>）心内膜炎及心瓣膜病损须经心脏专科医生确诊。</w:t>
            </w:r>
          </w:p>
        </w:tc>
      </w:tr>
      <w:tr>
        <w:trPr>
          <w:trHeight w:val="3117" w:hRule="atLeast"/>
        </w:trPr>
        <w:tc>
          <w:tcPr>
            <w:tcW w:w="1023" w:type="dxa"/>
          </w:tcPr>
          <w:p>
            <w:pPr>
              <w:pStyle w:val="TableParagraph"/>
              <w:spacing w:before="128"/>
              <w:ind w:left="200"/>
              <w:rPr>
                <w:i/>
                <w:sz w:val="22"/>
              </w:rPr>
            </w:pPr>
            <w:r>
              <w:rPr>
                <w:i/>
                <w:sz w:val="22"/>
              </w:rPr>
              <w:t>3.2.70</w:t>
            </w:r>
          </w:p>
        </w:tc>
        <w:tc>
          <w:tcPr>
            <w:tcW w:w="1618" w:type="dxa"/>
          </w:tcPr>
          <w:p>
            <w:pPr>
              <w:pStyle w:val="TableParagraph"/>
              <w:spacing w:line="259" w:lineRule="auto" w:before="128"/>
              <w:ind w:left="190" w:right="163"/>
              <w:rPr>
                <w:i/>
                <w:sz w:val="22"/>
              </w:rPr>
            </w:pPr>
            <w:r>
              <w:rPr>
                <w:i/>
                <w:w w:val="95"/>
                <w:sz w:val="22"/>
              </w:rPr>
              <w:t>严重的骨髓增生异常综合征</w:t>
            </w:r>
          </w:p>
        </w:tc>
        <w:tc>
          <w:tcPr>
            <w:tcW w:w="7660" w:type="dxa"/>
          </w:tcPr>
          <w:p>
            <w:pPr>
              <w:pStyle w:val="TableParagraph"/>
              <w:spacing w:line="264" w:lineRule="auto" w:before="139"/>
              <w:ind w:left="108" w:right="233"/>
              <w:jc w:val="both"/>
              <w:rPr>
                <w:sz w:val="21"/>
              </w:rPr>
            </w:pPr>
            <w:r>
              <w:rPr>
                <w:spacing w:val="-3"/>
                <w:sz w:val="21"/>
              </w:rPr>
              <w:t>骨髓增生异常综合征</w:t>
            </w:r>
            <w:r>
              <w:rPr>
                <w:rFonts w:ascii="Times New Roman" w:eastAsia="Times New Roman"/>
                <w:sz w:val="21"/>
              </w:rPr>
              <w:t>(myelodysplastic </w:t>
            </w:r>
            <w:r>
              <w:rPr>
                <w:rFonts w:ascii="Times New Roman" w:eastAsia="Times New Roman"/>
                <w:spacing w:val="-3"/>
                <w:sz w:val="21"/>
              </w:rPr>
              <w:t>syndromes</w:t>
            </w:r>
            <w:r>
              <w:rPr>
                <w:spacing w:val="-3"/>
                <w:sz w:val="21"/>
              </w:rPr>
              <w:t>，</w:t>
            </w:r>
            <w:r>
              <w:rPr>
                <w:rFonts w:ascii="Times New Roman" w:eastAsia="Times New Roman"/>
                <w:spacing w:val="-3"/>
                <w:sz w:val="21"/>
              </w:rPr>
              <w:t>MDS)</w:t>
            </w:r>
            <w:r>
              <w:rPr>
                <w:spacing w:val="-3"/>
                <w:sz w:val="21"/>
              </w:rPr>
              <w:t>是起源于造血干细胞的一</w:t>
            </w:r>
            <w:r>
              <w:rPr>
                <w:spacing w:val="-6"/>
                <w:sz w:val="21"/>
              </w:rPr>
              <w:t>组异质性髓系克隆性疾病，特点是髓系细胞发育异常，表现为无效造血、难治性</w:t>
            </w:r>
            <w:r>
              <w:rPr>
                <w:spacing w:val="-4"/>
                <w:sz w:val="21"/>
              </w:rPr>
              <w:t>血细胞减少，本合同所指的严重的骨髓异常增生综合征需满足下列所有条件：</w:t>
            </w:r>
          </w:p>
          <w:p>
            <w:pPr>
              <w:pStyle w:val="TableParagraph"/>
              <w:spacing w:line="256" w:lineRule="auto" w:before="15"/>
              <w:ind w:left="108" w:right="241"/>
              <w:rPr>
                <w:sz w:val="21"/>
              </w:rPr>
            </w:pPr>
            <w:r>
              <w:rPr>
                <w:sz w:val="21"/>
              </w:rPr>
              <w:t>（</w:t>
            </w: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8"/>
              <w:rPr>
                <w:sz w:val="21"/>
              </w:rPr>
            </w:pPr>
            <w:r>
              <w:rPr>
                <w:sz w:val="21"/>
              </w:rPr>
              <w:t>（</w:t>
            </w: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before="21"/>
              <w:ind w:left="108"/>
              <w:rPr>
                <w:sz w:val="21"/>
              </w:rPr>
            </w:pPr>
            <w:r>
              <w:rPr>
                <w:sz w:val="21"/>
              </w:rPr>
              <w:t>（</w:t>
            </w:r>
            <w:r>
              <w:rPr>
                <w:rFonts w:ascii="Times New Roman" w:eastAsia="Times New Roman"/>
                <w:sz w:val="21"/>
              </w:rPr>
              <w:t>3</w:t>
            </w:r>
            <w:r>
              <w:rPr>
                <w:sz w:val="21"/>
              </w:rPr>
              <w:t>） 已接受至少累计三十日的化疗或已接受骨髓移植治疗。</w:t>
            </w:r>
          </w:p>
          <w:p>
            <w:pPr>
              <w:pStyle w:val="TableParagraph"/>
              <w:spacing w:line="273" w:lineRule="auto" w:before="21"/>
              <w:ind w:left="108" w:right="1434"/>
              <w:rPr>
                <w:b/>
                <w:sz w:val="21"/>
              </w:rPr>
            </w:pPr>
            <w:r>
              <w:rPr>
                <w:b/>
                <w:sz w:val="21"/>
              </w:rPr>
              <w:t>化疗日数的计算以被保险人实际服用、注射化疗药物的天数为准。疑似病例不在保障范围之内。</w:t>
            </w:r>
          </w:p>
        </w:tc>
      </w:tr>
      <w:tr>
        <w:trPr>
          <w:trHeight w:val="619" w:hRule="atLeast"/>
        </w:trPr>
        <w:tc>
          <w:tcPr>
            <w:tcW w:w="1023" w:type="dxa"/>
          </w:tcPr>
          <w:p>
            <w:pPr>
              <w:pStyle w:val="TableParagraph"/>
              <w:spacing w:before="143"/>
              <w:ind w:left="200"/>
              <w:rPr>
                <w:b/>
                <w:sz w:val="21"/>
              </w:rPr>
            </w:pPr>
            <w:r>
              <w:rPr>
                <w:b/>
                <w:sz w:val="21"/>
              </w:rPr>
              <w:t>3.3</w:t>
            </w:r>
          </w:p>
        </w:tc>
        <w:tc>
          <w:tcPr>
            <w:tcW w:w="1618" w:type="dxa"/>
          </w:tcPr>
          <w:p>
            <w:pPr>
              <w:pStyle w:val="TableParagraph"/>
              <w:spacing w:before="143"/>
              <w:ind w:left="190"/>
              <w:rPr>
                <w:b/>
                <w:sz w:val="21"/>
              </w:rPr>
            </w:pPr>
            <w:r>
              <w:rPr>
                <w:b/>
                <w:sz w:val="21"/>
              </w:rPr>
              <w:t>轻症重疾的定</w:t>
            </w:r>
          </w:p>
        </w:tc>
        <w:tc>
          <w:tcPr>
            <w:tcW w:w="7660" w:type="dxa"/>
          </w:tcPr>
          <w:p>
            <w:pPr>
              <w:pStyle w:val="TableParagraph"/>
              <w:spacing w:before="143"/>
              <w:ind w:left="-161"/>
              <w:rPr>
                <w:b/>
                <w:sz w:val="21"/>
              </w:rPr>
            </w:pPr>
            <w:r>
              <w:rPr>
                <w:b/>
                <w:w w:val="100"/>
                <w:sz w:val="21"/>
              </w:rPr>
              <w:t>义</w:t>
            </w:r>
          </w:p>
        </w:tc>
      </w:tr>
      <w:tr>
        <w:trPr>
          <w:trHeight w:val="3747" w:hRule="atLeast"/>
        </w:trPr>
        <w:tc>
          <w:tcPr>
            <w:tcW w:w="1023" w:type="dxa"/>
          </w:tcPr>
          <w:p>
            <w:pPr>
              <w:pStyle w:val="TableParagraph"/>
              <w:spacing w:before="136"/>
              <w:ind w:left="200"/>
              <w:rPr>
                <w:i/>
                <w:sz w:val="22"/>
              </w:rPr>
            </w:pPr>
            <w:r>
              <w:rPr>
                <w:i/>
                <w:sz w:val="22"/>
              </w:rPr>
              <w:t>3.3.1</w:t>
            </w:r>
          </w:p>
        </w:tc>
        <w:tc>
          <w:tcPr>
            <w:tcW w:w="1618" w:type="dxa"/>
          </w:tcPr>
          <w:p>
            <w:pPr>
              <w:pStyle w:val="TableParagraph"/>
              <w:spacing w:before="136"/>
              <w:ind w:left="190"/>
              <w:rPr>
                <w:i/>
                <w:sz w:val="22"/>
              </w:rPr>
            </w:pPr>
            <w:r>
              <w:rPr>
                <w:i/>
                <w:w w:val="95"/>
                <w:sz w:val="22"/>
              </w:rPr>
              <w:t>非危及生命的</w:t>
            </w:r>
          </w:p>
          <w:p>
            <w:pPr>
              <w:pStyle w:val="TableParagraph"/>
              <w:spacing w:line="259" w:lineRule="auto" w:before="24"/>
              <w:ind w:left="190" w:right="104"/>
              <w:rPr>
                <w:i/>
                <w:sz w:val="22"/>
              </w:rPr>
            </w:pPr>
            <w:r>
              <w:rPr>
                <w:i/>
                <w:w w:val="95"/>
                <w:sz w:val="22"/>
              </w:rPr>
              <w:t>（极早期的） 恶性病变</w:t>
            </w:r>
          </w:p>
        </w:tc>
        <w:tc>
          <w:tcPr>
            <w:tcW w:w="7660" w:type="dxa"/>
          </w:tcPr>
          <w:p>
            <w:pPr>
              <w:pStyle w:val="TableParagraph"/>
              <w:spacing w:line="273" w:lineRule="auto" w:before="147"/>
              <w:ind w:left="120" w:right="233"/>
              <w:jc w:val="both"/>
              <w:rPr>
                <w:sz w:val="21"/>
              </w:rPr>
            </w:pPr>
            <w:r>
              <w:rPr>
                <w:spacing w:val="-5"/>
                <w:sz w:val="21"/>
              </w:rPr>
              <w:t>指被保险人生前经组织病理学检查被明确诊断为下列恶性病变，并且接受了相应</w:t>
            </w:r>
            <w:r>
              <w:rPr>
                <w:spacing w:val="-4"/>
                <w:sz w:val="21"/>
              </w:rPr>
              <w:t>的治疗。</w:t>
            </w:r>
          </w:p>
          <w:p>
            <w:pPr>
              <w:pStyle w:val="TableParagraph"/>
              <w:spacing w:before="7"/>
              <w:ind w:left="329"/>
              <w:rPr>
                <w:sz w:val="21"/>
              </w:rPr>
            </w:pPr>
            <w:r>
              <w:rPr>
                <w:sz w:val="21"/>
              </w:rPr>
              <w:t>（1）原位癌*；</w:t>
            </w:r>
          </w:p>
          <w:p>
            <w:pPr>
              <w:pStyle w:val="TableParagraph"/>
              <w:spacing w:before="37"/>
              <w:ind w:left="329"/>
              <w:rPr>
                <w:sz w:val="21"/>
              </w:rPr>
            </w:pPr>
            <w:r>
              <w:rPr>
                <w:sz w:val="21"/>
              </w:rPr>
              <w:t>（2）相当于 Binet 分期方案 A 期程度的慢性淋巴细胞白血病；</w:t>
            </w:r>
          </w:p>
          <w:p>
            <w:pPr>
              <w:pStyle w:val="TableParagraph"/>
              <w:spacing w:before="37"/>
              <w:ind w:left="329"/>
              <w:rPr>
                <w:sz w:val="21"/>
              </w:rPr>
            </w:pPr>
            <w:r>
              <w:rPr>
                <w:sz w:val="21"/>
              </w:rPr>
              <w:t>（3）相当于 Ann Arbor 分期方案 I 期程度的何杰金氏病；</w:t>
            </w:r>
          </w:p>
          <w:p>
            <w:pPr>
              <w:pStyle w:val="TableParagraph"/>
              <w:spacing w:before="37"/>
              <w:ind w:left="32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29"/>
              <w:rPr>
                <w:sz w:val="21"/>
              </w:rPr>
            </w:pPr>
            <w:r>
              <w:rPr>
                <w:sz w:val="21"/>
              </w:rPr>
              <w:t>（5）TNM 分期为 T1N0M0 期或更轻分期的前列腺癌。</w:t>
            </w:r>
          </w:p>
          <w:p>
            <w:pPr>
              <w:pStyle w:val="TableParagraph"/>
              <w:spacing w:before="37"/>
              <w:ind w:left="422"/>
              <w:rPr>
                <w:sz w:val="21"/>
              </w:rPr>
            </w:pPr>
            <w:r>
              <w:rPr>
                <w:sz w:val="21"/>
              </w:rPr>
              <w:t>*原位癌</w:t>
            </w:r>
          </w:p>
          <w:p>
            <w:pPr>
              <w:pStyle w:val="TableParagraph"/>
              <w:spacing w:line="273" w:lineRule="auto" w:before="37"/>
              <w:ind w:left="108" w:right="232"/>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256" w:hRule="atLeast"/>
        </w:trPr>
        <w:tc>
          <w:tcPr>
            <w:tcW w:w="1023" w:type="dxa"/>
          </w:tcPr>
          <w:p>
            <w:pPr>
              <w:pStyle w:val="TableParagraph"/>
              <w:spacing w:before="139"/>
              <w:ind w:left="200"/>
              <w:rPr>
                <w:i/>
                <w:sz w:val="22"/>
              </w:rPr>
            </w:pPr>
            <w:r>
              <w:rPr>
                <w:i/>
                <w:sz w:val="22"/>
              </w:rPr>
              <w:t>3.3.2</w:t>
            </w:r>
          </w:p>
        </w:tc>
        <w:tc>
          <w:tcPr>
            <w:tcW w:w="1618" w:type="dxa"/>
          </w:tcPr>
          <w:p>
            <w:pPr>
              <w:pStyle w:val="TableParagraph"/>
              <w:spacing w:line="259" w:lineRule="auto" w:before="139"/>
              <w:ind w:left="190" w:right="104"/>
              <w:rPr>
                <w:i/>
                <w:sz w:val="22"/>
              </w:rPr>
            </w:pPr>
            <w:r>
              <w:rPr>
                <w:i/>
                <w:w w:val="95"/>
                <w:sz w:val="22"/>
              </w:rPr>
              <w:t>冠状动脉介入手术</w:t>
            </w:r>
          </w:p>
        </w:tc>
        <w:tc>
          <w:tcPr>
            <w:tcW w:w="7660" w:type="dxa"/>
          </w:tcPr>
          <w:p>
            <w:pPr>
              <w:pStyle w:val="TableParagraph"/>
              <w:spacing w:line="273" w:lineRule="auto" w:before="151"/>
              <w:ind w:left="108" w:right="23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2192" w:hRule="atLeast"/>
        </w:trPr>
        <w:tc>
          <w:tcPr>
            <w:tcW w:w="1023" w:type="dxa"/>
          </w:tcPr>
          <w:p>
            <w:pPr>
              <w:pStyle w:val="TableParagraph"/>
              <w:spacing w:before="140"/>
              <w:ind w:left="200"/>
              <w:rPr>
                <w:i/>
                <w:sz w:val="22"/>
              </w:rPr>
            </w:pPr>
            <w:r>
              <w:rPr>
                <w:i/>
                <w:sz w:val="22"/>
              </w:rPr>
              <w:t>3.3.3</w:t>
            </w:r>
          </w:p>
        </w:tc>
        <w:tc>
          <w:tcPr>
            <w:tcW w:w="1618" w:type="dxa"/>
          </w:tcPr>
          <w:p>
            <w:pPr>
              <w:pStyle w:val="TableParagraph"/>
              <w:spacing w:before="140"/>
              <w:ind w:left="190"/>
              <w:rPr>
                <w:i/>
                <w:sz w:val="22"/>
              </w:rPr>
            </w:pPr>
            <w:r>
              <w:rPr>
                <w:i/>
                <w:w w:val="95"/>
                <w:sz w:val="22"/>
              </w:rPr>
              <w:t>轻微脑中风</w:t>
            </w:r>
          </w:p>
        </w:tc>
        <w:tc>
          <w:tcPr>
            <w:tcW w:w="7660" w:type="dxa"/>
          </w:tcPr>
          <w:p>
            <w:pPr>
              <w:pStyle w:val="TableParagraph"/>
              <w:spacing w:line="273" w:lineRule="auto" w:before="152"/>
              <w:ind w:left="108" w:right="196"/>
              <w:rPr>
                <w:sz w:val="21"/>
              </w:rPr>
            </w:pPr>
            <w:r>
              <w:rPr>
                <w:spacing w:val="-3"/>
                <w:sz w:val="21"/>
              </w:rPr>
              <w:t>指被保险人因非意外原因实际发生了脑血管的突发病变出现神经系统功能障碍</w:t>
            </w:r>
            <w:r>
              <w:rPr>
                <w:w w:val="100"/>
                <w:sz w:val="21"/>
              </w:rPr>
              <w:t>表</w:t>
            </w:r>
            <w:r>
              <w:rPr>
                <w:spacing w:val="-3"/>
                <w:w w:val="100"/>
                <w:sz w:val="21"/>
              </w:rPr>
              <w:t>现，头颅断层扫描</w:t>
            </w:r>
            <w:r>
              <w:rPr>
                <w:w w:val="100"/>
                <w:sz w:val="21"/>
              </w:rPr>
              <w:t>（C</w:t>
            </w:r>
            <w:r>
              <w:rPr>
                <w:spacing w:val="-3"/>
                <w:w w:val="100"/>
                <w:sz w:val="21"/>
              </w:rPr>
              <w:t>T</w:t>
            </w:r>
            <w:r>
              <w:rPr>
                <w:spacing w:val="-108"/>
                <w:w w:val="100"/>
                <w:sz w:val="21"/>
              </w:rPr>
              <w:t>）</w:t>
            </w:r>
            <w:r>
              <w:rPr>
                <w:spacing w:val="-2"/>
                <w:w w:val="100"/>
                <w:sz w:val="21"/>
              </w:rPr>
              <w:t>、核磁共振</w:t>
            </w:r>
            <w:r>
              <w:rPr>
                <w:w w:val="100"/>
                <w:sz w:val="21"/>
              </w:rPr>
              <w:t>（M</w:t>
            </w:r>
            <w:r>
              <w:rPr>
                <w:spacing w:val="-3"/>
                <w:w w:val="100"/>
                <w:sz w:val="21"/>
              </w:rPr>
              <w:t>R</w:t>
            </w:r>
            <w:r>
              <w:rPr>
                <w:spacing w:val="-1"/>
                <w:w w:val="100"/>
                <w:sz w:val="21"/>
              </w:rPr>
              <w:t>I</w:t>
            </w:r>
            <w:r>
              <w:rPr>
                <w:spacing w:val="-3"/>
                <w:w w:val="100"/>
                <w:sz w:val="21"/>
              </w:rPr>
              <w:t>）等影像学检查证实存在对应病灶，</w:t>
            </w:r>
            <w:r>
              <w:rPr>
                <w:sz w:val="21"/>
              </w:rPr>
              <w:t>确</w:t>
            </w:r>
            <w:r>
              <w:rPr>
                <w:spacing w:val="-10"/>
                <w:sz w:val="21"/>
              </w:rPr>
              <w:t>诊为脑出血、脑栓塞或脑梗塞，在确诊 </w:t>
            </w:r>
            <w:r>
              <w:rPr>
                <w:sz w:val="21"/>
              </w:rPr>
              <w:t>180</w:t>
            </w:r>
            <w:r>
              <w:rPr>
                <w:spacing w:val="-8"/>
                <w:sz w:val="21"/>
              </w:rPr>
              <w:t> 天后仍然遗留一肢或一肢以上肢体肌</w:t>
            </w:r>
            <w:r>
              <w:rPr>
                <w:spacing w:val="-29"/>
                <w:sz w:val="21"/>
              </w:rPr>
              <w:t>力 </w:t>
            </w:r>
            <w:r>
              <w:rPr>
                <w:sz w:val="21"/>
              </w:rPr>
              <w:t>III</w:t>
            </w:r>
            <w:r>
              <w:rPr>
                <w:spacing w:val="-26"/>
                <w:sz w:val="21"/>
              </w:rPr>
              <w:t> 级或 </w:t>
            </w:r>
            <w:r>
              <w:rPr>
                <w:sz w:val="21"/>
              </w:rPr>
              <w:t>III</w:t>
            </w:r>
            <w:r>
              <w:rPr>
                <w:spacing w:val="-8"/>
                <w:sz w:val="21"/>
              </w:rPr>
              <w:t> 级以下的运动功能障碍。</w:t>
            </w:r>
          </w:p>
          <w:p>
            <w:pPr>
              <w:pStyle w:val="TableParagraph"/>
              <w:spacing w:line="273" w:lineRule="auto" w:before="7"/>
              <w:ind w:left="108" w:right="238"/>
              <w:rPr>
                <w:b/>
                <w:sz w:val="21"/>
              </w:rPr>
            </w:pPr>
            <w:r>
              <w:rPr>
                <w:b/>
                <w:spacing w:val="-6"/>
                <w:sz w:val="21"/>
              </w:rPr>
              <w:t>若被保险人因同一原因导致其满足轻微脑中风后遗症和轻度颅脑手术的，仅按其中一项给付。</w:t>
            </w:r>
          </w:p>
        </w:tc>
      </w:tr>
      <w:tr>
        <w:trPr>
          <w:trHeight w:val="944" w:hRule="atLeast"/>
        </w:trPr>
        <w:tc>
          <w:tcPr>
            <w:tcW w:w="1023" w:type="dxa"/>
          </w:tcPr>
          <w:p>
            <w:pPr>
              <w:pStyle w:val="TableParagraph"/>
              <w:spacing w:before="139"/>
              <w:ind w:left="200"/>
              <w:rPr>
                <w:i/>
                <w:sz w:val="22"/>
              </w:rPr>
            </w:pPr>
            <w:r>
              <w:rPr>
                <w:i/>
                <w:sz w:val="22"/>
              </w:rPr>
              <w:t>3.3.4</w:t>
            </w:r>
          </w:p>
        </w:tc>
        <w:tc>
          <w:tcPr>
            <w:tcW w:w="1618" w:type="dxa"/>
          </w:tcPr>
          <w:p>
            <w:pPr>
              <w:pStyle w:val="TableParagraph"/>
              <w:spacing w:line="259" w:lineRule="auto" w:before="139"/>
              <w:ind w:left="190" w:right="104"/>
              <w:rPr>
                <w:i/>
                <w:sz w:val="22"/>
              </w:rPr>
            </w:pPr>
            <w:r>
              <w:rPr>
                <w:i/>
                <w:w w:val="95"/>
                <w:sz w:val="22"/>
              </w:rPr>
              <w:t>心脏瓣膜介入手术</w:t>
            </w:r>
          </w:p>
        </w:tc>
        <w:tc>
          <w:tcPr>
            <w:tcW w:w="7660" w:type="dxa"/>
          </w:tcPr>
          <w:p>
            <w:pPr>
              <w:pStyle w:val="TableParagraph"/>
              <w:spacing w:line="273" w:lineRule="auto" w:before="151"/>
              <w:ind w:left="108" w:right="233"/>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050" w:hRule="atLeast"/>
        </w:trPr>
        <w:tc>
          <w:tcPr>
            <w:tcW w:w="1023" w:type="dxa"/>
          </w:tcPr>
          <w:p>
            <w:pPr>
              <w:pStyle w:val="TableParagraph"/>
              <w:spacing w:before="138"/>
              <w:ind w:left="200"/>
              <w:rPr>
                <w:i/>
                <w:sz w:val="22"/>
              </w:rPr>
            </w:pPr>
            <w:r>
              <w:rPr>
                <w:i/>
                <w:sz w:val="22"/>
              </w:rPr>
              <w:t>3.3.5</w:t>
            </w:r>
          </w:p>
        </w:tc>
        <w:tc>
          <w:tcPr>
            <w:tcW w:w="1618" w:type="dxa"/>
          </w:tcPr>
          <w:p>
            <w:pPr>
              <w:pStyle w:val="TableParagraph"/>
              <w:spacing w:line="310" w:lineRule="atLeast" w:before="116"/>
              <w:ind w:left="190" w:right="104"/>
              <w:jc w:val="both"/>
              <w:rPr>
                <w:i/>
                <w:sz w:val="22"/>
              </w:rPr>
            </w:pPr>
            <w:r>
              <w:rPr>
                <w:i/>
                <w:w w:val="95"/>
                <w:sz w:val="22"/>
              </w:rPr>
              <w:t>脑垂体瘤、脑囊肿、脑动脉瘤及脑血管瘤</w:t>
            </w:r>
          </w:p>
        </w:tc>
        <w:tc>
          <w:tcPr>
            <w:tcW w:w="7660" w:type="dxa"/>
          </w:tcPr>
          <w:p>
            <w:pPr>
              <w:pStyle w:val="TableParagraph"/>
              <w:spacing w:line="273" w:lineRule="auto" w:before="150"/>
              <w:ind w:left="108" w:right="233"/>
              <w:rPr>
                <w:sz w:val="21"/>
              </w:rPr>
            </w:pPr>
            <w:r>
              <w:rPr>
                <w:spacing w:val="-4"/>
                <w:w w:val="100"/>
                <w:sz w:val="21"/>
              </w:rPr>
              <w:t>指被保险人经头颅断层扫描</w:t>
            </w:r>
            <w:r>
              <w:rPr>
                <w:spacing w:val="-1"/>
                <w:w w:val="100"/>
                <w:sz w:val="21"/>
              </w:rPr>
              <w:t>（</w:t>
            </w:r>
            <w:r>
              <w:rPr>
                <w:spacing w:val="-3"/>
                <w:w w:val="100"/>
                <w:sz w:val="21"/>
              </w:rPr>
              <w:t>C</w:t>
            </w:r>
            <w:r>
              <w:rPr>
                <w:w w:val="100"/>
                <w:sz w:val="21"/>
              </w:rPr>
              <w:t>T</w:t>
            </w:r>
            <w:r>
              <w:rPr>
                <w:spacing w:val="-106"/>
                <w:w w:val="100"/>
                <w:sz w:val="21"/>
              </w:rPr>
              <w:t>）</w:t>
            </w:r>
            <w:r>
              <w:rPr>
                <w:spacing w:val="-7"/>
                <w:w w:val="100"/>
                <w:sz w:val="21"/>
              </w:rPr>
              <w:t>、核磁共振</w:t>
            </w:r>
            <w:r>
              <w:rPr>
                <w:w w:val="100"/>
                <w:sz w:val="21"/>
              </w:rPr>
              <w:t>（M</w:t>
            </w:r>
            <w:r>
              <w:rPr>
                <w:spacing w:val="-3"/>
                <w:w w:val="100"/>
                <w:sz w:val="21"/>
              </w:rPr>
              <w:t>RI</w:t>
            </w:r>
            <w:r>
              <w:rPr>
                <w:spacing w:val="-10"/>
                <w:w w:val="100"/>
                <w:sz w:val="21"/>
              </w:rPr>
              <w:t>）</w:t>
            </w:r>
            <w:r>
              <w:rPr>
                <w:spacing w:val="-3"/>
                <w:w w:val="100"/>
                <w:sz w:val="21"/>
              </w:rPr>
              <w:t>或其他影像学检查被确诊为</w:t>
            </w:r>
            <w:r>
              <w:rPr>
                <w:spacing w:val="-3"/>
                <w:sz w:val="21"/>
              </w:rPr>
              <w:t>下列病变，并实际接受了手术或放射治疗。</w:t>
            </w:r>
          </w:p>
          <w:p>
            <w:pPr>
              <w:pStyle w:val="TableParagraph"/>
              <w:spacing w:line="257" w:lineRule="exact" w:before="7"/>
              <w:ind w:left="329"/>
              <w:rPr>
                <w:sz w:val="21"/>
              </w:rPr>
            </w:pPr>
            <w:r>
              <w:rPr>
                <w:sz w:val="21"/>
              </w:rPr>
              <w:t>（1）脑垂体瘤；</w:t>
            </w:r>
          </w:p>
        </w:tc>
      </w:tr>
    </w:tbl>
    <w:p>
      <w:pPr>
        <w:spacing w:after="0" w:line="257" w:lineRule="exact"/>
        <w:rPr>
          <w:sz w:val="21"/>
        </w:rPr>
        <w:sectPr>
          <w:pgSz w:w="11910" w:h="16840"/>
          <w:pgMar w:header="0" w:footer="922" w:top="1460" w:bottom="1120" w:left="720" w:right="6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41"/>
        <w:gridCol w:w="7600"/>
      </w:tblGrid>
      <w:tr>
        <w:trPr>
          <w:trHeight w:val="1352" w:hRule="atLeast"/>
        </w:trPr>
        <w:tc>
          <w:tcPr>
            <w:tcW w:w="1023" w:type="dxa"/>
          </w:tcPr>
          <w:p>
            <w:pPr>
              <w:pStyle w:val="TableParagraph"/>
              <w:rPr>
                <w:rFonts w:ascii="Times New Roman"/>
                <w:sz w:val="20"/>
              </w:rPr>
            </w:pPr>
          </w:p>
        </w:tc>
        <w:tc>
          <w:tcPr>
            <w:tcW w:w="1641" w:type="dxa"/>
          </w:tcPr>
          <w:p>
            <w:pPr>
              <w:pStyle w:val="TableParagraph"/>
              <w:rPr>
                <w:rFonts w:ascii="Times New Roman"/>
                <w:sz w:val="20"/>
              </w:rPr>
            </w:pPr>
          </w:p>
        </w:tc>
        <w:tc>
          <w:tcPr>
            <w:tcW w:w="7600" w:type="dxa"/>
          </w:tcPr>
          <w:p>
            <w:pPr>
              <w:pStyle w:val="TableParagraph"/>
              <w:spacing w:line="204" w:lineRule="exact"/>
              <w:ind w:left="306"/>
              <w:rPr>
                <w:sz w:val="21"/>
              </w:rPr>
            </w:pPr>
            <w:r>
              <w:rPr>
                <w:sz w:val="21"/>
              </w:rPr>
              <w:t>（2）脑囊肿；</w:t>
            </w:r>
          </w:p>
          <w:p>
            <w:pPr>
              <w:pStyle w:val="TableParagraph"/>
              <w:spacing w:before="37"/>
              <w:ind w:left="306"/>
              <w:rPr>
                <w:sz w:val="21"/>
              </w:rPr>
            </w:pPr>
            <w:r>
              <w:rPr>
                <w:sz w:val="21"/>
              </w:rPr>
              <w:t>（3）脑动脉瘤、脑血管瘤。</w:t>
            </w:r>
          </w:p>
          <w:p>
            <w:pPr>
              <w:pStyle w:val="TableParagraph"/>
              <w:spacing w:line="273" w:lineRule="auto" w:before="36"/>
              <w:ind w:left="85" w:right="201"/>
              <w:rPr>
                <w:b/>
                <w:sz w:val="21"/>
              </w:rPr>
            </w:pPr>
            <w:r>
              <w:rPr>
                <w:b/>
                <w:spacing w:val="-6"/>
                <w:sz w:val="21"/>
              </w:rPr>
              <w:t>若被保险人因同一原因导致其满足脑垂体瘤、脑囊肿、脑动脉瘤及脑血管瘤和轻度颅脑手术的，仅按其中一项给付。</w:t>
            </w:r>
          </w:p>
        </w:tc>
      </w:tr>
      <w:tr>
        <w:trPr>
          <w:trHeight w:val="2504" w:hRule="atLeast"/>
        </w:trPr>
        <w:tc>
          <w:tcPr>
            <w:tcW w:w="1023" w:type="dxa"/>
          </w:tcPr>
          <w:p>
            <w:pPr>
              <w:pStyle w:val="TableParagraph"/>
              <w:spacing w:before="132"/>
              <w:ind w:left="200"/>
              <w:rPr>
                <w:i/>
                <w:sz w:val="22"/>
              </w:rPr>
            </w:pPr>
            <w:r>
              <w:rPr>
                <w:i/>
                <w:sz w:val="22"/>
              </w:rPr>
              <w:t>3.3.6</w:t>
            </w:r>
          </w:p>
        </w:tc>
        <w:tc>
          <w:tcPr>
            <w:tcW w:w="1641" w:type="dxa"/>
          </w:tcPr>
          <w:p>
            <w:pPr>
              <w:pStyle w:val="TableParagraph"/>
              <w:spacing w:before="132"/>
              <w:ind w:left="190"/>
              <w:rPr>
                <w:b/>
                <w:i/>
                <w:sz w:val="22"/>
              </w:rPr>
            </w:pPr>
            <w:r>
              <w:rPr>
                <w:b/>
                <w:i/>
                <w:w w:val="95"/>
                <w:sz w:val="22"/>
              </w:rPr>
              <w:t>视力严重受损</w:t>
            </w:r>
          </w:p>
          <w:p>
            <w:pPr>
              <w:pStyle w:val="TableParagraph"/>
              <w:spacing w:line="259" w:lineRule="auto" w:before="23"/>
              <w:ind w:left="190" w:right="127"/>
              <w:rPr>
                <w:b/>
                <w:i/>
                <w:sz w:val="22"/>
              </w:rPr>
            </w:pPr>
            <w:r>
              <w:rPr>
                <w:b/>
                <w:i/>
                <w:w w:val="95"/>
                <w:sz w:val="22"/>
              </w:rPr>
              <w:t>（三周岁以上理赔）</w:t>
            </w:r>
          </w:p>
        </w:tc>
        <w:tc>
          <w:tcPr>
            <w:tcW w:w="7600" w:type="dxa"/>
          </w:tcPr>
          <w:p>
            <w:pPr>
              <w:pStyle w:val="TableParagraph"/>
              <w:spacing w:line="273" w:lineRule="auto" w:before="144"/>
              <w:ind w:left="85" w:right="148"/>
              <w:rPr>
                <w:sz w:val="21"/>
              </w:rPr>
            </w:pPr>
            <w:r>
              <w:rPr>
                <w:sz w:val="21"/>
              </w:rPr>
              <w:t>指被保险人因疾病或意外伤害导致双目视力永久不可逆性丧失，虽然未达到重大疾病“双目失明”的给付标准，但满足下列条件之一：</w:t>
            </w:r>
          </w:p>
          <w:p>
            <w:pPr>
              <w:pStyle w:val="TableParagraph"/>
              <w:spacing w:line="273" w:lineRule="auto" w:before="7"/>
              <w:ind w:left="85" w:right="198"/>
              <w:rPr>
                <w:sz w:val="21"/>
              </w:rPr>
            </w:pPr>
            <w:r>
              <w:rPr>
                <w:spacing w:val="-11"/>
                <w:sz w:val="21"/>
              </w:rPr>
              <w:t>（1）</w:t>
            </w:r>
            <w:r>
              <w:rPr>
                <w:spacing w:val="-5"/>
                <w:sz w:val="21"/>
              </w:rPr>
              <w:t>双眼中较好眼矫正视力低于 </w:t>
            </w:r>
            <w:r>
              <w:rPr>
                <w:spacing w:val="-9"/>
                <w:sz w:val="21"/>
              </w:rPr>
              <w:t>0.1（</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ind w:left="85"/>
              <w:rPr>
                <w:sz w:val="21"/>
              </w:rPr>
            </w:pPr>
            <w:r>
              <w:rPr>
                <w:sz w:val="21"/>
              </w:rPr>
              <w:t>（2）双眼中较好眼视野半径小于 20 度。</w:t>
            </w:r>
          </w:p>
          <w:p>
            <w:pPr>
              <w:pStyle w:val="TableParagraph"/>
              <w:spacing w:line="273" w:lineRule="auto" w:before="37"/>
              <w:ind w:left="85" w:right="201"/>
              <w:rPr>
                <w:b/>
                <w:sz w:val="21"/>
              </w:rPr>
            </w:pPr>
            <w:r>
              <w:rPr>
                <w:b/>
                <w:spacing w:val="-7"/>
                <w:sz w:val="21"/>
              </w:rPr>
              <w:t>被保险人申请理赔时年龄必须在三周岁以上，并且提供理赔当时的视力丧失诊断及检查证据。</w:t>
            </w:r>
          </w:p>
        </w:tc>
      </w:tr>
      <w:tr>
        <w:trPr>
          <w:trHeight w:val="945" w:hRule="atLeast"/>
        </w:trPr>
        <w:tc>
          <w:tcPr>
            <w:tcW w:w="1023" w:type="dxa"/>
          </w:tcPr>
          <w:p>
            <w:pPr>
              <w:pStyle w:val="TableParagraph"/>
              <w:spacing w:before="134"/>
              <w:ind w:left="200"/>
              <w:rPr>
                <w:i/>
                <w:sz w:val="22"/>
              </w:rPr>
            </w:pPr>
            <w:r>
              <w:rPr>
                <w:i/>
                <w:sz w:val="22"/>
              </w:rPr>
              <w:t>3.3.7</w:t>
            </w:r>
          </w:p>
        </w:tc>
        <w:tc>
          <w:tcPr>
            <w:tcW w:w="1641" w:type="dxa"/>
          </w:tcPr>
          <w:p>
            <w:pPr>
              <w:pStyle w:val="TableParagraph"/>
              <w:spacing w:line="259" w:lineRule="auto" w:before="134"/>
              <w:ind w:left="190" w:right="116"/>
              <w:rPr>
                <w:i/>
                <w:sz w:val="22"/>
              </w:rPr>
            </w:pPr>
            <w:r>
              <w:rPr>
                <w:i/>
                <w:w w:val="95"/>
                <w:sz w:val="22"/>
              </w:rPr>
              <w:t>主动脉内介入手术</w:t>
            </w:r>
          </w:p>
        </w:tc>
        <w:tc>
          <w:tcPr>
            <w:tcW w:w="7600" w:type="dxa"/>
          </w:tcPr>
          <w:p>
            <w:pPr>
              <w:pStyle w:val="TableParagraph"/>
              <w:spacing w:line="273" w:lineRule="auto" w:before="145"/>
              <w:ind w:left="85" w:right="14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43" w:hRule="atLeast"/>
        </w:trPr>
        <w:tc>
          <w:tcPr>
            <w:tcW w:w="1023" w:type="dxa"/>
          </w:tcPr>
          <w:p>
            <w:pPr>
              <w:pStyle w:val="TableParagraph"/>
              <w:spacing w:before="131"/>
              <w:ind w:left="200"/>
              <w:rPr>
                <w:i/>
                <w:sz w:val="22"/>
              </w:rPr>
            </w:pPr>
            <w:r>
              <w:rPr>
                <w:i/>
                <w:sz w:val="22"/>
              </w:rPr>
              <w:t>3.3.8</w:t>
            </w:r>
          </w:p>
        </w:tc>
        <w:tc>
          <w:tcPr>
            <w:tcW w:w="1641" w:type="dxa"/>
          </w:tcPr>
          <w:p>
            <w:pPr>
              <w:pStyle w:val="TableParagraph"/>
              <w:spacing w:line="259" w:lineRule="auto" w:before="131"/>
              <w:ind w:left="190" w:right="80"/>
              <w:rPr>
                <w:i/>
                <w:sz w:val="22"/>
              </w:rPr>
            </w:pPr>
            <w:r>
              <w:rPr>
                <w:i/>
                <w:sz w:val="22"/>
              </w:rPr>
              <w:t>较小面积 III </w:t>
            </w:r>
            <w:r>
              <w:rPr>
                <w:i/>
                <w:w w:val="95"/>
                <w:sz w:val="22"/>
              </w:rPr>
              <w:t>度烧伤（10%）</w:t>
            </w:r>
          </w:p>
        </w:tc>
        <w:tc>
          <w:tcPr>
            <w:tcW w:w="7600" w:type="dxa"/>
          </w:tcPr>
          <w:p>
            <w:pPr>
              <w:pStyle w:val="TableParagraph"/>
              <w:spacing w:line="273" w:lineRule="auto" w:before="143"/>
              <w:ind w:left="85" w:right="140"/>
              <w:rPr>
                <w:sz w:val="21"/>
              </w:rPr>
            </w:pPr>
            <w:r>
              <w:rPr>
                <w:sz w:val="21"/>
              </w:rPr>
              <w:t>指被保险人的烧伤程度为Ⅲ度，且Ⅲ度烧伤的面积大于全身体表面积的 10%但小于 20％。体表面积根据 《中国新九分法》计算。</w:t>
            </w:r>
          </w:p>
        </w:tc>
      </w:tr>
      <w:tr>
        <w:trPr>
          <w:trHeight w:val="1879" w:hRule="atLeast"/>
        </w:trPr>
        <w:tc>
          <w:tcPr>
            <w:tcW w:w="1023" w:type="dxa"/>
          </w:tcPr>
          <w:p>
            <w:pPr>
              <w:pStyle w:val="TableParagraph"/>
              <w:spacing w:before="131"/>
              <w:ind w:left="200"/>
              <w:rPr>
                <w:i/>
                <w:sz w:val="22"/>
              </w:rPr>
            </w:pPr>
            <w:r>
              <w:rPr>
                <w:i/>
                <w:sz w:val="22"/>
              </w:rPr>
              <w:t>3.3.9</w:t>
            </w:r>
          </w:p>
        </w:tc>
        <w:tc>
          <w:tcPr>
            <w:tcW w:w="1641" w:type="dxa"/>
          </w:tcPr>
          <w:p>
            <w:pPr>
              <w:pStyle w:val="TableParagraph"/>
              <w:spacing w:line="259" w:lineRule="auto" w:before="131"/>
              <w:ind w:left="190" w:right="126"/>
              <w:jc w:val="both"/>
              <w:rPr>
                <w:i/>
                <w:sz w:val="22"/>
              </w:rPr>
            </w:pPr>
            <w:r>
              <w:rPr>
                <w:i/>
                <w:w w:val="95"/>
                <w:sz w:val="22"/>
              </w:rPr>
              <w:t>慢性肾功能损</w:t>
            </w:r>
            <w:r>
              <w:rPr>
                <w:i/>
                <w:sz w:val="22"/>
              </w:rPr>
              <w:t>害 – 肾功能</w:t>
            </w:r>
            <w:r>
              <w:rPr>
                <w:i/>
                <w:w w:val="95"/>
                <w:sz w:val="22"/>
              </w:rPr>
              <w:t>衰竭期</w:t>
            </w:r>
          </w:p>
        </w:tc>
        <w:tc>
          <w:tcPr>
            <w:tcW w:w="7600" w:type="dxa"/>
          </w:tcPr>
          <w:p>
            <w:pPr>
              <w:pStyle w:val="TableParagraph"/>
              <w:spacing w:line="273" w:lineRule="auto" w:before="143"/>
              <w:ind w:left="85" w:right="149"/>
              <w:rPr>
                <w:sz w:val="21"/>
              </w:rPr>
            </w:pPr>
            <w:r>
              <w:rPr>
                <w:sz w:val="21"/>
              </w:rPr>
              <w:t>指被保险人因双肾功能慢性不可逆性损害达到肾功能衰竭期，诊断必须满足所有以下标准。</w:t>
            </w:r>
          </w:p>
          <w:p>
            <w:pPr>
              <w:pStyle w:val="TableParagraph"/>
              <w:spacing w:before="7"/>
              <w:ind w:left="85"/>
              <w:rPr>
                <w:sz w:val="21"/>
              </w:rPr>
            </w:pPr>
            <w:r>
              <w:rPr>
                <w:sz w:val="21"/>
              </w:rPr>
              <w:t>（1）GFR &lt; 25%；</w:t>
            </w:r>
          </w:p>
          <w:p>
            <w:pPr>
              <w:pStyle w:val="TableParagraph"/>
              <w:spacing w:before="36"/>
              <w:ind w:left="85"/>
              <w:rPr>
                <w:sz w:val="21"/>
              </w:rPr>
            </w:pPr>
            <w:r>
              <w:rPr>
                <w:sz w:val="21"/>
              </w:rPr>
              <w:t>（2）Scr &gt; 5mg/dl 或&gt;442umol/L；</w:t>
            </w:r>
          </w:p>
          <w:p>
            <w:pPr>
              <w:pStyle w:val="TableParagraph"/>
              <w:spacing w:before="36"/>
              <w:ind w:left="85"/>
              <w:rPr>
                <w:sz w:val="21"/>
              </w:rPr>
            </w:pPr>
            <w:r>
              <w:rPr>
                <w:sz w:val="21"/>
              </w:rPr>
              <w:t>（3）持续180天。</w:t>
            </w:r>
          </w:p>
        </w:tc>
      </w:tr>
      <w:tr>
        <w:trPr>
          <w:trHeight w:val="2504" w:hRule="atLeast"/>
        </w:trPr>
        <w:tc>
          <w:tcPr>
            <w:tcW w:w="1023" w:type="dxa"/>
          </w:tcPr>
          <w:p>
            <w:pPr>
              <w:pStyle w:val="TableParagraph"/>
              <w:spacing w:before="133"/>
              <w:ind w:left="200"/>
              <w:rPr>
                <w:i/>
                <w:sz w:val="22"/>
              </w:rPr>
            </w:pPr>
            <w:r>
              <w:rPr>
                <w:i/>
                <w:sz w:val="22"/>
              </w:rPr>
              <w:t>3.3.10</w:t>
            </w:r>
          </w:p>
        </w:tc>
        <w:tc>
          <w:tcPr>
            <w:tcW w:w="1641" w:type="dxa"/>
          </w:tcPr>
          <w:p>
            <w:pPr>
              <w:pStyle w:val="TableParagraph"/>
              <w:spacing w:before="133"/>
              <w:ind w:left="190"/>
              <w:rPr>
                <w:i/>
                <w:sz w:val="22"/>
              </w:rPr>
            </w:pPr>
            <w:r>
              <w:rPr>
                <w:i/>
                <w:w w:val="95"/>
                <w:sz w:val="22"/>
              </w:rPr>
              <w:t>重症头部外伤</w:t>
            </w:r>
          </w:p>
        </w:tc>
        <w:tc>
          <w:tcPr>
            <w:tcW w:w="7600" w:type="dxa"/>
          </w:tcPr>
          <w:p>
            <w:pPr>
              <w:pStyle w:val="TableParagraph"/>
              <w:spacing w:line="273" w:lineRule="auto" w:before="145"/>
              <w:ind w:left="85" w:right="196"/>
              <w:jc w:val="both"/>
              <w:rPr>
                <w:sz w:val="21"/>
              </w:rPr>
            </w:pPr>
            <w:r>
              <w:rPr>
                <w:spacing w:val="-16"/>
                <w:w w:val="100"/>
                <w:sz w:val="21"/>
              </w:rPr>
              <w:t>指因头部遭受机械性外力伤害，引起脑重要部位损伤，并且由头颅断层扫描</w:t>
            </w:r>
            <w:r>
              <w:rPr>
                <w:w w:val="100"/>
                <w:sz w:val="21"/>
              </w:rPr>
              <w:t>（C</w:t>
            </w:r>
            <w:r>
              <w:rPr>
                <w:spacing w:val="-3"/>
                <w:w w:val="100"/>
                <w:sz w:val="21"/>
              </w:rPr>
              <w:t>T</w:t>
            </w:r>
            <w:r>
              <w:rPr>
                <w:spacing w:val="-106"/>
                <w:w w:val="100"/>
                <w:sz w:val="21"/>
              </w:rPr>
              <w:t>）、</w:t>
            </w:r>
            <w:r>
              <w:rPr>
                <w:spacing w:val="-4"/>
                <w:sz w:val="21"/>
              </w:rPr>
              <w:t>核磁共振检查</w:t>
            </w:r>
            <w:r>
              <w:rPr>
                <w:spacing w:val="-3"/>
                <w:sz w:val="21"/>
              </w:rPr>
              <w:t>（MRI）</w:t>
            </w:r>
            <w:r>
              <w:rPr>
                <w:spacing w:val="-4"/>
                <w:sz w:val="21"/>
              </w:rPr>
              <w:t>或正电子发射断层扫描</w:t>
            </w:r>
            <w:r>
              <w:rPr>
                <w:spacing w:val="-3"/>
                <w:sz w:val="21"/>
              </w:rPr>
              <w:t>（PET）</w:t>
            </w:r>
            <w:r>
              <w:rPr>
                <w:spacing w:val="-4"/>
                <w:sz w:val="21"/>
              </w:rPr>
              <w:t>等影像学检查证实。头部外</w:t>
            </w:r>
            <w:r>
              <w:rPr>
                <w:spacing w:val="-7"/>
                <w:sz w:val="21"/>
              </w:rPr>
              <w:t>伤导致神经系统功能障碍，虽然未达到重大疾病“严重脑损伤”的给付标准，但</w:t>
            </w:r>
            <w:r>
              <w:rPr>
                <w:spacing w:val="-5"/>
                <w:sz w:val="21"/>
              </w:rPr>
              <w:t>是符合以下条件之一：</w:t>
            </w:r>
          </w:p>
          <w:p>
            <w:pPr>
              <w:pStyle w:val="TableParagraph"/>
              <w:spacing w:before="7"/>
              <w:ind w:left="85"/>
              <w:rPr>
                <w:sz w:val="21"/>
              </w:rPr>
            </w:pPr>
            <w:r>
              <w:rPr>
                <w:w w:val="100"/>
                <w:sz w:val="21"/>
              </w:rPr>
              <w:t>（1</w:t>
            </w:r>
            <w:r>
              <w:rPr>
                <w:spacing w:val="-2"/>
                <w:w w:val="100"/>
                <w:sz w:val="21"/>
              </w:rPr>
              <w:t>）</w:t>
            </w:r>
            <w:r>
              <w:rPr>
                <w:spacing w:val="-3"/>
                <w:w w:val="100"/>
                <w:sz w:val="21"/>
              </w:rPr>
              <w:t>被保险人接受了全麻下颅骨切开颅内血肿清除术</w:t>
            </w:r>
            <w:r>
              <w:rPr>
                <w:w w:val="100"/>
                <w:sz w:val="21"/>
              </w:rPr>
              <w:t>（</w:t>
            </w:r>
            <w:r>
              <w:rPr>
                <w:spacing w:val="-3"/>
                <w:w w:val="100"/>
                <w:sz w:val="21"/>
              </w:rPr>
              <w:t>颅骨钻孔术除外</w:t>
            </w:r>
            <w:r>
              <w:rPr>
                <w:spacing w:val="-106"/>
                <w:w w:val="100"/>
                <w:sz w:val="21"/>
              </w:rPr>
              <w:t>）</w:t>
            </w:r>
            <w:r>
              <w:rPr>
                <w:w w:val="100"/>
                <w:sz w:val="21"/>
              </w:rPr>
              <w:t>；</w:t>
            </w:r>
          </w:p>
          <w:p>
            <w:pPr>
              <w:pStyle w:val="TableParagraph"/>
              <w:spacing w:line="273" w:lineRule="auto" w:before="37"/>
              <w:ind w:left="85" w:right="198"/>
              <w:jc w:val="both"/>
              <w:rPr>
                <w:sz w:val="21"/>
              </w:rPr>
            </w:pPr>
            <w:r>
              <w:rPr>
                <w:sz w:val="21"/>
              </w:rPr>
              <w:t>（2）</w:t>
            </w:r>
            <w:r>
              <w:rPr>
                <w:spacing w:val="-10"/>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0"/>
                <w:sz w:val="21"/>
              </w:rPr>
              <w:t> 级以下的</w:t>
            </w:r>
            <w:r>
              <w:rPr>
                <w:spacing w:val="-5"/>
                <w:sz w:val="21"/>
              </w:rPr>
              <w:t>运动功能障碍。</w:t>
            </w:r>
          </w:p>
        </w:tc>
      </w:tr>
      <w:tr>
        <w:trPr>
          <w:trHeight w:val="943" w:hRule="atLeast"/>
        </w:trPr>
        <w:tc>
          <w:tcPr>
            <w:tcW w:w="1023" w:type="dxa"/>
          </w:tcPr>
          <w:p>
            <w:pPr>
              <w:pStyle w:val="TableParagraph"/>
              <w:spacing w:before="132"/>
              <w:ind w:left="200"/>
              <w:rPr>
                <w:i/>
                <w:sz w:val="22"/>
              </w:rPr>
            </w:pPr>
            <w:r>
              <w:rPr>
                <w:i/>
                <w:sz w:val="22"/>
              </w:rPr>
              <w:t>3.3.11</w:t>
            </w:r>
          </w:p>
        </w:tc>
        <w:tc>
          <w:tcPr>
            <w:tcW w:w="1641" w:type="dxa"/>
          </w:tcPr>
          <w:p>
            <w:pPr>
              <w:pStyle w:val="TableParagraph"/>
              <w:spacing w:before="132"/>
              <w:ind w:left="190"/>
              <w:rPr>
                <w:i/>
                <w:sz w:val="22"/>
              </w:rPr>
            </w:pPr>
            <w:r>
              <w:rPr>
                <w:i/>
                <w:w w:val="95"/>
                <w:sz w:val="22"/>
              </w:rPr>
              <w:t>单个肢体缺失</w:t>
            </w:r>
          </w:p>
        </w:tc>
        <w:tc>
          <w:tcPr>
            <w:tcW w:w="7600" w:type="dxa"/>
          </w:tcPr>
          <w:p>
            <w:pPr>
              <w:pStyle w:val="TableParagraph"/>
              <w:spacing w:line="273" w:lineRule="auto" w:before="144"/>
              <w:ind w:left="85" w:right="140"/>
              <w:rPr>
                <w:sz w:val="21"/>
              </w:rPr>
            </w:pPr>
            <w:r>
              <w:rPr>
                <w:sz w:val="21"/>
              </w:rPr>
              <w:t>指因疾病或意外伤害导致一个肢体自腕关节或踝关节近端（靠近躯干端）以上完全性断离。</w:t>
            </w:r>
          </w:p>
        </w:tc>
      </w:tr>
      <w:tr>
        <w:trPr>
          <w:trHeight w:val="1928" w:hRule="atLeast"/>
        </w:trPr>
        <w:tc>
          <w:tcPr>
            <w:tcW w:w="1023" w:type="dxa"/>
          </w:tcPr>
          <w:p>
            <w:pPr>
              <w:pStyle w:val="TableParagraph"/>
              <w:spacing w:before="132"/>
              <w:ind w:left="200"/>
              <w:rPr>
                <w:i/>
                <w:sz w:val="22"/>
              </w:rPr>
            </w:pPr>
            <w:r>
              <w:rPr>
                <w:i/>
                <w:sz w:val="22"/>
              </w:rPr>
              <w:t>3.3.12</w:t>
            </w:r>
          </w:p>
        </w:tc>
        <w:tc>
          <w:tcPr>
            <w:tcW w:w="1641" w:type="dxa"/>
          </w:tcPr>
          <w:p>
            <w:pPr>
              <w:pStyle w:val="TableParagraph"/>
              <w:spacing w:before="132"/>
              <w:ind w:left="190"/>
              <w:rPr>
                <w:i/>
                <w:sz w:val="22"/>
              </w:rPr>
            </w:pPr>
            <w:r>
              <w:rPr>
                <w:i/>
                <w:w w:val="95"/>
                <w:sz w:val="22"/>
              </w:rPr>
              <w:t>单侧肺脏切除</w:t>
            </w:r>
          </w:p>
        </w:tc>
        <w:tc>
          <w:tcPr>
            <w:tcW w:w="7600" w:type="dxa"/>
          </w:tcPr>
          <w:p>
            <w:pPr>
              <w:pStyle w:val="TableParagraph"/>
              <w:spacing w:line="280" w:lineRule="auto" w:before="168"/>
              <w:ind w:left="85" w:right="2256"/>
              <w:rPr>
                <w:b/>
                <w:sz w:val="21"/>
              </w:rPr>
            </w:pPr>
            <w:r>
              <w:rPr>
                <w:sz w:val="21"/>
              </w:rPr>
              <w:t>因疾病或意外事故实际实施的肺脏左叶或右叶全部切除。</w:t>
            </w:r>
            <w:r>
              <w:rPr>
                <w:b/>
                <w:sz w:val="21"/>
              </w:rPr>
              <w:t>以下的肺脏切除不在本合同保障范围之列：</w:t>
            </w:r>
          </w:p>
          <w:p>
            <w:pPr>
              <w:pStyle w:val="TableParagraph"/>
              <w:spacing w:before="8"/>
              <w:ind w:left="85"/>
              <w:rPr>
                <w:b/>
                <w:sz w:val="21"/>
              </w:rPr>
            </w:pPr>
            <w:r>
              <w:rPr>
                <w:b/>
                <w:sz w:val="21"/>
              </w:rPr>
              <w:t>（1）肺脏左叶或右叶部分切除；</w:t>
            </w:r>
          </w:p>
          <w:p>
            <w:pPr>
              <w:pStyle w:val="TableParagraph"/>
              <w:spacing w:before="43"/>
              <w:ind w:left="85"/>
              <w:rPr>
                <w:b/>
                <w:sz w:val="21"/>
              </w:rPr>
            </w:pPr>
            <w:r>
              <w:rPr>
                <w:b/>
                <w:sz w:val="21"/>
              </w:rPr>
              <w:t>（2）因患有符合本合同条款定义的恶性肿瘤的原因所致单侧肺脏切除；</w:t>
            </w:r>
          </w:p>
          <w:p>
            <w:pPr>
              <w:pStyle w:val="TableParagraph"/>
              <w:spacing w:before="46"/>
              <w:ind w:left="85"/>
              <w:rPr>
                <w:b/>
                <w:sz w:val="21"/>
              </w:rPr>
            </w:pPr>
            <w:r>
              <w:rPr>
                <w:b/>
                <w:sz w:val="21"/>
              </w:rPr>
              <w:t>（3）因捐献肺脏引起的肺脏左叶或右叶全部切除。</w:t>
            </w:r>
          </w:p>
        </w:tc>
      </w:tr>
      <w:tr>
        <w:trPr>
          <w:trHeight w:val="763" w:hRule="atLeast"/>
        </w:trPr>
        <w:tc>
          <w:tcPr>
            <w:tcW w:w="1023" w:type="dxa"/>
          </w:tcPr>
          <w:p>
            <w:pPr>
              <w:pStyle w:val="TableParagraph"/>
              <w:spacing w:before="124"/>
              <w:ind w:left="200"/>
              <w:rPr>
                <w:i/>
                <w:sz w:val="22"/>
              </w:rPr>
            </w:pPr>
            <w:r>
              <w:rPr>
                <w:i/>
                <w:sz w:val="22"/>
              </w:rPr>
              <w:t>3.3.13</w:t>
            </w:r>
          </w:p>
        </w:tc>
        <w:tc>
          <w:tcPr>
            <w:tcW w:w="1641" w:type="dxa"/>
          </w:tcPr>
          <w:p>
            <w:pPr>
              <w:pStyle w:val="TableParagraph"/>
              <w:spacing w:before="124"/>
              <w:ind w:left="190"/>
              <w:rPr>
                <w:i/>
                <w:sz w:val="22"/>
              </w:rPr>
            </w:pPr>
            <w:r>
              <w:rPr>
                <w:i/>
                <w:w w:val="95"/>
                <w:sz w:val="22"/>
              </w:rPr>
              <w:t>肝脏整叶切除</w:t>
            </w:r>
          </w:p>
        </w:tc>
        <w:tc>
          <w:tcPr>
            <w:tcW w:w="7600" w:type="dxa"/>
          </w:tcPr>
          <w:p>
            <w:pPr>
              <w:pStyle w:val="TableParagraph"/>
              <w:spacing w:line="320" w:lineRule="atLeast" w:before="114"/>
              <w:ind w:left="85" w:right="149"/>
              <w:rPr>
                <w:sz w:val="21"/>
              </w:rPr>
            </w:pPr>
            <w:r>
              <w:rPr>
                <w:sz w:val="21"/>
              </w:rPr>
              <w:t>指因疾病或意外事故实际实施的肝脏部分切除术，手术切除最少一整叶左肝脏或一整叶右肝脏。</w:t>
            </w:r>
          </w:p>
        </w:tc>
      </w:tr>
    </w:tbl>
    <w:p>
      <w:pPr>
        <w:spacing w:after="0" w:line="320" w:lineRule="atLeast"/>
        <w:rPr>
          <w:sz w:val="21"/>
        </w:rPr>
        <w:sectPr>
          <w:pgSz w:w="11910" w:h="16840"/>
          <w:pgMar w:header="0" w:footer="922" w:top="1480" w:bottom="1120" w:left="72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9"/>
        <w:gridCol w:w="7685"/>
      </w:tblGrid>
      <w:tr>
        <w:trPr>
          <w:trHeight w:val="1369" w:hRule="atLeast"/>
        </w:trPr>
        <w:tc>
          <w:tcPr>
            <w:tcW w:w="1023" w:type="dxa"/>
          </w:tcPr>
          <w:p>
            <w:pPr>
              <w:pStyle w:val="TableParagraph"/>
              <w:rPr>
                <w:rFonts w:ascii="Times New Roman"/>
                <w:sz w:val="20"/>
              </w:rPr>
            </w:pPr>
          </w:p>
        </w:tc>
        <w:tc>
          <w:tcPr>
            <w:tcW w:w="1619" w:type="dxa"/>
          </w:tcPr>
          <w:p>
            <w:pPr>
              <w:pStyle w:val="TableParagraph"/>
              <w:rPr>
                <w:rFonts w:ascii="Times New Roman"/>
                <w:sz w:val="20"/>
              </w:rPr>
            </w:pPr>
          </w:p>
        </w:tc>
        <w:tc>
          <w:tcPr>
            <w:tcW w:w="7685" w:type="dxa"/>
          </w:tcPr>
          <w:p>
            <w:pPr>
              <w:pStyle w:val="TableParagraph"/>
              <w:spacing w:line="208" w:lineRule="exact"/>
              <w:ind w:left="107"/>
              <w:rPr>
                <w:b/>
                <w:sz w:val="21"/>
              </w:rPr>
            </w:pPr>
            <w:r>
              <w:rPr>
                <w:b/>
                <w:sz w:val="21"/>
              </w:rPr>
              <w:t>以下的肝脏切除不在本合同保障范围之列：</w:t>
            </w:r>
          </w:p>
          <w:p>
            <w:pPr>
              <w:pStyle w:val="TableParagraph"/>
              <w:spacing w:before="44"/>
              <w:ind w:left="107"/>
              <w:rPr>
                <w:b/>
                <w:sz w:val="21"/>
              </w:rPr>
            </w:pPr>
            <w:r>
              <w:rPr>
                <w:b/>
                <w:sz w:val="21"/>
              </w:rPr>
              <w:t>（1）因治疗酒精或滥用药物导致的疾病或肝脏紊乱所致的肝脏整叶切除；</w:t>
            </w:r>
          </w:p>
          <w:p>
            <w:pPr>
              <w:pStyle w:val="TableParagraph"/>
              <w:spacing w:before="46"/>
              <w:ind w:left="107"/>
              <w:rPr>
                <w:b/>
                <w:sz w:val="21"/>
              </w:rPr>
            </w:pPr>
            <w:r>
              <w:rPr>
                <w:b/>
                <w:sz w:val="21"/>
              </w:rPr>
              <w:t>（2）因患有符合本合同条款定义的恶性肿瘤的原因所致的肝脏整叶切除；</w:t>
            </w:r>
          </w:p>
          <w:p>
            <w:pPr>
              <w:pStyle w:val="TableParagraph"/>
              <w:spacing w:before="44"/>
              <w:ind w:left="107"/>
              <w:rPr>
                <w:b/>
                <w:sz w:val="21"/>
              </w:rPr>
            </w:pPr>
            <w:r>
              <w:rPr>
                <w:b/>
                <w:sz w:val="21"/>
              </w:rPr>
              <w:t>（3）因捐赠肝脏而所需的肝脏手术不在保障范围内。</w:t>
            </w:r>
          </w:p>
        </w:tc>
      </w:tr>
      <w:tr>
        <w:trPr>
          <w:trHeight w:val="1920" w:hRule="atLeast"/>
        </w:trPr>
        <w:tc>
          <w:tcPr>
            <w:tcW w:w="1023" w:type="dxa"/>
          </w:tcPr>
          <w:p>
            <w:pPr>
              <w:pStyle w:val="TableParagraph"/>
              <w:spacing w:before="129"/>
              <w:ind w:right="187"/>
              <w:jc w:val="right"/>
              <w:rPr>
                <w:i/>
                <w:sz w:val="22"/>
              </w:rPr>
            </w:pPr>
            <w:r>
              <w:rPr>
                <w:i/>
                <w:w w:val="95"/>
                <w:sz w:val="22"/>
              </w:rPr>
              <w:t>3.3.14</w:t>
            </w:r>
          </w:p>
        </w:tc>
        <w:tc>
          <w:tcPr>
            <w:tcW w:w="1619" w:type="dxa"/>
          </w:tcPr>
          <w:p>
            <w:pPr>
              <w:pStyle w:val="TableParagraph"/>
              <w:spacing w:line="259" w:lineRule="auto" w:before="129"/>
              <w:ind w:left="190" w:right="164"/>
              <w:rPr>
                <w:i/>
                <w:sz w:val="22"/>
              </w:rPr>
            </w:pPr>
            <w:r>
              <w:rPr>
                <w:i/>
                <w:w w:val="95"/>
                <w:sz w:val="22"/>
              </w:rPr>
              <w:t>轻度脑炎或脑膜炎后遗症</w:t>
            </w:r>
          </w:p>
        </w:tc>
        <w:tc>
          <w:tcPr>
            <w:tcW w:w="7685" w:type="dxa"/>
          </w:tcPr>
          <w:p>
            <w:pPr>
              <w:pStyle w:val="TableParagraph"/>
              <w:spacing w:line="278" w:lineRule="auto" w:before="165"/>
              <w:ind w:left="107" w:right="259"/>
              <w:jc w:val="both"/>
              <w:rPr>
                <w:sz w:val="21"/>
              </w:rPr>
            </w:pPr>
            <w:r>
              <w:rPr>
                <w:spacing w:val="-5"/>
                <w:sz w:val="21"/>
              </w:rPr>
              <w:t>指因患脑炎或脑膜炎导致的神经系统的永久功能障碍。神经系统永久性的功能障</w:t>
            </w:r>
            <w:r>
              <w:rPr>
                <w:spacing w:val="-9"/>
                <w:sz w:val="21"/>
              </w:rPr>
              <w:t>碍， 指疾病确诊 </w:t>
            </w:r>
            <w:r>
              <w:rPr>
                <w:sz w:val="21"/>
              </w:rPr>
              <w:t>180</w:t>
            </w:r>
            <w:r>
              <w:rPr>
                <w:spacing w:val="-10"/>
                <w:sz w:val="21"/>
              </w:rPr>
              <w:t> 天后，仍存在自主活动能力完全丧失， 无法独立完成六项</w:t>
            </w:r>
            <w:r>
              <w:rPr>
                <w:spacing w:val="-5"/>
                <w:sz w:val="21"/>
              </w:rPr>
              <w:t>基本日常生活活动中的两项。</w:t>
            </w:r>
          </w:p>
          <w:p>
            <w:pPr>
              <w:pStyle w:val="TableParagraph"/>
              <w:spacing w:line="278" w:lineRule="auto" w:before="13"/>
              <w:ind w:left="107" w:right="197"/>
              <w:jc w:val="both"/>
              <w:rPr>
                <w:b/>
                <w:sz w:val="21"/>
              </w:rPr>
            </w:pPr>
            <w:r>
              <w:rPr>
                <w:b/>
                <w:sz w:val="21"/>
              </w:rPr>
              <w:t>若被保险人因同一原因导致其满足轻度脑炎或脑膜炎后遗症和轻度颅脑手术的， 仅按其中一项给付。</w:t>
            </w:r>
          </w:p>
        </w:tc>
      </w:tr>
      <w:tr>
        <w:trPr>
          <w:trHeight w:val="1920" w:hRule="atLeast"/>
        </w:trPr>
        <w:tc>
          <w:tcPr>
            <w:tcW w:w="1023" w:type="dxa"/>
          </w:tcPr>
          <w:p>
            <w:pPr>
              <w:pStyle w:val="TableParagraph"/>
              <w:spacing w:before="129"/>
              <w:ind w:right="187"/>
              <w:jc w:val="right"/>
              <w:rPr>
                <w:i/>
                <w:sz w:val="22"/>
              </w:rPr>
            </w:pPr>
            <w:r>
              <w:rPr>
                <w:i/>
                <w:w w:val="95"/>
                <w:sz w:val="22"/>
              </w:rPr>
              <w:t>3.3.15</w:t>
            </w:r>
          </w:p>
        </w:tc>
        <w:tc>
          <w:tcPr>
            <w:tcW w:w="1619" w:type="dxa"/>
          </w:tcPr>
          <w:p>
            <w:pPr>
              <w:pStyle w:val="TableParagraph"/>
              <w:spacing w:line="259" w:lineRule="auto" w:before="129"/>
              <w:ind w:left="190" w:right="45"/>
              <w:rPr>
                <w:i/>
                <w:sz w:val="22"/>
              </w:rPr>
            </w:pPr>
            <w:r>
              <w:rPr>
                <w:i/>
                <w:w w:val="95"/>
                <w:sz w:val="22"/>
              </w:rPr>
              <w:t>深度昏迷72 小</w:t>
            </w:r>
            <w:r>
              <w:rPr>
                <w:i/>
                <w:sz w:val="22"/>
              </w:rPr>
              <w:t>时</w:t>
            </w:r>
          </w:p>
        </w:tc>
        <w:tc>
          <w:tcPr>
            <w:tcW w:w="7685" w:type="dxa"/>
          </w:tcPr>
          <w:p>
            <w:pPr>
              <w:pStyle w:val="TableParagraph"/>
              <w:spacing w:line="278" w:lineRule="auto" w:before="165"/>
              <w:ind w:left="107" w:right="261"/>
              <w:jc w:val="both"/>
              <w:rPr>
                <w:sz w:val="21"/>
              </w:rPr>
            </w:pPr>
            <w:r>
              <w:rPr>
                <w:spacing w:val="-6"/>
                <w:sz w:val="21"/>
              </w:rPr>
              <w:t>指因疾病或意外伤害导致意识丧失，对外界刺激和体内需求均无反应，昏迷程度</w:t>
            </w:r>
            <w:r>
              <w:rPr>
                <w:spacing w:val="-4"/>
                <w:sz w:val="21"/>
              </w:rPr>
              <w:t>按照格拉斯哥昏迷分级</w:t>
            </w:r>
            <w:r>
              <w:rPr>
                <w:sz w:val="21"/>
              </w:rPr>
              <w:t>（Glasgow coma scale</w:t>
            </w:r>
            <w:r>
              <w:rPr>
                <w:spacing w:val="-8"/>
                <w:sz w:val="21"/>
              </w:rPr>
              <w:t>)结果为 </w:t>
            </w:r>
            <w:r>
              <w:rPr>
                <w:sz w:val="21"/>
              </w:rPr>
              <w:t>5</w:t>
            </w:r>
            <w:r>
              <w:rPr>
                <w:spacing w:val="-18"/>
                <w:sz w:val="21"/>
              </w:rPr>
              <w:t> 分或 </w:t>
            </w:r>
            <w:r>
              <w:rPr>
                <w:sz w:val="21"/>
              </w:rPr>
              <w:t>5</w:t>
            </w:r>
            <w:r>
              <w:rPr>
                <w:spacing w:val="-7"/>
                <w:sz w:val="21"/>
              </w:rPr>
              <w:t> 分以下，且已经</w:t>
            </w:r>
            <w:r>
              <w:rPr>
                <w:spacing w:val="-4"/>
                <w:sz w:val="21"/>
              </w:rPr>
              <w:t>持续使用呼吸机及其他生命维持系统达到 </w:t>
            </w:r>
            <w:r>
              <w:rPr>
                <w:sz w:val="21"/>
              </w:rPr>
              <w:t>72</w:t>
            </w:r>
            <w:r>
              <w:rPr>
                <w:spacing w:val="-13"/>
                <w:sz w:val="21"/>
              </w:rPr>
              <w:t> 小时。</w:t>
            </w:r>
          </w:p>
          <w:p>
            <w:pPr>
              <w:pStyle w:val="TableParagraph"/>
              <w:spacing w:line="278" w:lineRule="auto" w:before="13"/>
              <w:ind w:left="107" w:right="264"/>
              <w:jc w:val="both"/>
              <w:rPr>
                <w:b/>
                <w:sz w:val="21"/>
              </w:rPr>
            </w:pPr>
            <w:r>
              <w:rPr>
                <w:b/>
                <w:spacing w:val="-5"/>
                <w:sz w:val="21"/>
              </w:rPr>
              <w:t>若被保险人因同一原因导致其满足深度昏迷 </w:t>
            </w:r>
            <w:r>
              <w:rPr>
                <w:b/>
                <w:sz w:val="21"/>
              </w:rPr>
              <w:t>72</w:t>
            </w:r>
            <w:r>
              <w:rPr>
                <w:b/>
                <w:spacing w:val="-6"/>
                <w:sz w:val="21"/>
              </w:rPr>
              <w:t> 小时和轻度颅脑手术的，仅按其中一项给付。</w:t>
            </w:r>
          </w:p>
        </w:tc>
      </w:tr>
      <w:tr>
        <w:trPr>
          <w:trHeight w:val="1920" w:hRule="atLeast"/>
        </w:trPr>
        <w:tc>
          <w:tcPr>
            <w:tcW w:w="1023" w:type="dxa"/>
          </w:tcPr>
          <w:p>
            <w:pPr>
              <w:pStyle w:val="TableParagraph"/>
              <w:spacing w:before="129"/>
              <w:ind w:right="187"/>
              <w:jc w:val="right"/>
              <w:rPr>
                <w:i/>
                <w:sz w:val="22"/>
              </w:rPr>
            </w:pPr>
            <w:r>
              <w:rPr>
                <w:i/>
                <w:w w:val="95"/>
                <w:sz w:val="22"/>
              </w:rPr>
              <w:t>3.3.16</w:t>
            </w:r>
          </w:p>
        </w:tc>
        <w:tc>
          <w:tcPr>
            <w:tcW w:w="1619" w:type="dxa"/>
          </w:tcPr>
          <w:p>
            <w:pPr>
              <w:pStyle w:val="TableParagraph"/>
              <w:spacing w:before="129"/>
              <w:ind w:left="190"/>
              <w:rPr>
                <w:b/>
                <w:i/>
                <w:sz w:val="22"/>
              </w:rPr>
            </w:pPr>
            <w:r>
              <w:rPr>
                <w:b/>
                <w:i/>
                <w:w w:val="95"/>
                <w:sz w:val="22"/>
              </w:rPr>
              <w:t>中度听力受损</w:t>
            </w:r>
          </w:p>
          <w:p>
            <w:pPr>
              <w:pStyle w:val="TableParagraph"/>
              <w:spacing w:line="259" w:lineRule="auto" w:before="24"/>
              <w:ind w:left="190" w:right="159"/>
              <w:rPr>
                <w:b/>
                <w:i/>
                <w:sz w:val="22"/>
              </w:rPr>
            </w:pPr>
            <w:r>
              <w:rPr>
                <w:b/>
                <w:i/>
                <w:w w:val="95"/>
                <w:sz w:val="22"/>
              </w:rPr>
              <w:t>（三周岁以上理赔）</w:t>
            </w:r>
          </w:p>
        </w:tc>
        <w:tc>
          <w:tcPr>
            <w:tcW w:w="7685" w:type="dxa"/>
          </w:tcPr>
          <w:p>
            <w:pPr>
              <w:pStyle w:val="TableParagraph"/>
              <w:spacing w:before="165"/>
              <w:ind w:left="107"/>
              <w:rPr>
                <w:sz w:val="21"/>
              </w:rPr>
            </w:pPr>
            <w:r>
              <w:rPr>
                <w:sz w:val="21"/>
              </w:rPr>
              <w:t>指因疾病或意外伤害导致双耳听力永久不可逆性丧失，在 500 赫兹，1000 赫兹和</w:t>
            </w:r>
          </w:p>
          <w:p>
            <w:pPr>
              <w:pStyle w:val="TableParagraph"/>
              <w:spacing w:line="278" w:lineRule="auto" w:before="44"/>
              <w:ind w:left="107" w:right="261"/>
              <w:rPr>
                <w:sz w:val="21"/>
              </w:rPr>
            </w:pPr>
            <w:r>
              <w:rPr>
                <w:sz w:val="21"/>
              </w:rPr>
              <w:t>2000</w:t>
            </w:r>
            <w:r>
              <w:rPr>
                <w:spacing w:val="-10"/>
                <w:sz w:val="21"/>
              </w:rPr>
              <w:t> 赫兹语音频率下，平均听阈大于 </w:t>
            </w:r>
            <w:r>
              <w:rPr>
                <w:sz w:val="21"/>
              </w:rPr>
              <w:t>80</w:t>
            </w:r>
            <w:r>
              <w:rPr>
                <w:spacing w:val="-7"/>
                <w:sz w:val="21"/>
              </w:rPr>
              <w:t> 分贝。需有纯音听力测试、声道抗检测</w:t>
            </w:r>
            <w:r>
              <w:rPr>
                <w:spacing w:val="-5"/>
                <w:sz w:val="21"/>
              </w:rPr>
              <w:t>或听觉诱发电位检测等证实。</w:t>
            </w:r>
          </w:p>
          <w:p>
            <w:pPr>
              <w:pStyle w:val="TableParagraph"/>
              <w:spacing w:line="278" w:lineRule="auto" w:before="12"/>
              <w:ind w:left="107" w:right="264"/>
              <w:rPr>
                <w:b/>
                <w:sz w:val="21"/>
              </w:rPr>
            </w:pPr>
            <w:r>
              <w:rPr>
                <w:b/>
                <w:spacing w:val="-7"/>
                <w:sz w:val="21"/>
              </w:rPr>
              <w:t>被保险人申请理赔时年龄必须在三周岁以上，并且提供理赔当时的听力丧失诊断及检查证据。</w:t>
            </w:r>
          </w:p>
        </w:tc>
      </w:tr>
      <w:tr>
        <w:trPr>
          <w:trHeight w:val="1279" w:hRule="atLeast"/>
        </w:trPr>
        <w:tc>
          <w:tcPr>
            <w:tcW w:w="1023" w:type="dxa"/>
          </w:tcPr>
          <w:p>
            <w:pPr>
              <w:pStyle w:val="TableParagraph"/>
              <w:spacing w:before="129"/>
              <w:ind w:right="187"/>
              <w:jc w:val="right"/>
              <w:rPr>
                <w:i/>
                <w:sz w:val="22"/>
              </w:rPr>
            </w:pPr>
            <w:r>
              <w:rPr>
                <w:i/>
                <w:w w:val="95"/>
                <w:sz w:val="22"/>
              </w:rPr>
              <w:t>3.3.17</w:t>
            </w:r>
          </w:p>
        </w:tc>
        <w:tc>
          <w:tcPr>
            <w:tcW w:w="1619" w:type="dxa"/>
          </w:tcPr>
          <w:p>
            <w:pPr>
              <w:pStyle w:val="TableParagraph"/>
              <w:spacing w:before="129"/>
              <w:ind w:left="190"/>
              <w:rPr>
                <w:i/>
                <w:sz w:val="22"/>
              </w:rPr>
            </w:pPr>
            <w:r>
              <w:rPr>
                <w:i/>
                <w:w w:val="95"/>
                <w:sz w:val="22"/>
              </w:rPr>
              <w:t>中度瘫痪</w:t>
            </w:r>
          </w:p>
        </w:tc>
        <w:tc>
          <w:tcPr>
            <w:tcW w:w="7685" w:type="dxa"/>
          </w:tcPr>
          <w:p>
            <w:pPr>
              <w:pStyle w:val="TableParagraph"/>
              <w:spacing w:line="278" w:lineRule="auto" w:before="165"/>
              <w:ind w:left="107" w:right="260"/>
              <w:jc w:val="both"/>
              <w:rPr>
                <w:sz w:val="21"/>
              </w:rPr>
            </w:pPr>
            <w:r>
              <w:rPr>
                <w:spacing w:val="-5"/>
                <w:sz w:val="21"/>
              </w:rPr>
              <w:t>指因疾病或意外伤害导致一肢肢体机能永久完全丧失。肢体机能永久完全丧失指</w:t>
            </w:r>
            <w:r>
              <w:rPr>
                <w:spacing w:val="-12"/>
                <w:sz w:val="21"/>
              </w:rPr>
              <w:t>疾病确诊 </w:t>
            </w:r>
            <w:r>
              <w:rPr>
                <w:sz w:val="21"/>
              </w:rPr>
              <w:t>180</w:t>
            </w:r>
            <w:r>
              <w:rPr>
                <w:spacing w:val="-13"/>
                <w:sz w:val="21"/>
              </w:rPr>
              <w:t> 天后或意外伤害发生 </w:t>
            </w:r>
            <w:r>
              <w:rPr>
                <w:sz w:val="21"/>
              </w:rPr>
              <w:t>180</w:t>
            </w:r>
            <w:r>
              <w:rPr>
                <w:spacing w:val="-11"/>
                <w:sz w:val="21"/>
              </w:rPr>
              <w:t> 天后，该肢三大关节中的两大关节仍然完</w:t>
            </w:r>
            <w:r>
              <w:rPr>
                <w:spacing w:val="-6"/>
                <w:sz w:val="21"/>
              </w:rPr>
              <w:t>全僵硬，或不能随意识活动。</w:t>
            </w:r>
          </w:p>
        </w:tc>
      </w:tr>
      <w:tr>
        <w:trPr>
          <w:trHeight w:val="1919" w:hRule="atLeast"/>
        </w:trPr>
        <w:tc>
          <w:tcPr>
            <w:tcW w:w="1023" w:type="dxa"/>
          </w:tcPr>
          <w:p>
            <w:pPr>
              <w:pStyle w:val="TableParagraph"/>
              <w:spacing w:before="129"/>
              <w:ind w:right="187"/>
              <w:jc w:val="right"/>
              <w:rPr>
                <w:i/>
                <w:sz w:val="22"/>
              </w:rPr>
            </w:pPr>
            <w:r>
              <w:rPr>
                <w:i/>
                <w:w w:val="95"/>
                <w:sz w:val="22"/>
              </w:rPr>
              <w:t>3.3.18</w:t>
            </w:r>
          </w:p>
        </w:tc>
        <w:tc>
          <w:tcPr>
            <w:tcW w:w="1619" w:type="dxa"/>
          </w:tcPr>
          <w:p>
            <w:pPr>
              <w:pStyle w:val="TableParagraph"/>
              <w:spacing w:line="259" w:lineRule="auto" w:before="129"/>
              <w:ind w:left="190" w:right="164"/>
              <w:rPr>
                <w:i/>
                <w:sz w:val="22"/>
              </w:rPr>
            </w:pPr>
            <w:r>
              <w:rPr>
                <w:i/>
                <w:w w:val="95"/>
                <w:sz w:val="22"/>
              </w:rPr>
              <w:t>中度阿尔兹海默病</w:t>
            </w:r>
          </w:p>
        </w:tc>
        <w:tc>
          <w:tcPr>
            <w:tcW w:w="7685" w:type="dxa"/>
          </w:tcPr>
          <w:p>
            <w:pPr>
              <w:pStyle w:val="TableParagraph"/>
              <w:spacing w:line="278" w:lineRule="auto" w:before="165"/>
              <w:ind w:left="107" w:right="260"/>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0"/>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spacing w:val="1"/>
                <w:w w:val="100"/>
                <w:sz w:val="21"/>
              </w:rPr>
              <w:t>）</w:t>
            </w:r>
            <w:r>
              <w:rPr>
                <w:w w:val="100"/>
                <w:sz w:val="21"/>
              </w:rPr>
              <w:t>或正电子发射断层扫描</w:t>
            </w:r>
            <w:r>
              <w:rPr>
                <w:spacing w:val="0"/>
                <w:w w:val="100"/>
                <w:sz w:val="21"/>
              </w:rPr>
              <w:t>（</w:t>
            </w:r>
            <w:r>
              <w:rPr>
                <w:w w:val="100"/>
                <w:sz w:val="21"/>
              </w:rPr>
              <w:t>PET</w:t>
            </w:r>
            <w:r>
              <w:rPr>
                <w:spacing w:val="1"/>
                <w:w w:val="100"/>
                <w:sz w:val="21"/>
              </w:rPr>
              <w:t>）等</w:t>
            </w:r>
            <w:r>
              <w:rPr>
                <w:spacing w:val="-7"/>
                <w:sz w:val="21"/>
              </w:rPr>
              <w:t>影像学检查证实，且自主生活能力完全丧失，无法独立完成六项基本日常生活活</w:t>
            </w:r>
            <w:r>
              <w:rPr>
                <w:spacing w:val="-5"/>
                <w:sz w:val="21"/>
              </w:rPr>
              <w:t>动中的两项。</w:t>
            </w:r>
          </w:p>
        </w:tc>
      </w:tr>
      <w:tr>
        <w:trPr>
          <w:trHeight w:val="1920" w:hRule="atLeast"/>
        </w:trPr>
        <w:tc>
          <w:tcPr>
            <w:tcW w:w="1023" w:type="dxa"/>
          </w:tcPr>
          <w:p>
            <w:pPr>
              <w:pStyle w:val="TableParagraph"/>
              <w:spacing w:before="129"/>
              <w:ind w:right="187"/>
              <w:jc w:val="right"/>
              <w:rPr>
                <w:i/>
                <w:sz w:val="22"/>
              </w:rPr>
            </w:pPr>
            <w:r>
              <w:rPr>
                <w:i/>
                <w:w w:val="95"/>
                <w:sz w:val="22"/>
              </w:rPr>
              <w:t>3.3.19</w:t>
            </w:r>
          </w:p>
        </w:tc>
        <w:tc>
          <w:tcPr>
            <w:tcW w:w="1619" w:type="dxa"/>
          </w:tcPr>
          <w:p>
            <w:pPr>
              <w:pStyle w:val="TableParagraph"/>
              <w:spacing w:line="259" w:lineRule="auto" w:before="129"/>
              <w:ind w:left="190" w:right="164"/>
              <w:rPr>
                <w:i/>
                <w:sz w:val="22"/>
              </w:rPr>
            </w:pPr>
            <w:r>
              <w:rPr>
                <w:i/>
                <w:w w:val="95"/>
                <w:sz w:val="22"/>
              </w:rPr>
              <w:t>中度帕金森氏</w:t>
            </w:r>
            <w:r>
              <w:rPr>
                <w:i/>
                <w:sz w:val="22"/>
              </w:rPr>
              <w:t>病</w:t>
            </w:r>
          </w:p>
        </w:tc>
        <w:tc>
          <w:tcPr>
            <w:tcW w:w="7685" w:type="dxa"/>
          </w:tcPr>
          <w:p>
            <w:pPr>
              <w:pStyle w:val="TableParagraph"/>
              <w:spacing w:line="278" w:lineRule="auto" w:before="165"/>
              <w:ind w:left="107" w:right="259"/>
              <w:rPr>
                <w:sz w:val="21"/>
              </w:rPr>
            </w:pPr>
            <w:r>
              <w:rPr>
                <w:spacing w:val="-6"/>
                <w:sz w:val="21"/>
              </w:rPr>
              <w:t>是一种中枢神经系统的退行性疾病，临床表现为震颤麻痹、共济失调等。必须满</w:t>
            </w:r>
            <w:r>
              <w:rPr>
                <w:spacing w:val="-4"/>
                <w:sz w:val="21"/>
              </w:rPr>
              <w:t>足下列全部条件：</w:t>
            </w:r>
          </w:p>
          <w:p>
            <w:pPr>
              <w:pStyle w:val="TableParagraph"/>
              <w:spacing w:before="13"/>
              <w:ind w:left="107"/>
              <w:rPr>
                <w:sz w:val="21"/>
              </w:rPr>
            </w:pPr>
            <w:r>
              <w:rPr>
                <w:sz w:val="21"/>
              </w:rPr>
              <w:t>（1）药物治疗无法控制病情；</w:t>
            </w:r>
          </w:p>
          <w:p>
            <w:pPr>
              <w:pStyle w:val="TableParagraph"/>
              <w:spacing w:line="278" w:lineRule="auto" w:before="44"/>
              <w:ind w:left="107" w:right="326"/>
              <w:rPr>
                <w:b/>
                <w:sz w:val="21"/>
              </w:rPr>
            </w:pPr>
            <w:r>
              <w:rPr>
                <w:sz w:val="21"/>
              </w:rPr>
              <w:t>（2）自主生活能力完全丧失，无法独立完成六项基本日常生活活动中的两项。</w:t>
            </w:r>
            <w:r>
              <w:rPr>
                <w:b/>
                <w:sz w:val="21"/>
              </w:rPr>
              <w:t>继发性帕金森综合症不在保障范围内。</w:t>
            </w:r>
          </w:p>
        </w:tc>
      </w:tr>
      <w:tr>
        <w:trPr>
          <w:trHeight w:val="1402" w:hRule="atLeast"/>
        </w:trPr>
        <w:tc>
          <w:tcPr>
            <w:tcW w:w="1023" w:type="dxa"/>
          </w:tcPr>
          <w:p>
            <w:pPr>
              <w:pStyle w:val="TableParagraph"/>
              <w:spacing w:before="129"/>
              <w:ind w:right="187"/>
              <w:jc w:val="right"/>
              <w:rPr>
                <w:i/>
                <w:sz w:val="22"/>
              </w:rPr>
            </w:pPr>
            <w:r>
              <w:rPr>
                <w:i/>
                <w:w w:val="95"/>
                <w:sz w:val="22"/>
              </w:rPr>
              <w:t>3.3.20</w:t>
            </w:r>
          </w:p>
        </w:tc>
        <w:tc>
          <w:tcPr>
            <w:tcW w:w="1619" w:type="dxa"/>
          </w:tcPr>
          <w:p>
            <w:pPr>
              <w:pStyle w:val="TableParagraph"/>
              <w:spacing w:line="259" w:lineRule="auto" w:before="129"/>
              <w:ind w:left="190" w:right="164"/>
              <w:rPr>
                <w:i/>
                <w:sz w:val="22"/>
              </w:rPr>
            </w:pPr>
            <w:r>
              <w:rPr>
                <w:i/>
                <w:w w:val="95"/>
                <w:sz w:val="22"/>
              </w:rPr>
              <w:t>继发性肺动脉高压</w:t>
            </w:r>
          </w:p>
        </w:tc>
        <w:tc>
          <w:tcPr>
            <w:tcW w:w="7685" w:type="dxa"/>
          </w:tcPr>
          <w:p>
            <w:pPr>
              <w:pStyle w:val="TableParagraph"/>
              <w:spacing w:line="278" w:lineRule="auto" w:before="165"/>
              <w:ind w:left="107" w:right="259"/>
              <w:rPr>
                <w:sz w:val="21"/>
              </w:rPr>
            </w:pPr>
            <w:r>
              <w:rPr>
                <w:spacing w:val="-6"/>
                <w:sz w:val="21"/>
              </w:rPr>
              <w:t>继发性肺动脉压力持续增高，导致右心室肥厚，已经造成永久不可逆性的体力活动能力受限，达到纽约心脏病学会的心功能分级标准之心功能 </w:t>
            </w:r>
            <w:r>
              <w:rPr>
                <w:sz w:val="21"/>
              </w:rPr>
              <w:t>IV</w:t>
            </w:r>
            <w:r>
              <w:rPr>
                <w:spacing w:val="-13"/>
                <w:sz w:val="21"/>
              </w:rPr>
              <w:t> 级。</w:t>
            </w:r>
          </w:p>
          <w:p>
            <w:pPr>
              <w:pStyle w:val="TableParagraph"/>
              <w:spacing w:line="320" w:lineRule="exact" w:before="2"/>
              <w:ind w:left="107" w:right="259"/>
              <w:rPr>
                <w:sz w:val="21"/>
              </w:rPr>
            </w:pPr>
            <w:r>
              <w:rPr>
                <w:spacing w:val="-6"/>
                <w:sz w:val="21"/>
              </w:rPr>
              <w:t>诊断需要有心脏科专家确诊，并且心导管检查报告显示静息状态下肺动脉平均压</w:t>
            </w:r>
            <w:r>
              <w:rPr>
                <w:spacing w:val="-22"/>
                <w:sz w:val="21"/>
              </w:rPr>
              <w:t>超过 </w:t>
            </w:r>
            <w:r>
              <w:rPr>
                <w:sz w:val="21"/>
              </w:rPr>
              <w:t>30mmHg。</w:t>
            </w:r>
          </w:p>
        </w:tc>
      </w:tr>
    </w:tbl>
    <w:p>
      <w:pPr>
        <w:spacing w:after="0" w:line="320" w:lineRule="exact"/>
        <w:rPr>
          <w:sz w:val="21"/>
        </w:rPr>
        <w:sectPr>
          <w:pgSz w:w="11910" w:h="16840"/>
          <w:pgMar w:header="0" w:footer="922" w:top="1500" w:bottom="1120" w:left="720" w:right="640"/>
        </w:sectPr>
      </w:pPr>
    </w:p>
    <w:p>
      <w:pPr>
        <w:pStyle w:val="BodyText"/>
        <w:spacing w:before="7"/>
        <w:rPr>
          <w:rFonts w:ascii="Times New Roman"/>
          <w:sz w:val="1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89"/>
        <w:gridCol w:w="7756"/>
      </w:tblGrid>
      <w:tr>
        <w:trPr>
          <w:trHeight w:val="1083" w:hRule="atLeast"/>
        </w:trPr>
        <w:tc>
          <w:tcPr>
            <w:tcW w:w="1023" w:type="dxa"/>
          </w:tcPr>
          <w:p>
            <w:pPr>
              <w:pStyle w:val="TableParagraph"/>
              <w:spacing w:line="222" w:lineRule="exact"/>
              <w:ind w:right="187"/>
              <w:jc w:val="right"/>
              <w:rPr>
                <w:i/>
                <w:sz w:val="22"/>
              </w:rPr>
            </w:pPr>
            <w:r>
              <w:rPr>
                <w:i/>
                <w:w w:val="95"/>
                <w:sz w:val="22"/>
              </w:rPr>
              <w:t>3.3.21</w:t>
            </w:r>
          </w:p>
        </w:tc>
        <w:tc>
          <w:tcPr>
            <w:tcW w:w="1589" w:type="dxa"/>
          </w:tcPr>
          <w:p>
            <w:pPr>
              <w:pStyle w:val="TableParagraph"/>
              <w:spacing w:line="222" w:lineRule="exact"/>
              <w:ind w:left="190"/>
              <w:rPr>
                <w:i/>
                <w:sz w:val="22"/>
              </w:rPr>
            </w:pPr>
            <w:r>
              <w:rPr>
                <w:i/>
                <w:w w:val="95"/>
                <w:sz w:val="22"/>
              </w:rPr>
              <w:t>早期运动神经</w:t>
            </w:r>
          </w:p>
          <w:p>
            <w:pPr>
              <w:pStyle w:val="TableParagraph"/>
              <w:spacing w:before="24"/>
              <w:ind w:left="190"/>
              <w:rPr>
                <w:i/>
                <w:sz w:val="22"/>
              </w:rPr>
            </w:pPr>
            <w:r>
              <w:rPr>
                <w:i/>
                <w:w w:val="95"/>
                <w:sz w:val="22"/>
              </w:rPr>
              <w:t>性疾病</w:t>
            </w:r>
          </w:p>
        </w:tc>
        <w:tc>
          <w:tcPr>
            <w:tcW w:w="7756" w:type="dxa"/>
          </w:tcPr>
          <w:p>
            <w:pPr>
              <w:pStyle w:val="TableParagraph"/>
              <w:spacing w:line="245" w:lineRule="exact"/>
              <w:ind w:left="137"/>
              <w:rPr>
                <w:sz w:val="21"/>
              </w:rPr>
            </w:pPr>
            <w:r>
              <w:rPr>
                <w:sz w:val="21"/>
              </w:rPr>
              <w:t>是一组中枢神经系统运动神经元的进行性变性疾病，进行性脊肌萎缩症、进行性</w:t>
            </w:r>
          </w:p>
          <w:p>
            <w:pPr>
              <w:pStyle w:val="TableParagraph"/>
              <w:spacing w:line="278" w:lineRule="auto" w:before="46"/>
              <w:ind w:left="137" w:right="302"/>
              <w:rPr>
                <w:sz w:val="21"/>
              </w:rPr>
            </w:pPr>
            <w:r>
              <w:rPr>
                <w:spacing w:val="-7"/>
                <w:sz w:val="21"/>
              </w:rPr>
              <w:t>延髓麻痹症、原发性侧索硬化症、肌萎缩性侧索硬化症。须满足自主生活能力完</w:t>
            </w:r>
            <w:r>
              <w:rPr>
                <w:spacing w:val="-5"/>
                <w:sz w:val="21"/>
              </w:rPr>
              <w:t>全丧失，无法独立完成六项基本日常生活活动中的两项。</w:t>
            </w:r>
          </w:p>
        </w:tc>
      </w:tr>
      <w:tr>
        <w:trPr>
          <w:trHeight w:val="1920" w:hRule="atLeast"/>
        </w:trPr>
        <w:tc>
          <w:tcPr>
            <w:tcW w:w="1023" w:type="dxa"/>
          </w:tcPr>
          <w:p>
            <w:pPr>
              <w:pStyle w:val="TableParagraph"/>
              <w:spacing w:before="132"/>
              <w:ind w:right="187"/>
              <w:jc w:val="right"/>
              <w:rPr>
                <w:i/>
                <w:sz w:val="22"/>
              </w:rPr>
            </w:pPr>
            <w:r>
              <w:rPr>
                <w:i/>
                <w:w w:val="95"/>
                <w:sz w:val="22"/>
              </w:rPr>
              <w:t>3.3.22</w:t>
            </w:r>
          </w:p>
        </w:tc>
        <w:tc>
          <w:tcPr>
            <w:tcW w:w="1589" w:type="dxa"/>
          </w:tcPr>
          <w:p>
            <w:pPr>
              <w:pStyle w:val="TableParagraph"/>
              <w:spacing w:line="259" w:lineRule="auto" w:before="132"/>
              <w:ind w:left="190" w:right="134"/>
              <w:rPr>
                <w:i/>
                <w:sz w:val="22"/>
              </w:rPr>
            </w:pPr>
            <w:r>
              <w:rPr>
                <w:i/>
                <w:w w:val="95"/>
                <w:sz w:val="22"/>
              </w:rPr>
              <w:t>可逆性再生障碍性贫血</w:t>
            </w:r>
          </w:p>
        </w:tc>
        <w:tc>
          <w:tcPr>
            <w:tcW w:w="7756" w:type="dxa"/>
          </w:tcPr>
          <w:p>
            <w:pPr>
              <w:pStyle w:val="TableParagraph"/>
              <w:spacing w:line="278" w:lineRule="auto" w:before="168"/>
              <w:ind w:left="137" w:right="470"/>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11"/>
              <w:ind w:left="137"/>
              <w:rPr>
                <w:sz w:val="21"/>
              </w:rPr>
            </w:pPr>
            <w:r>
              <w:rPr>
                <w:sz w:val="21"/>
              </w:rPr>
              <w:t>（1）骨髓刺激疗法至少一个月；</w:t>
            </w:r>
          </w:p>
          <w:p>
            <w:pPr>
              <w:pStyle w:val="TableParagraph"/>
              <w:spacing w:before="47"/>
              <w:ind w:left="137"/>
              <w:rPr>
                <w:sz w:val="21"/>
              </w:rPr>
            </w:pPr>
            <w:r>
              <w:rPr>
                <w:sz w:val="21"/>
              </w:rPr>
              <w:t>（2）免疫抑制剂治疗至少一个月；</w:t>
            </w:r>
          </w:p>
          <w:p>
            <w:pPr>
              <w:pStyle w:val="TableParagraph"/>
              <w:spacing w:before="44"/>
              <w:ind w:left="137"/>
              <w:rPr>
                <w:sz w:val="21"/>
              </w:rPr>
            </w:pPr>
            <w:r>
              <w:rPr>
                <w:sz w:val="21"/>
              </w:rPr>
              <w:t>（3）接受了骨髓移植。</w:t>
            </w:r>
          </w:p>
        </w:tc>
      </w:tr>
      <w:tr>
        <w:trPr>
          <w:trHeight w:val="2239" w:hRule="atLeast"/>
        </w:trPr>
        <w:tc>
          <w:tcPr>
            <w:tcW w:w="1023" w:type="dxa"/>
          </w:tcPr>
          <w:p>
            <w:pPr>
              <w:pStyle w:val="TableParagraph"/>
              <w:spacing w:before="132"/>
              <w:ind w:right="187"/>
              <w:jc w:val="right"/>
              <w:rPr>
                <w:i/>
                <w:sz w:val="22"/>
              </w:rPr>
            </w:pPr>
            <w:r>
              <w:rPr>
                <w:i/>
                <w:w w:val="95"/>
                <w:sz w:val="22"/>
              </w:rPr>
              <w:t>3.3.23</w:t>
            </w:r>
          </w:p>
        </w:tc>
        <w:tc>
          <w:tcPr>
            <w:tcW w:w="1589" w:type="dxa"/>
          </w:tcPr>
          <w:p>
            <w:pPr>
              <w:pStyle w:val="TableParagraph"/>
              <w:spacing w:line="259" w:lineRule="auto" w:before="132"/>
              <w:ind w:left="190" w:right="134"/>
              <w:rPr>
                <w:i/>
                <w:sz w:val="22"/>
              </w:rPr>
            </w:pPr>
            <w:r>
              <w:rPr>
                <w:i/>
                <w:w w:val="95"/>
                <w:sz w:val="22"/>
              </w:rPr>
              <w:t>中度溃疡性结肠炎</w:t>
            </w:r>
          </w:p>
        </w:tc>
        <w:tc>
          <w:tcPr>
            <w:tcW w:w="7756" w:type="dxa"/>
          </w:tcPr>
          <w:p>
            <w:pPr>
              <w:pStyle w:val="TableParagraph"/>
              <w:spacing w:line="278" w:lineRule="auto" w:before="168"/>
              <w:ind w:left="137" w:right="300"/>
              <w:jc w:val="both"/>
              <w:rPr>
                <w:sz w:val="21"/>
              </w:rPr>
            </w:pPr>
            <w:r>
              <w:rPr>
                <w:sz w:val="21"/>
              </w:rPr>
              <w:t>本保障的所指的中度溃疡性结肠炎是指伴有致命性电解质紊乱的急性暴发性溃</w:t>
            </w:r>
            <w:r>
              <w:rPr>
                <w:spacing w:val="-7"/>
                <w:sz w:val="21"/>
              </w:rPr>
              <w:t>疡性结肠炎，病变累及全结肠，表现为严重的血便和系统性症状体征和肠破裂的</w:t>
            </w:r>
            <w:r>
              <w:rPr>
                <w:spacing w:val="-8"/>
                <w:sz w:val="21"/>
              </w:rPr>
              <w:t>风险，本疾病的确诊必须经由内窥镜检查证实该疾病侵犯全部结肠及直肠，及活体切片检查证实为溃疡性结肠炎。且须经肠胃专科医生连续以系统性免疫抑制剂或免疫调节剂持续治疗最少 </w:t>
            </w:r>
            <w:r>
              <w:rPr>
                <w:sz w:val="21"/>
              </w:rPr>
              <w:t>90</w:t>
            </w:r>
            <w:r>
              <w:rPr>
                <w:spacing w:val="-8"/>
                <w:sz w:val="21"/>
              </w:rPr>
              <w:t> 天，才符合本保障范围。</w:t>
            </w:r>
          </w:p>
          <w:p>
            <w:pPr>
              <w:pStyle w:val="TableParagraph"/>
              <w:spacing w:before="11"/>
              <w:ind w:left="137"/>
              <w:jc w:val="both"/>
              <w:rPr>
                <w:b/>
                <w:sz w:val="21"/>
              </w:rPr>
            </w:pPr>
            <w:r>
              <w:rPr>
                <w:b/>
                <w:sz w:val="21"/>
              </w:rPr>
              <w:t>其他种类的发炎性结肠炎、只发生在直肠的溃疡性结肠炎均不在保障范围内。</w:t>
            </w:r>
          </w:p>
        </w:tc>
      </w:tr>
      <w:tr>
        <w:trPr>
          <w:trHeight w:val="1280" w:hRule="atLeast"/>
        </w:trPr>
        <w:tc>
          <w:tcPr>
            <w:tcW w:w="1023" w:type="dxa"/>
          </w:tcPr>
          <w:p>
            <w:pPr>
              <w:pStyle w:val="TableParagraph"/>
              <w:spacing w:before="132"/>
              <w:ind w:right="187"/>
              <w:jc w:val="right"/>
              <w:rPr>
                <w:i/>
                <w:sz w:val="22"/>
              </w:rPr>
            </w:pPr>
            <w:r>
              <w:rPr>
                <w:i/>
                <w:w w:val="95"/>
                <w:sz w:val="22"/>
              </w:rPr>
              <w:t>3.3.24</w:t>
            </w:r>
          </w:p>
        </w:tc>
        <w:tc>
          <w:tcPr>
            <w:tcW w:w="1589" w:type="dxa"/>
          </w:tcPr>
          <w:p>
            <w:pPr>
              <w:pStyle w:val="TableParagraph"/>
              <w:spacing w:line="259" w:lineRule="auto" w:before="132"/>
              <w:ind w:left="190" w:right="134"/>
              <w:rPr>
                <w:i/>
                <w:sz w:val="22"/>
              </w:rPr>
            </w:pPr>
            <w:r>
              <w:rPr>
                <w:i/>
                <w:w w:val="95"/>
                <w:sz w:val="22"/>
              </w:rPr>
              <w:t>中度严重克隆</w:t>
            </w:r>
            <w:r>
              <w:rPr>
                <w:i/>
                <w:sz w:val="22"/>
              </w:rPr>
              <w:t>症</w:t>
            </w:r>
          </w:p>
        </w:tc>
        <w:tc>
          <w:tcPr>
            <w:tcW w:w="7756" w:type="dxa"/>
          </w:tcPr>
          <w:p>
            <w:pPr>
              <w:pStyle w:val="TableParagraph"/>
              <w:spacing w:line="280" w:lineRule="auto" w:before="168"/>
              <w:ind w:left="137" w:right="300"/>
              <w:jc w:val="both"/>
              <w:rPr>
                <w:sz w:val="21"/>
              </w:rPr>
            </w:pPr>
            <w:r>
              <w:rPr>
                <w:spacing w:val="-6"/>
                <w:sz w:val="21"/>
              </w:rPr>
              <w:t>克隆病是一种慢性肉芽肿性肠炎，具有特征性的克隆病病理组织学变化。诊断必</w:t>
            </w:r>
            <w:r>
              <w:rPr>
                <w:spacing w:val="-7"/>
                <w:sz w:val="21"/>
              </w:rPr>
              <w:t>须由专科医生经过病理检查结果证实。被保险人所患的克隆症须经肠胃科专科医</w:t>
            </w:r>
            <w:r>
              <w:rPr>
                <w:spacing w:val="-8"/>
                <w:sz w:val="21"/>
              </w:rPr>
              <w:t>生以类固醇或免疫抑制剂连续治疗 </w:t>
            </w:r>
            <w:r>
              <w:rPr>
                <w:sz w:val="21"/>
              </w:rPr>
              <w:t>90</w:t>
            </w:r>
            <w:r>
              <w:rPr>
                <w:spacing w:val="-11"/>
                <w:sz w:val="21"/>
              </w:rPr>
              <w:t> 天以上。</w:t>
            </w:r>
          </w:p>
        </w:tc>
      </w:tr>
      <w:tr>
        <w:trPr>
          <w:trHeight w:val="1280" w:hRule="atLeast"/>
        </w:trPr>
        <w:tc>
          <w:tcPr>
            <w:tcW w:w="1023" w:type="dxa"/>
          </w:tcPr>
          <w:p>
            <w:pPr>
              <w:pStyle w:val="TableParagraph"/>
              <w:spacing w:before="131"/>
              <w:ind w:right="187"/>
              <w:jc w:val="right"/>
              <w:rPr>
                <w:i/>
                <w:sz w:val="22"/>
              </w:rPr>
            </w:pPr>
            <w:r>
              <w:rPr>
                <w:i/>
                <w:w w:val="95"/>
                <w:sz w:val="22"/>
              </w:rPr>
              <w:t>3.3.25</w:t>
            </w:r>
          </w:p>
        </w:tc>
        <w:tc>
          <w:tcPr>
            <w:tcW w:w="1589" w:type="dxa"/>
          </w:tcPr>
          <w:p>
            <w:pPr>
              <w:pStyle w:val="TableParagraph"/>
              <w:spacing w:line="259" w:lineRule="auto" w:before="131"/>
              <w:ind w:left="190" w:right="134"/>
              <w:jc w:val="both"/>
              <w:rPr>
                <w:i/>
                <w:sz w:val="22"/>
              </w:rPr>
            </w:pPr>
            <w:r>
              <w:rPr>
                <w:i/>
                <w:w w:val="95"/>
                <w:sz w:val="22"/>
              </w:rPr>
              <w:t>因肾上腺腺瘤所致的肾上腺切除术</w:t>
            </w:r>
          </w:p>
        </w:tc>
        <w:tc>
          <w:tcPr>
            <w:tcW w:w="7756" w:type="dxa"/>
          </w:tcPr>
          <w:p>
            <w:pPr>
              <w:pStyle w:val="TableParagraph"/>
              <w:spacing w:line="280" w:lineRule="auto" w:before="166"/>
              <w:ind w:left="137" w:right="300"/>
              <w:jc w:val="both"/>
              <w:rPr>
                <w:sz w:val="21"/>
              </w:rPr>
            </w:pPr>
            <w:r>
              <w:rPr>
                <w:sz w:val="21"/>
              </w:rPr>
              <w:t>因肾上腺腺瘤所导致醛固酮分泌过多而产生的续发性的无法由药物控制的恶性</w:t>
            </w:r>
            <w:r>
              <w:rPr>
                <w:spacing w:val="-6"/>
                <w:sz w:val="21"/>
              </w:rPr>
              <w:t>高血压，经专科医生确诊，为处理控制不佳的高血压接受肾上腺腺瘤摘除术，单</w:t>
            </w:r>
            <w:r>
              <w:rPr>
                <w:spacing w:val="-4"/>
                <w:sz w:val="21"/>
              </w:rPr>
              <w:t>侧或双侧肾上腺完全切除或次全切除。</w:t>
            </w:r>
          </w:p>
        </w:tc>
      </w:tr>
      <w:tr>
        <w:trPr>
          <w:trHeight w:val="2880" w:hRule="atLeast"/>
        </w:trPr>
        <w:tc>
          <w:tcPr>
            <w:tcW w:w="1023" w:type="dxa"/>
          </w:tcPr>
          <w:p>
            <w:pPr>
              <w:pStyle w:val="TableParagraph"/>
              <w:spacing w:before="132"/>
              <w:ind w:right="187"/>
              <w:jc w:val="right"/>
              <w:rPr>
                <w:i/>
                <w:sz w:val="22"/>
              </w:rPr>
            </w:pPr>
            <w:r>
              <w:rPr>
                <w:i/>
                <w:w w:val="95"/>
                <w:sz w:val="22"/>
              </w:rPr>
              <w:t>3.3.26</w:t>
            </w:r>
          </w:p>
        </w:tc>
        <w:tc>
          <w:tcPr>
            <w:tcW w:w="1589" w:type="dxa"/>
          </w:tcPr>
          <w:p>
            <w:pPr>
              <w:pStyle w:val="TableParagraph"/>
              <w:spacing w:line="259" w:lineRule="auto" w:before="132"/>
              <w:ind w:left="190" w:right="134"/>
              <w:rPr>
                <w:i/>
                <w:sz w:val="22"/>
              </w:rPr>
            </w:pPr>
            <w:r>
              <w:rPr>
                <w:i/>
                <w:w w:val="95"/>
                <w:sz w:val="22"/>
              </w:rPr>
              <w:t>心脏起搏器或除颤器植入</w:t>
            </w:r>
          </w:p>
        </w:tc>
        <w:tc>
          <w:tcPr>
            <w:tcW w:w="7756" w:type="dxa"/>
          </w:tcPr>
          <w:p>
            <w:pPr>
              <w:pStyle w:val="TableParagraph"/>
              <w:spacing w:line="278" w:lineRule="auto" w:before="168"/>
              <w:ind w:left="137" w:right="300"/>
              <w:jc w:val="both"/>
              <w:rPr>
                <w:sz w:val="21"/>
              </w:rPr>
            </w:pPr>
            <w:r>
              <w:rPr>
                <w:spacing w:val="-5"/>
                <w:sz w:val="21"/>
              </w:rPr>
              <w:t>因严重心律失常而于心腔内进行植入永久性心脏起搏器或除颤器的手术，此严重</w:t>
            </w:r>
            <w:r>
              <w:rPr>
                <w:spacing w:val="-7"/>
                <w:sz w:val="21"/>
              </w:rPr>
              <w:t>心律失常并不能以其他方法治疗。必须由相关专科医生确认植入心脏起搏器或除</w:t>
            </w:r>
            <w:r>
              <w:rPr>
                <w:spacing w:val="-5"/>
                <w:sz w:val="21"/>
              </w:rPr>
              <w:t>颤器为医疗所须。</w:t>
            </w:r>
          </w:p>
          <w:p>
            <w:pPr>
              <w:pStyle w:val="TableParagraph"/>
              <w:spacing w:before="13"/>
              <w:ind w:left="137"/>
              <w:rPr>
                <w:b/>
                <w:sz w:val="21"/>
              </w:rPr>
            </w:pPr>
            <w:r>
              <w:rPr>
                <w:b/>
                <w:sz w:val="21"/>
              </w:rPr>
              <w:t>若被保险人植入心脏起博器或除颤器导致其符合本合同条款重大疾病 1 型糖尿</w:t>
            </w:r>
          </w:p>
          <w:p>
            <w:pPr>
              <w:pStyle w:val="TableParagraph"/>
              <w:spacing w:line="278" w:lineRule="auto" w:before="44"/>
              <w:ind w:left="137" w:right="197"/>
              <w:rPr>
                <w:b/>
                <w:sz w:val="21"/>
              </w:rPr>
            </w:pPr>
            <w:r>
              <w:rPr>
                <w:b/>
                <w:spacing w:val="-13"/>
                <w:sz w:val="21"/>
              </w:rPr>
              <w:t>病定义的，我们仅按重大疾病 </w:t>
            </w:r>
            <w:r>
              <w:rPr>
                <w:b/>
                <w:sz w:val="21"/>
              </w:rPr>
              <w:t>1</w:t>
            </w:r>
            <w:r>
              <w:rPr>
                <w:b/>
                <w:spacing w:val="-12"/>
                <w:sz w:val="21"/>
              </w:rPr>
              <w:t> 型糖尿病一项给付，本项轻症重疾保险责任终止。</w:t>
            </w:r>
            <w:r>
              <w:rPr>
                <w:b/>
                <w:spacing w:val="-9"/>
                <w:sz w:val="21"/>
              </w:rPr>
              <w:t>若被保险人植入心脏起博器或除颤器导致其符合本合同条款重大疾病严重的</w:t>
            </w:r>
            <w:r>
              <w:rPr>
                <w:b/>
                <w:sz w:val="21"/>
              </w:rPr>
              <w:t>III 度房室传导阻滞定义的，我们仅按重大疾病严重的 III 度房室传导阻滞一项给</w:t>
            </w:r>
            <w:r>
              <w:rPr>
                <w:b/>
                <w:spacing w:val="-2"/>
                <w:sz w:val="21"/>
              </w:rPr>
              <w:t>付，本项轻症重疾保险责任终止。</w:t>
            </w:r>
          </w:p>
        </w:tc>
      </w:tr>
      <w:tr>
        <w:trPr>
          <w:trHeight w:val="2682" w:hRule="atLeast"/>
        </w:trPr>
        <w:tc>
          <w:tcPr>
            <w:tcW w:w="1023" w:type="dxa"/>
          </w:tcPr>
          <w:p>
            <w:pPr>
              <w:pStyle w:val="TableParagraph"/>
              <w:spacing w:before="132"/>
              <w:ind w:right="187"/>
              <w:jc w:val="right"/>
              <w:rPr>
                <w:i/>
                <w:sz w:val="22"/>
              </w:rPr>
            </w:pPr>
            <w:r>
              <w:rPr>
                <w:i/>
                <w:w w:val="95"/>
                <w:sz w:val="22"/>
              </w:rPr>
              <w:t>3.3.27</w:t>
            </w:r>
          </w:p>
        </w:tc>
        <w:tc>
          <w:tcPr>
            <w:tcW w:w="1589" w:type="dxa"/>
          </w:tcPr>
          <w:p>
            <w:pPr>
              <w:pStyle w:val="TableParagraph"/>
              <w:spacing w:line="259" w:lineRule="auto" w:before="132"/>
              <w:ind w:left="190" w:right="134"/>
              <w:rPr>
                <w:i/>
                <w:sz w:val="22"/>
              </w:rPr>
            </w:pPr>
            <w:r>
              <w:rPr>
                <w:i/>
                <w:w w:val="95"/>
                <w:sz w:val="22"/>
              </w:rPr>
              <w:t>严重系统性红斑狼疮</w:t>
            </w:r>
          </w:p>
        </w:tc>
        <w:tc>
          <w:tcPr>
            <w:tcW w:w="7756" w:type="dxa"/>
          </w:tcPr>
          <w:p>
            <w:pPr>
              <w:pStyle w:val="TableParagraph"/>
              <w:spacing w:line="278" w:lineRule="auto" w:before="168"/>
              <w:ind w:left="137" w:right="263"/>
              <w:rPr>
                <w:sz w:val="21"/>
              </w:rPr>
            </w:pPr>
            <w:r>
              <w:rPr>
                <w:spacing w:val="-6"/>
                <w:sz w:val="21"/>
              </w:rPr>
              <w:t>系统性红斑狼疮是由多种因素引起，累及多系统的自身免疫性疾病。其特点是生</w:t>
            </w:r>
            <w:r>
              <w:rPr>
                <w:spacing w:val="-4"/>
                <w:sz w:val="21"/>
              </w:rPr>
              <w:t>成自身抗体对抗多种自身抗原。多见于育龄妇女。其诊断须满足下列全部条件：</w:t>
            </w:r>
          </w:p>
          <w:p>
            <w:pPr>
              <w:pStyle w:val="TableParagraph"/>
              <w:spacing w:before="11"/>
              <w:ind w:left="137"/>
              <w:rPr>
                <w:sz w:val="21"/>
              </w:rPr>
            </w:pPr>
            <w:r>
              <w:rPr>
                <w:sz w:val="21"/>
              </w:rPr>
              <w:t>(一) 经临床证实，最少有其中以下 3 项由美国类风湿病理学院建议的情况：</w:t>
            </w:r>
          </w:p>
          <w:p>
            <w:pPr>
              <w:pStyle w:val="TableParagraph"/>
              <w:numPr>
                <w:ilvl w:val="0"/>
                <w:numId w:val="6"/>
              </w:numPr>
              <w:tabs>
                <w:tab w:pos="560" w:val="left" w:leader="none"/>
              </w:tabs>
              <w:spacing w:line="240" w:lineRule="auto" w:before="47" w:after="0"/>
              <w:ind w:left="559" w:right="0" w:hanging="422"/>
              <w:jc w:val="left"/>
              <w:rPr>
                <w:sz w:val="21"/>
              </w:rPr>
            </w:pPr>
            <w:r>
              <w:rPr>
                <w:spacing w:val="-3"/>
                <w:sz w:val="21"/>
              </w:rPr>
              <w:t>颊皮疹；蝶形红斑或盘形红斑；</w:t>
            </w:r>
          </w:p>
          <w:p>
            <w:pPr>
              <w:pStyle w:val="TableParagraph"/>
              <w:numPr>
                <w:ilvl w:val="0"/>
                <w:numId w:val="6"/>
              </w:numPr>
              <w:tabs>
                <w:tab w:pos="560" w:val="left" w:leader="none"/>
              </w:tabs>
              <w:spacing w:line="240" w:lineRule="auto" w:before="44" w:after="0"/>
              <w:ind w:left="559" w:right="0" w:hanging="422"/>
              <w:jc w:val="left"/>
              <w:rPr>
                <w:sz w:val="21"/>
              </w:rPr>
            </w:pPr>
            <w:r>
              <w:rPr>
                <w:spacing w:val="-3"/>
                <w:sz w:val="21"/>
              </w:rPr>
              <w:t>盘状疹；</w:t>
            </w:r>
          </w:p>
          <w:p>
            <w:pPr>
              <w:pStyle w:val="TableParagraph"/>
              <w:numPr>
                <w:ilvl w:val="0"/>
                <w:numId w:val="6"/>
              </w:numPr>
              <w:tabs>
                <w:tab w:pos="560" w:val="left" w:leader="none"/>
              </w:tabs>
              <w:spacing w:line="240" w:lineRule="auto" w:before="44" w:after="0"/>
              <w:ind w:left="559" w:right="0" w:hanging="422"/>
              <w:jc w:val="left"/>
              <w:rPr>
                <w:sz w:val="21"/>
              </w:rPr>
            </w:pPr>
            <w:r>
              <w:rPr>
                <w:spacing w:val="-3"/>
                <w:sz w:val="21"/>
              </w:rPr>
              <w:t>光线敏感；</w:t>
            </w:r>
          </w:p>
          <w:p>
            <w:pPr>
              <w:pStyle w:val="TableParagraph"/>
              <w:numPr>
                <w:ilvl w:val="0"/>
                <w:numId w:val="6"/>
              </w:numPr>
              <w:tabs>
                <w:tab w:pos="560" w:val="left" w:leader="none"/>
              </w:tabs>
              <w:spacing w:line="240" w:lineRule="auto" w:before="47" w:after="0"/>
              <w:ind w:left="559" w:right="0" w:hanging="422"/>
              <w:jc w:val="left"/>
              <w:rPr>
                <w:sz w:val="21"/>
              </w:rPr>
            </w:pPr>
            <w:r>
              <w:rPr>
                <w:spacing w:val="-3"/>
                <w:sz w:val="21"/>
              </w:rPr>
              <w:t>口腔溃疡；</w:t>
            </w:r>
          </w:p>
          <w:p>
            <w:pPr>
              <w:pStyle w:val="TableParagraph"/>
              <w:numPr>
                <w:ilvl w:val="0"/>
                <w:numId w:val="6"/>
              </w:numPr>
              <w:tabs>
                <w:tab w:pos="560" w:val="left" w:leader="none"/>
              </w:tabs>
              <w:spacing w:line="255" w:lineRule="exact" w:before="44" w:after="0"/>
              <w:ind w:left="559" w:right="0" w:hanging="422"/>
              <w:jc w:val="left"/>
              <w:rPr>
                <w:sz w:val="21"/>
              </w:rPr>
            </w:pPr>
            <w:r>
              <w:rPr>
                <w:spacing w:val="-3"/>
                <w:sz w:val="21"/>
              </w:rPr>
              <w:t>关节炎；</w:t>
            </w:r>
          </w:p>
        </w:tc>
      </w:tr>
    </w:tbl>
    <w:p>
      <w:pPr>
        <w:spacing w:after="0" w:line="255" w:lineRule="exact"/>
        <w:jc w:val="left"/>
        <w:rPr>
          <w:sz w:val="21"/>
        </w:rPr>
        <w:sectPr>
          <w:pgSz w:w="11910" w:h="16840"/>
          <w:pgMar w:header="0" w:footer="922" w:top="1580" w:bottom="112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89"/>
        <w:gridCol w:w="7757"/>
      </w:tblGrid>
      <w:tr>
        <w:trPr>
          <w:trHeight w:val="4889" w:hRule="atLeast"/>
        </w:trPr>
        <w:tc>
          <w:tcPr>
            <w:tcW w:w="1023" w:type="dxa"/>
          </w:tcPr>
          <w:p>
            <w:pPr>
              <w:pStyle w:val="TableParagraph"/>
              <w:rPr>
                <w:rFonts w:ascii="Times New Roman"/>
                <w:sz w:val="20"/>
              </w:rPr>
            </w:pPr>
          </w:p>
        </w:tc>
        <w:tc>
          <w:tcPr>
            <w:tcW w:w="1589" w:type="dxa"/>
          </w:tcPr>
          <w:p>
            <w:pPr>
              <w:pStyle w:val="TableParagraph"/>
              <w:rPr>
                <w:rFonts w:ascii="Times New Roman"/>
                <w:sz w:val="20"/>
              </w:rPr>
            </w:pPr>
          </w:p>
        </w:tc>
        <w:tc>
          <w:tcPr>
            <w:tcW w:w="7757" w:type="dxa"/>
          </w:tcPr>
          <w:p>
            <w:pPr>
              <w:pStyle w:val="TableParagraph"/>
              <w:numPr>
                <w:ilvl w:val="0"/>
                <w:numId w:val="7"/>
              </w:numPr>
              <w:tabs>
                <w:tab w:pos="560" w:val="left" w:leader="none"/>
              </w:tabs>
              <w:spacing w:line="208" w:lineRule="exact" w:before="0" w:after="0"/>
              <w:ind w:left="137" w:right="0" w:firstLine="0"/>
              <w:jc w:val="left"/>
              <w:rPr>
                <w:sz w:val="21"/>
              </w:rPr>
            </w:pPr>
            <w:r>
              <w:rPr>
                <w:spacing w:val="-3"/>
                <w:sz w:val="21"/>
              </w:rPr>
              <w:t>浆膜炎；</w:t>
            </w:r>
          </w:p>
          <w:p>
            <w:pPr>
              <w:pStyle w:val="TableParagraph"/>
              <w:numPr>
                <w:ilvl w:val="0"/>
                <w:numId w:val="7"/>
              </w:numPr>
              <w:tabs>
                <w:tab w:pos="560" w:val="left" w:leader="none"/>
              </w:tabs>
              <w:spacing w:line="240" w:lineRule="auto" w:before="44" w:after="0"/>
              <w:ind w:left="137" w:right="0" w:firstLine="0"/>
              <w:jc w:val="left"/>
              <w:rPr>
                <w:sz w:val="21"/>
              </w:rPr>
            </w:pPr>
            <w:r>
              <w:rPr>
                <w:spacing w:val="-2"/>
                <w:sz w:val="21"/>
              </w:rPr>
              <w:t>肾病；</w:t>
            </w:r>
          </w:p>
          <w:p>
            <w:pPr>
              <w:pStyle w:val="TableParagraph"/>
              <w:numPr>
                <w:ilvl w:val="0"/>
                <w:numId w:val="7"/>
              </w:numPr>
              <w:tabs>
                <w:tab w:pos="560" w:val="left" w:leader="none"/>
              </w:tabs>
              <w:spacing w:line="278" w:lineRule="auto" w:before="46" w:after="0"/>
              <w:ind w:left="137" w:right="197" w:firstLine="0"/>
              <w:jc w:val="left"/>
              <w:rPr>
                <w:sz w:val="21"/>
              </w:rPr>
            </w:pPr>
            <w:r>
              <w:rPr>
                <w:spacing w:val="-3"/>
                <w:sz w:val="21"/>
              </w:rPr>
              <w:t>白细胞减少</w:t>
            </w:r>
            <w:r>
              <w:rPr>
                <w:sz w:val="21"/>
              </w:rPr>
              <w:t>（小于 4</w:t>
            </w:r>
            <w:r>
              <w:rPr>
                <w:spacing w:val="-22"/>
                <w:sz w:val="21"/>
              </w:rPr>
              <w:t> </w:t>
            </w:r>
            <w:r>
              <w:rPr>
                <w:sz w:val="21"/>
              </w:rPr>
              <w:t>x</w:t>
            </w:r>
            <w:r>
              <w:rPr>
                <w:spacing w:val="-20"/>
                <w:sz w:val="21"/>
              </w:rPr>
              <w:t> </w:t>
            </w:r>
            <w:r>
              <w:rPr>
                <w:sz w:val="21"/>
              </w:rPr>
              <w:t>10^9／升</w:t>
            </w:r>
            <w:r>
              <w:rPr>
                <w:spacing w:val="-3"/>
                <w:sz w:val="21"/>
              </w:rPr>
              <w:t>）或淋巴细胞减少（</w:t>
            </w:r>
            <w:r>
              <w:rPr>
                <w:spacing w:val="-19"/>
                <w:sz w:val="21"/>
              </w:rPr>
              <w:t>小于 </w:t>
            </w:r>
            <w:r>
              <w:rPr>
                <w:sz w:val="21"/>
              </w:rPr>
              <w:t>1.5</w:t>
            </w:r>
            <w:r>
              <w:rPr>
                <w:spacing w:val="-20"/>
                <w:sz w:val="21"/>
              </w:rPr>
              <w:t> </w:t>
            </w:r>
            <w:r>
              <w:rPr>
                <w:sz w:val="21"/>
              </w:rPr>
              <w:t>x</w:t>
            </w:r>
            <w:r>
              <w:rPr>
                <w:spacing w:val="-20"/>
                <w:sz w:val="21"/>
              </w:rPr>
              <w:t> </w:t>
            </w:r>
            <w:r>
              <w:rPr>
                <w:sz w:val="21"/>
              </w:rPr>
              <w:t>10^9／升） </w:t>
            </w:r>
            <w:r>
              <w:rPr>
                <w:spacing w:val="-2"/>
                <w:sz w:val="21"/>
              </w:rPr>
              <w:t>或血小板减少</w:t>
            </w:r>
            <w:r>
              <w:rPr>
                <w:spacing w:val="-3"/>
                <w:sz w:val="21"/>
              </w:rPr>
              <w:t>（</w:t>
            </w:r>
            <w:r>
              <w:rPr>
                <w:spacing w:val="-17"/>
                <w:sz w:val="21"/>
              </w:rPr>
              <w:t>小于 </w:t>
            </w:r>
            <w:r>
              <w:rPr>
                <w:sz w:val="21"/>
              </w:rPr>
              <w:t>100</w:t>
            </w:r>
            <w:r>
              <w:rPr>
                <w:spacing w:val="3"/>
                <w:sz w:val="21"/>
              </w:rPr>
              <w:t> </w:t>
            </w:r>
            <w:r>
              <w:rPr>
                <w:sz w:val="21"/>
              </w:rPr>
              <w:t>x</w:t>
            </w:r>
            <w:r>
              <w:rPr>
                <w:spacing w:val="10"/>
                <w:sz w:val="21"/>
              </w:rPr>
              <w:t> </w:t>
            </w:r>
            <w:r>
              <w:rPr>
                <w:sz w:val="21"/>
              </w:rPr>
              <w:t>10^9</w:t>
            </w:r>
            <w:r>
              <w:rPr>
                <w:spacing w:val="-2"/>
                <w:sz w:val="21"/>
              </w:rPr>
              <w:t>／升</w:t>
            </w:r>
            <w:r>
              <w:rPr>
                <w:sz w:val="21"/>
              </w:rPr>
              <w:t>）</w:t>
            </w:r>
            <w:r>
              <w:rPr>
                <w:spacing w:val="-3"/>
                <w:sz w:val="21"/>
              </w:rPr>
              <w:t>或溶血性贫血；</w:t>
            </w:r>
          </w:p>
          <w:p>
            <w:pPr>
              <w:pStyle w:val="TableParagraph"/>
              <w:numPr>
                <w:ilvl w:val="0"/>
                <w:numId w:val="7"/>
              </w:numPr>
              <w:tabs>
                <w:tab w:pos="664" w:val="left" w:leader="none"/>
              </w:tabs>
              <w:spacing w:line="240" w:lineRule="auto" w:before="10" w:after="0"/>
              <w:ind w:left="663" w:right="0" w:hanging="526"/>
              <w:jc w:val="both"/>
              <w:rPr>
                <w:sz w:val="21"/>
              </w:rPr>
            </w:pPr>
            <w:r>
              <w:rPr>
                <w:spacing w:val="-3"/>
                <w:sz w:val="21"/>
              </w:rPr>
              <w:t>神经系统疾病。</w:t>
            </w:r>
          </w:p>
          <w:p>
            <w:pPr>
              <w:pStyle w:val="TableParagraph"/>
              <w:spacing w:before="46"/>
              <w:ind w:left="137"/>
              <w:jc w:val="both"/>
              <w:rPr>
                <w:sz w:val="21"/>
              </w:rPr>
            </w:pPr>
            <w:r>
              <w:rPr>
                <w:sz w:val="21"/>
              </w:rPr>
              <w:t>(二) 下列一项或以上的检测呈阳性结果：</w:t>
            </w:r>
          </w:p>
          <w:p>
            <w:pPr>
              <w:pStyle w:val="TableParagraph"/>
              <w:numPr>
                <w:ilvl w:val="0"/>
                <w:numId w:val="8"/>
              </w:numPr>
              <w:tabs>
                <w:tab w:pos="560" w:val="left" w:leader="none"/>
              </w:tabs>
              <w:spacing w:line="240" w:lineRule="auto" w:before="44" w:after="0"/>
              <w:ind w:left="559" w:right="0" w:hanging="422"/>
              <w:jc w:val="both"/>
              <w:rPr>
                <w:sz w:val="21"/>
              </w:rPr>
            </w:pPr>
            <w:r>
              <w:rPr>
                <w:spacing w:val="-3"/>
                <w:sz w:val="21"/>
              </w:rPr>
              <w:t>抗细胞核抗体检测；</w:t>
            </w:r>
          </w:p>
          <w:p>
            <w:pPr>
              <w:pStyle w:val="TableParagraph"/>
              <w:numPr>
                <w:ilvl w:val="0"/>
                <w:numId w:val="8"/>
              </w:numPr>
              <w:tabs>
                <w:tab w:pos="560" w:val="left" w:leader="none"/>
              </w:tabs>
              <w:spacing w:line="240" w:lineRule="auto" w:before="44" w:after="0"/>
              <w:ind w:left="559" w:right="0" w:hanging="422"/>
              <w:jc w:val="both"/>
              <w:rPr>
                <w:sz w:val="21"/>
              </w:rPr>
            </w:pPr>
            <w:r>
              <w:rPr>
                <w:spacing w:val="-3"/>
                <w:sz w:val="21"/>
              </w:rPr>
              <w:t>狼疮细胞检测；</w:t>
            </w:r>
          </w:p>
          <w:p>
            <w:pPr>
              <w:pStyle w:val="TableParagraph"/>
              <w:numPr>
                <w:ilvl w:val="0"/>
                <w:numId w:val="8"/>
              </w:numPr>
              <w:tabs>
                <w:tab w:pos="560" w:val="left" w:leader="none"/>
              </w:tabs>
              <w:spacing w:line="240" w:lineRule="auto" w:before="46" w:after="0"/>
              <w:ind w:left="559" w:right="0" w:hanging="422"/>
              <w:jc w:val="both"/>
              <w:rPr>
                <w:sz w:val="21"/>
              </w:rPr>
            </w:pPr>
            <w:r>
              <w:rPr>
                <w:spacing w:val="-3"/>
                <w:sz w:val="21"/>
              </w:rPr>
              <w:t>抗脱氧核糖核酸检测；</w:t>
            </w:r>
          </w:p>
          <w:p>
            <w:pPr>
              <w:pStyle w:val="TableParagraph"/>
              <w:numPr>
                <w:ilvl w:val="0"/>
                <w:numId w:val="8"/>
              </w:numPr>
              <w:tabs>
                <w:tab w:pos="558" w:val="left" w:leader="none"/>
              </w:tabs>
              <w:spacing w:line="240" w:lineRule="auto" w:before="43" w:after="0"/>
              <w:ind w:left="557" w:right="0" w:hanging="420"/>
              <w:jc w:val="both"/>
              <w:rPr>
                <w:sz w:val="21"/>
              </w:rPr>
            </w:pPr>
            <w:r>
              <w:rPr>
                <w:spacing w:val="-24"/>
                <w:sz w:val="21"/>
              </w:rPr>
              <w:t>抗 </w:t>
            </w:r>
            <w:r>
              <w:rPr>
                <w:sz w:val="21"/>
              </w:rPr>
              <w:t>SM（</w:t>
            </w:r>
            <w:r>
              <w:rPr>
                <w:spacing w:val="-14"/>
                <w:sz w:val="21"/>
              </w:rPr>
              <w:t>史密夫 </w:t>
            </w:r>
            <w:r>
              <w:rPr>
                <w:sz w:val="21"/>
              </w:rPr>
              <w:t>IgG</w:t>
            </w:r>
            <w:r>
              <w:rPr>
                <w:spacing w:val="-12"/>
                <w:sz w:val="21"/>
              </w:rPr>
              <w:t> 自体抗体</w:t>
            </w:r>
            <w:r>
              <w:rPr>
                <w:sz w:val="21"/>
              </w:rPr>
              <w:t>）</w:t>
            </w:r>
            <w:r>
              <w:rPr>
                <w:spacing w:val="-2"/>
                <w:sz w:val="21"/>
              </w:rPr>
              <w:t>检测。</w:t>
            </w:r>
          </w:p>
          <w:p>
            <w:pPr>
              <w:pStyle w:val="TableParagraph"/>
              <w:spacing w:line="280" w:lineRule="auto" w:before="43"/>
              <w:ind w:left="137" w:right="309"/>
              <w:rPr>
                <w:sz w:val="21"/>
              </w:rPr>
            </w:pPr>
            <w:r>
              <w:rPr>
                <w:sz w:val="21"/>
              </w:rPr>
              <w:t>(三) 系统性红斑狼疮的诊断必须由风湿科或免疫系统专科医生确诊并证明持续最少 3 个月。</w:t>
            </w:r>
          </w:p>
          <w:p>
            <w:pPr>
              <w:pStyle w:val="TableParagraph"/>
              <w:spacing w:line="280" w:lineRule="auto" w:before="8"/>
              <w:ind w:left="137" w:right="303"/>
              <w:jc w:val="both"/>
              <w:rPr>
                <w:b/>
                <w:sz w:val="21"/>
              </w:rPr>
            </w:pPr>
            <w:r>
              <w:rPr>
                <w:b/>
                <w:sz w:val="21"/>
              </w:rPr>
              <w:t>若被保险人因同一原因导致其同时满足本合同重大疾病系统性红斑狼疮-III</w:t>
            </w:r>
            <w:r>
              <w:rPr>
                <w:b/>
                <w:spacing w:val="15"/>
                <w:sz w:val="21"/>
              </w:rPr>
              <w:t> 型</w:t>
            </w:r>
            <w:r>
              <w:rPr>
                <w:b/>
                <w:spacing w:val="-3"/>
                <w:sz w:val="21"/>
              </w:rPr>
              <w:t>或以上狼疮性肾炎和严重系统性红斑狼疮的，仅按重大疾病系统性红斑狼疮-</w:t>
            </w:r>
            <w:r>
              <w:rPr>
                <w:b/>
                <w:sz w:val="21"/>
              </w:rPr>
              <w:t>III </w:t>
            </w:r>
            <w:r>
              <w:rPr>
                <w:b/>
                <w:spacing w:val="-2"/>
                <w:sz w:val="21"/>
              </w:rPr>
              <w:t>型或以上狼疮性肾炎一项给付。</w:t>
            </w:r>
          </w:p>
        </w:tc>
      </w:tr>
      <w:tr>
        <w:trPr>
          <w:trHeight w:val="1599" w:hRule="atLeast"/>
        </w:trPr>
        <w:tc>
          <w:tcPr>
            <w:tcW w:w="1023" w:type="dxa"/>
          </w:tcPr>
          <w:p>
            <w:pPr>
              <w:pStyle w:val="TableParagraph"/>
              <w:spacing w:before="128"/>
              <w:ind w:left="200"/>
              <w:rPr>
                <w:i/>
                <w:sz w:val="22"/>
              </w:rPr>
            </w:pPr>
            <w:r>
              <w:rPr>
                <w:i/>
                <w:sz w:val="22"/>
              </w:rPr>
              <w:t>3.3.28</w:t>
            </w:r>
          </w:p>
        </w:tc>
        <w:tc>
          <w:tcPr>
            <w:tcW w:w="1589" w:type="dxa"/>
          </w:tcPr>
          <w:p>
            <w:pPr>
              <w:pStyle w:val="TableParagraph"/>
              <w:spacing w:line="259" w:lineRule="auto" w:before="128"/>
              <w:ind w:left="190" w:right="134"/>
              <w:rPr>
                <w:i/>
                <w:sz w:val="22"/>
              </w:rPr>
            </w:pPr>
            <w:r>
              <w:rPr>
                <w:i/>
                <w:w w:val="95"/>
                <w:sz w:val="22"/>
              </w:rPr>
              <w:t>植入大脑内分流器</w:t>
            </w:r>
          </w:p>
        </w:tc>
        <w:tc>
          <w:tcPr>
            <w:tcW w:w="7757" w:type="dxa"/>
          </w:tcPr>
          <w:p>
            <w:pPr>
              <w:pStyle w:val="TableParagraph"/>
              <w:spacing w:line="280" w:lineRule="auto" w:before="163"/>
              <w:ind w:left="137" w:right="254"/>
              <w:rPr>
                <w:sz w:val="21"/>
              </w:rPr>
            </w:pPr>
            <w:r>
              <w:rPr>
                <w:sz w:val="21"/>
              </w:rPr>
              <w:t>植入大脑内分流器是指确实在脑室进行分流器植入手术，以缓解升高的脑脊液压力。必须由脑神经专科医生证实植入分流器为医疗所需。</w:t>
            </w:r>
          </w:p>
          <w:p>
            <w:pPr>
              <w:pStyle w:val="TableParagraph"/>
              <w:spacing w:line="278" w:lineRule="auto" w:before="8"/>
              <w:ind w:left="137" w:right="306"/>
              <w:rPr>
                <w:b/>
                <w:sz w:val="21"/>
              </w:rPr>
            </w:pPr>
            <w:r>
              <w:rPr>
                <w:b/>
                <w:spacing w:val="-6"/>
                <w:sz w:val="21"/>
              </w:rPr>
              <w:t>若被保险人因同一原因导致其满足植入大脑内分流器和轻度颅脑手术的，仅按其中一项给付。</w:t>
            </w:r>
          </w:p>
        </w:tc>
      </w:tr>
      <w:tr>
        <w:trPr>
          <w:trHeight w:val="960" w:hRule="atLeast"/>
        </w:trPr>
        <w:tc>
          <w:tcPr>
            <w:tcW w:w="1023" w:type="dxa"/>
          </w:tcPr>
          <w:p>
            <w:pPr>
              <w:pStyle w:val="TableParagraph"/>
              <w:spacing w:before="129"/>
              <w:ind w:left="200"/>
              <w:rPr>
                <w:i/>
                <w:sz w:val="22"/>
              </w:rPr>
            </w:pPr>
            <w:r>
              <w:rPr>
                <w:i/>
                <w:sz w:val="22"/>
              </w:rPr>
              <w:t>3.3.29</w:t>
            </w:r>
          </w:p>
        </w:tc>
        <w:tc>
          <w:tcPr>
            <w:tcW w:w="1589" w:type="dxa"/>
          </w:tcPr>
          <w:p>
            <w:pPr>
              <w:pStyle w:val="TableParagraph"/>
              <w:spacing w:before="129"/>
              <w:ind w:left="190"/>
              <w:rPr>
                <w:i/>
                <w:sz w:val="22"/>
              </w:rPr>
            </w:pPr>
            <w:r>
              <w:rPr>
                <w:i/>
                <w:w w:val="95"/>
                <w:sz w:val="22"/>
              </w:rPr>
              <w:t>轻度颅脑手术</w:t>
            </w:r>
          </w:p>
        </w:tc>
        <w:tc>
          <w:tcPr>
            <w:tcW w:w="7757" w:type="dxa"/>
          </w:tcPr>
          <w:p>
            <w:pPr>
              <w:pStyle w:val="TableParagraph"/>
              <w:spacing w:line="278" w:lineRule="auto" w:before="165"/>
              <w:ind w:left="137" w:right="243"/>
              <w:rPr>
                <w:b/>
                <w:sz w:val="21"/>
              </w:rPr>
            </w:pPr>
            <w:r>
              <w:rPr>
                <w:sz w:val="21"/>
              </w:rPr>
              <w:t>被保险人确已实施全麻下的颅骨钻孔手术或经鼻蝶窦入颅手术。</w:t>
            </w:r>
            <w:r>
              <w:rPr>
                <w:b/>
                <w:sz w:val="21"/>
              </w:rPr>
              <w:t>因外伤而实施的脑外科手术不在保障范围内。</w:t>
            </w:r>
          </w:p>
        </w:tc>
      </w:tr>
      <w:tr>
        <w:trPr>
          <w:trHeight w:val="2465" w:hRule="atLeast"/>
        </w:trPr>
        <w:tc>
          <w:tcPr>
            <w:tcW w:w="1023" w:type="dxa"/>
          </w:tcPr>
          <w:p>
            <w:pPr>
              <w:pStyle w:val="TableParagraph"/>
              <w:spacing w:before="129"/>
              <w:ind w:left="200"/>
              <w:rPr>
                <w:i/>
                <w:sz w:val="22"/>
              </w:rPr>
            </w:pPr>
            <w:r>
              <w:rPr>
                <w:i/>
                <w:sz w:val="22"/>
              </w:rPr>
              <w:t>3.3.30</w:t>
            </w:r>
          </w:p>
        </w:tc>
        <w:tc>
          <w:tcPr>
            <w:tcW w:w="1589" w:type="dxa"/>
          </w:tcPr>
          <w:p>
            <w:pPr>
              <w:pStyle w:val="TableParagraph"/>
              <w:spacing w:line="261" w:lineRule="auto" w:before="129"/>
              <w:ind w:left="190" w:right="134"/>
              <w:rPr>
                <w:i/>
                <w:sz w:val="22"/>
              </w:rPr>
            </w:pPr>
            <w:r>
              <w:rPr>
                <w:i/>
                <w:w w:val="95"/>
                <w:sz w:val="22"/>
              </w:rPr>
              <w:t>胆道系统重建手术</w:t>
            </w:r>
          </w:p>
        </w:tc>
        <w:tc>
          <w:tcPr>
            <w:tcW w:w="7757" w:type="dxa"/>
          </w:tcPr>
          <w:p>
            <w:pPr>
              <w:pStyle w:val="TableParagraph"/>
              <w:spacing w:line="278" w:lineRule="auto" w:before="165"/>
              <w:ind w:left="137" w:right="254"/>
              <w:rPr>
                <w:sz w:val="21"/>
              </w:rPr>
            </w:pPr>
            <w:r>
              <w:rPr>
                <w:sz w:val="21"/>
              </w:rPr>
              <w:t>因疾病或胆道创伤导致包含胆道肠道人工造管术的胆道重建手术。手术必须由专科医生确认为医学上所必须的情况下进行。</w:t>
            </w:r>
          </w:p>
          <w:p>
            <w:pPr>
              <w:pStyle w:val="TableParagraph"/>
              <w:spacing w:before="13"/>
              <w:ind w:left="137"/>
              <w:rPr>
                <w:b/>
                <w:sz w:val="21"/>
              </w:rPr>
            </w:pPr>
            <w:r>
              <w:rPr>
                <w:b/>
                <w:sz w:val="21"/>
              </w:rPr>
              <w:t>以下的胆道系统重建手术不在本合同保障范围之列：</w:t>
            </w:r>
          </w:p>
          <w:p>
            <w:pPr>
              <w:pStyle w:val="TableParagraph"/>
              <w:spacing w:line="278" w:lineRule="auto" w:before="44"/>
              <w:ind w:left="137" w:right="308"/>
              <w:rPr>
                <w:b/>
                <w:sz w:val="21"/>
              </w:rPr>
            </w:pPr>
            <w:r>
              <w:rPr>
                <w:b/>
                <w:sz w:val="21"/>
              </w:rPr>
              <w:t>（1）因患有符合本合同条款定义的非危及生命的（极早期的）恶性病变的原因所致的胆道系统重建手术；</w:t>
            </w:r>
          </w:p>
          <w:p>
            <w:pPr>
              <w:pStyle w:val="TableParagraph"/>
              <w:spacing w:before="13"/>
              <w:ind w:left="137"/>
              <w:rPr>
                <w:b/>
                <w:sz w:val="21"/>
              </w:rPr>
            </w:pPr>
            <w:r>
              <w:rPr>
                <w:b/>
                <w:sz w:val="21"/>
              </w:rPr>
              <w:t>（2）因患有符合本合同条款定义的恶性肿瘤的原因所致的胆道系统重建手术；</w:t>
            </w:r>
          </w:p>
          <w:p>
            <w:pPr>
              <w:pStyle w:val="TableParagraph"/>
              <w:spacing w:before="44"/>
              <w:ind w:left="137"/>
              <w:rPr>
                <w:b/>
                <w:sz w:val="21"/>
              </w:rPr>
            </w:pPr>
            <w:r>
              <w:rPr>
                <w:b/>
                <w:sz w:val="21"/>
              </w:rPr>
              <w:t>（3）因胆道闭锁的原因所致的胆道系统重建手术。</w:t>
            </w:r>
          </w:p>
        </w:tc>
      </w:tr>
      <w:tr>
        <w:trPr>
          <w:trHeight w:val="3625" w:hRule="atLeast"/>
        </w:trPr>
        <w:tc>
          <w:tcPr>
            <w:tcW w:w="1023" w:type="dxa"/>
          </w:tcPr>
          <w:p>
            <w:pPr>
              <w:pStyle w:val="TableParagraph"/>
              <w:spacing w:before="13"/>
              <w:ind w:left="200"/>
              <w:rPr>
                <w:b/>
                <w:sz w:val="28"/>
              </w:rPr>
            </w:pPr>
            <w:r>
              <w:rPr>
                <w:b/>
                <w:sz w:val="21"/>
              </w:rPr>
              <w:t>注</w:t>
            </w:r>
            <w:r>
              <w:rPr>
                <w:b/>
                <w:sz w:val="28"/>
              </w:rPr>
              <w:t>：</w:t>
            </w:r>
          </w:p>
        </w:tc>
        <w:tc>
          <w:tcPr>
            <w:tcW w:w="9346" w:type="dxa"/>
            <w:gridSpan w:val="2"/>
          </w:tcPr>
          <w:p>
            <w:pPr>
              <w:pStyle w:val="TableParagraph"/>
              <w:spacing w:before="8"/>
              <w:rPr>
                <w:rFonts w:ascii="Times New Roman"/>
                <w:sz w:val="19"/>
              </w:rPr>
            </w:pPr>
          </w:p>
          <w:p>
            <w:pPr>
              <w:pStyle w:val="TableParagraph"/>
              <w:ind w:left="610"/>
              <w:rPr>
                <w:sz w:val="21"/>
              </w:rPr>
            </w:pPr>
            <w:r>
              <w:rPr>
                <w:sz w:val="21"/>
              </w:rPr>
              <w:t>1、六项基本日常生活活动</w:t>
            </w:r>
          </w:p>
          <w:p>
            <w:pPr>
              <w:pStyle w:val="TableParagraph"/>
              <w:spacing w:line="273" w:lineRule="auto" w:before="36"/>
              <w:ind w:left="190" w:right="197" w:firstLine="420"/>
              <w:rPr>
                <w:sz w:val="21"/>
              </w:rPr>
            </w:pPr>
            <w:r>
              <w:rPr>
                <w:spacing w:val="-10"/>
                <w:w w:val="100"/>
                <w:sz w:val="21"/>
              </w:rPr>
              <w:t>六项基本日常生活活动是指：</w:t>
            </w:r>
            <w:r>
              <w:rPr>
                <w:w w:val="100"/>
                <w:sz w:val="21"/>
              </w:rPr>
              <w:t>（</w:t>
            </w:r>
            <w:r>
              <w:rPr>
                <w:spacing w:val="-3"/>
                <w:w w:val="100"/>
                <w:sz w:val="21"/>
              </w:rPr>
              <w:t>1</w:t>
            </w:r>
            <w:r>
              <w:rPr>
                <w:w w:val="100"/>
                <w:sz w:val="21"/>
              </w:rPr>
              <w:t>）</w:t>
            </w:r>
            <w:r>
              <w:rPr>
                <w:spacing w:val="-11"/>
                <w:w w:val="100"/>
                <w:sz w:val="21"/>
              </w:rPr>
              <w:t>穿衣：自己能够穿衣及脱衣；</w:t>
            </w:r>
            <w:r>
              <w:rPr>
                <w:w w:val="100"/>
                <w:sz w:val="21"/>
              </w:rPr>
              <w:t>（2</w:t>
            </w:r>
            <w:r>
              <w:rPr>
                <w:spacing w:val="-3"/>
                <w:w w:val="100"/>
                <w:sz w:val="21"/>
              </w:rPr>
              <w:t>）</w:t>
            </w:r>
            <w:r>
              <w:rPr>
                <w:spacing w:val="-2"/>
                <w:w w:val="100"/>
                <w:sz w:val="21"/>
              </w:rPr>
              <w:t>移动：自己从一个房间</w:t>
            </w:r>
            <w:r>
              <w:rPr>
                <w:spacing w:val="-20"/>
                <w:w w:val="100"/>
                <w:sz w:val="21"/>
              </w:rPr>
              <w:t>到另一个房间；</w:t>
            </w:r>
            <w:r>
              <w:rPr>
                <w:spacing w:val="-1"/>
                <w:w w:val="100"/>
                <w:sz w:val="21"/>
              </w:rPr>
              <w:t>（</w:t>
            </w:r>
            <w:r>
              <w:rPr>
                <w:spacing w:val="-3"/>
                <w:w w:val="100"/>
                <w:sz w:val="21"/>
              </w:rPr>
              <w:t>3</w:t>
            </w:r>
            <w:r>
              <w:rPr>
                <w:spacing w:val="-10"/>
                <w:w w:val="100"/>
                <w:sz w:val="21"/>
              </w:rPr>
              <w:t>）</w:t>
            </w:r>
            <w:r>
              <w:rPr>
                <w:spacing w:val="-14"/>
                <w:w w:val="100"/>
                <w:sz w:val="21"/>
              </w:rPr>
              <w:t>行动：自己上下床或上下轮椅；</w:t>
            </w:r>
            <w:r>
              <w:rPr>
                <w:w w:val="100"/>
                <w:sz w:val="21"/>
              </w:rPr>
              <w:t>（4</w:t>
            </w:r>
            <w:r>
              <w:rPr>
                <w:spacing w:val="-13"/>
                <w:w w:val="100"/>
                <w:sz w:val="21"/>
              </w:rPr>
              <w:t>）如厕：自己控制进行大小便；</w:t>
            </w:r>
            <w:r>
              <w:rPr>
                <w:spacing w:val="-3"/>
                <w:w w:val="100"/>
                <w:sz w:val="21"/>
              </w:rPr>
              <w:t>（</w:t>
            </w:r>
            <w:r>
              <w:rPr>
                <w:w w:val="100"/>
                <w:sz w:val="21"/>
              </w:rPr>
              <w:t>5</w:t>
            </w:r>
            <w:r>
              <w:rPr>
                <w:spacing w:val="-13"/>
                <w:w w:val="100"/>
                <w:sz w:val="21"/>
              </w:rPr>
              <w:t>）</w:t>
            </w:r>
            <w:r>
              <w:rPr>
                <w:w w:val="100"/>
                <w:sz w:val="21"/>
              </w:rPr>
              <w:t>进食：</w:t>
            </w:r>
            <w:r>
              <w:rPr>
                <w:spacing w:val="-9"/>
                <w:w w:val="100"/>
                <w:sz w:val="21"/>
              </w:rPr>
              <w:t>自己从已准备好的碗或碟中取食物放入口中；</w:t>
            </w:r>
            <w:r>
              <w:rPr>
                <w:spacing w:val="-1"/>
                <w:w w:val="100"/>
                <w:sz w:val="21"/>
              </w:rPr>
              <w:t>（</w:t>
            </w:r>
            <w:r>
              <w:rPr>
                <w:w w:val="100"/>
                <w:sz w:val="21"/>
              </w:rPr>
              <w:t>6</w:t>
            </w:r>
            <w:r>
              <w:rPr>
                <w:spacing w:val="-3"/>
                <w:w w:val="100"/>
                <w:sz w:val="21"/>
              </w:rPr>
              <w:t>）洗澡：自己进行淋浴或盆浴。</w:t>
            </w:r>
          </w:p>
          <w:p>
            <w:pPr>
              <w:pStyle w:val="TableParagraph"/>
              <w:spacing w:before="7"/>
              <w:ind w:left="612"/>
              <w:rPr>
                <w:sz w:val="21"/>
              </w:rPr>
            </w:pPr>
            <w:r>
              <w:rPr>
                <w:sz w:val="21"/>
              </w:rPr>
              <w:t>2、肢体机能完全丧失</w:t>
            </w:r>
          </w:p>
          <w:p>
            <w:pPr>
              <w:pStyle w:val="TableParagraph"/>
              <w:spacing w:line="273" w:lineRule="auto" w:before="37"/>
              <w:ind w:left="190" w:right="302" w:firstLine="420"/>
              <w:rPr>
                <w:sz w:val="21"/>
              </w:rPr>
            </w:pPr>
            <w:r>
              <w:rPr>
                <w:sz w:val="21"/>
              </w:rPr>
              <w:t>指肢体的三大关节中的两大关节僵硬，或不能随意识活动。肢体是指包括肩关节的整个上肢或包括髋关节的整个下肢。</w:t>
            </w:r>
          </w:p>
          <w:p>
            <w:pPr>
              <w:pStyle w:val="TableParagraph"/>
              <w:spacing w:before="7"/>
              <w:ind w:left="610"/>
              <w:rPr>
                <w:sz w:val="21"/>
              </w:rPr>
            </w:pPr>
            <w:r>
              <w:rPr>
                <w:sz w:val="21"/>
              </w:rPr>
              <w:t>3、语言能力或咀嚼吞咽能力完全丧失</w:t>
            </w:r>
          </w:p>
          <w:p>
            <w:pPr>
              <w:pStyle w:val="TableParagraph"/>
              <w:spacing w:line="273" w:lineRule="auto" w:before="37"/>
              <w:ind w:left="190" w:right="302"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58" w:lineRule="exact" w:before="7"/>
              <w:ind w:left="612"/>
              <w:rPr>
                <w:sz w:val="21"/>
              </w:rPr>
            </w:pPr>
            <w:r>
              <w:rPr>
                <w:sz w:val="21"/>
              </w:rPr>
              <w:t>咀嚼吞咽能力完全丧失，指因牙齿以外的原因导致器质障碍或机能障碍，以致不能作咀嚼吞</w:t>
            </w:r>
          </w:p>
        </w:tc>
      </w:tr>
    </w:tbl>
    <w:p>
      <w:pPr>
        <w:spacing w:after="0" w:line="258" w:lineRule="exact"/>
        <w:rPr>
          <w:sz w:val="21"/>
        </w:rPr>
        <w:sectPr>
          <w:pgSz w:w="11910" w:h="16840"/>
          <w:pgMar w:header="0" w:footer="922" w:top="1500" w:bottom="1120" w:left="720" w:right="6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50"/>
        <w:gridCol w:w="7557"/>
      </w:tblGrid>
      <w:tr>
        <w:trPr>
          <w:trHeight w:val="1417" w:hRule="atLeast"/>
        </w:trPr>
        <w:tc>
          <w:tcPr>
            <w:tcW w:w="10080" w:type="dxa"/>
            <w:gridSpan w:val="3"/>
          </w:tcPr>
          <w:p>
            <w:pPr>
              <w:pStyle w:val="TableParagraph"/>
              <w:spacing w:line="204" w:lineRule="exact"/>
              <w:ind w:left="1121"/>
              <w:rPr>
                <w:sz w:val="21"/>
              </w:rPr>
            </w:pPr>
            <w:r>
              <w:rPr>
                <w:sz w:val="21"/>
              </w:rPr>
              <w:t>咽运动，除流质食物外不能摄取或吞咽的状态。</w:t>
            </w:r>
          </w:p>
          <w:p>
            <w:pPr>
              <w:pStyle w:val="TableParagraph"/>
              <w:spacing w:before="37"/>
              <w:ind w:left="1541"/>
              <w:rPr>
                <w:sz w:val="21"/>
              </w:rPr>
            </w:pPr>
            <w:r>
              <w:rPr>
                <w:sz w:val="21"/>
              </w:rPr>
              <w:t>4、永久不可逆</w:t>
            </w:r>
          </w:p>
          <w:p>
            <w:pPr>
              <w:pStyle w:val="TableParagraph"/>
              <w:spacing w:line="273" w:lineRule="auto" w:before="36"/>
              <w:ind w:left="1121" w:right="28" w:firstLine="420"/>
              <w:rPr>
                <w:sz w:val="21"/>
              </w:rPr>
            </w:pPr>
            <w:r>
              <w:rPr>
                <w:sz w:val="21"/>
              </w:rPr>
              <w:t>指自疾病确诊或意外伤害发生之日起，经过积极治疗 180 天后，仍无法通过现有医疗手段恢复。</w:t>
            </w:r>
          </w:p>
        </w:tc>
      </w:tr>
      <w:tr>
        <w:trPr>
          <w:trHeight w:val="722" w:hRule="atLeast"/>
        </w:trPr>
        <w:tc>
          <w:tcPr>
            <w:tcW w:w="773" w:type="dxa"/>
            <w:tcBorders>
              <w:bottom w:val="double" w:sz="1" w:space="0" w:color="000000"/>
            </w:tcBorders>
          </w:tcPr>
          <w:p>
            <w:pPr>
              <w:pStyle w:val="TableParagraph"/>
              <w:spacing w:before="177"/>
              <w:ind w:left="107"/>
              <w:rPr>
                <w:b/>
                <w:sz w:val="28"/>
              </w:rPr>
            </w:pPr>
            <w:r>
              <w:rPr>
                <w:b/>
                <w:w w:val="99"/>
                <w:sz w:val="28"/>
              </w:rPr>
              <w:t>4</w:t>
            </w:r>
          </w:p>
        </w:tc>
        <w:tc>
          <w:tcPr>
            <w:tcW w:w="9307" w:type="dxa"/>
            <w:gridSpan w:val="2"/>
            <w:tcBorders>
              <w:bottom w:val="double" w:sz="1" w:space="0" w:color="000000"/>
            </w:tcBorders>
          </w:tcPr>
          <w:p>
            <w:pPr>
              <w:pStyle w:val="TableParagraph"/>
              <w:spacing w:before="177"/>
              <w:ind w:left="348"/>
              <w:rPr>
                <w:b/>
                <w:sz w:val="28"/>
              </w:rPr>
            </w:pPr>
            <w:r>
              <w:rPr>
                <w:b/>
                <w:w w:val="95"/>
                <w:sz w:val="28"/>
              </w:rPr>
              <w:t>申请与给付保险金</w:t>
            </w:r>
          </w:p>
        </w:tc>
      </w:tr>
      <w:tr>
        <w:trPr>
          <w:trHeight w:val="1083" w:hRule="atLeast"/>
        </w:trPr>
        <w:tc>
          <w:tcPr>
            <w:tcW w:w="773" w:type="dxa"/>
            <w:tcBorders>
              <w:top w:val="double" w:sz="1" w:space="0" w:color="000000"/>
            </w:tcBorders>
          </w:tcPr>
          <w:p>
            <w:pPr>
              <w:pStyle w:val="TableParagraph"/>
              <w:spacing w:before="6"/>
              <w:rPr>
                <w:rFonts w:ascii="Times New Roman"/>
                <w:sz w:val="25"/>
              </w:rPr>
            </w:pPr>
          </w:p>
          <w:p>
            <w:pPr>
              <w:pStyle w:val="TableParagraph"/>
              <w:ind w:left="107"/>
              <w:rPr>
                <w:b/>
                <w:sz w:val="21"/>
              </w:rPr>
            </w:pPr>
            <w:r>
              <w:rPr>
                <w:b/>
                <w:sz w:val="21"/>
              </w:rPr>
              <w:t>4.1</w:t>
            </w:r>
          </w:p>
        </w:tc>
        <w:tc>
          <w:tcPr>
            <w:tcW w:w="1750" w:type="dxa"/>
            <w:tcBorders>
              <w:top w:val="double" w:sz="1" w:space="0" w:color="000000"/>
            </w:tcBorders>
          </w:tcPr>
          <w:p>
            <w:pPr>
              <w:pStyle w:val="TableParagraph"/>
              <w:spacing w:before="6"/>
              <w:rPr>
                <w:rFonts w:ascii="Times New Roman"/>
                <w:sz w:val="25"/>
              </w:rPr>
            </w:pPr>
          </w:p>
          <w:p>
            <w:pPr>
              <w:pStyle w:val="TableParagraph"/>
              <w:spacing w:line="273" w:lineRule="auto"/>
              <w:ind w:left="348" w:right="132"/>
              <w:rPr>
                <w:b/>
                <w:sz w:val="21"/>
              </w:rPr>
            </w:pPr>
            <w:r>
              <w:rPr>
                <w:b/>
                <w:sz w:val="21"/>
              </w:rPr>
              <w:t>受益人的指定与变更</w:t>
            </w:r>
          </w:p>
        </w:tc>
        <w:tc>
          <w:tcPr>
            <w:tcW w:w="7557" w:type="dxa"/>
            <w:tcBorders>
              <w:top w:val="double" w:sz="1" w:space="0" w:color="000000"/>
            </w:tcBorders>
          </w:tcPr>
          <w:p>
            <w:pPr>
              <w:pStyle w:val="TableParagraph"/>
              <w:spacing w:before="10"/>
              <w:rPr>
                <w:rFonts w:ascii="Times New Roman"/>
                <w:sz w:val="23"/>
              </w:rPr>
            </w:pPr>
          </w:p>
          <w:p>
            <w:pPr>
              <w:pStyle w:val="TableParagraph"/>
              <w:spacing w:line="237" w:lineRule="auto" w:before="1"/>
              <w:ind w:left="134" w:right="106"/>
              <w:rPr>
                <w:b/>
                <w:sz w:val="21"/>
              </w:rPr>
            </w:pPr>
            <w:r>
              <w:rPr>
                <w:b/>
                <w:spacing w:val="-6"/>
                <w:sz w:val="21"/>
              </w:rPr>
              <w:t>除另有约定外，本附加合同重大疾病保险金、特定重大疾病额外给付保险金、轻症重疾保险金的受益人为被保险人本人。</w:t>
            </w:r>
          </w:p>
        </w:tc>
      </w:tr>
      <w:tr>
        <w:trPr>
          <w:trHeight w:val="2154" w:hRule="atLeast"/>
        </w:trPr>
        <w:tc>
          <w:tcPr>
            <w:tcW w:w="773" w:type="dxa"/>
          </w:tcPr>
          <w:p>
            <w:pPr>
              <w:pStyle w:val="TableParagraph"/>
              <w:spacing w:before="146"/>
              <w:ind w:left="107"/>
              <w:rPr>
                <w:b/>
                <w:sz w:val="21"/>
              </w:rPr>
            </w:pPr>
            <w:r>
              <w:rPr>
                <w:b/>
                <w:sz w:val="21"/>
              </w:rPr>
              <w:t>4.2</w:t>
            </w:r>
          </w:p>
        </w:tc>
        <w:tc>
          <w:tcPr>
            <w:tcW w:w="1750" w:type="dxa"/>
          </w:tcPr>
          <w:p>
            <w:pPr>
              <w:pStyle w:val="TableParagraph"/>
              <w:spacing w:line="273" w:lineRule="auto" w:before="146"/>
              <w:ind w:left="348" w:right="132"/>
              <w:rPr>
                <w:b/>
                <w:sz w:val="21"/>
              </w:rPr>
            </w:pPr>
            <w:r>
              <w:rPr>
                <w:b/>
                <w:sz w:val="21"/>
              </w:rPr>
              <w:t>保险事故的通知</w:t>
            </w:r>
          </w:p>
        </w:tc>
        <w:tc>
          <w:tcPr>
            <w:tcW w:w="7557" w:type="dxa"/>
          </w:tcPr>
          <w:p>
            <w:pPr>
              <w:pStyle w:val="TableParagraph"/>
              <w:spacing w:line="268" w:lineRule="auto" w:before="124"/>
              <w:ind w:left="134" w:right="104"/>
              <w:rPr>
                <w:sz w:val="21"/>
              </w:rPr>
            </w:pPr>
            <w:r>
              <w:rPr>
                <w:spacing w:val="-3"/>
                <w:sz w:val="21"/>
              </w:rPr>
              <w:t>本合同的投保人，被保险人或受益人知道保险事故后应当在十日内通知我们。 </w:t>
            </w:r>
            <w:r>
              <w:rPr>
                <w:b/>
                <w:spacing w:val="-8"/>
                <w:sz w:val="21"/>
              </w:rPr>
              <w:t>如果投保人，被保险人或受益人故意或者因重大过失未及时通知我们，致使保险</w:t>
            </w:r>
            <w:r>
              <w:rPr>
                <w:b/>
                <w:spacing w:val="-11"/>
                <w:sz w:val="21"/>
              </w:rPr>
              <w:t>事故的性质、原因、损失程度等难以确定的，我们对无法确定的部分，不承担给</w:t>
            </w:r>
            <w:r>
              <w:rPr>
                <w:b/>
                <w:spacing w:val="-16"/>
                <w:sz w:val="21"/>
              </w:rPr>
              <w:t>付保险金的责任，</w:t>
            </w:r>
            <w:r>
              <w:rPr>
                <w:spacing w:val="-3"/>
                <w:sz w:val="21"/>
              </w:rPr>
              <w:t>但我们通过其他途径已经及时知道或者应当及时知道保险事故</w:t>
            </w:r>
            <w:r>
              <w:rPr>
                <w:spacing w:val="-5"/>
                <w:sz w:val="21"/>
              </w:rPr>
              <w:t>发生或者虽未及时通知但不影响我们确定保险事故的性质、原因、损失程度的除外。</w:t>
            </w:r>
          </w:p>
        </w:tc>
      </w:tr>
      <w:tr>
        <w:trPr>
          <w:trHeight w:val="936" w:hRule="atLeast"/>
        </w:trPr>
        <w:tc>
          <w:tcPr>
            <w:tcW w:w="773" w:type="dxa"/>
          </w:tcPr>
          <w:p>
            <w:pPr>
              <w:pStyle w:val="TableParagraph"/>
              <w:spacing w:before="135"/>
              <w:ind w:left="107"/>
              <w:rPr>
                <w:b/>
                <w:sz w:val="21"/>
              </w:rPr>
            </w:pPr>
            <w:r>
              <w:rPr>
                <w:b/>
                <w:sz w:val="21"/>
              </w:rPr>
              <w:t>4.3</w:t>
            </w:r>
          </w:p>
        </w:tc>
        <w:tc>
          <w:tcPr>
            <w:tcW w:w="1750" w:type="dxa"/>
          </w:tcPr>
          <w:p>
            <w:pPr>
              <w:pStyle w:val="TableParagraph"/>
              <w:spacing w:before="135"/>
              <w:ind w:left="348"/>
              <w:rPr>
                <w:b/>
                <w:sz w:val="21"/>
              </w:rPr>
            </w:pPr>
            <w:r>
              <w:rPr>
                <w:b/>
                <w:sz w:val="21"/>
              </w:rPr>
              <w:t>诉讼时效</w:t>
            </w:r>
          </w:p>
        </w:tc>
        <w:tc>
          <w:tcPr>
            <w:tcW w:w="7557" w:type="dxa"/>
          </w:tcPr>
          <w:p>
            <w:pPr>
              <w:pStyle w:val="TableParagraph"/>
              <w:spacing w:line="273" w:lineRule="auto" w:before="135"/>
              <w:ind w:left="134" w:right="57"/>
              <w:rPr>
                <w:sz w:val="21"/>
              </w:rPr>
            </w:pPr>
            <w:r>
              <w:rPr>
                <w:sz w:val="21"/>
              </w:rPr>
              <w:t>受益人对本附加合同请求给付保险金的诉讼时效期间为两年，自其知道或者应当知道保险事故发生之日起计算。</w:t>
            </w:r>
          </w:p>
        </w:tc>
      </w:tr>
      <w:tr>
        <w:trPr>
          <w:trHeight w:val="4069" w:hRule="atLeast"/>
        </w:trPr>
        <w:tc>
          <w:tcPr>
            <w:tcW w:w="773" w:type="dxa"/>
          </w:tcPr>
          <w:p>
            <w:pPr>
              <w:pStyle w:val="TableParagraph"/>
              <w:spacing w:before="135"/>
              <w:ind w:left="107"/>
              <w:rPr>
                <w:b/>
                <w:sz w:val="21"/>
              </w:rPr>
            </w:pPr>
            <w:r>
              <w:rPr>
                <w:b/>
                <w:sz w:val="21"/>
              </w:rPr>
              <w:t>4.4</w:t>
            </w:r>
          </w:p>
        </w:tc>
        <w:tc>
          <w:tcPr>
            <w:tcW w:w="1750" w:type="dxa"/>
          </w:tcPr>
          <w:p>
            <w:pPr>
              <w:pStyle w:val="TableParagraph"/>
              <w:spacing w:line="273" w:lineRule="auto" w:before="135"/>
              <w:ind w:left="348" w:right="132"/>
              <w:rPr>
                <w:b/>
                <w:sz w:val="21"/>
              </w:rPr>
            </w:pPr>
            <w:r>
              <w:rPr>
                <w:b/>
                <w:sz w:val="21"/>
              </w:rPr>
              <w:t>申请保险金应提供的材料</w:t>
            </w:r>
          </w:p>
        </w:tc>
        <w:tc>
          <w:tcPr>
            <w:tcW w:w="7557" w:type="dxa"/>
          </w:tcPr>
          <w:p>
            <w:pPr>
              <w:pStyle w:val="TableParagraph"/>
              <w:spacing w:line="280" w:lineRule="auto" w:before="159"/>
              <w:ind w:left="134" w:right="106"/>
              <w:rPr>
                <w:sz w:val="21"/>
              </w:rPr>
            </w:pPr>
            <w:r>
              <w:rPr>
                <w:spacing w:val="-6"/>
                <w:sz w:val="21"/>
              </w:rPr>
              <w:t>受益人申请各项保险金时，应提供下列证明文件和资料，如果有关证明资料不完</w:t>
            </w:r>
            <w:r>
              <w:rPr>
                <w:spacing w:val="-3"/>
                <w:sz w:val="21"/>
              </w:rPr>
              <w:t>整，我们将及时一次性通知申请人补充提供。</w:t>
            </w:r>
          </w:p>
          <w:p>
            <w:pPr>
              <w:pStyle w:val="TableParagraph"/>
              <w:spacing w:before="8"/>
              <w:ind w:left="134"/>
              <w:rPr>
                <w:sz w:val="21"/>
              </w:rPr>
            </w:pPr>
            <w:r>
              <w:rPr>
                <w:sz w:val="21"/>
              </w:rPr>
              <w:t>1、给付申请书；</w:t>
            </w:r>
          </w:p>
          <w:p>
            <w:pPr>
              <w:pStyle w:val="TableParagraph"/>
              <w:spacing w:before="44"/>
              <w:ind w:left="134"/>
              <w:rPr>
                <w:sz w:val="21"/>
              </w:rPr>
            </w:pPr>
            <w:r>
              <w:rPr>
                <w:sz w:val="21"/>
              </w:rPr>
              <w:t>2、保险合同；</w:t>
            </w:r>
          </w:p>
          <w:p>
            <w:pPr>
              <w:pStyle w:val="TableParagraph"/>
              <w:spacing w:line="274" w:lineRule="exact" w:before="47"/>
              <w:ind w:left="134"/>
              <w:rPr>
                <w:sz w:val="21"/>
              </w:rPr>
            </w:pPr>
            <w:r>
              <w:rPr>
                <w:sz w:val="21"/>
              </w:rPr>
              <w:t>3、受益人的户籍证明及身份证明；</w:t>
            </w:r>
          </w:p>
          <w:p>
            <w:pPr>
              <w:pStyle w:val="TableParagraph"/>
              <w:spacing w:line="230" w:lineRule="auto" w:before="11"/>
              <w:ind w:left="134" w:right="104"/>
              <w:jc w:val="both"/>
              <w:rPr>
                <w:sz w:val="21"/>
              </w:rPr>
            </w:pPr>
            <w:r>
              <w:rPr>
                <w:rFonts w:ascii="Times New Roman" w:eastAsia="Times New Roman"/>
                <w:sz w:val="21"/>
              </w:rPr>
              <w:t>4</w:t>
            </w:r>
            <w:r>
              <w:rPr>
                <w:sz w:val="21"/>
              </w:rPr>
              <w:t>、由我们指定或认可医院的专科医生出具的疾病诊断书及相关所必需的检查结</w:t>
            </w:r>
            <w:r>
              <w:rPr>
                <w:spacing w:val="-5"/>
                <w:sz w:val="21"/>
              </w:rPr>
              <w:t>果证明</w:t>
            </w:r>
            <w:r>
              <w:rPr>
                <w:spacing w:val="-3"/>
                <w:sz w:val="21"/>
              </w:rPr>
              <w:t>（</w:t>
            </w:r>
            <w:r>
              <w:rPr>
                <w:spacing w:val="-6"/>
                <w:sz w:val="21"/>
              </w:rPr>
              <w:t>如病理检查报告、血液检查报告、超声波、影像学及其它医学诊断检查</w:t>
            </w:r>
            <w:r>
              <w:rPr>
                <w:spacing w:val="-5"/>
                <w:w w:val="100"/>
                <w:sz w:val="21"/>
              </w:rPr>
              <w:t>报告等</w:t>
            </w:r>
            <w:r>
              <w:rPr>
                <w:spacing w:val="-106"/>
                <w:w w:val="100"/>
                <w:sz w:val="21"/>
              </w:rPr>
              <w:t>）</w:t>
            </w:r>
            <w:r>
              <w:rPr>
                <w:spacing w:val="-3"/>
                <w:w w:val="100"/>
                <w:sz w:val="21"/>
              </w:rPr>
              <w:t>，若接受外科手术者，还需提供外科手术证明文件；</w:t>
            </w:r>
          </w:p>
          <w:p>
            <w:pPr>
              <w:pStyle w:val="TableParagraph"/>
              <w:ind w:left="134" w:right="112"/>
              <w:rPr>
                <w:sz w:val="21"/>
              </w:rPr>
            </w:pPr>
            <w:r>
              <w:rPr>
                <w:sz w:val="21"/>
              </w:rPr>
              <w:t>5、投保人、被保险人或者受益人所能提供的与确认保险事故的性质、原因、伤害程度等有关的证明文件和资料。</w:t>
            </w:r>
          </w:p>
          <w:p>
            <w:pPr>
              <w:pStyle w:val="TableParagraph"/>
              <w:spacing w:before="3"/>
              <w:rPr>
                <w:rFonts w:ascii="Times New Roman"/>
                <w:sz w:val="21"/>
              </w:rPr>
            </w:pPr>
          </w:p>
          <w:p>
            <w:pPr>
              <w:pStyle w:val="TableParagraph"/>
              <w:spacing w:line="237" w:lineRule="auto"/>
              <w:ind w:left="134" w:right="117"/>
              <w:rPr>
                <w:sz w:val="21"/>
              </w:rPr>
            </w:pPr>
            <w:r>
              <w:rPr>
                <w:sz w:val="21"/>
              </w:rPr>
              <w:t>若受益人委托他人代为申请保险金，被委托人还应提供受益人签字的授权委托书、被委托人的身份证明等相关证明文件。</w:t>
            </w:r>
          </w:p>
        </w:tc>
      </w:tr>
      <w:tr>
        <w:trPr>
          <w:trHeight w:val="3217" w:hRule="atLeast"/>
        </w:trPr>
        <w:tc>
          <w:tcPr>
            <w:tcW w:w="773" w:type="dxa"/>
          </w:tcPr>
          <w:p>
            <w:pPr>
              <w:pStyle w:val="TableParagraph"/>
              <w:spacing w:before="127"/>
              <w:ind w:left="107"/>
              <w:rPr>
                <w:b/>
                <w:sz w:val="21"/>
              </w:rPr>
            </w:pPr>
            <w:r>
              <w:rPr>
                <w:b/>
                <w:sz w:val="21"/>
              </w:rPr>
              <w:t>4.5</w:t>
            </w:r>
          </w:p>
        </w:tc>
        <w:tc>
          <w:tcPr>
            <w:tcW w:w="1750" w:type="dxa"/>
          </w:tcPr>
          <w:p>
            <w:pPr>
              <w:pStyle w:val="TableParagraph"/>
              <w:spacing w:before="127"/>
              <w:ind w:left="348"/>
              <w:rPr>
                <w:b/>
                <w:sz w:val="21"/>
              </w:rPr>
            </w:pPr>
            <w:r>
              <w:rPr>
                <w:b/>
                <w:sz w:val="21"/>
              </w:rPr>
              <w:t>保险金的给付</w:t>
            </w:r>
          </w:p>
        </w:tc>
        <w:tc>
          <w:tcPr>
            <w:tcW w:w="7557" w:type="dxa"/>
          </w:tcPr>
          <w:p>
            <w:pPr>
              <w:pStyle w:val="TableParagraph"/>
              <w:spacing w:line="273" w:lineRule="auto" w:before="127"/>
              <w:ind w:left="134" w:right="104"/>
              <w:jc w:val="both"/>
              <w:rPr>
                <w:sz w:val="21"/>
              </w:rPr>
            </w:pPr>
            <w:r>
              <w:rPr>
                <w:spacing w:val="-5"/>
                <w:sz w:val="21"/>
              </w:rPr>
              <w:t>我们在收到保险金给付申请书及上述有关证明和资料后五日内作出核定，情形复</w:t>
            </w:r>
            <w:r>
              <w:rPr>
                <w:spacing w:val="-7"/>
                <w:sz w:val="21"/>
              </w:rPr>
              <w:t>杂的，在三十日内作出核定。对确定属于保险责任的，在与受益人达成有关给付</w:t>
            </w:r>
            <w:r>
              <w:rPr>
                <w:spacing w:val="-5"/>
                <w:sz w:val="21"/>
              </w:rPr>
              <w:t>保险金数额的协议后十日内，履行给付保险金的责任。</w:t>
            </w:r>
          </w:p>
          <w:p>
            <w:pPr>
              <w:pStyle w:val="TableParagraph"/>
              <w:spacing w:line="273" w:lineRule="auto" w:before="8"/>
              <w:ind w:left="134" w:right="106"/>
              <w:jc w:val="both"/>
              <w:rPr>
                <w:sz w:val="21"/>
              </w:rPr>
            </w:pPr>
            <w:r>
              <w:rPr>
                <w:spacing w:val="-6"/>
                <w:sz w:val="21"/>
              </w:rPr>
              <w:t>本公司未及时履行前款规定义务的，除支付保险金外，应当赔偿受益人因此受到</w:t>
            </w:r>
            <w:r>
              <w:rPr>
                <w:spacing w:val="-4"/>
                <w:sz w:val="21"/>
              </w:rPr>
              <w:t>的损失。</w:t>
            </w:r>
          </w:p>
          <w:p>
            <w:pPr>
              <w:pStyle w:val="TableParagraph"/>
              <w:spacing w:line="273" w:lineRule="auto" w:before="7"/>
              <w:ind w:left="134" w:right="106"/>
              <w:jc w:val="both"/>
              <w:rPr>
                <w:sz w:val="21"/>
              </w:rPr>
            </w:pPr>
            <w:r>
              <w:rPr>
                <w:spacing w:val="-6"/>
                <w:sz w:val="21"/>
              </w:rPr>
              <w:t>对不属于保险责任的，我们将在作出核定后三日内，向申请人发出拒绝给付保险</w:t>
            </w:r>
            <w:r>
              <w:rPr>
                <w:spacing w:val="-4"/>
                <w:sz w:val="21"/>
              </w:rPr>
              <w:t>金通知书，并说明理由。</w:t>
            </w:r>
          </w:p>
          <w:p>
            <w:pPr>
              <w:pStyle w:val="TableParagraph"/>
              <w:spacing w:line="312" w:lineRule="exact" w:before="3"/>
              <w:ind w:left="146" w:right="104"/>
              <w:jc w:val="both"/>
              <w:rPr>
                <w:sz w:val="21"/>
              </w:rPr>
            </w:pPr>
            <w:r>
              <w:rPr>
                <w:spacing w:val="-5"/>
                <w:sz w:val="21"/>
              </w:rPr>
              <w:t>我们在收到保险金给付申请书及上述有关证明和资料之日起六十日内，对属于保</w:t>
            </w:r>
            <w:r>
              <w:rPr>
                <w:spacing w:val="-7"/>
                <w:sz w:val="21"/>
              </w:rPr>
              <w:t>险责任而给付保险金的数额不能确定的，根据已有证明和资料，按可以确定的数</w:t>
            </w:r>
            <w:r>
              <w:rPr>
                <w:spacing w:val="-5"/>
                <w:sz w:val="21"/>
              </w:rPr>
              <w:t>额先予以支付；我们最终确定给付保险金的数额后，给付相应的差额。</w:t>
            </w:r>
          </w:p>
        </w:tc>
      </w:tr>
    </w:tbl>
    <w:p>
      <w:pPr>
        <w:spacing w:after="0" w:line="312" w:lineRule="exact"/>
        <w:jc w:val="both"/>
        <w:rPr>
          <w:sz w:val="21"/>
        </w:rPr>
        <w:sectPr>
          <w:pgSz w:w="11910" w:h="16840"/>
          <w:pgMar w:header="0" w:footer="922" w:top="1480" w:bottom="1120" w:left="800" w:right="800"/>
        </w:sectPr>
      </w:pPr>
    </w:p>
    <w:p>
      <w:pPr>
        <w:pStyle w:val="BodyText"/>
        <w:spacing w:before="9" w:after="1"/>
        <w:rPr>
          <w:rFonts w:ascii="Times New Roman"/>
          <w:sz w:val="1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50"/>
        <w:gridCol w:w="7557"/>
      </w:tblGrid>
      <w:tr>
        <w:trPr>
          <w:trHeight w:val="1417" w:hRule="atLeast"/>
        </w:trPr>
        <w:tc>
          <w:tcPr>
            <w:tcW w:w="773" w:type="dxa"/>
          </w:tcPr>
          <w:p>
            <w:pPr>
              <w:pStyle w:val="TableParagraph"/>
              <w:spacing w:line="211" w:lineRule="exact"/>
              <w:ind w:left="107"/>
              <w:rPr>
                <w:b/>
                <w:sz w:val="21"/>
              </w:rPr>
            </w:pPr>
            <w:r>
              <w:rPr>
                <w:b/>
                <w:sz w:val="21"/>
              </w:rPr>
              <w:t>4.6</w:t>
            </w:r>
          </w:p>
        </w:tc>
        <w:tc>
          <w:tcPr>
            <w:tcW w:w="1750" w:type="dxa"/>
          </w:tcPr>
          <w:p>
            <w:pPr>
              <w:pStyle w:val="TableParagraph"/>
              <w:spacing w:line="211" w:lineRule="exact"/>
              <w:ind w:left="348"/>
              <w:rPr>
                <w:b/>
                <w:sz w:val="21"/>
              </w:rPr>
            </w:pPr>
            <w:r>
              <w:rPr>
                <w:b/>
                <w:sz w:val="21"/>
              </w:rPr>
              <w:t>身体检查</w:t>
            </w:r>
          </w:p>
        </w:tc>
        <w:tc>
          <w:tcPr>
            <w:tcW w:w="7557" w:type="dxa"/>
          </w:tcPr>
          <w:p>
            <w:pPr>
              <w:pStyle w:val="TableParagraph"/>
              <w:spacing w:line="211" w:lineRule="exact"/>
              <w:ind w:left="134"/>
              <w:rPr>
                <w:sz w:val="21"/>
              </w:rPr>
            </w:pPr>
            <w:r>
              <w:rPr>
                <w:sz w:val="21"/>
              </w:rPr>
              <w:t>申请本附加合同保险金时，我们有权根据实际情况要求被保险人到我们指定的医</w:t>
            </w:r>
          </w:p>
          <w:p>
            <w:pPr>
              <w:pStyle w:val="TableParagraph"/>
              <w:spacing w:line="273" w:lineRule="auto" w:before="37"/>
              <w:ind w:left="134" w:right="109"/>
              <w:jc w:val="both"/>
              <w:rPr>
                <w:b/>
                <w:sz w:val="21"/>
              </w:rPr>
            </w:pPr>
            <w:r>
              <w:rPr>
                <w:spacing w:val="-4"/>
                <w:sz w:val="21"/>
              </w:rPr>
              <w:t>院进行身体检查或其他必要的检验以确认保险事故的发生，费用由我们承担</w:t>
            </w:r>
            <w:r>
              <w:rPr>
                <w:b/>
                <w:spacing w:val="-22"/>
                <w:sz w:val="21"/>
              </w:rPr>
              <w:t>。如</w:t>
            </w:r>
            <w:r>
              <w:rPr>
                <w:b/>
                <w:spacing w:val="-7"/>
                <w:sz w:val="21"/>
              </w:rPr>
              <w:t>果被保险人拒绝检查、检验或检查、检验结果不符合本附加合同关于保险事故的约定，我们有权不给付保险金。</w:t>
            </w:r>
          </w:p>
        </w:tc>
      </w:tr>
      <w:tr>
        <w:trPr>
          <w:trHeight w:val="722" w:hRule="atLeast"/>
        </w:trPr>
        <w:tc>
          <w:tcPr>
            <w:tcW w:w="773" w:type="dxa"/>
            <w:tcBorders>
              <w:bottom w:val="double" w:sz="1" w:space="0" w:color="000000"/>
            </w:tcBorders>
          </w:tcPr>
          <w:p>
            <w:pPr>
              <w:pStyle w:val="TableParagraph"/>
              <w:spacing w:before="184"/>
              <w:ind w:left="107"/>
              <w:rPr>
                <w:b/>
                <w:sz w:val="28"/>
              </w:rPr>
            </w:pPr>
            <w:r>
              <w:rPr>
                <w:b/>
                <w:w w:val="99"/>
                <w:sz w:val="28"/>
              </w:rPr>
              <w:t>5</w:t>
            </w:r>
          </w:p>
        </w:tc>
        <w:tc>
          <w:tcPr>
            <w:tcW w:w="1750" w:type="dxa"/>
            <w:tcBorders>
              <w:bottom w:val="double" w:sz="1" w:space="0" w:color="000000"/>
            </w:tcBorders>
          </w:tcPr>
          <w:p>
            <w:pPr>
              <w:pStyle w:val="TableParagraph"/>
              <w:spacing w:before="184"/>
              <w:ind w:left="348"/>
              <w:rPr>
                <w:b/>
                <w:sz w:val="28"/>
              </w:rPr>
            </w:pPr>
            <w:r>
              <w:rPr>
                <w:b/>
                <w:w w:val="95"/>
                <w:sz w:val="28"/>
              </w:rPr>
              <w:t>保险费</w:t>
            </w:r>
          </w:p>
        </w:tc>
        <w:tc>
          <w:tcPr>
            <w:tcW w:w="7557" w:type="dxa"/>
            <w:tcBorders>
              <w:bottom w:val="double" w:sz="1" w:space="0" w:color="000000"/>
            </w:tcBorders>
          </w:tcPr>
          <w:p>
            <w:pPr>
              <w:pStyle w:val="TableParagraph"/>
              <w:rPr>
                <w:rFonts w:ascii="Times New Roman"/>
                <w:sz w:val="20"/>
              </w:rPr>
            </w:pPr>
          </w:p>
        </w:tc>
      </w:tr>
      <w:tr>
        <w:trPr>
          <w:trHeight w:val="1154" w:hRule="atLeast"/>
        </w:trPr>
        <w:tc>
          <w:tcPr>
            <w:tcW w:w="773"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5.1</w:t>
            </w:r>
          </w:p>
        </w:tc>
        <w:tc>
          <w:tcPr>
            <w:tcW w:w="1750" w:type="dxa"/>
            <w:tcBorders>
              <w:top w:val="double" w:sz="1" w:space="0" w:color="000000"/>
            </w:tcBorders>
          </w:tcPr>
          <w:p>
            <w:pPr>
              <w:pStyle w:val="TableParagraph"/>
              <w:spacing w:before="2"/>
              <w:rPr>
                <w:rFonts w:ascii="Times New Roman"/>
                <w:sz w:val="26"/>
              </w:rPr>
            </w:pPr>
          </w:p>
          <w:p>
            <w:pPr>
              <w:pStyle w:val="TableParagraph"/>
              <w:spacing w:line="273" w:lineRule="auto"/>
              <w:ind w:left="348" w:right="343"/>
              <w:rPr>
                <w:b/>
                <w:sz w:val="21"/>
              </w:rPr>
            </w:pPr>
            <w:r>
              <w:rPr>
                <w:b/>
                <w:sz w:val="21"/>
              </w:rPr>
              <w:t>保险费的缴付、宽限期</w:t>
            </w:r>
          </w:p>
        </w:tc>
        <w:tc>
          <w:tcPr>
            <w:tcW w:w="7557" w:type="dxa"/>
            <w:tcBorders>
              <w:top w:val="double" w:sz="1" w:space="0" w:color="000000"/>
            </w:tcBorders>
          </w:tcPr>
          <w:p>
            <w:pPr>
              <w:pStyle w:val="TableParagraph"/>
              <w:spacing w:before="3"/>
              <w:rPr>
                <w:rFonts w:ascii="Times New Roman"/>
                <w:sz w:val="24"/>
              </w:rPr>
            </w:pPr>
          </w:p>
          <w:p>
            <w:pPr>
              <w:pStyle w:val="TableParagraph"/>
              <w:spacing w:line="273" w:lineRule="exact"/>
              <w:ind w:left="134"/>
              <w:rPr>
                <w:sz w:val="21"/>
              </w:rPr>
            </w:pPr>
            <w:r>
              <w:rPr>
                <w:sz w:val="21"/>
              </w:rPr>
              <w:t>投保人应向我们缴付保险费。</w:t>
            </w:r>
          </w:p>
          <w:p>
            <w:pPr>
              <w:pStyle w:val="TableParagraph"/>
              <w:spacing w:line="273" w:lineRule="exact"/>
              <w:ind w:left="134"/>
              <w:rPr>
                <w:sz w:val="21"/>
              </w:rPr>
            </w:pPr>
            <w:r>
              <w:rPr>
                <w:sz w:val="21"/>
              </w:rPr>
              <w:t>本附加合同首期后的分期保险费，其缴付方式、宽限期的规定与主合同相同。</w:t>
            </w:r>
          </w:p>
        </w:tc>
      </w:tr>
      <w:tr>
        <w:trPr>
          <w:trHeight w:val="719" w:hRule="atLeast"/>
        </w:trPr>
        <w:tc>
          <w:tcPr>
            <w:tcW w:w="773" w:type="dxa"/>
            <w:tcBorders>
              <w:bottom w:val="double" w:sz="1" w:space="0" w:color="000000"/>
            </w:tcBorders>
          </w:tcPr>
          <w:p>
            <w:pPr>
              <w:pStyle w:val="TableParagraph"/>
              <w:spacing w:before="180"/>
              <w:ind w:left="107"/>
              <w:rPr>
                <w:b/>
                <w:sz w:val="28"/>
              </w:rPr>
            </w:pPr>
            <w:r>
              <w:rPr>
                <w:b/>
                <w:w w:val="99"/>
                <w:sz w:val="28"/>
              </w:rPr>
              <w:t>6</w:t>
            </w:r>
          </w:p>
        </w:tc>
        <w:tc>
          <w:tcPr>
            <w:tcW w:w="9307" w:type="dxa"/>
            <w:gridSpan w:val="2"/>
            <w:tcBorders>
              <w:bottom w:val="double" w:sz="1" w:space="0" w:color="000000"/>
            </w:tcBorders>
          </w:tcPr>
          <w:p>
            <w:pPr>
              <w:pStyle w:val="TableParagraph"/>
              <w:spacing w:before="180"/>
              <w:ind w:left="348"/>
              <w:rPr>
                <w:b/>
                <w:sz w:val="28"/>
              </w:rPr>
            </w:pPr>
            <w:r>
              <w:rPr>
                <w:b/>
                <w:sz w:val="28"/>
              </w:rPr>
              <w:t>投保人的特别权利及相应义务</w:t>
            </w:r>
          </w:p>
        </w:tc>
      </w:tr>
      <w:tr>
        <w:trPr>
          <w:trHeight w:val="1092" w:hRule="atLeast"/>
        </w:trPr>
        <w:tc>
          <w:tcPr>
            <w:tcW w:w="773"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6.1</w:t>
            </w:r>
          </w:p>
        </w:tc>
        <w:tc>
          <w:tcPr>
            <w:tcW w:w="1750" w:type="dxa"/>
            <w:tcBorders>
              <w:top w:val="double" w:sz="1" w:space="0" w:color="000000"/>
            </w:tcBorders>
          </w:tcPr>
          <w:p>
            <w:pPr>
              <w:pStyle w:val="TableParagraph"/>
              <w:spacing w:before="11"/>
              <w:rPr>
                <w:rFonts w:ascii="Times New Roman"/>
                <w:sz w:val="25"/>
              </w:rPr>
            </w:pPr>
          </w:p>
          <w:p>
            <w:pPr>
              <w:pStyle w:val="TableParagraph"/>
              <w:spacing w:line="273" w:lineRule="auto"/>
              <w:ind w:left="348" w:right="132"/>
              <w:rPr>
                <w:b/>
                <w:sz w:val="21"/>
              </w:rPr>
            </w:pPr>
            <w:r>
              <w:rPr>
                <w:b/>
                <w:sz w:val="21"/>
              </w:rPr>
              <w:t>变更基本保险金额</w:t>
            </w:r>
          </w:p>
        </w:tc>
        <w:tc>
          <w:tcPr>
            <w:tcW w:w="7557" w:type="dxa"/>
            <w:tcBorders>
              <w:top w:val="double" w:sz="1" w:space="0" w:color="000000"/>
            </w:tcBorders>
          </w:tcPr>
          <w:p>
            <w:pPr>
              <w:pStyle w:val="TableParagraph"/>
              <w:spacing w:before="1"/>
              <w:rPr>
                <w:rFonts w:ascii="Times New Roman"/>
                <w:sz w:val="24"/>
              </w:rPr>
            </w:pPr>
          </w:p>
          <w:p>
            <w:pPr>
              <w:pStyle w:val="TableParagraph"/>
              <w:ind w:left="134" w:right="57"/>
              <w:rPr>
                <w:sz w:val="21"/>
              </w:rPr>
            </w:pPr>
            <w:r>
              <w:rPr>
                <w:sz w:val="21"/>
              </w:rPr>
              <w:t>在本附加合同有效期内主合同基本保险金额变更，本附加保险合同基本保险金额随之变更，但本附加合同的基本保险金额不得单独变更。</w:t>
            </w:r>
          </w:p>
        </w:tc>
      </w:tr>
      <w:tr>
        <w:trPr>
          <w:trHeight w:val="1546" w:hRule="atLeast"/>
        </w:trPr>
        <w:tc>
          <w:tcPr>
            <w:tcW w:w="773" w:type="dxa"/>
          </w:tcPr>
          <w:p>
            <w:pPr>
              <w:pStyle w:val="TableParagraph"/>
              <w:spacing w:before="142"/>
              <w:ind w:left="107"/>
              <w:rPr>
                <w:b/>
                <w:sz w:val="21"/>
              </w:rPr>
            </w:pPr>
            <w:r>
              <w:rPr>
                <w:b/>
                <w:sz w:val="21"/>
              </w:rPr>
              <w:t>6.2</w:t>
            </w:r>
          </w:p>
        </w:tc>
        <w:tc>
          <w:tcPr>
            <w:tcW w:w="1750" w:type="dxa"/>
          </w:tcPr>
          <w:p>
            <w:pPr>
              <w:pStyle w:val="TableParagraph"/>
              <w:spacing w:before="142"/>
              <w:ind w:left="348"/>
              <w:rPr>
                <w:b/>
                <w:sz w:val="21"/>
              </w:rPr>
            </w:pPr>
            <w:r>
              <w:rPr>
                <w:b/>
                <w:sz w:val="21"/>
              </w:rPr>
              <w:t>保单借款</w:t>
            </w:r>
          </w:p>
        </w:tc>
        <w:tc>
          <w:tcPr>
            <w:tcW w:w="7557" w:type="dxa"/>
          </w:tcPr>
          <w:p>
            <w:pPr>
              <w:pStyle w:val="TableParagraph"/>
              <w:spacing w:line="280" w:lineRule="auto" w:before="166"/>
              <w:ind w:left="134" w:right="104"/>
              <w:jc w:val="both"/>
              <w:rPr>
                <w:sz w:val="21"/>
              </w:rPr>
            </w:pPr>
            <w:r>
              <w:rPr>
                <w:spacing w:val="-5"/>
                <w:sz w:val="21"/>
              </w:rPr>
              <w:t>在本附加合同有效且累积有现金价值的情况下，投保人可以合并主合同向我们申</w:t>
            </w:r>
            <w:r>
              <w:rPr>
                <w:spacing w:val="-10"/>
                <w:sz w:val="21"/>
              </w:rPr>
              <w:t>请借款。借款比例、借款最低限额、借款期间、借款利息、偿还借款和借款利息</w:t>
            </w:r>
            <w:r>
              <w:rPr>
                <w:spacing w:val="-5"/>
                <w:sz w:val="21"/>
              </w:rPr>
              <w:t>等规定均与主合同相同。但本附加合同不得单独申请借款。</w:t>
            </w:r>
          </w:p>
          <w:p>
            <w:pPr>
              <w:pStyle w:val="TableParagraph"/>
              <w:spacing w:line="238" w:lineRule="exact"/>
              <w:ind w:left="134"/>
              <w:jc w:val="both"/>
              <w:rPr>
                <w:sz w:val="21"/>
              </w:rPr>
            </w:pPr>
            <w:r>
              <w:rPr>
                <w:sz w:val="21"/>
              </w:rPr>
              <w:t>本附加合同变更为减额付清保险后，我们不接受借款申请。</w:t>
            </w:r>
          </w:p>
        </w:tc>
      </w:tr>
      <w:tr>
        <w:trPr>
          <w:trHeight w:val="2569" w:hRule="atLeast"/>
        </w:trPr>
        <w:tc>
          <w:tcPr>
            <w:tcW w:w="773" w:type="dxa"/>
          </w:tcPr>
          <w:p>
            <w:pPr>
              <w:pStyle w:val="TableParagraph"/>
              <w:spacing w:before="148"/>
              <w:ind w:left="107"/>
              <w:rPr>
                <w:b/>
                <w:sz w:val="21"/>
              </w:rPr>
            </w:pPr>
            <w:r>
              <w:rPr>
                <w:b/>
                <w:sz w:val="21"/>
              </w:rPr>
              <w:t>6.3</w:t>
            </w:r>
          </w:p>
        </w:tc>
        <w:tc>
          <w:tcPr>
            <w:tcW w:w="1750" w:type="dxa"/>
          </w:tcPr>
          <w:p>
            <w:pPr>
              <w:pStyle w:val="TableParagraph"/>
              <w:spacing w:line="273" w:lineRule="auto" w:before="148"/>
              <w:ind w:left="348" w:right="132"/>
              <w:rPr>
                <w:b/>
                <w:sz w:val="21"/>
              </w:rPr>
            </w:pPr>
            <w:r>
              <w:rPr>
                <w:b/>
                <w:sz w:val="21"/>
              </w:rPr>
              <w:t>解除合同（退保）</w:t>
            </w:r>
          </w:p>
        </w:tc>
        <w:tc>
          <w:tcPr>
            <w:tcW w:w="7557" w:type="dxa"/>
          </w:tcPr>
          <w:p>
            <w:pPr>
              <w:pStyle w:val="TableParagraph"/>
              <w:spacing w:before="127"/>
              <w:ind w:left="134" w:right="104"/>
              <w:rPr>
                <w:sz w:val="21"/>
              </w:rPr>
            </w:pPr>
            <w:r>
              <w:rPr>
                <w:spacing w:val="-7"/>
                <w:sz w:val="21"/>
              </w:rPr>
              <w:t>在本附加合同有效期内，投保人可以合并主合同书面通知我们要求解除本附加合</w:t>
            </w:r>
            <w:r>
              <w:rPr>
                <w:spacing w:val="-5"/>
                <w:sz w:val="21"/>
              </w:rPr>
              <w:t>同。申请退保时，投保人应提供下列证明文件和资料：</w:t>
            </w:r>
          </w:p>
          <w:p>
            <w:pPr>
              <w:pStyle w:val="TableParagraph"/>
              <w:spacing w:line="271" w:lineRule="exact"/>
              <w:ind w:left="134"/>
              <w:rPr>
                <w:sz w:val="21"/>
              </w:rPr>
            </w:pPr>
            <w:r>
              <w:rPr>
                <w:sz w:val="21"/>
              </w:rPr>
              <w:t>1、解除合同申请书；</w:t>
            </w:r>
          </w:p>
          <w:p>
            <w:pPr>
              <w:pStyle w:val="TableParagraph"/>
              <w:spacing w:line="273" w:lineRule="exact"/>
              <w:ind w:left="134"/>
              <w:rPr>
                <w:sz w:val="21"/>
              </w:rPr>
            </w:pPr>
            <w:r>
              <w:rPr>
                <w:sz w:val="21"/>
              </w:rPr>
              <w:t>2、保险合同；</w:t>
            </w:r>
          </w:p>
          <w:p>
            <w:pPr>
              <w:pStyle w:val="TableParagraph"/>
              <w:spacing w:line="272" w:lineRule="exact"/>
              <w:ind w:left="134"/>
              <w:rPr>
                <w:sz w:val="21"/>
              </w:rPr>
            </w:pPr>
            <w:r>
              <w:rPr>
                <w:sz w:val="21"/>
              </w:rPr>
              <w:t>3、投保人户籍证明或身份证明。</w:t>
            </w:r>
          </w:p>
          <w:p>
            <w:pPr>
              <w:pStyle w:val="TableParagraph"/>
              <w:spacing w:line="237" w:lineRule="auto" w:before="2"/>
              <w:ind w:left="134" w:right="103"/>
              <w:jc w:val="both"/>
              <w:rPr>
                <w:sz w:val="21"/>
              </w:rPr>
            </w:pPr>
            <w:r>
              <w:rPr>
                <w:spacing w:val="-3"/>
                <w:sz w:val="21"/>
              </w:rPr>
              <w:t>自我们收到退保申请</w:t>
            </w:r>
            <w:r>
              <w:rPr>
                <w:sz w:val="21"/>
              </w:rPr>
              <w:t>（</w:t>
            </w:r>
            <w:r>
              <w:rPr>
                <w:spacing w:val="-3"/>
                <w:sz w:val="21"/>
              </w:rPr>
              <w:t>若为邮寄，则以寄出邮戳为准</w:t>
            </w:r>
            <w:r>
              <w:rPr>
                <w:sz w:val="21"/>
              </w:rPr>
              <w:t>）</w:t>
            </w:r>
            <w:r>
              <w:rPr>
                <w:spacing w:val="-3"/>
                <w:sz w:val="21"/>
              </w:rPr>
              <w:t>的当日 </w:t>
            </w:r>
            <w:r>
              <w:rPr>
                <w:sz w:val="21"/>
              </w:rPr>
              <w:t>24</w:t>
            </w:r>
            <w:r>
              <w:rPr>
                <w:spacing w:val="-3"/>
                <w:sz w:val="21"/>
              </w:rPr>
              <w:t> 时起，本附加</w:t>
            </w:r>
            <w:r>
              <w:rPr>
                <w:spacing w:val="-8"/>
                <w:sz w:val="21"/>
              </w:rPr>
              <w:t>合同的效力终止。我们将于收到上述证明文件和资料后三十日内退还本附加合同</w:t>
            </w:r>
            <w:r>
              <w:rPr>
                <w:spacing w:val="-5"/>
                <w:sz w:val="21"/>
              </w:rPr>
              <w:t>效力终止日的现金价值。</w:t>
            </w:r>
          </w:p>
        </w:tc>
      </w:tr>
      <w:tr>
        <w:trPr>
          <w:trHeight w:val="713" w:hRule="atLeast"/>
        </w:trPr>
        <w:tc>
          <w:tcPr>
            <w:tcW w:w="773" w:type="dxa"/>
            <w:tcBorders>
              <w:bottom w:val="double" w:sz="1" w:space="0" w:color="000000"/>
            </w:tcBorders>
          </w:tcPr>
          <w:p>
            <w:pPr>
              <w:pStyle w:val="TableParagraph"/>
              <w:spacing w:before="176"/>
              <w:ind w:left="107"/>
              <w:rPr>
                <w:b/>
                <w:sz w:val="28"/>
              </w:rPr>
            </w:pPr>
            <w:r>
              <w:rPr>
                <w:b/>
                <w:w w:val="99"/>
                <w:sz w:val="28"/>
              </w:rPr>
              <w:t>7</w:t>
            </w:r>
          </w:p>
        </w:tc>
        <w:tc>
          <w:tcPr>
            <w:tcW w:w="9307" w:type="dxa"/>
            <w:gridSpan w:val="2"/>
            <w:tcBorders>
              <w:bottom w:val="double" w:sz="1" w:space="0" w:color="000000"/>
            </w:tcBorders>
          </w:tcPr>
          <w:p>
            <w:pPr>
              <w:pStyle w:val="TableParagraph"/>
              <w:spacing w:before="176"/>
              <w:ind w:left="348"/>
              <w:rPr>
                <w:b/>
                <w:sz w:val="28"/>
              </w:rPr>
            </w:pPr>
            <w:r>
              <w:rPr>
                <w:b/>
                <w:sz w:val="28"/>
              </w:rPr>
              <w:t>投保人需要关注的其他事项</w:t>
            </w:r>
          </w:p>
        </w:tc>
      </w:tr>
      <w:tr>
        <w:trPr>
          <w:trHeight w:val="1396" w:hRule="atLeast"/>
        </w:trPr>
        <w:tc>
          <w:tcPr>
            <w:tcW w:w="773"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7.1</w:t>
            </w:r>
          </w:p>
        </w:tc>
        <w:tc>
          <w:tcPr>
            <w:tcW w:w="1750" w:type="dxa"/>
            <w:tcBorders>
              <w:top w:val="double" w:sz="1" w:space="0" w:color="000000"/>
            </w:tcBorders>
          </w:tcPr>
          <w:p>
            <w:pPr>
              <w:pStyle w:val="TableParagraph"/>
              <w:spacing w:before="2"/>
              <w:rPr>
                <w:rFonts w:ascii="Times New Roman"/>
                <w:sz w:val="26"/>
              </w:rPr>
            </w:pPr>
          </w:p>
          <w:p>
            <w:pPr>
              <w:pStyle w:val="TableParagraph"/>
              <w:ind w:left="348"/>
              <w:rPr>
                <w:b/>
                <w:sz w:val="21"/>
              </w:rPr>
            </w:pPr>
            <w:r>
              <w:rPr>
                <w:b/>
                <w:sz w:val="21"/>
              </w:rPr>
              <w:t>欠款扣除</w:t>
            </w:r>
          </w:p>
        </w:tc>
        <w:tc>
          <w:tcPr>
            <w:tcW w:w="7557" w:type="dxa"/>
            <w:tcBorders>
              <w:top w:val="double" w:sz="1" w:space="0" w:color="000000"/>
            </w:tcBorders>
          </w:tcPr>
          <w:p>
            <w:pPr>
              <w:pStyle w:val="TableParagraph"/>
              <w:spacing w:before="2"/>
              <w:rPr>
                <w:rFonts w:ascii="Times New Roman"/>
                <w:sz w:val="26"/>
              </w:rPr>
            </w:pPr>
          </w:p>
          <w:p>
            <w:pPr>
              <w:pStyle w:val="TableParagraph"/>
              <w:spacing w:line="273" w:lineRule="auto"/>
              <w:ind w:left="134" w:right="104"/>
              <w:jc w:val="both"/>
              <w:rPr>
                <w:sz w:val="21"/>
              </w:rPr>
            </w:pPr>
            <w:r>
              <w:rPr>
                <w:spacing w:val="-6"/>
                <w:sz w:val="21"/>
              </w:rPr>
              <w:t>我们在给付各项保险金或现金价值、办理终止合同时，若投保人有欠缴本附加合同的保险费</w:t>
            </w:r>
            <w:r>
              <w:rPr>
                <w:spacing w:val="-3"/>
                <w:sz w:val="21"/>
              </w:rPr>
              <w:t>（包括自动垫缴的保险费</w:t>
            </w:r>
            <w:r>
              <w:rPr>
                <w:spacing w:val="-13"/>
                <w:sz w:val="21"/>
              </w:rPr>
              <w:t>）</w:t>
            </w:r>
            <w:r>
              <w:rPr>
                <w:spacing w:val="-6"/>
                <w:sz w:val="21"/>
              </w:rPr>
              <w:t>及利息、借款及借款利息，则所有的欠款</w:t>
            </w:r>
            <w:r>
              <w:rPr>
                <w:spacing w:val="-4"/>
                <w:sz w:val="21"/>
              </w:rPr>
              <w:t>和利息均需先归还我们或由我们在给付款中扣除。</w:t>
            </w:r>
          </w:p>
        </w:tc>
      </w:tr>
      <w:tr>
        <w:trPr>
          <w:trHeight w:val="936" w:hRule="atLeast"/>
        </w:trPr>
        <w:tc>
          <w:tcPr>
            <w:tcW w:w="773" w:type="dxa"/>
          </w:tcPr>
          <w:p>
            <w:pPr>
              <w:pStyle w:val="TableParagraph"/>
              <w:spacing w:before="153"/>
              <w:ind w:left="107"/>
              <w:rPr>
                <w:b/>
                <w:sz w:val="21"/>
              </w:rPr>
            </w:pPr>
            <w:r>
              <w:rPr>
                <w:b/>
                <w:sz w:val="21"/>
              </w:rPr>
              <w:t>7.2</w:t>
            </w:r>
          </w:p>
        </w:tc>
        <w:tc>
          <w:tcPr>
            <w:tcW w:w="1750" w:type="dxa"/>
          </w:tcPr>
          <w:p>
            <w:pPr>
              <w:pStyle w:val="TableParagraph"/>
              <w:spacing w:line="273" w:lineRule="auto" w:before="153"/>
              <w:ind w:left="348" w:right="132"/>
              <w:rPr>
                <w:b/>
                <w:sz w:val="21"/>
              </w:rPr>
            </w:pPr>
            <w:r>
              <w:rPr>
                <w:b/>
                <w:sz w:val="21"/>
              </w:rPr>
              <w:t>合同效力的中止</w:t>
            </w:r>
          </w:p>
        </w:tc>
        <w:tc>
          <w:tcPr>
            <w:tcW w:w="7557" w:type="dxa"/>
          </w:tcPr>
          <w:p>
            <w:pPr>
              <w:pStyle w:val="TableParagraph"/>
              <w:spacing w:line="237" w:lineRule="auto" w:before="135"/>
              <w:ind w:left="134" w:right="2586"/>
              <w:rPr>
                <w:sz w:val="21"/>
              </w:rPr>
            </w:pPr>
            <w:r>
              <w:rPr>
                <w:sz w:val="21"/>
              </w:rPr>
              <w:t>主合同效力中止的同时，本附加合同的效力也中止。合同效力中止期间，我们不承担保险责任。</w:t>
            </w:r>
          </w:p>
        </w:tc>
      </w:tr>
      <w:tr>
        <w:trPr>
          <w:trHeight w:val="999" w:hRule="atLeast"/>
        </w:trPr>
        <w:tc>
          <w:tcPr>
            <w:tcW w:w="773" w:type="dxa"/>
          </w:tcPr>
          <w:p>
            <w:pPr>
              <w:pStyle w:val="TableParagraph"/>
              <w:spacing w:before="153"/>
              <w:ind w:left="107"/>
              <w:rPr>
                <w:b/>
                <w:sz w:val="21"/>
              </w:rPr>
            </w:pPr>
            <w:r>
              <w:rPr>
                <w:b/>
                <w:sz w:val="21"/>
              </w:rPr>
              <w:t>7.3</w:t>
            </w:r>
          </w:p>
        </w:tc>
        <w:tc>
          <w:tcPr>
            <w:tcW w:w="1750" w:type="dxa"/>
          </w:tcPr>
          <w:p>
            <w:pPr>
              <w:pStyle w:val="TableParagraph"/>
              <w:spacing w:line="273" w:lineRule="auto" w:before="153"/>
              <w:ind w:left="348" w:right="132"/>
              <w:rPr>
                <w:b/>
                <w:sz w:val="21"/>
              </w:rPr>
            </w:pPr>
            <w:r>
              <w:rPr>
                <w:b/>
                <w:sz w:val="21"/>
              </w:rPr>
              <w:t>合同效力的终止</w:t>
            </w:r>
          </w:p>
        </w:tc>
        <w:tc>
          <w:tcPr>
            <w:tcW w:w="7557" w:type="dxa"/>
          </w:tcPr>
          <w:p>
            <w:pPr>
              <w:pStyle w:val="TableParagraph"/>
              <w:spacing w:before="132"/>
              <w:ind w:left="134"/>
              <w:rPr>
                <w:b/>
                <w:sz w:val="21"/>
              </w:rPr>
            </w:pPr>
            <w:r>
              <w:rPr>
                <w:b/>
                <w:sz w:val="21"/>
              </w:rPr>
              <w:t>有下列情况之一时，本附加合同的效力终止：</w:t>
            </w:r>
          </w:p>
          <w:p>
            <w:pPr>
              <w:pStyle w:val="TableParagraph"/>
              <w:spacing w:before="42"/>
              <w:ind w:left="134"/>
              <w:rPr>
                <w:b/>
                <w:sz w:val="21"/>
              </w:rPr>
            </w:pPr>
            <w:r>
              <w:rPr>
                <w:b/>
                <w:sz w:val="21"/>
              </w:rPr>
              <w:t>1、主合同撤销、解除、退保、满期、终止；</w:t>
            </w:r>
          </w:p>
          <w:p>
            <w:pPr>
              <w:pStyle w:val="TableParagraph"/>
              <w:spacing w:line="255" w:lineRule="exact" w:before="1"/>
              <w:ind w:left="134"/>
              <w:rPr>
                <w:b/>
                <w:sz w:val="21"/>
              </w:rPr>
            </w:pPr>
            <w:r>
              <w:rPr>
                <w:b/>
                <w:sz w:val="21"/>
              </w:rPr>
              <w:t>2、主合同及本附加合同约定的其它效力终止情形。</w:t>
            </w:r>
          </w:p>
        </w:tc>
      </w:tr>
    </w:tbl>
    <w:p>
      <w:pPr>
        <w:spacing w:after="0" w:line="255" w:lineRule="exact"/>
        <w:rPr>
          <w:sz w:val="21"/>
        </w:rPr>
        <w:sectPr>
          <w:pgSz w:w="11910" w:h="16840"/>
          <w:pgMar w:header="0" w:footer="922" w:top="1580" w:bottom="1120" w:left="8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77"/>
        <w:gridCol w:w="7530"/>
      </w:tblGrid>
      <w:tr>
        <w:trPr>
          <w:trHeight w:val="744" w:hRule="atLeast"/>
        </w:trPr>
        <w:tc>
          <w:tcPr>
            <w:tcW w:w="773" w:type="dxa"/>
          </w:tcPr>
          <w:p>
            <w:pPr>
              <w:pStyle w:val="TableParagraph"/>
              <w:rPr>
                <w:rFonts w:ascii="Times New Roman"/>
                <w:sz w:val="20"/>
              </w:rPr>
            </w:pPr>
          </w:p>
        </w:tc>
        <w:tc>
          <w:tcPr>
            <w:tcW w:w="1777" w:type="dxa"/>
          </w:tcPr>
          <w:p>
            <w:pPr>
              <w:pStyle w:val="TableParagraph"/>
              <w:rPr>
                <w:rFonts w:ascii="Times New Roman"/>
                <w:sz w:val="20"/>
              </w:rPr>
            </w:pPr>
          </w:p>
        </w:tc>
        <w:tc>
          <w:tcPr>
            <w:tcW w:w="7530" w:type="dxa"/>
          </w:tcPr>
          <w:p>
            <w:pPr>
              <w:pStyle w:val="TableParagraph"/>
              <w:spacing w:line="201" w:lineRule="exact"/>
              <w:ind w:left="107"/>
              <w:rPr>
                <w:sz w:val="21"/>
              </w:rPr>
            </w:pPr>
            <w:r>
              <w:rPr>
                <w:sz w:val="21"/>
              </w:rPr>
              <w:t>本附加合同效力终止后，除另有规定外，我们不退还本附加合同的现金价值或已</w:t>
            </w:r>
          </w:p>
          <w:p>
            <w:pPr>
              <w:pStyle w:val="TableParagraph"/>
              <w:spacing w:line="273" w:lineRule="exact"/>
              <w:ind w:left="107"/>
              <w:rPr>
                <w:sz w:val="21"/>
              </w:rPr>
            </w:pPr>
            <w:r>
              <w:rPr>
                <w:sz w:val="21"/>
              </w:rPr>
              <w:t>缴的保险费。</w:t>
            </w:r>
          </w:p>
        </w:tc>
      </w:tr>
      <w:tr>
        <w:trPr>
          <w:trHeight w:val="713" w:hRule="atLeast"/>
        </w:trPr>
        <w:tc>
          <w:tcPr>
            <w:tcW w:w="773" w:type="dxa"/>
            <w:tcBorders>
              <w:bottom w:val="double" w:sz="1" w:space="0" w:color="000000"/>
            </w:tcBorders>
          </w:tcPr>
          <w:p>
            <w:pPr>
              <w:pStyle w:val="TableParagraph"/>
              <w:spacing w:before="167"/>
              <w:ind w:left="107"/>
              <w:rPr>
                <w:b/>
                <w:sz w:val="28"/>
              </w:rPr>
            </w:pPr>
            <w:r>
              <w:rPr>
                <w:b/>
                <w:w w:val="99"/>
                <w:sz w:val="28"/>
              </w:rPr>
              <w:t>8</w:t>
            </w:r>
          </w:p>
        </w:tc>
        <w:tc>
          <w:tcPr>
            <w:tcW w:w="1777" w:type="dxa"/>
            <w:tcBorders>
              <w:bottom w:val="double" w:sz="1" w:space="0" w:color="000000"/>
            </w:tcBorders>
          </w:tcPr>
          <w:p>
            <w:pPr>
              <w:pStyle w:val="TableParagraph"/>
              <w:spacing w:before="167"/>
              <w:ind w:left="348"/>
              <w:rPr>
                <w:b/>
                <w:sz w:val="28"/>
              </w:rPr>
            </w:pPr>
            <w:r>
              <w:rPr>
                <w:b/>
                <w:w w:val="95"/>
                <w:sz w:val="28"/>
              </w:rPr>
              <w:t>释义</w:t>
            </w:r>
          </w:p>
        </w:tc>
        <w:tc>
          <w:tcPr>
            <w:tcW w:w="7530" w:type="dxa"/>
            <w:tcBorders>
              <w:bottom w:val="double" w:sz="1" w:space="0" w:color="000000"/>
            </w:tcBorders>
          </w:tcPr>
          <w:p>
            <w:pPr>
              <w:pStyle w:val="TableParagraph"/>
              <w:rPr>
                <w:rFonts w:ascii="Times New Roman"/>
                <w:sz w:val="20"/>
              </w:rPr>
            </w:pPr>
          </w:p>
        </w:tc>
      </w:tr>
      <w:tr>
        <w:trPr>
          <w:trHeight w:val="459" w:hRule="atLeast"/>
        </w:trPr>
        <w:tc>
          <w:tcPr>
            <w:tcW w:w="10080" w:type="dxa"/>
            <w:gridSpan w:val="3"/>
            <w:tcBorders>
              <w:top w:val="double" w:sz="1" w:space="0" w:color="000000"/>
            </w:tcBorders>
          </w:tcPr>
          <w:p>
            <w:pPr>
              <w:pStyle w:val="TableParagraph"/>
              <w:spacing w:line="255" w:lineRule="exact"/>
              <w:ind w:left="107"/>
              <w:rPr>
                <w:sz w:val="21"/>
              </w:rPr>
            </w:pPr>
            <w:r>
              <w:rPr>
                <w:sz w:val="21"/>
              </w:rPr>
              <w:t>本附加合同中具有特定含义的名词，除非本附加合同另有释义，适用主合同的释义。</w:t>
            </w:r>
          </w:p>
        </w:tc>
      </w:tr>
      <w:tr>
        <w:trPr>
          <w:trHeight w:val="638" w:hRule="atLeast"/>
        </w:trPr>
        <w:tc>
          <w:tcPr>
            <w:tcW w:w="773" w:type="dxa"/>
          </w:tcPr>
          <w:p>
            <w:pPr>
              <w:pStyle w:val="TableParagraph"/>
              <w:spacing w:before="144"/>
              <w:ind w:left="107"/>
              <w:rPr>
                <w:b/>
                <w:sz w:val="21"/>
              </w:rPr>
            </w:pPr>
            <w:r>
              <w:rPr>
                <w:b/>
                <w:sz w:val="21"/>
              </w:rPr>
              <w:t>8.1</w:t>
            </w:r>
          </w:p>
        </w:tc>
        <w:tc>
          <w:tcPr>
            <w:tcW w:w="1777" w:type="dxa"/>
          </w:tcPr>
          <w:p>
            <w:pPr>
              <w:pStyle w:val="TableParagraph"/>
              <w:spacing w:before="144"/>
              <w:ind w:left="348"/>
              <w:rPr>
                <w:b/>
                <w:sz w:val="21"/>
              </w:rPr>
            </w:pPr>
            <w:r>
              <w:rPr>
                <w:b/>
                <w:sz w:val="21"/>
              </w:rPr>
              <w:t>意外伤害事故</w:t>
            </w:r>
          </w:p>
        </w:tc>
        <w:tc>
          <w:tcPr>
            <w:tcW w:w="7530" w:type="dxa"/>
          </w:tcPr>
          <w:p>
            <w:pPr>
              <w:pStyle w:val="TableParagraph"/>
              <w:spacing w:before="123"/>
              <w:ind w:left="107"/>
              <w:rPr>
                <w:sz w:val="21"/>
              </w:rPr>
            </w:pPr>
            <w:r>
              <w:rPr>
                <w:sz w:val="21"/>
              </w:rPr>
              <w:t>指外来的、突发的、非本意的、非疾病的客观事件。</w:t>
            </w:r>
          </w:p>
        </w:tc>
      </w:tr>
      <w:tr>
        <w:trPr>
          <w:trHeight w:val="682" w:hRule="atLeast"/>
        </w:trPr>
        <w:tc>
          <w:tcPr>
            <w:tcW w:w="773" w:type="dxa"/>
          </w:tcPr>
          <w:p>
            <w:pPr>
              <w:pStyle w:val="TableParagraph"/>
              <w:spacing w:before="137"/>
              <w:ind w:left="107"/>
              <w:rPr>
                <w:b/>
                <w:sz w:val="21"/>
              </w:rPr>
            </w:pPr>
            <w:r>
              <w:rPr>
                <w:b/>
                <w:sz w:val="21"/>
              </w:rPr>
              <w:t>8.2</w:t>
            </w:r>
          </w:p>
        </w:tc>
        <w:tc>
          <w:tcPr>
            <w:tcW w:w="1777" w:type="dxa"/>
          </w:tcPr>
          <w:p>
            <w:pPr>
              <w:pStyle w:val="TableParagraph"/>
              <w:spacing w:before="137"/>
              <w:ind w:left="348"/>
              <w:rPr>
                <w:b/>
                <w:sz w:val="21"/>
              </w:rPr>
            </w:pPr>
            <w:r>
              <w:rPr>
                <w:b/>
                <w:sz w:val="21"/>
              </w:rPr>
              <w:t>意外伤害</w:t>
            </w:r>
          </w:p>
        </w:tc>
        <w:tc>
          <w:tcPr>
            <w:tcW w:w="7530" w:type="dxa"/>
          </w:tcPr>
          <w:p>
            <w:pPr>
              <w:pStyle w:val="TableParagraph"/>
              <w:spacing w:before="8"/>
              <w:rPr>
                <w:rFonts w:ascii="Times New Roman"/>
                <w:sz w:val="16"/>
              </w:rPr>
            </w:pPr>
          </w:p>
          <w:p>
            <w:pPr>
              <w:pStyle w:val="TableParagraph"/>
              <w:ind w:left="107"/>
              <w:rPr>
                <w:sz w:val="21"/>
              </w:rPr>
            </w:pPr>
            <w:r>
              <w:rPr>
                <w:sz w:val="21"/>
              </w:rPr>
              <w:t>指以意外伤害事故为直接且单独的原因所导致身体受到的伤害。</w:t>
            </w:r>
          </w:p>
        </w:tc>
      </w:tr>
      <w:tr>
        <w:trPr>
          <w:trHeight w:val="3208" w:hRule="atLeast"/>
        </w:trPr>
        <w:tc>
          <w:tcPr>
            <w:tcW w:w="773" w:type="dxa"/>
          </w:tcPr>
          <w:p>
            <w:pPr>
              <w:pStyle w:val="TableParagraph"/>
              <w:spacing w:before="134"/>
              <w:ind w:left="107"/>
              <w:rPr>
                <w:b/>
                <w:sz w:val="21"/>
              </w:rPr>
            </w:pPr>
            <w:r>
              <w:rPr>
                <w:b/>
                <w:sz w:val="21"/>
              </w:rPr>
              <w:t>8.3</w:t>
            </w:r>
          </w:p>
        </w:tc>
        <w:tc>
          <w:tcPr>
            <w:tcW w:w="1777" w:type="dxa"/>
          </w:tcPr>
          <w:p>
            <w:pPr>
              <w:pStyle w:val="TableParagraph"/>
              <w:spacing w:before="134"/>
              <w:ind w:left="348"/>
              <w:rPr>
                <w:b/>
                <w:sz w:val="21"/>
              </w:rPr>
            </w:pPr>
            <w:r>
              <w:rPr>
                <w:b/>
                <w:sz w:val="21"/>
              </w:rPr>
              <w:t>医院</w:t>
            </w:r>
          </w:p>
        </w:tc>
        <w:tc>
          <w:tcPr>
            <w:tcW w:w="7530" w:type="dxa"/>
          </w:tcPr>
          <w:p>
            <w:pPr>
              <w:pStyle w:val="TableParagraph"/>
              <w:spacing w:before="5"/>
              <w:rPr>
                <w:rFonts w:ascii="Times New Roman"/>
                <w:sz w:val="16"/>
              </w:rPr>
            </w:pPr>
          </w:p>
          <w:p>
            <w:pPr>
              <w:pStyle w:val="TableParagraph"/>
              <w:spacing w:line="314" w:lineRule="auto"/>
              <w:ind w:left="107" w:right="57"/>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20"/>
              <w:ind w:left="107"/>
              <w:rPr>
                <w:sz w:val="21"/>
              </w:rPr>
            </w:pPr>
            <w:r>
              <w:rPr>
                <w:sz w:val="21"/>
              </w:rPr>
              <w:t>1、拥有合法经营执照；</w:t>
            </w:r>
          </w:p>
          <w:p>
            <w:pPr>
              <w:pStyle w:val="TableParagraph"/>
              <w:spacing w:before="84"/>
              <w:ind w:left="107"/>
              <w:rPr>
                <w:sz w:val="21"/>
              </w:rPr>
            </w:pPr>
            <w:r>
              <w:rPr>
                <w:sz w:val="21"/>
              </w:rPr>
              <w:t>2、设立的主要目的为受伤者和患病者提供留院治疗和护理；</w:t>
            </w:r>
          </w:p>
          <w:p>
            <w:pPr>
              <w:pStyle w:val="TableParagraph"/>
              <w:spacing w:before="84"/>
              <w:ind w:left="107"/>
              <w:rPr>
                <w:sz w:val="21"/>
              </w:rPr>
            </w:pPr>
            <w:r>
              <w:rPr>
                <w:sz w:val="21"/>
              </w:rPr>
              <w:t>3、有合法职称的专业医生和护士提供全日二十四小时的医疗和护理服务；</w:t>
            </w:r>
          </w:p>
          <w:p>
            <w:pPr>
              <w:pStyle w:val="TableParagraph"/>
              <w:spacing w:line="297" w:lineRule="auto" w:before="84"/>
              <w:ind w:left="107" w:right="112"/>
              <w:rPr>
                <w:sz w:val="21"/>
              </w:rPr>
            </w:pPr>
            <w:r>
              <w:rPr>
                <w:rFonts w:ascii="Times New Roman" w:eastAsia="Times New Roman"/>
                <w:sz w:val="21"/>
              </w:rPr>
              <w:t>4</w:t>
            </w:r>
            <w:r>
              <w:rPr>
                <w:sz w:val="21"/>
              </w:rPr>
              <w:t>、具有系统性诊疗等程序或手术设备的综合性医院和专科医院，但不包括观察室、联合病房、精神病院和康复病房；</w:t>
            </w:r>
          </w:p>
          <w:p>
            <w:pPr>
              <w:pStyle w:val="TableParagraph"/>
              <w:spacing w:before="34"/>
              <w:ind w:left="107"/>
              <w:rPr>
                <w:sz w:val="21"/>
              </w:rPr>
            </w:pPr>
            <w:r>
              <w:rPr>
                <w:rFonts w:ascii="Times New Roman" w:eastAsia="Times New Roman"/>
                <w:sz w:val="21"/>
              </w:rPr>
              <w:t>5</w:t>
            </w:r>
            <w:r>
              <w:rPr>
                <w:sz w:val="21"/>
              </w:rPr>
              <w:t>、非主要作为康复医院、诊所、护理、疗养、戒酒、戒毒或类似的医疗机构。</w:t>
            </w:r>
          </w:p>
        </w:tc>
      </w:tr>
      <w:tr>
        <w:trPr>
          <w:trHeight w:val="1869" w:hRule="atLeast"/>
        </w:trPr>
        <w:tc>
          <w:tcPr>
            <w:tcW w:w="773" w:type="dxa"/>
          </w:tcPr>
          <w:p>
            <w:pPr>
              <w:pStyle w:val="TableParagraph"/>
              <w:spacing w:before="127"/>
              <w:ind w:left="107"/>
              <w:rPr>
                <w:b/>
                <w:sz w:val="21"/>
              </w:rPr>
            </w:pPr>
            <w:r>
              <w:rPr>
                <w:b/>
                <w:sz w:val="21"/>
              </w:rPr>
              <w:t>8.4</w:t>
            </w:r>
          </w:p>
        </w:tc>
        <w:tc>
          <w:tcPr>
            <w:tcW w:w="1777" w:type="dxa"/>
          </w:tcPr>
          <w:p>
            <w:pPr>
              <w:pStyle w:val="TableParagraph"/>
              <w:spacing w:before="127"/>
              <w:ind w:left="348"/>
              <w:rPr>
                <w:b/>
                <w:sz w:val="21"/>
              </w:rPr>
            </w:pPr>
            <w:r>
              <w:rPr>
                <w:b/>
                <w:sz w:val="21"/>
              </w:rPr>
              <w:t>专科医生</w:t>
            </w:r>
          </w:p>
        </w:tc>
        <w:tc>
          <w:tcPr>
            <w:tcW w:w="7530" w:type="dxa"/>
          </w:tcPr>
          <w:p>
            <w:pPr>
              <w:pStyle w:val="TableParagraph"/>
              <w:spacing w:line="273" w:lineRule="auto" w:before="127"/>
              <w:ind w:left="107" w:right="104"/>
              <w:jc w:val="both"/>
              <w:rPr>
                <w:sz w:val="21"/>
              </w:rPr>
            </w:pPr>
            <w:r>
              <w:rPr>
                <w:spacing w:val="-3"/>
                <w:w w:val="100"/>
                <w:sz w:val="21"/>
              </w:rPr>
              <w:t>专科医生应当同时满足以下四项资格条件</w:t>
            </w:r>
            <w:r>
              <w:rPr>
                <w:spacing w:val="-154"/>
                <w:w w:val="100"/>
                <w:sz w:val="21"/>
              </w:rPr>
              <w:t>：</w:t>
            </w:r>
            <w:r>
              <w:rPr>
                <w:w w:val="100"/>
                <w:sz w:val="21"/>
              </w:rPr>
              <w:t>（</w:t>
            </w:r>
            <w:r>
              <w:rPr>
                <w:spacing w:val="-3"/>
                <w:w w:val="100"/>
                <w:sz w:val="21"/>
              </w:rPr>
              <w:t>1</w:t>
            </w:r>
            <w:r>
              <w:rPr>
                <w:spacing w:val="-48"/>
                <w:w w:val="100"/>
                <w:sz w:val="21"/>
              </w:rPr>
              <w:t>）</w:t>
            </w:r>
            <w:r>
              <w:rPr>
                <w:spacing w:val="-7"/>
                <w:w w:val="100"/>
                <w:sz w:val="21"/>
              </w:rPr>
              <w:t>具有有效的中华人民共和国《</w:t>
            </w:r>
            <w:r>
              <w:rPr>
                <w:spacing w:val="-7"/>
                <w:sz w:val="21"/>
              </w:rPr>
              <w:t> </w:t>
            </w:r>
            <w:r>
              <w:rPr>
                <w:w w:val="100"/>
                <w:sz w:val="21"/>
              </w:rPr>
              <w:t>医</w:t>
            </w:r>
            <w:r>
              <w:rPr>
                <w:spacing w:val="-31"/>
                <w:w w:val="100"/>
                <w:sz w:val="21"/>
              </w:rPr>
              <w:t>师资格证书》；</w:t>
            </w:r>
            <w:r>
              <w:rPr>
                <w:spacing w:val="0"/>
                <w:w w:val="100"/>
                <w:sz w:val="21"/>
              </w:rPr>
              <w:t>（</w:t>
            </w:r>
            <w:r>
              <w:rPr>
                <w:w w:val="100"/>
                <w:sz w:val="21"/>
              </w:rPr>
              <w:t>2</w:t>
            </w:r>
            <w:r>
              <w:rPr>
                <w:spacing w:val="1"/>
                <w:w w:val="100"/>
                <w:sz w:val="21"/>
              </w:rPr>
              <w:t>）</w:t>
            </w:r>
            <w:r>
              <w:rPr>
                <w:w w:val="100"/>
                <w:sz w:val="21"/>
              </w:rPr>
              <w:t>具有有效的中华人民共和国《</w:t>
            </w:r>
            <w:r>
              <w:rPr>
                <w:sz w:val="21"/>
              </w:rPr>
              <w:t> </w:t>
            </w:r>
            <w:r>
              <w:rPr>
                <w:spacing w:val="-10"/>
                <w:w w:val="100"/>
                <w:sz w:val="21"/>
              </w:rPr>
              <w:t>医师执业证书》，并按期到相</w:t>
            </w:r>
            <w:r>
              <w:rPr>
                <w:spacing w:val="-20"/>
                <w:w w:val="100"/>
                <w:sz w:val="21"/>
              </w:rPr>
              <w:t>关部门登记注册；</w:t>
            </w:r>
            <w:r>
              <w:rPr>
                <w:spacing w:val="-3"/>
                <w:w w:val="100"/>
                <w:sz w:val="21"/>
              </w:rPr>
              <w:t>（</w:t>
            </w:r>
            <w:r>
              <w:rPr>
                <w:w w:val="100"/>
                <w:sz w:val="21"/>
              </w:rPr>
              <w:t>3</w:t>
            </w:r>
            <w:r>
              <w:rPr>
                <w:spacing w:val="-22"/>
                <w:w w:val="100"/>
                <w:sz w:val="21"/>
              </w:rPr>
              <w:t>）</w:t>
            </w:r>
            <w:r>
              <w:rPr>
                <w:spacing w:val="-3"/>
                <w:w w:val="100"/>
                <w:sz w:val="21"/>
              </w:rPr>
              <w:t>具有有效的中华人民共和国主治医师或主治医师以上职称</w:t>
            </w:r>
            <w:r>
              <w:rPr>
                <w:spacing w:val="-6"/>
                <w:w w:val="100"/>
                <w:sz w:val="21"/>
              </w:rPr>
              <w:t>的《</w:t>
            </w:r>
            <w:r>
              <w:rPr>
                <w:spacing w:val="-6"/>
                <w:sz w:val="21"/>
              </w:rPr>
              <w:t> </w:t>
            </w:r>
            <w:r>
              <w:rPr>
                <w:spacing w:val="-31"/>
                <w:w w:val="100"/>
                <w:sz w:val="21"/>
              </w:rPr>
              <w:t>医师职称证书》；</w:t>
            </w:r>
            <w:r>
              <w:rPr>
                <w:spacing w:val="-1"/>
                <w:w w:val="100"/>
                <w:sz w:val="21"/>
              </w:rPr>
              <w:t>（</w:t>
            </w:r>
            <w:r>
              <w:rPr>
                <w:spacing w:val="-3"/>
                <w:w w:val="100"/>
                <w:sz w:val="21"/>
              </w:rPr>
              <w:t>4</w:t>
            </w:r>
            <w:r>
              <w:rPr>
                <w:spacing w:val="-13"/>
                <w:w w:val="100"/>
                <w:sz w:val="21"/>
              </w:rPr>
              <w:t>）</w:t>
            </w:r>
            <w:r>
              <w:rPr>
                <w:spacing w:val="-3"/>
                <w:w w:val="100"/>
                <w:sz w:val="21"/>
              </w:rPr>
              <w:t>在二级或二级以上医院的相应科室从事临床工作三年</w:t>
            </w:r>
            <w:r>
              <w:rPr>
                <w:spacing w:val="-3"/>
                <w:sz w:val="21"/>
              </w:rPr>
              <w:t>以上。</w:t>
            </w:r>
          </w:p>
        </w:tc>
      </w:tr>
      <w:tr>
        <w:trPr>
          <w:trHeight w:val="1875" w:hRule="atLeast"/>
        </w:trPr>
        <w:tc>
          <w:tcPr>
            <w:tcW w:w="773" w:type="dxa"/>
          </w:tcPr>
          <w:p>
            <w:pPr>
              <w:pStyle w:val="TableParagraph"/>
              <w:spacing w:before="137"/>
              <w:ind w:left="107"/>
              <w:rPr>
                <w:b/>
                <w:sz w:val="21"/>
              </w:rPr>
            </w:pPr>
            <w:r>
              <w:rPr>
                <w:b/>
                <w:sz w:val="21"/>
              </w:rPr>
              <w:t>8.5</w:t>
            </w:r>
          </w:p>
        </w:tc>
        <w:tc>
          <w:tcPr>
            <w:tcW w:w="1777" w:type="dxa"/>
          </w:tcPr>
          <w:p>
            <w:pPr>
              <w:pStyle w:val="TableParagraph"/>
              <w:spacing w:line="273" w:lineRule="auto" w:before="137"/>
              <w:ind w:left="348" w:right="105"/>
              <w:rPr>
                <w:b/>
                <w:sz w:val="21"/>
              </w:rPr>
            </w:pPr>
            <w:r>
              <w:rPr>
                <w:b/>
                <w:sz w:val="21"/>
              </w:rPr>
              <w:t>感染艾滋病病毒或患艾滋病</w:t>
            </w:r>
          </w:p>
        </w:tc>
        <w:tc>
          <w:tcPr>
            <w:tcW w:w="7530" w:type="dxa"/>
          </w:tcPr>
          <w:p>
            <w:pPr>
              <w:pStyle w:val="TableParagraph"/>
              <w:spacing w:line="273" w:lineRule="auto" w:before="137"/>
              <w:ind w:left="107" w:right="104"/>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7"/>
              <w:ind w:left="107" w:right="104"/>
              <w:jc w:val="both"/>
              <w:rPr>
                <w:sz w:val="21"/>
              </w:rPr>
            </w:pPr>
            <w:r>
              <w:rPr>
                <w:spacing w:val="-5"/>
                <w:sz w:val="21"/>
              </w:rPr>
              <w:t>在人体血液或其他样本中检测到艾滋病病毒或其抗体呈阳性，没有出现临床症状</w:t>
            </w:r>
            <w:r>
              <w:rPr>
                <w:spacing w:val="-8"/>
                <w:sz w:val="21"/>
              </w:rPr>
              <w:t>或体征的，为感染艾滋病病毒；如果同时出现了明显临床症状或体征的，为患艾滋病。</w:t>
            </w:r>
          </w:p>
        </w:tc>
      </w:tr>
      <w:tr>
        <w:trPr>
          <w:trHeight w:val="935" w:hRule="atLeast"/>
        </w:trPr>
        <w:tc>
          <w:tcPr>
            <w:tcW w:w="773" w:type="dxa"/>
          </w:tcPr>
          <w:p>
            <w:pPr>
              <w:pStyle w:val="TableParagraph"/>
              <w:spacing w:before="134"/>
              <w:ind w:left="107"/>
              <w:rPr>
                <w:b/>
                <w:sz w:val="21"/>
              </w:rPr>
            </w:pPr>
            <w:r>
              <w:rPr>
                <w:b/>
                <w:sz w:val="21"/>
              </w:rPr>
              <w:t>8.6</w:t>
            </w:r>
          </w:p>
        </w:tc>
        <w:tc>
          <w:tcPr>
            <w:tcW w:w="1777" w:type="dxa"/>
          </w:tcPr>
          <w:p>
            <w:pPr>
              <w:pStyle w:val="TableParagraph"/>
              <w:spacing w:before="134"/>
              <w:ind w:left="348"/>
              <w:rPr>
                <w:b/>
                <w:sz w:val="21"/>
              </w:rPr>
            </w:pPr>
            <w:r>
              <w:rPr>
                <w:b/>
                <w:sz w:val="21"/>
              </w:rPr>
              <w:t>遗传性疾病</w:t>
            </w:r>
          </w:p>
        </w:tc>
        <w:tc>
          <w:tcPr>
            <w:tcW w:w="7530" w:type="dxa"/>
          </w:tcPr>
          <w:p>
            <w:pPr>
              <w:pStyle w:val="TableParagraph"/>
              <w:spacing w:line="273" w:lineRule="auto" w:before="134"/>
              <w:ind w:left="107"/>
              <w:rPr>
                <w:sz w:val="21"/>
              </w:rPr>
            </w:pPr>
            <w:r>
              <w:rPr>
                <w:spacing w:val="-9"/>
                <w:sz w:val="21"/>
              </w:rPr>
              <w:t>指生殖细胞或受精卵的遗传物质</w:t>
            </w:r>
            <w:r>
              <w:rPr>
                <w:sz w:val="21"/>
              </w:rPr>
              <w:t>（</w:t>
            </w:r>
            <w:r>
              <w:rPr>
                <w:spacing w:val="-3"/>
                <w:sz w:val="21"/>
              </w:rPr>
              <w:t>染色体和基因</w:t>
            </w:r>
            <w:r>
              <w:rPr>
                <w:spacing w:val="-75"/>
                <w:sz w:val="21"/>
              </w:rPr>
              <w:t>）</w:t>
            </w:r>
            <w:r>
              <w:rPr>
                <w:spacing w:val="-3"/>
                <w:sz w:val="21"/>
              </w:rPr>
              <w:t>发生突变或畸变所引起的疾病， 通常具有由亲代传至后代的垂直传递的特征。</w:t>
            </w:r>
          </w:p>
        </w:tc>
      </w:tr>
      <w:tr>
        <w:trPr>
          <w:trHeight w:val="1354" w:hRule="atLeast"/>
        </w:trPr>
        <w:tc>
          <w:tcPr>
            <w:tcW w:w="773" w:type="dxa"/>
          </w:tcPr>
          <w:p>
            <w:pPr>
              <w:pStyle w:val="TableParagraph"/>
              <w:spacing w:before="134"/>
              <w:ind w:left="107"/>
              <w:rPr>
                <w:b/>
                <w:sz w:val="21"/>
              </w:rPr>
            </w:pPr>
            <w:r>
              <w:rPr>
                <w:b/>
                <w:sz w:val="21"/>
              </w:rPr>
              <w:t>8.7</w:t>
            </w:r>
          </w:p>
        </w:tc>
        <w:tc>
          <w:tcPr>
            <w:tcW w:w="1777" w:type="dxa"/>
          </w:tcPr>
          <w:p>
            <w:pPr>
              <w:pStyle w:val="TableParagraph"/>
              <w:spacing w:line="273" w:lineRule="auto" w:before="134"/>
              <w:ind w:left="348" w:right="159"/>
              <w:rPr>
                <w:b/>
                <w:sz w:val="21"/>
              </w:rPr>
            </w:pPr>
            <w:r>
              <w:rPr>
                <w:b/>
                <w:sz w:val="21"/>
              </w:rPr>
              <w:t>先天性畸形、疾病，先天性</w:t>
            </w:r>
          </w:p>
          <w:p>
            <w:pPr>
              <w:pStyle w:val="TableParagraph"/>
              <w:spacing w:line="312" w:lineRule="exact" w:before="3"/>
              <w:ind w:left="348" w:right="159"/>
              <w:rPr>
                <w:b/>
                <w:sz w:val="21"/>
              </w:rPr>
            </w:pPr>
            <w:r>
              <w:rPr>
                <w:b/>
                <w:sz w:val="21"/>
              </w:rPr>
              <w:t>变形或染色体异常</w:t>
            </w:r>
          </w:p>
        </w:tc>
        <w:tc>
          <w:tcPr>
            <w:tcW w:w="7530" w:type="dxa"/>
          </w:tcPr>
          <w:p>
            <w:pPr>
              <w:pStyle w:val="TableParagraph"/>
              <w:spacing w:line="264" w:lineRule="auto" w:before="134"/>
              <w:ind w:left="107" w:right="104"/>
              <w:jc w:val="both"/>
              <w:rPr>
                <w:sz w:val="21"/>
              </w:rPr>
            </w:pPr>
            <w:r>
              <w:rPr>
                <w:spacing w:val="-6"/>
                <w:sz w:val="21"/>
              </w:rPr>
              <w:t>指被保险人出生时就具有的畸形、变形或染色体异常。先天性畸形、变形和染色</w:t>
            </w:r>
            <w:r>
              <w:rPr>
                <w:spacing w:val="-10"/>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bl>
    <w:sectPr>
      <w:pgSz w:w="11910" w:h="16840"/>
      <w:pgMar w:header="0" w:footer="922" w:top="1460" w:bottom="112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77.329987pt;margin-top:780.795959pt;width:28.45pt;height:12pt;mso-position-horizontal-relative:page;mso-position-vertical-relative:page;z-index:-62776" type="#_x0000_t202" filled="false" stroked="false">
          <v:textbox inset="0,0,0,0">
            <w:txbxContent>
              <w:p>
                <w:pPr>
                  <w:spacing w:before="12"/>
                  <w:ind w:left="20" w:right="0" w:firstLine="0"/>
                  <w:jc w:val="left"/>
                  <w:rPr>
                    <w:rFonts w:ascii="Times New Roman"/>
                    <w:sz w:val="18"/>
                  </w:rPr>
                </w:pPr>
                <w:r>
                  <w:rPr>
                    <w:rFonts w:ascii="Times New Roman"/>
                    <w:sz w:val="18"/>
                  </w:rPr>
                  <w:t>22 -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59" w:hanging="423"/>
        <w:jc w:val="left"/>
      </w:pPr>
      <w:rPr>
        <w:rFonts w:hint="default" w:ascii="宋体" w:hAnsi="宋体" w:eastAsia="宋体" w:cs="宋体"/>
        <w:w w:val="100"/>
        <w:sz w:val="21"/>
        <w:szCs w:val="21"/>
      </w:rPr>
    </w:lvl>
    <w:lvl w:ilvl="1">
      <w:start w:val="0"/>
      <w:numFmt w:val="bullet"/>
      <w:lvlText w:val="•"/>
      <w:lvlJc w:val="left"/>
      <w:pPr>
        <w:ind w:left="1279" w:hanging="423"/>
      </w:pPr>
      <w:rPr>
        <w:rFonts w:hint="default"/>
      </w:rPr>
    </w:lvl>
    <w:lvl w:ilvl="2">
      <w:start w:val="0"/>
      <w:numFmt w:val="bullet"/>
      <w:lvlText w:val="•"/>
      <w:lvlJc w:val="left"/>
      <w:pPr>
        <w:ind w:left="1999" w:hanging="423"/>
      </w:pPr>
      <w:rPr>
        <w:rFonts w:hint="default"/>
      </w:rPr>
    </w:lvl>
    <w:lvl w:ilvl="3">
      <w:start w:val="0"/>
      <w:numFmt w:val="bullet"/>
      <w:lvlText w:val="•"/>
      <w:lvlJc w:val="left"/>
      <w:pPr>
        <w:ind w:left="2719" w:hanging="423"/>
      </w:pPr>
      <w:rPr>
        <w:rFonts w:hint="default"/>
      </w:rPr>
    </w:lvl>
    <w:lvl w:ilvl="4">
      <w:start w:val="0"/>
      <w:numFmt w:val="bullet"/>
      <w:lvlText w:val="•"/>
      <w:lvlJc w:val="left"/>
      <w:pPr>
        <w:ind w:left="3438" w:hanging="423"/>
      </w:pPr>
      <w:rPr>
        <w:rFonts w:hint="default"/>
      </w:rPr>
    </w:lvl>
    <w:lvl w:ilvl="5">
      <w:start w:val="0"/>
      <w:numFmt w:val="bullet"/>
      <w:lvlText w:val="•"/>
      <w:lvlJc w:val="left"/>
      <w:pPr>
        <w:ind w:left="4158" w:hanging="423"/>
      </w:pPr>
      <w:rPr>
        <w:rFonts w:hint="default"/>
      </w:rPr>
    </w:lvl>
    <w:lvl w:ilvl="6">
      <w:start w:val="0"/>
      <w:numFmt w:val="bullet"/>
      <w:lvlText w:val="•"/>
      <w:lvlJc w:val="left"/>
      <w:pPr>
        <w:ind w:left="4878" w:hanging="423"/>
      </w:pPr>
      <w:rPr>
        <w:rFonts w:hint="default"/>
      </w:rPr>
    </w:lvl>
    <w:lvl w:ilvl="7">
      <w:start w:val="0"/>
      <w:numFmt w:val="bullet"/>
      <w:lvlText w:val="•"/>
      <w:lvlJc w:val="left"/>
      <w:pPr>
        <w:ind w:left="5597" w:hanging="423"/>
      </w:pPr>
      <w:rPr>
        <w:rFonts w:hint="default"/>
      </w:rPr>
    </w:lvl>
    <w:lvl w:ilvl="8">
      <w:start w:val="0"/>
      <w:numFmt w:val="bullet"/>
      <w:lvlText w:val="•"/>
      <w:lvlJc w:val="left"/>
      <w:pPr>
        <w:ind w:left="6317" w:hanging="423"/>
      </w:pPr>
      <w:rPr>
        <w:rFonts w:hint="default"/>
      </w:rPr>
    </w:lvl>
  </w:abstractNum>
  <w:abstractNum w:abstractNumId="6">
    <w:multiLevelType w:val="hybridMultilevel"/>
    <w:lvl w:ilvl="0">
      <w:start w:val="6"/>
      <w:numFmt w:val="decimal"/>
      <w:lvlText w:val="(%1)"/>
      <w:lvlJc w:val="left"/>
      <w:pPr>
        <w:ind w:left="137" w:hanging="423"/>
        <w:jc w:val="left"/>
      </w:pPr>
      <w:rPr>
        <w:rFonts w:hint="default" w:ascii="宋体" w:hAnsi="宋体" w:eastAsia="宋体" w:cs="宋体"/>
        <w:w w:val="100"/>
        <w:sz w:val="21"/>
        <w:szCs w:val="21"/>
      </w:rPr>
    </w:lvl>
    <w:lvl w:ilvl="1">
      <w:start w:val="0"/>
      <w:numFmt w:val="bullet"/>
      <w:lvlText w:val="•"/>
      <w:lvlJc w:val="left"/>
      <w:pPr>
        <w:ind w:left="901" w:hanging="423"/>
      </w:pPr>
      <w:rPr>
        <w:rFonts w:hint="default"/>
      </w:rPr>
    </w:lvl>
    <w:lvl w:ilvl="2">
      <w:start w:val="0"/>
      <w:numFmt w:val="bullet"/>
      <w:lvlText w:val="•"/>
      <w:lvlJc w:val="left"/>
      <w:pPr>
        <w:ind w:left="1663"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3186" w:hanging="423"/>
      </w:pPr>
      <w:rPr>
        <w:rFonts w:hint="default"/>
      </w:rPr>
    </w:lvl>
    <w:lvl w:ilvl="5">
      <w:start w:val="0"/>
      <w:numFmt w:val="bullet"/>
      <w:lvlText w:val="•"/>
      <w:lvlJc w:val="left"/>
      <w:pPr>
        <w:ind w:left="3948" w:hanging="423"/>
      </w:pPr>
      <w:rPr>
        <w:rFonts w:hint="default"/>
      </w:rPr>
    </w:lvl>
    <w:lvl w:ilvl="6">
      <w:start w:val="0"/>
      <w:numFmt w:val="bullet"/>
      <w:lvlText w:val="•"/>
      <w:lvlJc w:val="left"/>
      <w:pPr>
        <w:ind w:left="4710" w:hanging="423"/>
      </w:pPr>
      <w:rPr>
        <w:rFonts w:hint="default"/>
      </w:rPr>
    </w:lvl>
    <w:lvl w:ilvl="7">
      <w:start w:val="0"/>
      <w:numFmt w:val="bullet"/>
      <w:lvlText w:val="•"/>
      <w:lvlJc w:val="left"/>
      <w:pPr>
        <w:ind w:left="5471" w:hanging="423"/>
      </w:pPr>
      <w:rPr>
        <w:rFonts w:hint="default"/>
      </w:rPr>
    </w:lvl>
    <w:lvl w:ilvl="8">
      <w:start w:val="0"/>
      <w:numFmt w:val="bullet"/>
      <w:lvlText w:val="•"/>
      <w:lvlJc w:val="left"/>
      <w:pPr>
        <w:ind w:left="6233" w:hanging="423"/>
      </w:pPr>
      <w:rPr>
        <w:rFonts w:hint="default"/>
      </w:rPr>
    </w:lvl>
  </w:abstractNum>
  <w:abstractNum w:abstractNumId="5">
    <w:multiLevelType w:val="hybridMultilevel"/>
    <w:lvl w:ilvl="0">
      <w:start w:val="1"/>
      <w:numFmt w:val="decimal"/>
      <w:lvlText w:val="(%1)"/>
      <w:lvlJc w:val="left"/>
      <w:pPr>
        <w:ind w:left="559" w:hanging="423"/>
        <w:jc w:val="left"/>
      </w:pPr>
      <w:rPr>
        <w:rFonts w:hint="default" w:ascii="宋体" w:hAnsi="宋体" w:eastAsia="宋体" w:cs="宋体"/>
        <w:w w:val="100"/>
        <w:sz w:val="21"/>
        <w:szCs w:val="21"/>
      </w:rPr>
    </w:lvl>
    <w:lvl w:ilvl="1">
      <w:start w:val="0"/>
      <w:numFmt w:val="bullet"/>
      <w:lvlText w:val="•"/>
      <w:lvlJc w:val="left"/>
      <w:pPr>
        <w:ind w:left="1279" w:hanging="423"/>
      </w:pPr>
      <w:rPr>
        <w:rFonts w:hint="default"/>
      </w:rPr>
    </w:lvl>
    <w:lvl w:ilvl="2">
      <w:start w:val="0"/>
      <w:numFmt w:val="bullet"/>
      <w:lvlText w:val="•"/>
      <w:lvlJc w:val="left"/>
      <w:pPr>
        <w:ind w:left="1999" w:hanging="423"/>
      </w:pPr>
      <w:rPr>
        <w:rFonts w:hint="default"/>
      </w:rPr>
    </w:lvl>
    <w:lvl w:ilvl="3">
      <w:start w:val="0"/>
      <w:numFmt w:val="bullet"/>
      <w:lvlText w:val="•"/>
      <w:lvlJc w:val="left"/>
      <w:pPr>
        <w:ind w:left="2718" w:hanging="423"/>
      </w:pPr>
      <w:rPr>
        <w:rFonts w:hint="default"/>
      </w:rPr>
    </w:lvl>
    <w:lvl w:ilvl="4">
      <w:start w:val="0"/>
      <w:numFmt w:val="bullet"/>
      <w:lvlText w:val="•"/>
      <w:lvlJc w:val="left"/>
      <w:pPr>
        <w:ind w:left="3438" w:hanging="423"/>
      </w:pPr>
      <w:rPr>
        <w:rFonts w:hint="default"/>
      </w:rPr>
    </w:lvl>
    <w:lvl w:ilvl="5">
      <w:start w:val="0"/>
      <w:numFmt w:val="bullet"/>
      <w:lvlText w:val="•"/>
      <w:lvlJc w:val="left"/>
      <w:pPr>
        <w:ind w:left="4158" w:hanging="423"/>
      </w:pPr>
      <w:rPr>
        <w:rFonts w:hint="default"/>
      </w:rPr>
    </w:lvl>
    <w:lvl w:ilvl="6">
      <w:start w:val="0"/>
      <w:numFmt w:val="bullet"/>
      <w:lvlText w:val="•"/>
      <w:lvlJc w:val="left"/>
      <w:pPr>
        <w:ind w:left="4877" w:hanging="423"/>
      </w:pPr>
      <w:rPr>
        <w:rFonts w:hint="default"/>
      </w:rPr>
    </w:lvl>
    <w:lvl w:ilvl="7">
      <w:start w:val="0"/>
      <w:numFmt w:val="bullet"/>
      <w:lvlText w:val="•"/>
      <w:lvlJc w:val="left"/>
      <w:pPr>
        <w:ind w:left="5597" w:hanging="423"/>
      </w:pPr>
      <w:rPr>
        <w:rFonts w:hint="default"/>
      </w:rPr>
    </w:lvl>
    <w:lvl w:ilvl="8">
      <w:start w:val="0"/>
      <w:numFmt w:val="bullet"/>
      <w:lvlText w:val="•"/>
      <w:lvlJc w:val="left"/>
      <w:pPr>
        <w:ind w:left="6316" w:hanging="423"/>
      </w:pPr>
      <w:rPr>
        <w:rFonts w:hint="default"/>
      </w:rPr>
    </w:lvl>
  </w:abstractNum>
  <w:abstractNum w:abstractNumId="4">
    <w:multiLevelType w:val="hybridMultilevel"/>
    <w:lvl w:ilvl="0">
      <w:start w:val="1"/>
      <w:numFmt w:val="decimal"/>
      <w:lvlText w:val="%1"/>
      <w:lvlJc w:val="left"/>
      <w:pPr>
        <w:ind w:left="109" w:hanging="370"/>
        <w:jc w:val="left"/>
      </w:pPr>
      <w:rPr>
        <w:rFonts w:hint="default"/>
      </w:rPr>
    </w:lvl>
    <w:lvl w:ilvl="1">
      <w:start w:val="1"/>
      <w:numFmt w:val="decimal"/>
      <w:lvlText w:val="%1.%2"/>
      <w:lvlJc w:val="left"/>
      <w:pPr>
        <w:ind w:left="109"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604" w:hanging="370"/>
      </w:pPr>
      <w:rPr>
        <w:rFonts w:hint="default"/>
      </w:rPr>
    </w:lvl>
    <w:lvl w:ilvl="3">
      <w:start w:val="0"/>
      <w:numFmt w:val="bullet"/>
      <w:lvlText w:val="•"/>
      <w:lvlJc w:val="left"/>
      <w:pPr>
        <w:ind w:left="2357" w:hanging="370"/>
      </w:pPr>
      <w:rPr>
        <w:rFonts w:hint="default"/>
      </w:rPr>
    </w:lvl>
    <w:lvl w:ilvl="4">
      <w:start w:val="0"/>
      <w:numFmt w:val="bullet"/>
      <w:lvlText w:val="•"/>
      <w:lvlJc w:val="left"/>
      <w:pPr>
        <w:ind w:left="3109" w:hanging="370"/>
      </w:pPr>
      <w:rPr>
        <w:rFonts w:hint="default"/>
      </w:rPr>
    </w:lvl>
    <w:lvl w:ilvl="5">
      <w:start w:val="0"/>
      <w:numFmt w:val="bullet"/>
      <w:lvlText w:val="•"/>
      <w:lvlJc w:val="left"/>
      <w:pPr>
        <w:ind w:left="3862" w:hanging="370"/>
      </w:pPr>
      <w:rPr>
        <w:rFonts w:hint="default"/>
      </w:rPr>
    </w:lvl>
    <w:lvl w:ilvl="6">
      <w:start w:val="0"/>
      <w:numFmt w:val="bullet"/>
      <w:lvlText w:val="•"/>
      <w:lvlJc w:val="left"/>
      <w:pPr>
        <w:ind w:left="4614" w:hanging="370"/>
      </w:pPr>
      <w:rPr>
        <w:rFonts w:hint="default"/>
      </w:rPr>
    </w:lvl>
    <w:lvl w:ilvl="7">
      <w:start w:val="0"/>
      <w:numFmt w:val="bullet"/>
      <w:lvlText w:val="•"/>
      <w:lvlJc w:val="left"/>
      <w:pPr>
        <w:ind w:left="5366" w:hanging="370"/>
      </w:pPr>
      <w:rPr>
        <w:rFonts w:hint="default"/>
      </w:rPr>
    </w:lvl>
    <w:lvl w:ilvl="8">
      <w:start w:val="0"/>
      <w:numFmt w:val="bullet"/>
      <w:lvlText w:val="•"/>
      <w:lvlJc w:val="left"/>
      <w:pPr>
        <w:ind w:left="6119" w:hanging="370"/>
      </w:pPr>
      <w:rPr>
        <w:rFonts w:hint="default"/>
      </w:rPr>
    </w:lvl>
  </w:abstractNum>
  <w:abstractNum w:abstractNumId="3">
    <w:multiLevelType w:val="hybridMultilevel"/>
    <w:lvl w:ilvl="0">
      <w:start w:val="1"/>
      <w:numFmt w:val="decimal"/>
      <w:lvlText w:val="(%1)"/>
      <w:lvlJc w:val="left"/>
      <w:pPr>
        <w:ind w:left="487"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7" w:hanging="351"/>
      </w:pPr>
      <w:rPr>
        <w:rFonts w:hint="default"/>
      </w:rPr>
    </w:lvl>
    <w:lvl w:ilvl="2">
      <w:start w:val="0"/>
      <w:numFmt w:val="bullet"/>
      <w:lvlText w:val="•"/>
      <w:lvlJc w:val="left"/>
      <w:pPr>
        <w:ind w:left="1935" w:hanging="351"/>
      </w:pPr>
      <w:rPr>
        <w:rFonts w:hint="default"/>
      </w:rPr>
    </w:lvl>
    <w:lvl w:ilvl="3">
      <w:start w:val="0"/>
      <w:numFmt w:val="bullet"/>
      <w:lvlText w:val="•"/>
      <w:lvlJc w:val="left"/>
      <w:pPr>
        <w:ind w:left="2662" w:hanging="351"/>
      </w:pPr>
      <w:rPr>
        <w:rFonts w:hint="default"/>
      </w:rPr>
    </w:lvl>
    <w:lvl w:ilvl="4">
      <w:start w:val="0"/>
      <w:numFmt w:val="bullet"/>
      <w:lvlText w:val="•"/>
      <w:lvlJc w:val="left"/>
      <w:pPr>
        <w:ind w:left="3390" w:hanging="351"/>
      </w:pPr>
      <w:rPr>
        <w:rFonts w:hint="default"/>
      </w:rPr>
    </w:lvl>
    <w:lvl w:ilvl="5">
      <w:start w:val="0"/>
      <w:numFmt w:val="bullet"/>
      <w:lvlText w:val="•"/>
      <w:lvlJc w:val="left"/>
      <w:pPr>
        <w:ind w:left="4118" w:hanging="351"/>
      </w:pPr>
      <w:rPr>
        <w:rFonts w:hint="default"/>
      </w:rPr>
    </w:lvl>
    <w:lvl w:ilvl="6">
      <w:start w:val="0"/>
      <w:numFmt w:val="bullet"/>
      <w:lvlText w:val="•"/>
      <w:lvlJc w:val="left"/>
      <w:pPr>
        <w:ind w:left="4845" w:hanging="351"/>
      </w:pPr>
      <w:rPr>
        <w:rFonts w:hint="default"/>
      </w:rPr>
    </w:lvl>
    <w:lvl w:ilvl="7">
      <w:start w:val="0"/>
      <w:numFmt w:val="bullet"/>
      <w:lvlText w:val="•"/>
      <w:lvlJc w:val="left"/>
      <w:pPr>
        <w:ind w:left="5573" w:hanging="351"/>
      </w:pPr>
      <w:rPr>
        <w:rFonts w:hint="default"/>
      </w:rPr>
    </w:lvl>
    <w:lvl w:ilvl="8">
      <w:start w:val="0"/>
      <w:numFmt w:val="bullet"/>
      <w:lvlText w:val="•"/>
      <w:lvlJc w:val="left"/>
      <w:pPr>
        <w:ind w:left="6300" w:hanging="351"/>
      </w:pPr>
      <w:rPr>
        <w:rFonts w:hint="default"/>
      </w:rPr>
    </w:lvl>
  </w:abstractNum>
  <w:abstractNum w:abstractNumId="2">
    <w:multiLevelType w:val="hybridMultilevel"/>
    <w:lvl w:ilvl="0">
      <w:start w:val="0"/>
      <w:numFmt w:val="bullet"/>
      <w:lvlText w:val="■"/>
      <w:lvlJc w:val="left"/>
      <w:pPr>
        <w:ind w:left="425" w:hanging="317"/>
      </w:pPr>
      <w:rPr>
        <w:rFonts w:hint="default" w:ascii="宋体" w:hAnsi="宋体" w:eastAsia="宋体" w:cs="宋体"/>
        <w:w w:val="100"/>
        <w:sz w:val="21"/>
        <w:szCs w:val="21"/>
      </w:rPr>
    </w:lvl>
    <w:lvl w:ilvl="1">
      <w:start w:val="0"/>
      <w:numFmt w:val="bullet"/>
      <w:lvlText w:val="•"/>
      <w:lvlJc w:val="left"/>
      <w:pPr>
        <w:ind w:left="1150" w:hanging="317"/>
      </w:pPr>
      <w:rPr>
        <w:rFonts w:hint="default"/>
      </w:rPr>
    </w:lvl>
    <w:lvl w:ilvl="2">
      <w:start w:val="0"/>
      <w:numFmt w:val="bullet"/>
      <w:lvlText w:val="•"/>
      <w:lvlJc w:val="left"/>
      <w:pPr>
        <w:ind w:left="1881" w:hanging="317"/>
      </w:pPr>
      <w:rPr>
        <w:rFonts w:hint="default"/>
      </w:rPr>
    </w:lvl>
    <w:lvl w:ilvl="3">
      <w:start w:val="0"/>
      <w:numFmt w:val="bullet"/>
      <w:lvlText w:val="•"/>
      <w:lvlJc w:val="left"/>
      <w:pPr>
        <w:ind w:left="2612" w:hanging="317"/>
      </w:pPr>
      <w:rPr>
        <w:rFonts w:hint="default"/>
      </w:rPr>
    </w:lvl>
    <w:lvl w:ilvl="4">
      <w:start w:val="0"/>
      <w:numFmt w:val="bullet"/>
      <w:lvlText w:val="•"/>
      <w:lvlJc w:val="left"/>
      <w:pPr>
        <w:ind w:left="3343" w:hanging="317"/>
      </w:pPr>
      <w:rPr>
        <w:rFonts w:hint="default"/>
      </w:rPr>
    </w:lvl>
    <w:lvl w:ilvl="5">
      <w:start w:val="0"/>
      <w:numFmt w:val="bullet"/>
      <w:lvlText w:val="•"/>
      <w:lvlJc w:val="left"/>
      <w:pPr>
        <w:ind w:left="4074" w:hanging="317"/>
      </w:pPr>
      <w:rPr>
        <w:rFonts w:hint="default"/>
      </w:rPr>
    </w:lvl>
    <w:lvl w:ilvl="6">
      <w:start w:val="0"/>
      <w:numFmt w:val="bullet"/>
      <w:lvlText w:val="•"/>
      <w:lvlJc w:val="left"/>
      <w:pPr>
        <w:ind w:left="4805" w:hanging="317"/>
      </w:pPr>
      <w:rPr>
        <w:rFonts w:hint="default"/>
      </w:rPr>
    </w:lvl>
    <w:lvl w:ilvl="7">
      <w:start w:val="0"/>
      <w:numFmt w:val="bullet"/>
      <w:lvlText w:val="•"/>
      <w:lvlJc w:val="left"/>
      <w:pPr>
        <w:ind w:left="5536" w:hanging="317"/>
      </w:pPr>
      <w:rPr>
        <w:rFonts w:hint="default"/>
      </w:rPr>
    </w:lvl>
    <w:lvl w:ilvl="8">
      <w:start w:val="0"/>
      <w:numFmt w:val="bullet"/>
      <w:lvlText w:val="•"/>
      <w:lvlJc w:val="left"/>
      <w:pPr>
        <w:ind w:left="6267" w:hanging="317"/>
      </w:pPr>
      <w:rPr>
        <w:rFonts w:hint="default"/>
      </w:rPr>
    </w:lvl>
  </w:abstractNum>
  <w:abstractNum w:abstractNumId="1">
    <w:multiLevelType w:val="hybridMultilevel"/>
    <w:lvl w:ilvl="0">
      <w:start w:val="3"/>
      <w:numFmt w:val="decimal"/>
      <w:lvlText w:val="%1"/>
      <w:lvlJc w:val="left"/>
      <w:pPr>
        <w:ind w:left="2711" w:hanging="1014"/>
        <w:jc w:val="left"/>
      </w:pPr>
      <w:rPr>
        <w:rFonts w:hint="default"/>
      </w:rPr>
    </w:lvl>
    <w:lvl w:ilvl="1">
      <w:start w:val="2"/>
      <w:numFmt w:val="decimal"/>
      <w:lvlText w:val="%1.%2"/>
      <w:lvlJc w:val="left"/>
      <w:pPr>
        <w:ind w:left="2711" w:hanging="1014"/>
        <w:jc w:val="left"/>
      </w:pPr>
      <w:rPr>
        <w:rFonts w:hint="default"/>
      </w:rPr>
    </w:lvl>
    <w:lvl w:ilvl="2">
      <w:start w:val="31"/>
      <w:numFmt w:val="decimal"/>
      <w:lvlText w:val="%1.%2.%3"/>
      <w:lvlJc w:val="left"/>
      <w:pPr>
        <w:ind w:left="2711" w:hanging="1014"/>
        <w:jc w:val="left"/>
      </w:pPr>
      <w:rPr>
        <w:rFonts w:hint="default" w:ascii="宋体" w:hAnsi="宋体" w:eastAsia="宋体" w:cs="宋体"/>
        <w:i/>
        <w:w w:val="95"/>
        <w:sz w:val="22"/>
        <w:szCs w:val="22"/>
      </w:rPr>
    </w:lvl>
    <w:lvl w:ilvl="3">
      <w:start w:val="0"/>
      <w:numFmt w:val="bullet"/>
      <w:lvlText w:val="•"/>
      <w:lvlJc w:val="left"/>
      <w:pPr>
        <w:ind w:left="4989" w:hanging="1014"/>
      </w:pPr>
      <w:rPr>
        <w:rFonts w:hint="default"/>
      </w:rPr>
    </w:lvl>
    <w:lvl w:ilvl="4">
      <w:start w:val="0"/>
      <w:numFmt w:val="bullet"/>
      <w:lvlText w:val="•"/>
      <w:lvlJc w:val="left"/>
      <w:pPr>
        <w:ind w:left="5746" w:hanging="1014"/>
      </w:pPr>
      <w:rPr>
        <w:rFonts w:hint="default"/>
      </w:rPr>
    </w:lvl>
    <w:lvl w:ilvl="5">
      <w:start w:val="0"/>
      <w:numFmt w:val="bullet"/>
      <w:lvlText w:val="•"/>
      <w:lvlJc w:val="left"/>
      <w:pPr>
        <w:ind w:left="6503" w:hanging="1014"/>
      </w:pPr>
      <w:rPr>
        <w:rFonts w:hint="default"/>
      </w:rPr>
    </w:lvl>
    <w:lvl w:ilvl="6">
      <w:start w:val="0"/>
      <w:numFmt w:val="bullet"/>
      <w:lvlText w:val="•"/>
      <w:lvlJc w:val="left"/>
      <w:pPr>
        <w:ind w:left="7259" w:hanging="1014"/>
      </w:pPr>
      <w:rPr>
        <w:rFonts w:hint="default"/>
      </w:rPr>
    </w:lvl>
    <w:lvl w:ilvl="7">
      <w:start w:val="0"/>
      <w:numFmt w:val="bullet"/>
      <w:lvlText w:val="•"/>
      <w:lvlJc w:val="left"/>
      <w:pPr>
        <w:ind w:left="8016" w:hanging="1014"/>
      </w:pPr>
      <w:rPr>
        <w:rFonts w:hint="default"/>
      </w:rPr>
    </w:lvl>
    <w:lvl w:ilvl="8">
      <w:start w:val="0"/>
      <w:numFmt w:val="bullet"/>
      <w:lvlText w:val="•"/>
      <w:lvlJc w:val="left"/>
      <w:pPr>
        <w:ind w:left="8773" w:hanging="1014"/>
      </w:pPr>
      <w:rPr>
        <w:rFonts w:hint="default"/>
      </w:rPr>
    </w:lvl>
  </w:abstractNum>
  <w:abstractNum w:abstractNumId="0">
    <w:multiLevelType w:val="hybridMultilevel"/>
    <w:lvl w:ilvl="0">
      <w:start w:val="2"/>
      <w:numFmt w:val="decimal"/>
      <w:lvlText w:val="%1"/>
      <w:lvlJc w:val="left"/>
      <w:pPr>
        <w:ind w:left="1235" w:hanging="1014"/>
        <w:jc w:val="left"/>
      </w:pPr>
      <w:rPr>
        <w:rFonts w:hint="default" w:ascii="宋体" w:hAnsi="宋体" w:eastAsia="宋体" w:cs="宋体"/>
        <w:b/>
        <w:bCs/>
        <w:w w:val="99"/>
        <w:sz w:val="28"/>
        <w:szCs w:val="28"/>
      </w:rPr>
    </w:lvl>
    <w:lvl w:ilvl="1">
      <w:start w:val="1"/>
      <w:numFmt w:val="decimal"/>
      <w:lvlText w:val="%1.%2"/>
      <w:lvlJc w:val="left"/>
      <w:pPr>
        <w:ind w:left="2771" w:hanging="1014"/>
        <w:jc w:val="left"/>
      </w:pPr>
      <w:rPr>
        <w:rFonts w:hint="default" w:ascii="宋体" w:hAnsi="宋体" w:eastAsia="宋体" w:cs="宋体"/>
        <w:b/>
        <w:bCs/>
        <w:w w:val="99"/>
        <w:sz w:val="21"/>
        <w:szCs w:val="21"/>
      </w:rPr>
    </w:lvl>
    <w:lvl w:ilvl="2">
      <w:start w:val="1"/>
      <w:numFmt w:val="decimal"/>
      <w:lvlText w:val="%1.%2.%3"/>
      <w:lvlJc w:val="left"/>
      <w:pPr>
        <w:ind w:left="1235" w:hanging="1014"/>
        <w:jc w:val="left"/>
      </w:pPr>
      <w:rPr>
        <w:rFonts w:hint="default" w:ascii="宋体" w:hAnsi="宋体" w:eastAsia="宋体" w:cs="宋体"/>
        <w:i/>
        <w:w w:val="95"/>
        <w:sz w:val="22"/>
        <w:szCs w:val="22"/>
      </w:rPr>
    </w:lvl>
    <w:lvl w:ilvl="3">
      <w:start w:val="0"/>
      <w:numFmt w:val="bullet"/>
      <w:lvlText w:val="•"/>
      <w:lvlJc w:val="left"/>
      <w:pPr>
        <w:ind w:left="2717" w:hanging="1014"/>
      </w:pPr>
      <w:rPr>
        <w:rFonts w:hint="default"/>
      </w:rPr>
    </w:lvl>
    <w:lvl w:ilvl="4">
      <w:start w:val="0"/>
      <w:numFmt w:val="bullet"/>
      <w:lvlText w:val="•"/>
      <w:lvlJc w:val="left"/>
      <w:pPr>
        <w:ind w:left="2686" w:hanging="1014"/>
      </w:pPr>
      <w:rPr>
        <w:rFonts w:hint="default"/>
      </w:rPr>
    </w:lvl>
    <w:lvl w:ilvl="5">
      <w:start w:val="0"/>
      <w:numFmt w:val="bullet"/>
      <w:lvlText w:val="•"/>
      <w:lvlJc w:val="left"/>
      <w:pPr>
        <w:ind w:left="2654" w:hanging="1014"/>
      </w:pPr>
      <w:rPr>
        <w:rFonts w:hint="default"/>
      </w:rPr>
    </w:lvl>
    <w:lvl w:ilvl="6">
      <w:start w:val="0"/>
      <w:numFmt w:val="bullet"/>
      <w:lvlText w:val="•"/>
      <w:lvlJc w:val="left"/>
      <w:pPr>
        <w:ind w:left="2623" w:hanging="1014"/>
      </w:pPr>
      <w:rPr>
        <w:rFonts w:hint="default"/>
      </w:rPr>
    </w:lvl>
    <w:lvl w:ilvl="7">
      <w:start w:val="0"/>
      <w:numFmt w:val="bullet"/>
      <w:lvlText w:val="•"/>
      <w:lvlJc w:val="left"/>
      <w:pPr>
        <w:ind w:left="2592" w:hanging="1014"/>
      </w:pPr>
      <w:rPr>
        <w:rFonts w:hint="default"/>
      </w:rPr>
    </w:lvl>
    <w:lvl w:ilvl="8">
      <w:start w:val="0"/>
      <w:numFmt w:val="bullet"/>
      <w:lvlText w:val="•"/>
      <w:lvlJc w:val="left"/>
      <w:pPr>
        <w:ind w:left="2560" w:hanging="101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4"/>
      <w:ind w:left="317"/>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4"/>
      <w:ind w:left="1235" w:hanging="1013"/>
      <w:outlineLvl w:val="2"/>
    </w:pPr>
    <w:rPr>
      <w:rFonts w:ascii="宋体" w:hAnsi="宋体" w:eastAsia="宋体" w:cs="宋体"/>
      <w:i/>
      <w:sz w:val="22"/>
      <w:szCs w:val="22"/>
    </w:rPr>
  </w:style>
  <w:style w:styleId="Heading3" w:type="paragraph">
    <w:name w:val="Heading 3"/>
    <w:basedOn w:val="Normal"/>
    <w:uiPriority w:val="1"/>
    <w:qFormat/>
    <w:pPr>
      <w:ind w:left="163"/>
      <w:outlineLvl w:val="3"/>
    </w:pPr>
    <w:rPr>
      <w:rFonts w:ascii="宋体" w:hAnsi="宋体" w:eastAsia="宋体" w:cs="宋体"/>
      <w:b/>
      <w:bCs/>
      <w:sz w:val="21"/>
      <w:szCs w:val="21"/>
    </w:rPr>
  </w:style>
  <w:style w:styleId="ListParagraph" w:type="paragraph">
    <w:name w:val="List Paragraph"/>
    <w:basedOn w:val="Normal"/>
    <w:uiPriority w:val="1"/>
    <w:qFormat/>
    <w:pPr>
      <w:ind w:left="123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hqst100721</dc:creator>
  <dc:title>中荷人寿保险有限公司</dc:title>
  <dcterms:created xsi:type="dcterms:W3CDTF">2018-10-20T08:27:52Z</dcterms:created>
  <dcterms:modified xsi:type="dcterms:W3CDTF">2018-10-20T08:27:52Z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Office Word 2007</vt:lpwstr>
  </property>
  <property fmtid="{D5CDD505-2E9C-101B-9397-08002B2CF9AE}" pid="4" name="LastSaved">
    <vt:filetime>2018-10-20T00:00:00Z</vt:filetime>
  </property>
</Properties>
</file>