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391735">
            <wp:simplePos x="0" y="0"/>
            <wp:positionH relativeFrom="page">
              <wp:posOffset>5728334</wp:posOffset>
            </wp:positionH>
            <wp:positionV relativeFrom="page">
              <wp:posOffset>1593849</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p>
    <w:p>
      <w:pPr>
        <w:pStyle w:val="BodyText"/>
        <w:spacing w:before="8"/>
        <w:ind w:left="0"/>
        <w:rPr>
          <w:rFonts w:ascii="Times New Roman"/>
          <w:sz w:val="2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8"/>
        <w:gridCol w:w="4746"/>
      </w:tblGrid>
      <w:tr>
        <w:trPr>
          <w:trHeight w:val="378" w:hRule="atLeast"/>
        </w:trPr>
        <w:tc>
          <w:tcPr>
            <w:tcW w:w="4808" w:type="dxa"/>
          </w:tcPr>
          <w:p>
            <w:pPr>
              <w:pStyle w:val="TableParagraph"/>
              <w:rPr>
                <w:rFonts w:ascii="Times New Roman"/>
                <w:sz w:val="20"/>
              </w:rPr>
            </w:pPr>
          </w:p>
        </w:tc>
        <w:tc>
          <w:tcPr>
            <w:tcW w:w="4746" w:type="dxa"/>
          </w:tcPr>
          <w:p>
            <w:pPr>
              <w:pStyle w:val="TableParagraph"/>
              <w:spacing w:line="234" w:lineRule="exact"/>
              <w:ind w:left="1347"/>
              <w:rPr>
                <w:rFonts w:ascii="仿宋" w:eastAsia="仿宋" w:hint="eastAsia"/>
                <w:sz w:val="21"/>
              </w:rPr>
            </w:pPr>
            <w:r>
              <w:rPr>
                <w:rFonts w:ascii="仿宋" w:eastAsia="仿宋" w:hint="eastAsia"/>
                <w:sz w:val="21"/>
              </w:rPr>
              <w:t>中航三星人寿</w:t>
            </w:r>
            <w:r>
              <w:rPr>
                <w:rFonts w:ascii="Times New Roman" w:eastAsia="Times New Roman"/>
                <w:sz w:val="21"/>
              </w:rPr>
              <w:t>[2015]</w:t>
            </w:r>
            <w:r>
              <w:rPr>
                <w:rFonts w:ascii="仿宋" w:eastAsia="仿宋" w:hint="eastAsia"/>
                <w:sz w:val="21"/>
              </w:rPr>
              <w:t>疾病保险 </w:t>
            </w:r>
            <w:r>
              <w:rPr>
                <w:rFonts w:ascii="Times New Roman" w:eastAsia="Times New Roman"/>
                <w:sz w:val="21"/>
              </w:rPr>
              <w:t>013 </w:t>
            </w:r>
            <w:r>
              <w:rPr>
                <w:rFonts w:ascii="仿宋" w:eastAsia="仿宋" w:hint="eastAsia"/>
                <w:sz w:val="21"/>
              </w:rPr>
              <w:t>号</w:t>
            </w:r>
          </w:p>
        </w:tc>
      </w:tr>
      <w:tr>
        <w:trPr>
          <w:trHeight w:val="1849" w:hRule="atLeast"/>
        </w:trPr>
        <w:tc>
          <w:tcPr>
            <w:tcW w:w="9554" w:type="dxa"/>
            <w:gridSpan w:val="2"/>
          </w:tcPr>
          <w:p>
            <w:pPr>
              <w:pStyle w:val="TableParagraph"/>
              <w:spacing w:before="45"/>
              <w:ind w:left="2238" w:right="2239"/>
              <w:jc w:val="center"/>
              <w:rPr>
                <w:b/>
                <w:sz w:val="32"/>
              </w:rPr>
            </w:pPr>
            <w:r>
              <w:rPr>
                <w:b/>
                <w:w w:val="95"/>
                <w:sz w:val="32"/>
              </w:rPr>
              <w:t>中航三星人寿保险有限公司</w:t>
            </w:r>
          </w:p>
          <w:p>
            <w:pPr>
              <w:pStyle w:val="TableParagraph"/>
              <w:spacing w:before="130"/>
              <w:ind w:left="2239" w:right="2239"/>
              <w:jc w:val="center"/>
              <w:rPr>
                <w:b/>
                <w:sz w:val="24"/>
              </w:rPr>
            </w:pPr>
            <w:r>
              <w:rPr>
                <w:b/>
                <w:w w:val="95"/>
                <w:sz w:val="24"/>
              </w:rPr>
              <w:t>中航三星附加领先财智额外给付重大疾病保险条款</w:t>
            </w:r>
          </w:p>
          <w:p>
            <w:pPr>
              <w:pStyle w:val="TableParagraph"/>
              <w:spacing w:before="29"/>
              <w:ind w:left="2239" w:right="2234"/>
              <w:jc w:val="center"/>
              <w:rPr>
                <w:b/>
                <w:sz w:val="24"/>
              </w:rPr>
            </w:pPr>
            <w:r>
              <w:rPr>
                <w:b/>
                <w:sz w:val="24"/>
              </w:rPr>
              <w:t>（2015 年 6 月）</w:t>
            </w:r>
          </w:p>
          <w:p>
            <w:pPr>
              <w:pStyle w:val="TableParagraph"/>
              <w:spacing w:before="54"/>
              <w:ind w:right="103"/>
              <w:jc w:val="right"/>
              <w:rPr>
                <w:rFonts w:ascii="仿宋" w:eastAsia="仿宋" w:hint="eastAsia"/>
                <w:sz w:val="21"/>
              </w:rPr>
            </w:pPr>
            <w:r>
              <w:rPr>
                <w:rFonts w:ascii="仿宋" w:eastAsia="仿宋" w:hint="eastAsia"/>
                <w:sz w:val="21"/>
              </w:rPr>
              <w:t>请扫描以查询验证条款</w:t>
            </w:r>
          </w:p>
        </w:tc>
      </w:tr>
      <w:tr>
        <w:trPr>
          <w:trHeight w:val="931" w:hRule="atLeast"/>
        </w:trPr>
        <w:tc>
          <w:tcPr>
            <w:tcW w:w="9554" w:type="dxa"/>
            <w:gridSpan w:val="2"/>
          </w:tcPr>
          <w:p>
            <w:pPr>
              <w:pStyle w:val="TableParagraph"/>
              <w:spacing w:before="8"/>
              <w:rPr>
                <w:rFonts w:ascii="Times New Roman"/>
                <w:sz w:val="17"/>
              </w:rPr>
            </w:pPr>
          </w:p>
          <w:p>
            <w:pPr>
              <w:pStyle w:val="TableParagraph"/>
              <w:ind w:left="1193"/>
              <w:rPr>
                <w:b/>
                <w:sz w:val="21"/>
              </w:rPr>
            </w:pPr>
            <w:r>
              <w:rPr>
                <w:b/>
                <w:sz w:val="21"/>
              </w:rPr>
              <w:t>在阅读条款正文之前，浏览一下条款目录有助于对条款结构有一个大致了解。</w:t>
            </w:r>
          </w:p>
        </w:tc>
      </w:tr>
      <w:tr>
        <w:trPr>
          <w:trHeight w:val="435" w:hRule="atLeast"/>
        </w:trPr>
        <w:tc>
          <w:tcPr>
            <w:tcW w:w="9554" w:type="dxa"/>
            <w:gridSpan w:val="2"/>
            <w:shd w:val="clear" w:color="auto" w:fill="CCCCCC"/>
          </w:tcPr>
          <w:p>
            <w:pPr>
              <w:pStyle w:val="TableParagraph"/>
              <w:spacing w:before="47"/>
              <w:ind w:left="2239" w:right="2235"/>
              <w:jc w:val="center"/>
              <w:rPr>
                <w:b/>
                <w:sz w:val="21"/>
              </w:rPr>
            </w:pPr>
            <w:r>
              <w:rPr>
                <w:b/>
                <w:sz w:val="21"/>
              </w:rPr>
              <w:t>条款目录</w:t>
            </w:r>
          </w:p>
        </w:tc>
      </w:tr>
      <w:tr>
        <w:trPr>
          <w:trHeight w:val="8326" w:hRule="atLeast"/>
        </w:trPr>
        <w:tc>
          <w:tcPr>
            <w:tcW w:w="4808" w:type="dxa"/>
            <w:tcBorders>
              <w:right w:val="single" w:sz="4" w:space="0" w:color="000000"/>
            </w:tcBorders>
          </w:tcPr>
          <w:p>
            <w:pPr>
              <w:pStyle w:val="TableParagraph"/>
              <w:tabs>
                <w:tab w:pos="1476" w:val="left" w:leader="none"/>
              </w:tabs>
              <w:spacing w:line="300" w:lineRule="auto" w:before="47"/>
              <w:ind w:left="533" w:right="1632" w:hanging="423"/>
              <w:rPr>
                <w:sz w:val="21"/>
              </w:rPr>
            </w:pPr>
            <w:r>
              <w:rPr>
                <w:b/>
                <w:sz w:val="21"/>
              </w:rPr>
              <w:t>第一章</w:t>
              <w:tab/>
              <w:t>附加</w:t>
            </w:r>
            <w:r>
              <w:rPr>
                <w:b/>
                <w:spacing w:val="-3"/>
                <w:sz w:val="21"/>
              </w:rPr>
              <w:t>保</w:t>
            </w:r>
            <w:r>
              <w:rPr>
                <w:b/>
                <w:sz w:val="21"/>
              </w:rPr>
              <w:t>险</w:t>
            </w:r>
            <w:r>
              <w:rPr>
                <w:b/>
                <w:spacing w:val="-3"/>
                <w:sz w:val="21"/>
              </w:rPr>
              <w:t>合</w:t>
            </w:r>
            <w:r>
              <w:rPr>
                <w:b/>
                <w:sz w:val="21"/>
              </w:rPr>
              <w:t>同订立 </w:t>
            </w:r>
            <w:r>
              <w:rPr>
                <w:spacing w:val="-3"/>
                <w:sz w:val="21"/>
              </w:rPr>
              <w:t>第</w:t>
            </w:r>
            <w:r>
              <w:rPr>
                <w:sz w:val="21"/>
              </w:rPr>
              <w:t>一条</w:t>
              <w:tab/>
              <w:t>附</w:t>
            </w:r>
            <w:r>
              <w:rPr>
                <w:spacing w:val="-3"/>
                <w:sz w:val="21"/>
              </w:rPr>
              <w:t>加</w:t>
            </w:r>
            <w:r>
              <w:rPr>
                <w:sz w:val="21"/>
              </w:rPr>
              <w:t>保</w:t>
            </w:r>
            <w:r>
              <w:rPr>
                <w:spacing w:val="-3"/>
                <w:sz w:val="21"/>
              </w:rPr>
              <w:t>险合</w:t>
            </w:r>
            <w:r>
              <w:rPr>
                <w:sz w:val="21"/>
              </w:rPr>
              <w:t>同订立</w:t>
            </w:r>
          </w:p>
          <w:p>
            <w:pPr>
              <w:pStyle w:val="TableParagraph"/>
              <w:tabs>
                <w:tab w:pos="1476" w:val="left" w:leader="none"/>
              </w:tabs>
              <w:spacing w:line="300" w:lineRule="auto" w:before="15"/>
              <w:ind w:left="530" w:right="1421" w:hanging="420"/>
              <w:rPr>
                <w:sz w:val="21"/>
              </w:rPr>
            </w:pPr>
            <w:r>
              <w:rPr>
                <w:b/>
                <w:sz w:val="21"/>
              </w:rPr>
              <w:t>第二章</w:t>
              <w:tab/>
              <w:t>保险</w:t>
            </w:r>
            <w:r>
              <w:rPr>
                <w:b/>
                <w:spacing w:val="-3"/>
                <w:sz w:val="21"/>
              </w:rPr>
              <w:t>责</w:t>
            </w:r>
            <w:r>
              <w:rPr>
                <w:b/>
                <w:sz w:val="21"/>
              </w:rPr>
              <w:t>任</w:t>
            </w:r>
            <w:r>
              <w:rPr>
                <w:b/>
                <w:spacing w:val="-3"/>
                <w:sz w:val="21"/>
              </w:rPr>
              <w:t>及</w:t>
            </w:r>
            <w:r>
              <w:rPr>
                <w:b/>
                <w:sz w:val="21"/>
              </w:rPr>
              <w:t>责任免除 </w:t>
            </w:r>
            <w:r>
              <w:rPr>
                <w:sz w:val="21"/>
              </w:rPr>
              <w:t>第二条</w:t>
              <w:tab/>
              <w:t>保</w:t>
            </w:r>
            <w:r>
              <w:rPr>
                <w:spacing w:val="-3"/>
                <w:sz w:val="21"/>
              </w:rPr>
              <w:t>险</w:t>
            </w:r>
            <w:r>
              <w:rPr>
                <w:sz w:val="21"/>
              </w:rPr>
              <w:t>责任</w:t>
            </w:r>
          </w:p>
          <w:p>
            <w:pPr>
              <w:pStyle w:val="TableParagraph"/>
              <w:tabs>
                <w:tab w:pos="1476" w:val="left" w:leader="none"/>
              </w:tabs>
              <w:spacing w:before="15"/>
              <w:ind w:left="530"/>
              <w:rPr>
                <w:sz w:val="21"/>
              </w:rPr>
            </w:pPr>
            <w:r>
              <w:rPr>
                <w:sz w:val="21"/>
              </w:rPr>
              <w:t>第三条</w:t>
              <w:tab/>
              <w:t>责</w:t>
            </w:r>
            <w:r>
              <w:rPr>
                <w:spacing w:val="-3"/>
                <w:sz w:val="21"/>
              </w:rPr>
              <w:t>任</w:t>
            </w:r>
            <w:r>
              <w:rPr>
                <w:sz w:val="21"/>
              </w:rPr>
              <w:t>免除</w:t>
            </w:r>
          </w:p>
          <w:p>
            <w:pPr>
              <w:pStyle w:val="TableParagraph"/>
              <w:tabs>
                <w:tab w:pos="1476" w:val="left" w:leader="none"/>
              </w:tabs>
              <w:spacing w:line="300" w:lineRule="auto" w:before="68"/>
              <w:ind w:left="530" w:right="365" w:hanging="420"/>
              <w:rPr>
                <w:sz w:val="21"/>
              </w:rPr>
            </w:pPr>
            <w:r>
              <w:rPr>
                <w:b/>
                <w:sz w:val="21"/>
              </w:rPr>
              <w:t>第三章</w:t>
              <w:tab/>
              <w:t>保险</w:t>
            </w:r>
            <w:r>
              <w:rPr>
                <w:b/>
                <w:spacing w:val="-3"/>
                <w:sz w:val="21"/>
              </w:rPr>
              <w:t>金</w:t>
            </w:r>
            <w:r>
              <w:rPr>
                <w:b/>
                <w:sz w:val="21"/>
              </w:rPr>
              <w:t>额</w:t>
            </w:r>
            <w:r>
              <w:rPr>
                <w:b/>
                <w:spacing w:val="-3"/>
                <w:sz w:val="21"/>
              </w:rPr>
              <w:t>及</w:t>
            </w:r>
            <w:r>
              <w:rPr>
                <w:b/>
                <w:sz w:val="21"/>
              </w:rPr>
              <w:t>重大疾病风险保险费 </w:t>
            </w:r>
            <w:r>
              <w:rPr>
                <w:sz w:val="21"/>
              </w:rPr>
              <w:t>第四条</w:t>
              <w:tab/>
              <w:t>基</w:t>
            </w:r>
            <w:r>
              <w:rPr>
                <w:spacing w:val="-3"/>
                <w:sz w:val="21"/>
              </w:rPr>
              <w:t>本</w:t>
            </w:r>
            <w:r>
              <w:rPr>
                <w:sz w:val="21"/>
              </w:rPr>
              <w:t>保</w:t>
            </w:r>
            <w:r>
              <w:rPr>
                <w:spacing w:val="-3"/>
                <w:sz w:val="21"/>
              </w:rPr>
              <w:t>险</w:t>
            </w:r>
            <w:r>
              <w:rPr>
                <w:sz w:val="21"/>
              </w:rPr>
              <w:t>金</w:t>
            </w:r>
            <w:r>
              <w:rPr>
                <w:spacing w:val="-3"/>
                <w:sz w:val="21"/>
              </w:rPr>
              <w:t>额和</w:t>
            </w:r>
            <w:r>
              <w:rPr>
                <w:sz w:val="21"/>
              </w:rPr>
              <w:t>保险</w:t>
            </w:r>
            <w:r>
              <w:rPr>
                <w:spacing w:val="-3"/>
                <w:sz w:val="21"/>
              </w:rPr>
              <w:t>金</w:t>
            </w:r>
            <w:r>
              <w:rPr>
                <w:sz w:val="21"/>
              </w:rPr>
              <w:t>额</w:t>
            </w:r>
          </w:p>
          <w:p>
            <w:pPr>
              <w:pStyle w:val="TableParagraph"/>
              <w:tabs>
                <w:tab w:pos="1476" w:val="left" w:leader="none"/>
              </w:tabs>
              <w:spacing w:line="300" w:lineRule="auto" w:before="16"/>
              <w:ind w:left="530" w:right="1433"/>
              <w:rPr>
                <w:sz w:val="21"/>
              </w:rPr>
            </w:pPr>
            <w:r>
              <w:rPr>
                <w:sz w:val="21"/>
              </w:rPr>
              <w:t>第五条</w:t>
              <w:tab/>
              <w:t>基</w:t>
            </w:r>
            <w:r>
              <w:rPr>
                <w:spacing w:val="-3"/>
                <w:sz w:val="21"/>
              </w:rPr>
              <w:t>本</w:t>
            </w:r>
            <w:r>
              <w:rPr>
                <w:sz w:val="21"/>
              </w:rPr>
              <w:t>保</w:t>
            </w:r>
            <w:r>
              <w:rPr>
                <w:spacing w:val="-3"/>
                <w:sz w:val="21"/>
              </w:rPr>
              <w:t>险</w:t>
            </w:r>
            <w:r>
              <w:rPr>
                <w:sz w:val="21"/>
              </w:rPr>
              <w:t>金</w:t>
            </w:r>
            <w:r>
              <w:rPr>
                <w:spacing w:val="-3"/>
                <w:sz w:val="21"/>
              </w:rPr>
              <w:t>额变</w:t>
            </w:r>
            <w:r>
              <w:rPr>
                <w:sz w:val="21"/>
              </w:rPr>
              <w:t>更 第六条</w:t>
              <w:tab/>
              <w:t>重</w:t>
            </w:r>
            <w:r>
              <w:rPr>
                <w:spacing w:val="-3"/>
                <w:sz w:val="21"/>
              </w:rPr>
              <w:t>大</w:t>
            </w:r>
            <w:r>
              <w:rPr>
                <w:sz w:val="21"/>
              </w:rPr>
              <w:t>疾</w:t>
            </w:r>
            <w:r>
              <w:rPr>
                <w:spacing w:val="-3"/>
                <w:sz w:val="21"/>
              </w:rPr>
              <w:t>病</w:t>
            </w:r>
            <w:r>
              <w:rPr>
                <w:sz w:val="21"/>
              </w:rPr>
              <w:t>风</w:t>
            </w:r>
            <w:r>
              <w:rPr>
                <w:spacing w:val="-3"/>
                <w:sz w:val="21"/>
              </w:rPr>
              <w:t>险保</w:t>
            </w:r>
            <w:r>
              <w:rPr>
                <w:sz w:val="21"/>
              </w:rPr>
              <w:t>险费</w:t>
            </w:r>
          </w:p>
          <w:p>
            <w:pPr>
              <w:pStyle w:val="TableParagraph"/>
              <w:tabs>
                <w:tab w:pos="1507" w:val="left" w:leader="none"/>
              </w:tabs>
              <w:spacing w:before="16"/>
              <w:ind w:left="110"/>
              <w:rPr>
                <w:b/>
                <w:sz w:val="21"/>
              </w:rPr>
            </w:pPr>
            <w:r>
              <w:rPr>
                <w:b/>
                <w:sz w:val="21"/>
              </w:rPr>
              <w:t>第四章</w:t>
              <w:tab/>
              <w:t>保险合同成立与生效、保险期间、</w:t>
            </w:r>
          </w:p>
          <w:p>
            <w:pPr>
              <w:pStyle w:val="TableParagraph"/>
              <w:spacing w:before="69"/>
              <w:ind w:left="1557"/>
              <w:rPr>
                <w:b/>
                <w:sz w:val="21"/>
              </w:rPr>
            </w:pPr>
            <w:r>
              <w:rPr>
                <w:b/>
                <w:sz w:val="21"/>
              </w:rPr>
              <w:t>复效及合同解除</w:t>
            </w:r>
          </w:p>
          <w:p>
            <w:pPr>
              <w:pStyle w:val="TableParagraph"/>
              <w:tabs>
                <w:tab w:pos="1476" w:val="left" w:leader="none"/>
              </w:tabs>
              <w:spacing w:line="300" w:lineRule="auto" w:before="68"/>
              <w:ind w:left="530" w:right="1433"/>
              <w:rPr>
                <w:sz w:val="21"/>
              </w:rPr>
            </w:pPr>
            <w:r>
              <w:rPr>
                <w:sz w:val="21"/>
              </w:rPr>
              <w:t>第七条</w:t>
              <w:tab/>
              <w:t>保</w:t>
            </w:r>
            <w:r>
              <w:rPr>
                <w:spacing w:val="-3"/>
                <w:sz w:val="21"/>
              </w:rPr>
              <w:t>险</w:t>
            </w:r>
            <w:r>
              <w:rPr>
                <w:sz w:val="21"/>
              </w:rPr>
              <w:t>合</w:t>
            </w:r>
            <w:r>
              <w:rPr>
                <w:spacing w:val="-3"/>
                <w:sz w:val="21"/>
              </w:rPr>
              <w:t>同</w:t>
            </w:r>
            <w:r>
              <w:rPr>
                <w:sz w:val="21"/>
              </w:rPr>
              <w:t>成</w:t>
            </w:r>
            <w:r>
              <w:rPr>
                <w:spacing w:val="-3"/>
                <w:sz w:val="21"/>
              </w:rPr>
              <w:t>立与</w:t>
            </w:r>
            <w:r>
              <w:rPr>
                <w:sz w:val="21"/>
              </w:rPr>
              <w:t>生效 第八条</w:t>
              <w:tab/>
              <w:t>保</w:t>
            </w:r>
            <w:r>
              <w:rPr>
                <w:spacing w:val="-3"/>
                <w:sz w:val="21"/>
              </w:rPr>
              <w:t>险</w:t>
            </w:r>
            <w:r>
              <w:rPr>
                <w:sz w:val="21"/>
              </w:rPr>
              <w:t>期</w:t>
            </w:r>
            <w:r>
              <w:rPr>
                <w:spacing w:val="-3"/>
                <w:sz w:val="21"/>
              </w:rPr>
              <w:t>间</w:t>
            </w:r>
            <w:r>
              <w:rPr>
                <w:sz w:val="21"/>
              </w:rPr>
              <w:t>和</w:t>
            </w:r>
            <w:r>
              <w:rPr>
                <w:spacing w:val="-3"/>
                <w:sz w:val="21"/>
              </w:rPr>
              <w:t>保证</w:t>
            </w:r>
            <w:r>
              <w:rPr>
                <w:sz w:val="21"/>
              </w:rPr>
              <w:t>续保</w:t>
            </w:r>
          </w:p>
          <w:p>
            <w:pPr>
              <w:pStyle w:val="TableParagraph"/>
              <w:tabs>
                <w:tab w:pos="1476" w:val="left" w:leader="none"/>
              </w:tabs>
              <w:spacing w:line="300" w:lineRule="auto" w:before="15"/>
              <w:ind w:left="530" w:right="592"/>
              <w:rPr>
                <w:sz w:val="21"/>
              </w:rPr>
            </w:pPr>
            <w:r>
              <w:rPr>
                <w:sz w:val="21"/>
              </w:rPr>
              <w:t>第九条</w:t>
              <w:tab/>
              <w:t>投</w:t>
            </w:r>
            <w:r>
              <w:rPr>
                <w:spacing w:val="-3"/>
                <w:sz w:val="21"/>
              </w:rPr>
              <w:t>保</w:t>
            </w:r>
            <w:r>
              <w:rPr>
                <w:sz w:val="21"/>
              </w:rPr>
              <w:t>人</w:t>
            </w:r>
            <w:r>
              <w:rPr>
                <w:spacing w:val="-3"/>
                <w:sz w:val="21"/>
              </w:rPr>
              <w:t>解</w:t>
            </w:r>
            <w:r>
              <w:rPr>
                <w:sz w:val="21"/>
              </w:rPr>
              <w:t>除</w:t>
            </w:r>
            <w:r>
              <w:rPr>
                <w:spacing w:val="-3"/>
                <w:sz w:val="21"/>
              </w:rPr>
              <w:t>合同</w:t>
            </w:r>
            <w:r>
              <w:rPr>
                <w:sz w:val="21"/>
              </w:rPr>
              <w:t>的手</w:t>
            </w:r>
            <w:r>
              <w:rPr>
                <w:spacing w:val="-3"/>
                <w:sz w:val="21"/>
              </w:rPr>
              <w:t>续</w:t>
            </w:r>
            <w:r>
              <w:rPr>
                <w:sz w:val="21"/>
              </w:rPr>
              <w:t>及</w:t>
            </w:r>
            <w:r>
              <w:rPr>
                <w:spacing w:val="-3"/>
                <w:sz w:val="21"/>
              </w:rPr>
              <w:t>风</w:t>
            </w:r>
            <w:r>
              <w:rPr>
                <w:sz w:val="21"/>
              </w:rPr>
              <w:t>险 第十条</w:t>
              <w:tab/>
              <w:t>附</w:t>
            </w:r>
            <w:r>
              <w:rPr>
                <w:spacing w:val="-3"/>
                <w:sz w:val="21"/>
              </w:rPr>
              <w:t>加</w:t>
            </w:r>
            <w:r>
              <w:rPr>
                <w:sz w:val="21"/>
              </w:rPr>
              <w:t>合</w:t>
            </w:r>
            <w:r>
              <w:rPr>
                <w:spacing w:val="-3"/>
                <w:sz w:val="21"/>
              </w:rPr>
              <w:t>同</w:t>
            </w:r>
            <w:r>
              <w:rPr>
                <w:sz w:val="21"/>
              </w:rPr>
              <w:t>效</w:t>
            </w:r>
            <w:r>
              <w:rPr>
                <w:spacing w:val="-3"/>
                <w:sz w:val="21"/>
              </w:rPr>
              <w:t>力中</w:t>
            </w:r>
            <w:r>
              <w:rPr>
                <w:sz w:val="21"/>
              </w:rPr>
              <w:t>止、</w:t>
            </w:r>
            <w:r>
              <w:rPr>
                <w:spacing w:val="-3"/>
                <w:sz w:val="21"/>
              </w:rPr>
              <w:t>恢</w:t>
            </w:r>
            <w:r>
              <w:rPr>
                <w:sz w:val="21"/>
              </w:rPr>
              <w:t>复</w:t>
            </w:r>
          </w:p>
          <w:p>
            <w:pPr>
              <w:pStyle w:val="TableParagraph"/>
              <w:tabs>
                <w:tab w:pos="1483" w:val="left" w:leader="none"/>
              </w:tabs>
              <w:spacing w:line="300" w:lineRule="auto" w:before="15"/>
              <w:ind w:left="530" w:right="2062" w:hanging="420"/>
              <w:rPr>
                <w:sz w:val="21"/>
              </w:rPr>
            </w:pPr>
            <w:r>
              <w:rPr>
                <w:b/>
                <w:sz w:val="21"/>
              </w:rPr>
              <w:t>第五章</w:t>
              <w:tab/>
              <w:t>保险</w:t>
            </w:r>
            <w:r>
              <w:rPr>
                <w:b/>
                <w:spacing w:val="-3"/>
                <w:sz w:val="21"/>
              </w:rPr>
              <w:t>金</w:t>
            </w:r>
            <w:r>
              <w:rPr>
                <w:b/>
                <w:sz w:val="21"/>
              </w:rPr>
              <w:t>申请</w:t>
            </w:r>
            <w:r>
              <w:rPr>
                <w:sz w:val="21"/>
              </w:rPr>
              <w:t>第十</w:t>
            </w:r>
            <w:r>
              <w:rPr>
                <w:spacing w:val="-3"/>
                <w:sz w:val="21"/>
              </w:rPr>
              <w:t>一</w:t>
            </w:r>
            <w:r>
              <w:rPr>
                <w:sz w:val="21"/>
              </w:rPr>
              <w:t>条</w:t>
            </w:r>
            <w:r>
              <w:rPr>
                <w:spacing w:val="8"/>
                <w:sz w:val="21"/>
              </w:rPr>
              <w:t> </w:t>
            </w:r>
            <w:r>
              <w:rPr>
                <w:sz w:val="21"/>
              </w:rPr>
              <w:t>保</w:t>
            </w:r>
            <w:r>
              <w:rPr>
                <w:spacing w:val="-3"/>
                <w:sz w:val="21"/>
              </w:rPr>
              <w:t>险</w:t>
            </w:r>
            <w:r>
              <w:rPr>
                <w:sz w:val="21"/>
              </w:rPr>
              <w:t>事</w:t>
            </w:r>
            <w:r>
              <w:rPr>
                <w:spacing w:val="-3"/>
                <w:sz w:val="21"/>
              </w:rPr>
              <w:t>故</w:t>
            </w:r>
            <w:r>
              <w:rPr>
                <w:sz w:val="21"/>
              </w:rPr>
              <w:t>通知第十</w:t>
            </w:r>
            <w:r>
              <w:rPr>
                <w:spacing w:val="-3"/>
                <w:sz w:val="21"/>
              </w:rPr>
              <w:t>二</w:t>
            </w:r>
            <w:r>
              <w:rPr>
                <w:sz w:val="21"/>
              </w:rPr>
              <w:t>条</w:t>
            </w:r>
            <w:r>
              <w:rPr>
                <w:spacing w:val="15"/>
                <w:sz w:val="21"/>
              </w:rPr>
              <w:t> </w:t>
            </w:r>
            <w:r>
              <w:rPr>
                <w:sz w:val="21"/>
              </w:rPr>
              <w:t>保</w:t>
            </w:r>
            <w:r>
              <w:rPr>
                <w:spacing w:val="-3"/>
                <w:sz w:val="21"/>
              </w:rPr>
              <w:t>险</w:t>
            </w:r>
            <w:r>
              <w:rPr>
                <w:sz w:val="21"/>
              </w:rPr>
              <w:t>金</w:t>
            </w:r>
            <w:r>
              <w:rPr>
                <w:spacing w:val="-3"/>
                <w:sz w:val="21"/>
              </w:rPr>
              <w:t>申</w:t>
            </w:r>
            <w:r>
              <w:rPr>
                <w:sz w:val="21"/>
              </w:rPr>
              <w:t>请第十</w:t>
            </w:r>
            <w:r>
              <w:rPr>
                <w:spacing w:val="-3"/>
                <w:sz w:val="21"/>
              </w:rPr>
              <w:t>三</w:t>
            </w:r>
            <w:r>
              <w:rPr>
                <w:sz w:val="21"/>
              </w:rPr>
              <w:t>条</w:t>
            </w:r>
            <w:r>
              <w:rPr>
                <w:spacing w:val="15"/>
                <w:sz w:val="21"/>
              </w:rPr>
              <w:t> </w:t>
            </w:r>
            <w:r>
              <w:rPr>
                <w:sz w:val="21"/>
              </w:rPr>
              <w:t>保</w:t>
            </w:r>
            <w:r>
              <w:rPr>
                <w:spacing w:val="-3"/>
                <w:sz w:val="21"/>
              </w:rPr>
              <w:t>险</w:t>
            </w:r>
            <w:r>
              <w:rPr>
                <w:sz w:val="21"/>
              </w:rPr>
              <w:t>金</w:t>
            </w:r>
            <w:r>
              <w:rPr>
                <w:spacing w:val="-3"/>
                <w:sz w:val="21"/>
              </w:rPr>
              <w:t>给</w:t>
            </w:r>
            <w:r>
              <w:rPr>
                <w:sz w:val="21"/>
              </w:rPr>
              <w:t>付第十</w:t>
            </w:r>
            <w:r>
              <w:rPr>
                <w:spacing w:val="-3"/>
                <w:sz w:val="21"/>
              </w:rPr>
              <w:t>四</w:t>
            </w:r>
            <w:r>
              <w:rPr>
                <w:sz w:val="21"/>
              </w:rPr>
              <w:t>条</w:t>
            </w:r>
            <w:r>
              <w:rPr>
                <w:spacing w:val="6"/>
                <w:sz w:val="21"/>
              </w:rPr>
              <w:t> </w:t>
            </w:r>
            <w:r>
              <w:rPr>
                <w:sz w:val="21"/>
              </w:rPr>
              <w:t>诉</w:t>
            </w:r>
            <w:r>
              <w:rPr>
                <w:spacing w:val="-3"/>
                <w:sz w:val="21"/>
              </w:rPr>
              <w:t>讼</w:t>
            </w:r>
            <w:r>
              <w:rPr>
                <w:sz w:val="21"/>
              </w:rPr>
              <w:t>时效</w:t>
            </w:r>
          </w:p>
          <w:p>
            <w:pPr>
              <w:pStyle w:val="TableParagraph"/>
              <w:tabs>
                <w:tab w:pos="1476" w:val="left" w:leader="none"/>
              </w:tabs>
              <w:spacing w:before="15"/>
              <w:ind w:left="110"/>
              <w:rPr>
                <w:b/>
                <w:sz w:val="21"/>
              </w:rPr>
            </w:pPr>
            <w:r>
              <w:rPr>
                <w:b/>
                <w:sz w:val="21"/>
              </w:rPr>
              <w:t>第六章</w:t>
              <w:tab/>
              <w:t>一般条款</w:t>
            </w:r>
          </w:p>
          <w:p>
            <w:pPr>
              <w:pStyle w:val="TableParagraph"/>
              <w:spacing w:before="68"/>
              <w:ind w:left="530"/>
              <w:rPr>
                <w:sz w:val="21"/>
              </w:rPr>
            </w:pPr>
            <w:r>
              <w:rPr>
                <w:sz w:val="21"/>
              </w:rPr>
              <w:t>第十五条 明确说明与如实告知</w:t>
            </w:r>
          </w:p>
          <w:p>
            <w:pPr>
              <w:pStyle w:val="TableParagraph"/>
              <w:spacing w:before="68"/>
              <w:ind w:left="530"/>
              <w:rPr>
                <w:sz w:val="21"/>
              </w:rPr>
            </w:pPr>
            <w:r>
              <w:rPr>
                <w:sz w:val="21"/>
              </w:rPr>
              <w:t>第十六条 本公司合同解除权的限制</w:t>
            </w:r>
          </w:p>
        </w:tc>
        <w:tc>
          <w:tcPr>
            <w:tcW w:w="4746" w:type="dxa"/>
            <w:tcBorders>
              <w:left w:val="single" w:sz="4" w:space="0" w:color="000000"/>
            </w:tcBorders>
          </w:tcPr>
          <w:p>
            <w:pPr>
              <w:pStyle w:val="TableParagraph"/>
              <w:tabs>
                <w:tab w:pos="1574" w:val="left" w:leader="none"/>
              </w:tabs>
              <w:spacing w:line="300" w:lineRule="auto" w:before="47"/>
              <w:ind w:left="523" w:right="2321"/>
              <w:rPr>
                <w:sz w:val="21"/>
              </w:rPr>
            </w:pPr>
            <w:r>
              <w:rPr>
                <w:sz w:val="21"/>
              </w:rPr>
              <w:t>第十</w:t>
            </w:r>
            <w:r>
              <w:rPr>
                <w:spacing w:val="-3"/>
                <w:sz w:val="21"/>
              </w:rPr>
              <w:t>七</w:t>
            </w:r>
            <w:r>
              <w:rPr>
                <w:sz w:val="21"/>
              </w:rPr>
              <w:t>条</w:t>
              <w:tab/>
              <w:t>年</w:t>
            </w:r>
            <w:r>
              <w:rPr>
                <w:spacing w:val="-3"/>
                <w:sz w:val="21"/>
              </w:rPr>
              <w:t>龄</w:t>
            </w:r>
            <w:r>
              <w:rPr>
                <w:sz w:val="21"/>
              </w:rPr>
              <w:t>错误 第十</w:t>
            </w:r>
            <w:r>
              <w:rPr>
                <w:spacing w:val="-3"/>
                <w:sz w:val="21"/>
              </w:rPr>
              <w:t>八</w:t>
            </w:r>
            <w:r>
              <w:rPr>
                <w:sz w:val="21"/>
              </w:rPr>
              <w:t>条</w:t>
              <w:tab/>
              <w:t>犹</w:t>
            </w:r>
            <w:r>
              <w:rPr>
                <w:spacing w:val="-3"/>
                <w:sz w:val="21"/>
              </w:rPr>
              <w:t>豫</w:t>
            </w:r>
            <w:r>
              <w:rPr>
                <w:sz w:val="21"/>
              </w:rPr>
              <w:t>期 第十</w:t>
            </w:r>
            <w:r>
              <w:rPr>
                <w:spacing w:val="-3"/>
                <w:sz w:val="21"/>
              </w:rPr>
              <w:t>九</w:t>
            </w:r>
            <w:r>
              <w:rPr>
                <w:sz w:val="21"/>
              </w:rPr>
              <w:t>条</w:t>
              <w:tab/>
              <w:t>受</w:t>
            </w:r>
            <w:r>
              <w:rPr>
                <w:spacing w:val="-3"/>
                <w:sz w:val="21"/>
              </w:rPr>
              <w:t>益</w:t>
            </w:r>
            <w:r>
              <w:rPr>
                <w:sz w:val="21"/>
              </w:rPr>
              <w:t>人</w:t>
            </w:r>
          </w:p>
          <w:p>
            <w:pPr>
              <w:pStyle w:val="TableParagraph"/>
              <w:tabs>
                <w:tab w:pos="1574" w:val="left" w:leader="none"/>
              </w:tabs>
              <w:spacing w:line="300" w:lineRule="auto" w:before="15"/>
              <w:ind w:left="523" w:right="2532" w:hanging="421"/>
              <w:rPr>
                <w:sz w:val="21"/>
              </w:rPr>
            </w:pPr>
            <w:r>
              <w:rPr>
                <w:b/>
                <w:sz w:val="21"/>
              </w:rPr>
              <w:t>第七章</w:t>
              <w:tab/>
              <w:t>释义</w:t>
            </w:r>
            <w:r>
              <w:rPr>
                <w:sz w:val="21"/>
              </w:rPr>
              <w:t>第二</w:t>
            </w:r>
            <w:r>
              <w:rPr>
                <w:spacing w:val="-3"/>
                <w:sz w:val="21"/>
              </w:rPr>
              <w:t>十</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9"/>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周岁</w:t>
            </w:r>
          </w:p>
          <w:p>
            <w:pPr>
              <w:pStyle w:val="TableParagraph"/>
              <w:tabs>
                <w:tab w:pos="1574" w:val="left" w:leader="none"/>
              </w:tabs>
              <w:spacing w:before="68"/>
              <w:ind w:left="523"/>
              <w:rPr>
                <w:sz w:val="21"/>
              </w:rPr>
            </w:pPr>
            <w:r>
              <w:rPr>
                <w:sz w:val="21"/>
              </w:rPr>
              <w:t>十一</w:t>
              <w:tab/>
              <w:t>保</w:t>
            </w:r>
            <w:r>
              <w:rPr>
                <w:spacing w:val="-3"/>
                <w:sz w:val="21"/>
              </w:rPr>
              <w:t>险</w:t>
            </w:r>
            <w:r>
              <w:rPr>
                <w:sz w:val="21"/>
              </w:rPr>
              <w:t>单</w:t>
            </w:r>
            <w:r>
              <w:rPr>
                <w:spacing w:val="-3"/>
                <w:sz w:val="21"/>
              </w:rPr>
              <w:t>周</w:t>
            </w:r>
            <w:r>
              <w:rPr>
                <w:sz w:val="21"/>
              </w:rPr>
              <w:t>年日</w:t>
            </w:r>
          </w:p>
          <w:p>
            <w:pPr>
              <w:pStyle w:val="TableParagraph"/>
              <w:tabs>
                <w:tab w:pos="1574" w:val="left" w:leader="none"/>
              </w:tabs>
              <w:spacing w:before="68"/>
              <w:ind w:left="523"/>
              <w:rPr>
                <w:sz w:val="21"/>
              </w:rPr>
            </w:pPr>
            <w:r>
              <w:rPr>
                <w:sz w:val="21"/>
              </w:rPr>
              <w:t>十二</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十三</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617" w:val="left" w:leader="none"/>
              </w:tabs>
              <w:spacing w:line="300" w:lineRule="auto" w:before="68"/>
              <w:ind w:left="1574" w:right="108" w:hanging="1052"/>
              <w:rPr>
                <w:sz w:val="21"/>
              </w:rPr>
            </w:pPr>
            <w:r>
              <w:rPr>
                <w:spacing w:val="2"/>
                <w:sz w:val="21"/>
              </w:rPr>
              <w:t>十</w:t>
            </w:r>
            <w:r>
              <w:rPr>
                <w:sz w:val="21"/>
              </w:rPr>
              <w:t>四</w:t>
              <w:tab/>
              <w:tab/>
            </w:r>
            <w:r>
              <w:rPr>
                <w:spacing w:val="2"/>
                <w:sz w:val="21"/>
              </w:rPr>
              <w:t>语言能力或</w:t>
            </w:r>
            <w:r>
              <w:rPr>
                <w:sz w:val="21"/>
              </w:rPr>
              <w:t>咀</w:t>
            </w:r>
            <w:r>
              <w:rPr>
                <w:spacing w:val="2"/>
                <w:sz w:val="21"/>
              </w:rPr>
              <w:t>嚼吞咽能力完</w:t>
            </w:r>
            <w:r>
              <w:rPr>
                <w:sz w:val="21"/>
              </w:rPr>
              <w:t>全丧 失</w:t>
            </w:r>
          </w:p>
          <w:p>
            <w:pPr>
              <w:pStyle w:val="TableParagraph"/>
              <w:tabs>
                <w:tab w:pos="1574" w:val="left" w:leader="none"/>
              </w:tabs>
              <w:spacing w:line="300" w:lineRule="auto" w:before="16"/>
              <w:ind w:left="523" w:right="1061"/>
              <w:rPr>
                <w:sz w:val="21"/>
              </w:rPr>
            </w:pPr>
            <w:r>
              <w:rPr>
                <w:sz w:val="21"/>
              </w:rPr>
              <w:t>十五</w:t>
              <w:tab/>
            </w:r>
            <w:r>
              <w:rPr>
                <w:spacing w:val="-1"/>
                <w:sz w:val="21"/>
              </w:rPr>
              <w:t>六</w:t>
            </w:r>
            <w:r>
              <w:rPr>
                <w:spacing w:val="-3"/>
                <w:sz w:val="21"/>
              </w:rPr>
              <w:t>项</w:t>
            </w:r>
            <w:r>
              <w:rPr>
                <w:spacing w:val="-1"/>
                <w:sz w:val="21"/>
              </w:rPr>
              <w:t>基</w:t>
            </w:r>
            <w:r>
              <w:rPr>
                <w:spacing w:val="-3"/>
                <w:sz w:val="21"/>
              </w:rPr>
              <w:t>本</w:t>
            </w:r>
            <w:r>
              <w:rPr>
                <w:sz w:val="21"/>
              </w:rPr>
              <w:t>日常生活</w:t>
            </w:r>
            <w:r>
              <w:rPr>
                <w:spacing w:val="-3"/>
                <w:sz w:val="21"/>
              </w:rPr>
              <w:t>活</w:t>
            </w:r>
            <w:r>
              <w:rPr>
                <w:sz w:val="21"/>
              </w:rPr>
              <w:t>动 十六</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footerReference w:type="default" r:id="rId5"/>
          <w:type w:val="continuous"/>
          <w:pgSz w:w="11910" w:h="16840"/>
          <w:pgMar w:footer="919" w:top="1580" w:bottom="1100" w:left="1060" w:right="1060"/>
          <w:pgNumType w:start="1"/>
        </w:sectPr>
      </w:pPr>
    </w:p>
    <w:p>
      <w:pPr>
        <w:pStyle w:val="BodyText"/>
        <w:spacing w:before="0"/>
        <w:ind w:left="0"/>
        <w:rPr>
          <w:rFonts w:ascii="Times New Roman"/>
          <w:sz w:val="20"/>
        </w:rPr>
      </w:pPr>
    </w:p>
    <w:p>
      <w:pPr>
        <w:pStyle w:val="BodyText"/>
        <w:spacing w:before="0"/>
        <w:ind w:left="0"/>
        <w:rPr>
          <w:rFonts w:ascii="Times New Roman"/>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54"/>
        <w:gridCol w:w="6479"/>
      </w:tblGrid>
      <w:tr>
        <w:trPr>
          <w:trHeight w:val="469" w:hRule="atLeast"/>
        </w:trPr>
        <w:tc>
          <w:tcPr>
            <w:tcW w:w="1062" w:type="dxa"/>
          </w:tcPr>
          <w:p>
            <w:pPr>
              <w:pStyle w:val="TableParagraph"/>
              <w:rPr>
                <w:rFonts w:ascii="Times New Roman"/>
                <w:sz w:val="20"/>
              </w:rPr>
            </w:pPr>
          </w:p>
        </w:tc>
        <w:tc>
          <w:tcPr>
            <w:tcW w:w="1754" w:type="dxa"/>
          </w:tcPr>
          <w:p>
            <w:pPr>
              <w:pStyle w:val="TableParagraph"/>
              <w:rPr>
                <w:rFonts w:ascii="Times New Roman"/>
                <w:sz w:val="20"/>
              </w:rPr>
            </w:pPr>
          </w:p>
        </w:tc>
        <w:tc>
          <w:tcPr>
            <w:tcW w:w="6479" w:type="dxa"/>
          </w:tcPr>
          <w:p>
            <w:pPr>
              <w:pStyle w:val="TableParagraph"/>
              <w:spacing w:line="281" w:lineRule="exact"/>
              <w:ind w:left="1269"/>
              <w:rPr>
                <w:b/>
                <w:sz w:val="28"/>
              </w:rPr>
            </w:pPr>
            <w:r>
              <w:rPr>
                <w:b/>
                <w:sz w:val="28"/>
              </w:rPr>
              <w:t>条款正文</w:t>
            </w:r>
          </w:p>
        </w:tc>
      </w:tr>
      <w:tr>
        <w:trPr>
          <w:trHeight w:val="948" w:hRule="atLeast"/>
        </w:trPr>
        <w:tc>
          <w:tcPr>
            <w:tcW w:w="9295" w:type="dxa"/>
            <w:gridSpan w:val="3"/>
          </w:tcPr>
          <w:p>
            <w:pPr>
              <w:pStyle w:val="TableParagraph"/>
              <w:spacing w:before="124"/>
              <w:ind w:left="1903"/>
              <w:rPr>
                <w:b/>
                <w:sz w:val="21"/>
              </w:rPr>
            </w:pPr>
            <w:r>
              <w:rPr>
                <w:b/>
                <w:sz w:val="21"/>
              </w:rPr>
              <w:t>条款是保险合同的重要组成部分，请投保人、被保险人、受益人仔细阅读。</w:t>
            </w:r>
          </w:p>
        </w:tc>
      </w:tr>
      <w:tr>
        <w:trPr>
          <w:trHeight w:val="391" w:hRule="atLeast"/>
        </w:trPr>
        <w:tc>
          <w:tcPr>
            <w:tcW w:w="1062" w:type="dxa"/>
            <w:shd w:val="clear" w:color="auto" w:fill="CCCCCC"/>
          </w:tcPr>
          <w:p>
            <w:pPr>
              <w:pStyle w:val="TableParagraph"/>
              <w:spacing w:before="11"/>
              <w:ind w:left="110"/>
              <w:rPr>
                <w:b/>
                <w:sz w:val="21"/>
              </w:rPr>
            </w:pPr>
            <w:r>
              <w:rPr>
                <w:b/>
                <w:sz w:val="21"/>
              </w:rPr>
              <w:t>第一章</w:t>
            </w:r>
          </w:p>
        </w:tc>
        <w:tc>
          <w:tcPr>
            <w:tcW w:w="8233" w:type="dxa"/>
            <w:gridSpan w:val="2"/>
            <w:shd w:val="clear" w:color="auto" w:fill="CCCCCC"/>
          </w:tcPr>
          <w:p>
            <w:pPr>
              <w:pStyle w:val="TableParagraph"/>
              <w:spacing w:before="11"/>
              <w:ind w:left="318"/>
              <w:rPr>
                <w:b/>
                <w:sz w:val="21"/>
              </w:rPr>
            </w:pPr>
            <w:r>
              <w:rPr>
                <w:b/>
                <w:sz w:val="21"/>
              </w:rPr>
              <w:t>附加保险合同订立</w:t>
            </w:r>
          </w:p>
        </w:tc>
      </w:tr>
      <w:tr>
        <w:trPr>
          <w:trHeight w:val="1887" w:hRule="atLeast"/>
        </w:trPr>
        <w:tc>
          <w:tcPr>
            <w:tcW w:w="1062" w:type="dxa"/>
          </w:tcPr>
          <w:p>
            <w:pPr>
              <w:pStyle w:val="TableParagraph"/>
              <w:spacing w:before="9"/>
              <w:ind w:left="110"/>
              <w:rPr>
                <w:sz w:val="21"/>
              </w:rPr>
            </w:pPr>
            <w:r>
              <w:rPr>
                <w:sz w:val="21"/>
              </w:rPr>
              <w:t>第一条</w:t>
            </w:r>
          </w:p>
        </w:tc>
        <w:tc>
          <w:tcPr>
            <w:tcW w:w="1754" w:type="dxa"/>
          </w:tcPr>
          <w:p>
            <w:pPr>
              <w:pStyle w:val="TableParagraph"/>
              <w:spacing w:line="261" w:lineRule="auto" w:before="9"/>
              <w:ind w:left="318" w:right="171"/>
              <w:rPr>
                <w:sz w:val="21"/>
              </w:rPr>
            </w:pPr>
            <w:r>
              <w:rPr>
                <w:sz w:val="21"/>
              </w:rPr>
              <w:t>附加保险合同订立</w:t>
            </w:r>
          </w:p>
        </w:tc>
        <w:tc>
          <w:tcPr>
            <w:tcW w:w="6479" w:type="dxa"/>
          </w:tcPr>
          <w:p>
            <w:pPr>
              <w:pStyle w:val="TableParagraph"/>
              <w:spacing w:line="261" w:lineRule="auto" w:before="9"/>
              <w:ind w:left="175" w:right="100"/>
              <w:rPr>
                <w:sz w:val="21"/>
              </w:rPr>
            </w:pPr>
            <w:r>
              <w:rPr>
                <w:spacing w:val="-12"/>
                <w:sz w:val="21"/>
              </w:rPr>
              <w:t>《中航三星附加领先财智额外给付重大疾病保险》合同</w:t>
            </w:r>
            <w:r>
              <w:rPr>
                <w:spacing w:val="-3"/>
                <w:sz w:val="21"/>
              </w:rPr>
              <w:t>（</w:t>
            </w:r>
            <w:r>
              <w:rPr>
                <w:spacing w:val="-20"/>
                <w:sz w:val="21"/>
              </w:rPr>
              <w:t>以下简称“本</w:t>
            </w:r>
            <w:r>
              <w:rPr>
                <w:spacing w:val="-31"/>
                <w:w w:val="100"/>
                <w:sz w:val="21"/>
              </w:rPr>
              <w:t>附加合同”</w:t>
            </w:r>
            <w:r>
              <w:rPr>
                <w:spacing w:val="-108"/>
                <w:w w:val="100"/>
                <w:sz w:val="21"/>
              </w:rPr>
              <w:t>）</w:t>
            </w:r>
            <w:r>
              <w:rPr>
                <w:spacing w:val="-3"/>
                <w:w w:val="100"/>
                <w:sz w:val="21"/>
              </w:rPr>
              <w:t>，依主保险合同</w:t>
            </w:r>
            <w:r>
              <w:rPr>
                <w:w w:val="100"/>
                <w:sz w:val="21"/>
              </w:rPr>
              <w:t>（</w:t>
            </w:r>
            <w:r>
              <w:rPr>
                <w:spacing w:val="-15"/>
                <w:w w:val="100"/>
                <w:sz w:val="21"/>
              </w:rPr>
              <w:t>以下简称“主合同”</w:t>
            </w:r>
            <w:r>
              <w:rPr>
                <w:spacing w:val="-3"/>
                <w:w w:val="100"/>
                <w:sz w:val="21"/>
              </w:rPr>
              <w:t>）</w:t>
            </w:r>
            <w:r>
              <w:rPr>
                <w:spacing w:val="-2"/>
                <w:w w:val="100"/>
                <w:sz w:val="21"/>
              </w:rPr>
              <w:t>投保人的申请，</w:t>
            </w:r>
            <w:r>
              <w:rPr>
                <w:spacing w:val="-3"/>
                <w:sz w:val="21"/>
              </w:rPr>
              <w:t>经</w:t>
            </w:r>
            <w:r>
              <w:rPr>
                <w:b/>
                <w:sz w:val="21"/>
              </w:rPr>
              <w:t>本公司</w:t>
            </w:r>
            <w:r>
              <w:rPr>
                <w:spacing w:val="-3"/>
                <w:sz w:val="21"/>
              </w:rPr>
              <w:t>（见释义一</w:t>
            </w:r>
            <w:r>
              <w:rPr>
                <w:sz w:val="21"/>
              </w:rPr>
              <w:t>）</w:t>
            </w:r>
            <w:r>
              <w:rPr>
                <w:spacing w:val="-3"/>
                <w:sz w:val="21"/>
              </w:rPr>
              <w:t>同意而订立。本附加合同须附加于主合同， </w:t>
            </w:r>
            <w:r>
              <w:rPr>
                <w:spacing w:val="-10"/>
                <w:sz w:val="21"/>
              </w:rPr>
              <w:t>主合同的条款也适用于本附加合同，若主合同与本附加合同条款不一</w:t>
            </w:r>
            <w:r>
              <w:rPr>
                <w:spacing w:val="-5"/>
                <w:sz w:val="21"/>
              </w:rPr>
              <w:t>致，则以本附加合同的条款为准。</w:t>
            </w:r>
          </w:p>
        </w:tc>
      </w:tr>
      <w:tr>
        <w:trPr>
          <w:trHeight w:val="391" w:hRule="atLeast"/>
        </w:trPr>
        <w:tc>
          <w:tcPr>
            <w:tcW w:w="1062" w:type="dxa"/>
            <w:shd w:val="clear" w:color="auto" w:fill="C0C0C0"/>
          </w:tcPr>
          <w:p>
            <w:pPr>
              <w:pStyle w:val="TableParagraph"/>
              <w:spacing w:before="11"/>
              <w:ind w:left="110"/>
              <w:rPr>
                <w:b/>
                <w:sz w:val="21"/>
              </w:rPr>
            </w:pPr>
            <w:r>
              <w:rPr>
                <w:b/>
                <w:sz w:val="21"/>
              </w:rPr>
              <w:t>第二章</w:t>
            </w:r>
          </w:p>
        </w:tc>
        <w:tc>
          <w:tcPr>
            <w:tcW w:w="8233" w:type="dxa"/>
            <w:gridSpan w:val="2"/>
            <w:shd w:val="clear" w:color="auto" w:fill="C0C0C0"/>
          </w:tcPr>
          <w:p>
            <w:pPr>
              <w:pStyle w:val="TableParagraph"/>
              <w:spacing w:before="11"/>
              <w:ind w:left="318"/>
              <w:rPr>
                <w:b/>
                <w:sz w:val="21"/>
              </w:rPr>
            </w:pPr>
            <w:r>
              <w:rPr>
                <w:b/>
                <w:sz w:val="21"/>
              </w:rPr>
              <w:t>保险责任及责任免除</w:t>
            </w:r>
          </w:p>
        </w:tc>
      </w:tr>
      <w:tr>
        <w:trPr>
          <w:trHeight w:val="4718" w:hRule="atLeast"/>
        </w:trPr>
        <w:tc>
          <w:tcPr>
            <w:tcW w:w="1062" w:type="dxa"/>
          </w:tcPr>
          <w:p>
            <w:pPr>
              <w:pStyle w:val="TableParagraph"/>
              <w:spacing w:before="9"/>
              <w:ind w:left="110"/>
              <w:rPr>
                <w:sz w:val="21"/>
              </w:rPr>
            </w:pPr>
            <w:r>
              <w:rPr>
                <w:sz w:val="21"/>
              </w:rPr>
              <w:t>第二条</w:t>
            </w:r>
          </w:p>
        </w:tc>
        <w:tc>
          <w:tcPr>
            <w:tcW w:w="1754" w:type="dxa"/>
          </w:tcPr>
          <w:p>
            <w:pPr>
              <w:pStyle w:val="TableParagraph"/>
              <w:spacing w:before="9"/>
              <w:ind w:left="318"/>
              <w:rPr>
                <w:sz w:val="21"/>
              </w:rPr>
            </w:pPr>
            <w:r>
              <w:rPr>
                <w:sz w:val="21"/>
              </w:rPr>
              <w:t>保险责任</w:t>
            </w:r>
          </w:p>
        </w:tc>
        <w:tc>
          <w:tcPr>
            <w:tcW w:w="6479" w:type="dxa"/>
          </w:tcPr>
          <w:p>
            <w:pPr>
              <w:pStyle w:val="TableParagraph"/>
              <w:spacing w:before="45"/>
              <w:ind w:left="175"/>
              <w:rPr>
                <w:sz w:val="21"/>
              </w:rPr>
            </w:pPr>
            <w:r>
              <w:rPr>
                <w:sz w:val="21"/>
              </w:rPr>
              <w:t>在本附加合同有效期内，本公司承担下列保险责任：</w:t>
            </w:r>
          </w:p>
          <w:p>
            <w:pPr>
              <w:pStyle w:val="TableParagraph"/>
              <w:spacing w:line="300" w:lineRule="auto" w:before="68"/>
              <w:ind w:left="175" w:right="96"/>
              <w:jc w:val="both"/>
              <w:rPr>
                <w:sz w:val="21"/>
              </w:rPr>
            </w:pPr>
            <w:r>
              <w:rPr>
                <w:spacing w:val="-7"/>
                <w:sz w:val="21"/>
              </w:rPr>
              <w:t>若被保险人于本附加合同生效日</w:t>
            </w:r>
            <w:r>
              <w:rPr>
                <w:spacing w:val="-3"/>
                <w:sz w:val="21"/>
              </w:rPr>
              <w:t>（</w:t>
            </w:r>
            <w:r>
              <w:rPr>
                <w:spacing w:val="-8"/>
                <w:sz w:val="21"/>
              </w:rPr>
              <w:t>对于恢复效力的合同，则为最后一</w:t>
            </w:r>
            <w:r>
              <w:rPr>
                <w:spacing w:val="-6"/>
                <w:sz w:val="21"/>
              </w:rPr>
              <w:t>次效力恢复日</w:t>
            </w:r>
            <w:r>
              <w:rPr>
                <w:spacing w:val="-34"/>
                <w:sz w:val="21"/>
              </w:rPr>
              <w:t>）</w:t>
            </w:r>
            <w:r>
              <w:rPr>
                <w:spacing w:val="-24"/>
                <w:sz w:val="21"/>
              </w:rPr>
              <w:t>起 </w:t>
            </w:r>
            <w:r>
              <w:rPr>
                <w:sz w:val="21"/>
              </w:rPr>
              <w:t>90</w:t>
            </w:r>
            <w:r>
              <w:rPr>
                <w:spacing w:val="-15"/>
                <w:sz w:val="21"/>
              </w:rPr>
              <w:t> 日后初次发病</w:t>
            </w:r>
            <w:r>
              <w:rPr>
                <w:sz w:val="21"/>
              </w:rPr>
              <w:t>（</w:t>
            </w:r>
            <w:r>
              <w:rPr>
                <w:spacing w:val="-9"/>
                <w:sz w:val="21"/>
              </w:rPr>
              <w:t>续保不受上述 </w:t>
            </w:r>
            <w:r>
              <w:rPr>
                <w:sz w:val="21"/>
              </w:rPr>
              <w:t>90</w:t>
            </w:r>
            <w:r>
              <w:rPr>
                <w:spacing w:val="-11"/>
                <w:sz w:val="21"/>
              </w:rPr>
              <w:t> 日的限制</w:t>
            </w:r>
            <w:r>
              <w:rPr>
                <w:spacing w:val="-36"/>
                <w:sz w:val="21"/>
              </w:rPr>
              <w:t>）</w:t>
            </w:r>
            <w:r>
              <w:rPr>
                <w:sz w:val="21"/>
              </w:rPr>
              <w:t>并经</w:t>
            </w:r>
            <w:r>
              <w:rPr>
                <w:b/>
                <w:spacing w:val="2"/>
                <w:sz w:val="21"/>
              </w:rPr>
              <w:t>医院</w:t>
            </w:r>
            <w:r>
              <w:rPr>
                <w:sz w:val="21"/>
              </w:rPr>
              <w:t>（见释义二）确诊患本附加合同所定义的</w:t>
            </w:r>
            <w:r>
              <w:rPr>
                <w:b/>
                <w:spacing w:val="0"/>
                <w:sz w:val="21"/>
              </w:rPr>
              <w:t>重大疾病</w:t>
            </w:r>
            <w:r>
              <w:rPr>
                <w:sz w:val="21"/>
              </w:rPr>
              <w:t>（见释义</w:t>
            </w:r>
            <w:r>
              <w:rPr>
                <w:w w:val="100"/>
                <w:sz w:val="21"/>
              </w:rPr>
              <w:t>三</w:t>
            </w:r>
            <w:r>
              <w:rPr>
                <w:spacing w:val="-106"/>
                <w:w w:val="100"/>
                <w:sz w:val="21"/>
              </w:rPr>
              <w:t>）</w:t>
            </w:r>
            <w:r>
              <w:rPr>
                <w:spacing w:val="-3"/>
                <w:w w:val="100"/>
                <w:sz w:val="21"/>
              </w:rPr>
              <w:t>（无论一种或多种</w:t>
            </w:r>
            <w:r>
              <w:rPr>
                <w:spacing w:val="-106"/>
                <w:w w:val="100"/>
                <w:sz w:val="21"/>
              </w:rPr>
              <w:t>）</w:t>
            </w:r>
            <w:r>
              <w:rPr>
                <w:spacing w:val="-3"/>
                <w:w w:val="100"/>
                <w:sz w:val="21"/>
              </w:rPr>
              <w:t>，且自确诊之日起</w:t>
            </w:r>
            <w:r>
              <w:rPr>
                <w:spacing w:val="-3"/>
                <w:sz w:val="21"/>
              </w:rPr>
              <w:t> </w:t>
            </w:r>
            <w:r>
              <w:rPr>
                <w:w w:val="100"/>
                <w:sz w:val="21"/>
              </w:rPr>
              <w:t>30</w:t>
            </w:r>
            <w:r>
              <w:rPr>
                <w:spacing w:val="-55"/>
                <w:sz w:val="21"/>
              </w:rPr>
              <w:t> </w:t>
            </w:r>
            <w:r>
              <w:rPr>
                <w:spacing w:val="-3"/>
                <w:w w:val="100"/>
                <w:sz w:val="21"/>
              </w:rPr>
              <w:t>日后仍生存，本公司按</w:t>
            </w:r>
            <w:r>
              <w:rPr>
                <w:spacing w:val="-8"/>
                <w:sz w:val="21"/>
              </w:rPr>
              <w:t>本附加合同基本保险金额给付重大疾病保险金，本附加合同终止；但</w:t>
            </w:r>
            <w:r>
              <w:rPr>
                <w:spacing w:val="-7"/>
                <w:sz w:val="21"/>
              </w:rPr>
              <w:t>因本附加合同有效期内发生的</w:t>
            </w:r>
            <w:r>
              <w:rPr>
                <w:b/>
                <w:spacing w:val="0"/>
                <w:sz w:val="21"/>
              </w:rPr>
              <w:t>意外伤害</w:t>
            </w:r>
            <w:r>
              <w:rPr>
                <w:sz w:val="21"/>
              </w:rPr>
              <w:t>（见释义四）导致重大疾病</w:t>
            </w:r>
            <w:r>
              <w:rPr>
                <w:spacing w:val="-11"/>
                <w:sz w:val="21"/>
              </w:rPr>
              <w:t>不受上述 </w:t>
            </w:r>
            <w:r>
              <w:rPr>
                <w:sz w:val="21"/>
              </w:rPr>
              <w:t>90</w:t>
            </w:r>
            <w:r>
              <w:rPr>
                <w:spacing w:val="-10"/>
                <w:sz w:val="21"/>
              </w:rPr>
              <w:t> 日的限制。</w:t>
            </w:r>
          </w:p>
          <w:p>
            <w:pPr>
              <w:pStyle w:val="TableParagraph"/>
              <w:spacing w:line="300" w:lineRule="auto" w:before="15"/>
              <w:ind w:left="175" w:right="98"/>
              <w:jc w:val="both"/>
              <w:rPr>
                <w:sz w:val="21"/>
              </w:rPr>
            </w:pPr>
            <w:r>
              <w:rPr>
                <w:spacing w:val="-5"/>
                <w:sz w:val="21"/>
              </w:rPr>
              <w:t>若被保险人于本附加合同生效日(或效力恢复日)起 </w:t>
            </w:r>
            <w:r>
              <w:rPr>
                <w:sz w:val="21"/>
              </w:rPr>
              <w:t>90</w:t>
            </w:r>
            <w:r>
              <w:rPr>
                <w:spacing w:val="-8"/>
                <w:sz w:val="21"/>
              </w:rPr>
              <w:t> 日内发病并经</w:t>
            </w:r>
            <w:r>
              <w:rPr>
                <w:spacing w:val="-11"/>
                <w:sz w:val="21"/>
              </w:rPr>
              <w:t>医院确诊患本附加合同所定义的重大疾病，本公司将已收取的本附加</w:t>
            </w:r>
            <w:r>
              <w:rPr>
                <w:spacing w:val="-10"/>
                <w:sz w:val="21"/>
              </w:rPr>
              <w:t>合同的重大疾病风险保险费无息退还至主合同保单账户，主合同保单</w:t>
            </w:r>
            <w:r>
              <w:rPr>
                <w:spacing w:val="-5"/>
                <w:sz w:val="21"/>
              </w:rPr>
              <w:t>账户价值按照退还的金额等额增加，本附加合同终止。</w:t>
            </w:r>
          </w:p>
          <w:p>
            <w:pPr>
              <w:pStyle w:val="TableParagraph"/>
              <w:spacing w:before="15"/>
              <w:ind w:left="175"/>
              <w:jc w:val="both"/>
              <w:rPr>
                <w:sz w:val="21"/>
              </w:rPr>
            </w:pPr>
            <w:r>
              <w:rPr>
                <w:sz w:val="21"/>
              </w:rPr>
              <w:t>本公司给付的重大疾病保险金以本附加合同的基本保险金额为限。</w:t>
            </w:r>
          </w:p>
        </w:tc>
      </w:tr>
      <w:tr>
        <w:trPr>
          <w:trHeight w:val="3959" w:hRule="atLeast"/>
        </w:trPr>
        <w:tc>
          <w:tcPr>
            <w:tcW w:w="1062" w:type="dxa"/>
          </w:tcPr>
          <w:p>
            <w:pPr>
              <w:pStyle w:val="TableParagraph"/>
              <w:spacing w:before="8"/>
              <w:rPr>
                <w:rFonts w:ascii="Times New Roman"/>
                <w:sz w:val="18"/>
              </w:rPr>
            </w:pPr>
          </w:p>
          <w:p>
            <w:pPr>
              <w:pStyle w:val="TableParagraph"/>
              <w:spacing w:before="1"/>
              <w:ind w:left="110"/>
              <w:rPr>
                <w:sz w:val="21"/>
              </w:rPr>
            </w:pPr>
            <w:r>
              <w:rPr>
                <w:sz w:val="21"/>
              </w:rPr>
              <w:t>第三条</w:t>
            </w:r>
          </w:p>
        </w:tc>
        <w:tc>
          <w:tcPr>
            <w:tcW w:w="1754" w:type="dxa"/>
          </w:tcPr>
          <w:p>
            <w:pPr>
              <w:pStyle w:val="TableParagraph"/>
              <w:spacing w:before="8"/>
              <w:rPr>
                <w:rFonts w:ascii="Times New Roman"/>
                <w:sz w:val="18"/>
              </w:rPr>
            </w:pPr>
          </w:p>
          <w:p>
            <w:pPr>
              <w:pStyle w:val="TableParagraph"/>
              <w:spacing w:before="1"/>
              <w:ind w:left="318"/>
              <w:rPr>
                <w:sz w:val="21"/>
              </w:rPr>
            </w:pPr>
            <w:r>
              <w:rPr>
                <w:sz w:val="21"/>
              </w:rPr>
              <w:t>责任免除</w:t>
            </w:r>
          </w:p>
        </w:tc>
        <w:tc>
          <w:tcPr>
            <w:tcW w:w="6479" w:type="dxa"/>
          </w:tcPr>
          <w:p>
            <w:pPr>
              <w:pStyle w:val="TableParagraph"/>
              <w:spacing w:before="10"/>
              <w:rPr>
                <w:rFonts w:ascii="Times New Roman"/>
                <w:sz w:val="21"/>
              </w:rPr>
            </w:pPr>
          </w:p>
          <w:p>
            <w:pPr>
              <w:pStyle w:val="TableParagraph"/>
              <w:spacing w:line="300" w:lineRule="auto"/>
              <w:ind w:left="175" w:right="99"/>
              <w:rPr>
                <w:sz w:val="21"/>
              </w:rPr>
            </w:pPr>
            <w:r>
              <w:rPr>
                <w:spacing w:val="-8"/>
                <w:sz w:val="21"/>
              </w:rPr>
              <w:t>因下列情形之一或在效力中止期间被保险人患重大疾病、达到疾病状</w:t>
            </w:r>
            <w:r>
              <w:rPr>
                <w:spacing w:val="-5"/>
                <w:sz w:val="21"/>
              </w:rPr>
              <w:t>态或进行手术的，本公司不承担保险责任：</w:t>
            </w:r>
          </w:p>
          <w:p>
            <w:pPr>
              <w:pStyle w:val="TableParagraph"/>
              <w:spacing w:before="15"/>
              <w:ind w:left="175"/>
              <w:rPr>
                <w:sz w:val="21"/>
              </w:rPr>
            </w:pPr>
            <w:r>
              <w:rPr>
                <w:sz w:val="21"/>
              </w:rPr>
              <w:t>一、投保人对被保险人的故意杀害、故意伤害；</w:t>
            </w:r>
          </w:p>
          <w:p>
            <w:pPr>
              <w:pStyle w:val="TableParagraph"/>
              <w:spacing w:line="300" w:lineRule="auto" w:before="68"/>
              <w:ind w:left="175" w:right="-15"/>
              <w:rPr>
                <w:sz w:val="21"/>
              </w:rPr>
            </w:pPr>
            <w:r>
              <w:rPr>
                <w:spacing w:val="-18"/>
                <w:sz w:val="21"/>
              </w:rPr>
              <w:t>二、被保险人故意自伤、故意犯罪或者抗拒依法采取的刑事强制措施； </w:t>
            </w:r>
            <w:r>
              <w:rPr>
                <w:spacing w:val="-3"/>
                <w:sz w:val="21"/>
              </w:rPr>
              <w:t>三、被保险人主动吸食或注射</w:t>
            </w:r>
            <w:r>
              <w:rPr>
                <w:b/>
                <w:sz w:val="21"/>
              </w:rPr>
              <w:t>毒品</w:t>
            </w:r>
            <w:r>
              <w:rPr>
                <w:spacing w:val="-3"/>
                <w:sz w:val="21"/>
              </w:rPr>
              <w:t>(见释义五)；</w:t>
            </w:r>
          </w:p>
          <w:p>
            <w:pPr>
              <w:pStyle w:val="TableParagraph"/>
              <w:spacing w:line="300" w:lineRule="auto" w:before="16"/>
              <w:ind w:left="679" w:right="57" w:hanging="504"/>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300" w:lineRule="auto" w:before="15"/>
              <w:ind w:left="175"/>
              <w:rPr>
                <w:sz w:val="21"/>
              </w:rPr>
            </w:pPr>
            <w:r>
              <w:rPr>
                <w:sz w:val="21"/>
              </w:rPr>
              <w:t>五、战争、军事冲突、暴乱或武装叛乱；核爆炸、核辐射或核污染； 六、</w:t>
            </w:r>
            <w:r>
              <w:rPr>
                <w:b/>
                <w:sz w:val="21"/>
              </w:rPr>
              <w:t>先天性畸形、变形或染色体异常</w:t>
            </w:r>
            <w:r>
              <w:rPr>
                <w:sz w:val="21"/>
              </w:rPr>
              <w:t>(见释义九)。</w:t>
            </w:r>
          </w:p>
          <w:p>
            <w:pPr>
              <w:pStyle w:val="TableParagraph"/>
              <w:spacing w:before="15"/>
              <w:ind w:left="175"/>
              <w:rPr>
                <w:sz w:val="21"/>
              </w:rPr>
            </w:pPr>
            <w:r>
              <w:rPr>
                <w:sz w:val="21"/>
              </w:rPr>
              <w:t>发生上述情形导致被保险人患重大疾病、达到疾病状态或进行手术</w:t>
            </w:r>
          </w:p>
          <w:p>
            <w:pPr>
              <w:pStyle w:val="TableParagraph"/>
              <w:spacing w:line="255" w:lineRule="exact" w:before="67"/>
              <w:ind w:left="175"/>
              <w:rPr>
                <w:sz w:val="21"/>
              </w:rPr>
            </w:pPr>
            <w:r>
              <w:rPr>
                <w:sz w:val="21"/>
              </w:rPr>
              <w:t>的，本附加合同终止，本公司将已收取的本附加合同终止日之后的重</w:t>
            </w:r>
          </w:p>
        </w:tc>
      </w:tr>
    </w:tbl>
    <w:p>
      <w:pPr>
        <w:spacing w:after="0" w:line="255" w:lineRule="exac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821"/>
        <w:gridCol w:w="6413"/>
      </w:tblGrid>
      <w:tr>
        <w:trPr>
          <w:trHeight w:val="1031" w:hRule="atLeast"/>
        </w:trPr>
        <w:tc>
          <w:tcPr>
            <w:tcW w:w="1062" w:type="dxa"/>
          </w:tcPr>
          <w:p>
            <w:pPr>
              <w:pStyle w:val="TableParagraph"/>
              <w:rPr>
                <w:rFonts w:ascii="Times New Roman"/>
                <w:sz w:val="20"/>
              </w:rPr>
            </w:pPr>
          </w:p>
        </w:tc>
        <w:tc>
          <w:tcPr>
            <w:tcW w:w="1821" w:type="dxa"/>
          </w:tcPr>
          <w:p>
            <w:pPr>
              <w:pStyle w:val="TableParagraph"/>
              <w:rPr>
                <w:rFonts w:ascii="Times New Roman"/>
                <w:sz w:val="20"/>
              </w:rPr>
            </w:pPr>
          </w:p>
        </w:tc>
        <w:tc>
          <w:tcPr>
            <w:tcW w:w="6413" w:type="dxa"/>
          </w:tcPr>
          <w:p>
            <w:pPr>
              <w:pStyle w:val="TableParagraph"/>
              <w:spacing w:line="211" w:lineRule="exact"/>
              <w:ind w:left="108"/>
              <w:rPr>
                <w:sz w:val="21"/>
              </w:rPr>
            </w:pPr>
            <w:r>
              <w:rPr>
                <w:sz w:val="21"/>
              </w:rPr>
              <w:t>大疾病风险保险费无息退还至主合同保单账户，主合同保单账户价值</w:t>
            </w:r>
          </w:p>
          <w:p>
            <w:pPr>
              <w:pStyle w:val="TableParagraph"/>
              <w:spacing w:before="68"/>
              <w:ind w:left="108"/>
              <w:rPr>
                <w:sz w:val="21"/>
              </w:rPr>
            </w:pPr>
            <w:r>
              <w:rPr>
                <w:sz w:val="21"/>
              </w:rPr>
              <w:t>按照退还的金额等额增加。</w:t>
            </w:r>
          </w:p>
        </w:tc>
      </w:tr>
      <w:tr>
        <w:trPr>
          <w:trHeight w:val="391" w:hRule="atLeast"/>
        </w:trPr>
        <w:tc>
          <w:tcPr>
            <w:tcW w:w="1062" w:type="dxa"/>
            <w:shd w:val="clear" w:color="auto" w:fill="C0C0C0"/>
          </w:tcPr>
          <w:p>
            <w:pPr>
              <w:pStyle w:val="TableParagraph"/>
              <w:spacing w:before="11"/>
              <w:ind w:left="110"/>
              <w:rPr>
                <w:b/>
                <w:sz w:val="21"/>
              </w:rPr>
            </w:pPr>
            <w:r>
              <w:rPr>
                <w:b/>
                <w:sz w:val="21"/>
              </w:rPr>
              <w:t>第三章</w:t>
            </w:r>
          </w:p>
        </w:tc>
        <w:tc>
          <w:tcPr>
            <w:tcW w:w="8234" w:type="dxa"/>
            <w:gridSpan w:val="2"/>
            <w:shd w:val="clear" w:color="auto" w:fill="C0C0C0"/>
          </w:tcPr>
          <w:p>
            <w:pPr>
              <w:pStyle w:val="TableParagraph"/>
              <w:spacing w:before="11"/>
              <w:ind w:left="318"/>
              <w:rPr>
                <w:b/>
                <w:sz w:val="21"/>
              </w:rPr>
            </w:pPr>
            <w:r>
              <w:rPr>
                <w:b/>
                <w:sz w:val="21"/>
              </w:rPr>
              <w:t>保险金额及重大疾病风险保险费</w:t>
            </w:r>
          </w:p>
        </w:tc>
      </w:tr>
      <w:tr>
        <w:trPr>
          <w:trHeight w:val="2664" w:hRule="atLeast"/>
        </w:trPr>
        <w:tc>
          <w:tcPr>
            <w:tcW w:w="1062" w:type="dxa"/>
          </w:tcPr>
          <w:p>
            <w:pPr>
              <w:pStyle w:val="TableParagraph"/>
              <w:spacing w:before="47"/>
              <w:ind w:left="110"/>
              <w:rPr>
                <w:sz w:val="21"/>
              </w:rPr>
            </w:pPr>
            <w:r>
              <w:rPr>
                <w:sz w:val="21"/>
              </w:rPr>
              <w:t>第四条</w:t>
            </w:r>
          </w:p>
        </w:tc>
        <w:tc>
          <w:tcPr>
            <w:tcW w:w="1821" w:type="dxa"/>
          </w:tcPr>
          <w:p>
            <w:pPr>
              <w:pStyle w:val="TableParagraph"/>
              <w:spacing w:line="300" w:lineRule="auto" w:before="47"/>
              <w:ind w:left="318" w:right="104"/>
              <w:rPr>
                <w:sz w:val="21"/>
              </w:rPr>
            </w:pPr>
            <w:r>
              <w:rPr>
                <w:sz w:val="21"/>
              </w:rPr>
              <w:t>基本保险金额和保险金额</w:t>
            </w:r>
          </w:p>
        </w:tc>
        <w:tc>
          <w:tcPr>
            <w:tcW w:w="6413" w:type="dxa"/>
          </w:tcPr>
          <w:p>
            <w:pPr>
              <w:pStyle w:val="TableParagraph"/>
              <w:spacing w:before="47"/>
              <w:ind w:left="108"/>
              <w:rPr>
                <w:sz w:val="21"/>
              </w:rPr>
            </w:pPr>
            <w:r>
              <w:rPr>
                <w:sz w:val="21"/>
              </w:rPr>
              <w:t>一、基本保险金额</w:t>
            </w:r>
          </w:p>
          <w:p>
            <w:pPr>
              <w:pStyle w:val="TableParagraph"/>
              <w:spacing w:line="300" w:lineRule="auto" w:before="68"/>
              <w:ind w:left="108" w:right="101"/>
              <w:rPr>
                <w:sz w:val="21"/>
              </w:rPr>
            </w:pPr>
            <w:r>
              <w:rPr>
                <w:sz w:val="21"/>
              </w:rPr>
              <w:t>本附加合同的基本保险金额由投保人在投保时与本公司约定并于保险单上载明。</w:t>
            </w:r>
          </w:p>
          <w:p>
            <w:pPr>
              <w:pStyle w:val="TableParagraph"/>
              <w:spacing w:before="16"/>
              <w:ind w:left="108"/>
              <w:rPr>
                <w:sz w:val="21"/>
              </w:rPr>
            </w:pPr>
            <w:r>
              <w:rPr>
                <w:sz w:val="21"/>
              </w:rPr>
              <w:t>二、保险金额</w:t>
            </w:r>
          </w:p>
          <w:p>
            <w:pPr>
              <w:pStyle w:val="TableParagraph"/>
              <w:spacing w:line="300" w:lineRule="auto" w:before="68"/>
              <w:ind w:left="108" w:right="111"/>
              <w:rPr>
                <w:sz w:val="21"/>
              </w:rPr>
            </w:pPr>
            <w:r>
              <w:rPr>
                <w:sz w:val="21"/>
              </w:rPr>
              <w:t>本附加合同的保险金额是指本公司承担赔偿或者给付重大疾病保险金责任的最高限额。</w:t>
            </w:r>
          </w:p>
          <w:p>
            <w:pPr>
              <w:pStyle w:val="TableParagraph"/>
              <w:spacing w:before="16"/>
              <w:ind w:left="108"/>
              <w:rPr>
                <w:sz w:val="21"/>
              </w:rPr>
            </w:pPr>
            <w:r>
              <w:rPr>
                <w:sz w:val="21"/>
              </w:rPr>
              <w:t>本附加合同的保险金额与基本保险金额相同。</w:t>
            </w:r>
          </w:p>
        </w:tc>
      </w:tr>
      <w:tr>
        <w:trPr>
          <w:trHeight w:val="4895" w:hRule="atLeast"/>
        </w:trPr>
        <w:tc>
          <w:tcPr>
            <w:tcW w:w="1062" w:type="dxa"/>
          </w:tcPr>
          <w:p>
            <w:pPr>
              <w:pStyle w:val="TableParagraph"/>
              <w:spacing w:before="11"/>
              <w:rPr>
                <w:rFonts w:ascii="Times New Roman"/>
                <w:sz w:val="18"/>
              </w:rPr>
            </w:pPr>
          </w:p>
          <w:p>
            <w:pPr>
              <w:pStyle w:val="TableParagraph"/>
              <w:ind w:left="110"/>
              <w:rPr>
                <w:sz w:val="21"/>
              </w:rPr>
            </w:pPr>
            <w:r>
              <w:rPr>
                <w:sz w:val="21"/>
              </w:rPr>
              <w:t>第五条</w:t>
            </w:r>
          </w:p>
        </w:tc>
        <w:tc>
          <w:tcPr>
            <w:tcW w:w="1821" w:type="dxa"/>
          </w:tcPr>
          <w:p>
            <w:pPr>
              <w:pStyle w:val="TableParagraph"/>
              <w:spacing w:before="11"/>
              <w:rPr>
                <w:rFonts w:ascii="Times New Roman"/>
                <w:sz w:val="18"/>
              </w:rPr>
            </w:pPr>
          </w:p>
          <w:p>
            <w:pPr>
              <w:pStyle w:val="TableParagraph"/>
              <w:spacing w:line="300" w:lineRule="auto"/>
              <w:ind w:left="318" w:right="104"/>
              <w:rPr>
                <w:sz w:val="21"/>
              </w:rPr>
            </w:pPr>
            <w:r>
              <w:rPr>
                <w:sz w:val="21"/>
              </w:rPr>
              <w:t>基本保险金额变更</w:t>
            </w:r>
          </w:p>
        </w:tc>
        <w:tc>
          <w:tcPr>
            <w:tcW w:w="6413" w:type="dxa"/>
          </w:tcPr>
          <w:p>
            <w:pPr>
              <w:pStyle w:val="TableParagraph"/>
              <w:spacing w:before="11"/>
              <w:rPr>
                <w:rFonts w:ascii="Times New Roman"/>
                <w:sz w:val="18"/>
              </w:rPr>
            </w:pPr>
          </w:p>
          <w:p>
            <w:pPr>
              <w:pStyle w:val="TableParagraph"/>
              <w:ind w:left="108"/>
              <w:rPr>
                <w:sz w:val="21"/>
              </w:rPr>
            </w:pPr>
            <w:r>
              <w:rPr>
                <w:sz w:val="21"/>
              </w:rPr>
              <w:t>下列情形会引起本附加合同基本保险金额的变更:</w:t>
            </w:r>
          </w:p>
          <w:p>
            <w:pPr>
              <w:pStyle w:val="TableParagraph"/>
              <w:spacing w:line="295" w:lineRule="auto" w:before="68"/>
              <w:ind w:left="108" w:right="59"/>
              <w:jc w:val="both"/>
              <w:rPr>
                <w:b/>
                <w:sz w:val="21"/>
              </w:rPr>
            </w:pPr>
            <w:r>
              <w:rPr>
                <w:spacing w:val="-12"/>
                <w:sz w:val="21"/>
              </w:rPr>
              <w:t>一、在本附加合同已生效一年且投保人在按主合同的规定交付以前各</w:t>
            </w:r>
            <w:r>
              <w:rPr>
                <w:spacing w:val="-8"/>
                <w:sz w:val="21"/>
              </w:rPr>
              <w:t>期及当期的应交期交保险费或累计交满前 </w:t>
            </w:r>
            <w:r>
              <w:rPr>
                <w:rFonts w:ascii="Tahoma" w:eastAsia="Tahoma"/>
                <w:sz w:val="21"/>
              </w:rPr>
              <w:t>10 </w:t>
            </w:r>
            <w:r>
              <w:rPr>
                <w:spacing w:val="-3"/>
                <w:sz w:val="21"/>
              </w:rPr>
              <w:t>年应交期交保险费后， </w:t>
            </w:r>
            <w:r>
              <w:rPr>
                <w:spacing w:val="-8"/>
                <w:sz w:val="21"/>
              </w:rPr>
              <w:t>投保人可以申请变更本附加合同的基本保险金额，其中增加基本保险</w:t>
            </w:r>
            <w:r>
              <w:rPr>
                <w:spacing w:val="-9"/>
                <w:sz w:val="21"/>
              </w:rPr>
              <w:t>金额的须在被保险人年满 </w:t>
            </w:r>
            <w:r>
              <w:rPr>
                <w:sz w:val="21"/>
              </w:rPr>
              <w:t>60 </w:t>
            </w:r>
            <w:r>
              <w:rPr>
                <w:b/>
                <w:sz w:val="21"/>
              </w:rPr>
              <w:t>周岁</w:t>
            </w:r>
            <w:r>
              <w:rPr>
                <w:spacing w:val="-3"/>
                <w:sz w:val="21"/>
              </w:rPr>
              <w:t>(见释义十)后的首个</w:t>
            </w:r>
            <w:r>
              <w:rPr>
                <w:b/>
                <w:sz w:val="21"/>
              </w:rPr>
              <w:t>保险单周年日</w:t>
            </w:r>
          </w:p>
          <w:p>
            <w:pPr>
              <w:pStyle w:val="TableParagraph"/>
              <w:spacing w:before="20"/>
              <w:ind w:left="108"/>
              <w:rPr>
                <w:sz w:val="21"/>
              </w:rPr>
            </w:pPr>
            <w:r>
              <w:rPr>
                <w:sz w:val="21"/>
              </w:rPr>
              <w:t>(见释义十一)之前申请变更。</w:t>
            </w:r>
          </w:p>
          <w:p>
            <w:pPr>
              <w:pStyle w:val="TableParagraph"/>
              <w:spacing w:line="300" w:lineRule="auto" w:before="68"/>
              <w:ind w:left="108" w:right="100"/>
              <w:jc w:val="both"/>
              <w:rPr>
                <w:sz w:val="21"/>
              </w:rPr>
            </w:pPr>
            <w:r>
              <w:rPr>
                <w:spacing w:val="-11"/>
                <w:sz w:val="21"/>
              </w:rPr>
              <w:t>二、若主合同由于部分领取原因引起基本保险金额减少，使本附加合</w:t>
            </w:r>
            <w:r>
              <w:rPr>
                <w:spacing w:val="-12"/>
                <w:sz w:val="21"/>
              </w:rPr>
              <w:t>同的基本保险金额不符合公司规定的，则本附加合同基本保险金额按</w:t>
            </w:r>
            <w:r>
              <w:rPr>
                <w:spacing w:val="-6"/>
                <w:sz w:val="21"/>
              </w:rPr>
              <w:t>照主合同基本保险金额减少的比例同比例减少。</w:t>
            </w:r>
          </w:p>
          <w:p>
            <w:pPr>
              <w:pStyle w:val="TableParagraph"/>
              <w:spacing w:line="300" w:lineRule="auto" w:before="15"/>
              <w:ind w:left="108" w:right="101"/>
              <w:jc w:val="both"/>
              <w:rPr>
                <w:sz w:val="21"/>
              </w:rPr>
            </w:pPr>
            <w:r>
              <w:rPr>
                <w:spacing w:val="-12"/>
                <w:sz w:val="21"/>
              </w:rPr>
              <w:t>在上述情况下，变更后的基本保险金额应满足变更时本公司规定的相应限额。每个保险期间内投保人只能申请变更一次基本保险金额，变</w:t>
            </w:r>
            <w:r>
              <w:rPr>
                <w:spacing w:val="-7"/>
                <w:sz w:val="21"/>
              </w:rPr>
              <w:t>更后的基本保险金额对应的保险责任自主合同的下一个结算日零时</w:t>
            </w:r>
            <w:r>
              <w:rPr>
                <w:spacing w:val="-5"/>
                <w:sz w:val="21"/>
              </w:rPr>
              <w:t>起生效。</w:t>
            </w:r>
          </w:p>
        </w:tc>
      </w:tr>
      <w:tr>
        <w:trPr>
          <w:trHeight w:val="3583" w:hRule="atLeast"/>
        </w:trPr>
        <w:tc>
          <w:tcPr>
            <w:tcW w:w="1062" w:type="dxa"/>
          </w:tcPr>
          <w:p>
            <w:pPr>
              <w:pStyle w:val="TableParagraph"/>
              <w:rPr>
                <w:rFonts w:ascii="Times New Roman"/>
                <w:sz w:val="19"/>
              </w:rPr>
            </w:pPr>
          </w:p>
          <w:p>
            <w:pPr>
              <w:pStyle w:val="TableParagraph"/>
              <w:spacing w:before="1"/>
              <w:ind w:left="110"/>
              <w:rPr>
                <w:sz w:val="21"/>
              </w:rPr>
            </w:pPr>
            <w:r>
              <w:rPr>
                <w:sz w:val="21"/>
              </w:rPr>
              <w:t>第六条</w:t>
            </w:r>
          </w:p>
        </w:tc>
        <w:tc>
          <w:tcPr>
            <w:tcW w:w="1821" w:type="dxa"/>
          </w:tcPr>
          <w:p>
            <w:pPr>
              <w:pStyle w:val="TableParagraph"/>
              <w:rPr>
                <w:rFonts w:ascii="Times New Roman"/>
                <w:sz w:val="19"/>
              </w:rPr>
            </w:pPr>
          </w:p>
          <w:p>
            <w:pPr>
              <w:pStyle w:val="TableParagraph"/>
              <w:spacing w:line="300" w:lineRule="auto" w:before="1"/>
              <w:ind w:left="318" w:right="104"/>
              <w:rPr>
                <w:sz w:val="21"/>
              </w:rPr>
            </w:pPr>
            <w:r>
              <w:rPr>
                <w:sz w:val="21"/>
              </w:rPr>
              <w:t>重大疾病风险保险费</w:t>
            </w:r>
          </w:p>
        </w:tc>
        <w:tc>
          <w:tcPr>
            <w:tcW w:w="6413" w:type="dxa"/>
          </w:tcPr>
          <w:p>
            <w:pPr>
              <w:pStyle w:val="TableParagraph"/>
              <w:rPr>
                <w:rFonts w:ascii="Times New Roman"/>
                <w:sz w:val="19"/>
              </w:rPr>
            </w:pPr>
          </w:p>
          <w:p>
            <w:pPr>
              <w:pStyle w:val="TableParagraph"/>
              <w:spacing w:before="1"/>
              <w:ind w:left="108"/>
              <w:rPr>
                <w:sz w:val="21"/>
              </w:rPr>
            </w:pPr>
            <w:r>
              <w:rPr>
                <w:sz w:val="21"/>
              </w:rPr>
              <w:t>一、重大疾病风险保险费</w:t>
            </w:r>
          </w:p>
          <w:p>
            <w:pPr>
              <w:pStyle w:val="TableParagraph"/>
              <w:spacing w:line="300" w:lineRule="auto" w:before="68"/>
              <w:ind w:left="108" w:right="-15"/>
              <w:rPr>
                <w:sz w:val="21"/>
              </w:rPr>
            </w:pPr>
            <w:r>
              <w:rPr>
                <w:sz w:val="21"/>
              </w:rPr>
              <w:t>本公司对本附加合同承担的保险责任收取相应的重大疾病风险保险 </w:t>
            </w:r>
            <w:r>
              <w:rPr>
                <w:spacing w:val="-3"/>
                <w:sz w:val="21"/>
              </w:rPr>
              <w:t>费。重大疾病风险保险费根据被保险人在本附加合同生效日的年龄、</w:t>
            </w:r>
            <w:r>
              <w:rPr>
                <w:spacing w:val="-12"/>
                <w:sz w:val="21"/>
              </w:rPr>
              <w:t>性别、基本保险金额及风险程度决定。每千元基本保险金额收取的重</w:t>
            </w:r>
            <w:r>
              <w:rPr>
                <w:spacing w:val="-10"/>
                <w:sz w:val="21"/>
              </w:rPr>
              <w:t>大疾病风险保险费参照附表一的《年重大疾病风险保险费率表》。  </w:t>
            </w:r>
            <w:r>
              <w:rPr>
                <w:spacing w:val="-5"/>
                <w:sz w:val="21"/>
              </w:rPr>
              <w:t>二、重大疾病风险保险费的收取</w:t>
            </w:r>
          </w:p>
          <w:p>
            <w:pPr>
              <w:pStyle w:val="TableParagraph"/>
              <w:spacing w:line="300" w:lineRule="auto" w:before="15"/>
              <w:ind w:left="108" w:right="100"/>
              <w:jc w:val="both"/>
              <w:rPr>
                <w:sz w:val="21"/>
              </w:rPr>
            </w:pPr>
            <w:r>
              <w:rPr>
                <w:spacing w:val="-9"/>
                <w:sz w:val="21"/>
              </w:rPr>
              <w:t>在主合同每月结算日零时，本公司按照当月的实际天数，从主合同的</w:t>
            </w:r>
            <w:r>
              <w:rPr>
                <w:spacing w:val="-10"/>
                <w:sz w:val="21"/>
              </w:rPr>
              <w:t>保单账户中收取本附加合同的重大疾病风险保险费，主合同的保单账户价值按收取的重大疾病风险保险费等额减少。在本附加合同生效日</w:t>
            </w:r>
          </w:p>
          <w:p>
            <w:pPr>
              <w:pStyle w:val="TableParagraph"/>
              <w:spacing w:line="255" w:lineRule="exact" w:before="15"/>
              <w:ind w:left="108"/>
              <w:rPr>
                <w:sz w:val="21"/>
              </w:rPr>
            </w:pPr>
            <w:r>
              <w:rPr>
                <w:sz w:val="21"/>
              </w:rPr>
              <w:t>或效力恢复日零时，本公司按照本附加合同生效日或效力恢复日至主</w:t>
            </w:r>
          </w:p>
        </w:tc>
      </w:tr>
    </w:tbl>
    <w:p>
      <w:pPr>
        <w:spacing w:after="0" w:line="255" w:lineRule="exac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821"/>
        <w:gridCol w:w="6413"/>
      </w:tblGrid>
      <w:tr>
        <w:trPr>
          <w:trHeight w:val="2723" w:hRule="atLeast"/>
        </w:trPr>
        <w:tc>
          <w:tcPr>
            <w:tcW w:w="1062" w:type="dxa"/>
          </w:tcPr>
          <w:p>
            <w:pPr>
              <w:pStyle w:val="TableParagraph"/>
              <w:rPr>
                <w:rFonts w:ascii="Times New Roman"/>
                <w:sz w:val="20"/>
              </w:rPr>
            </w:pPr>
          </w:p>
        </w:tc>
        <w:tc>
          <w:tcPr>
            <w:tcW w:w="1821" w:type="dxa"/>
          </w:tcPr>
          <w:p>
            <w:pPr>
              <w:pStyle w:val="TableParagraph"/>
              <w:rPr>
                <w:rFonts w:ascii="Times New Roman"/>
                <w:sz w:val="20"/>
              </w:rPr>
            </w:pPr>
          </w:p>
        </w:tc>
        <w:tc>
          <w:tcPr>
            <w:tcW w:w="6413" w:type="dxa"/>
          </w:tcPr>
          <w:p>
            <w:pPr>
              <w:pStyle w:val="TableParagraph"/>
              <w:spacing w:line="211" w:lineRule="exact"/>
              <w:ind w:left="108"/>
              <w:rPr>
                <w:sz w:val="21"/>
              </w:rPr>
            </w:pPr>
            <w:r>
              <w:rPr>
                <w:sz w:val="21"/>
              </w:rPr>
              <w:t>合同下一结算日前一日的实际天数从主合同的保单账户中收取本附</w:t>
            </w:r>
          </w:p>
          <w:p>
            <w:pPr>
              <w:pStyle w:val="TableParagraph"/>
              <w:spacing w:line="300" w:lineRule="auto" w:before="68"/>
              <w:ind w:left="108" w:right="100"/>
              <w:jc w:val="both"/>
              <w:rPr>
                <w:sz w:val="21"/>
              </w:rPr>
            </w:pPr>
            <w:r>
              <w:rPr>
                <w:spacing w:val="-11"/>
                <w:sz w:val="21"/>
              </w:rPr>
              <w:t>加合同的重大疾病风险保险费，主合同的保单账户价值按收取的重大</w:t>
            </w:r>
            <w:r>
              <w:rPr>
                <w:spacing w:val="-13"/>
                <w:sz w:val="21"/>
              </w:rPr>
              <w:t>疾病风险保险费等额减少。每日的重大疾病风险保险费为年重大疾病</w:t>
            </w:r>
            <w:r>
              <w:rPr>
                <w:spacing w:val="-6"/>
                <w:sz w:val="21"/>
              </w:rPr>
              <w:t>风险保险费的三百六十五分之一。</w:t>
            </w:r>
          </w:p>
          <w:p>
            <w:pPr>
              <w:pStyle w:val="TableParagraph"/>
              <w:spacing w:line="300" w:lineRule="auto" w:before="15"/>
              <w:ind w:left="108" w:right="100"/>
              <w:jc w:val="both"/>
              <w:rPr>
                <w:sz w:val="21"/>
              </w:rPr>
            </w:pPr>
            <w:r>
              <w:rPr>
                <w:spacing w:val="-9"/>
                <w:sz w:val="21"/>
              </w:rPr>
              <w:t>若本附加合同的基本保险金额发生变更，本附加合同的重大疾病风险</w:t>
            </w:r>
            <w:r>
              <w:rPr>
                <w:spacing w:val="-5"/>
                <w:sz w:val="21"/>
              </w:rPr>
              <w:t>保险费按变更后的基本保险金额确定。</w:t>
            </w:r>
          </w:p>
          <w:p>
            <w:pPr>
              <w:pStyle w:val="TableParagraph"/>
              <w:spacing w:before="15"/>
              <w:ind w:left="108"/>
              <w:jc w:val="both"/>
              <w:rPr>
                <w:sz w:val="21"/>
              </w:rPr>
            </w:pPr>
            <w:r>
              <w:rPr>
                <w:sz w:val="21"/>
              </w:rPr>
              <w:t>本附加合同效力中止期间，本公司不收取重大疾病风险保险费。</w:t>
            </w:r>
          </w:p>
        </w:tc>
      </w:tr>
      <w:tr>
        <w:trPr>
          <w:trHeight w:val="391" w:hRule="atLeast"/>
        </w:trPr>
        <w:tc>
          <w:tcPr>
            <w:tcW w:w="1062" w:type="dxa"/>
            <w:shd w:val="clear" w:color="auto" w:fill="CCCCCC"/>
          </w:tcPr>
          <w:p>
            <w:pPr>
              <w:pStyle w:val="TableParagraph"/>
              <w:spacing w:before="11"/>
              <w:ind w:left="110"/>
              <w:rPr>
                <w:b/>
                <w:sz w:val="21"/>
              </w:rPr>
            </w:pPr>
            <w:r>
              <w:rPr>
                <w:b/>
                <w:sz w:val="21"/>
              </w:rPr>
              <w:t>第四章</w:t>
            </w:r>
          </w:p>
        </w:tc>
        <w:tc>
          <w:tcPr>
            <w:tcW w:w="8234" w:type="dxa"/>
            <w:gridSpan w:val="2"/>
            <w:shd w:val="clear" w:color="auto" w:fill="CCCCCC"/>
          </w:tcPr>
          <w:p>
            <w:pPr>
              <w:pStyle w:val="TableParagraph"/>
              <w:spacing w:before="11"/>
              <w:ind w:left="318"/>
              <w:rPr>
                <w:b/>
                <w:sz w:val="21"/>
              </w:rPr>
            </w:pPr>
            <w:r>
              <w:rPr>
                <w:b/>
                <w:sz w:val="21"/>
              </w:rPr>
              <w:t>保险合同成立与生效、保险期间、复效及合同解除</w:t>
            </w:r>
          </w:p>
        </w:tc>
      </w:tr>
      <w:tr>
        <w:trPr>
          <w:trHeight w:val="2321" w:hRule="atLeast"/>
        </w:trPr>
        <w:tc>
          <w:tcPr>
            <w:tcW w:w="1062" w:type="dxa"/>
          </w:tcPr>
          <w:p>
            <w:pPr>
              <w:pStyle w:val="TableParagraph"/>
              <w:spacing w:before="47"/>
              <w:ind w:left="110"/>
              <w:rPr>
                <w:sz w:val="21"/>
              </w:rPr>
            </w:pPr>
            <w:r>
              <w:rPr>
                <w:sz w:val="21"/>
              </w:rPr>
              <w:t>第七条</w:t>
            </w:r>
          </w:p>
        </w:tc>
        <w:tc>
          <w:tcPr>
            <w:tcW w:w="1821" w:type="dxa"/>
          </w:tcPr>
          <w:p>
            <w:pPr>
              <w:pStyle w:val="TableParagraph"/>
              <w:spacing w:line="300" w:lineRule="auto" w:before="47"/>
              <w:ind w:left="318" w:right="104"/>
              <w:rPr>
                <w:sz w:val="21"/>
              </w:rPr>
            </w:pPr>
            <w:r>
              <w:rPr>
                <w:sz w:val="21"/>
              </w:rPr>
              <w:t>保险合同成立与生效</w:t>
            </w:r>
          </w:p>
        </w:tc>
        <w:tc>
          <w:tcPr>
            <w:tcW w:w="6413" w:type="dxa"/>
          </w:tcPr>
          <w:p>
            <w:pPr>
              <w:pStyle w:val="TableParagraph"/>
              <w:spacing w:line="300" w:lineRule="auto" w:before="47"/>
              <w:ind w:left="108" w:right="-15"/>
              <w:rPr>
                <w:sz w:val="21"/>
              </w:rPr>
            </w:pPr>
            <w:r>
              <w:rPr>
                <w:spacing w:val="-8"/>
                <w:sz w:val="21"/>
              </w:rPr>
              <w:t>投保人于签订主合同同时申请签订本附加合同，本公司与投保人就承</w:t>
            </w:r>
            <w:r>
              <w:rPr>
                <w:spacing w:val="-5"/>
                <w:sz w:val="21"/>
              </w:rPr>
              <w:t>保条件达成一致，本附加合同成立，合同成立日期载明于保险单上。</w:t>
            </w:r>
            <w:r>
              <w:rPr>
                <w:spacing w:val="-4"/>
                <w:sz w:val="21"/>
              </w:rPr>
              <w:t>若投保人签订主合同同时申请签订本附加合同，在本附加合同成立， </w:t>
            </w:r>
            <w:r>
              <w:rPr>
                <w:spacing w:val="-3"/>
                <w:sz w:val="21"/>
              </w:rPr>
              <w:t>且本公司已从主合同保单账户中收取第一期的重大疾病风险保险费 </w:t>
            </w:r>
            <w:r>
              <w:rPr>
                <w:spacing w:val="-12"/>
                <w:sz w:val="21"/>
              </w:rPr>
              <w:t>后，本附加合同自生效日零时开始生效。本公司签发保险单作为同意</w:t>
            </w:r>
            <w:r>
              <w:rPr>
                <w:spacing w:val="-6"/>
                <w:sz w:val="21"/>
              </w:rPr>
              <w:t>承保的凭证。本附加合同的生效日载明于保险单上。</w:t>
            </w:r>
          </w:p>
        </w:tc>
      </w:tr>
      <w:tr>
        <w:trPr>
          <w:trHeight w:val="5925" w:hRule="atLeast"/>
        </w:trPr>
        <w:tc>
          <w:tcPr>
            <w:tcW w:w="1062" w:type="dxa"/>
          </w:tcPr>
          <w:p>
            <w:pPr>
              <w:pStyle w:val="TableParagraph"/>
              <w:spacing w:before="11"/>
              <w:rPr>
                <w:rFonts w:ascii="Times New Roman"/>
                <w:sz w:val="18"/>
              </w:rPr>
            </w:pPr>
          </w:p>
          <w:p>
            <w:pPr>
              <w:pStyle w:val="TableParagraph"/>
              <w:ind w:left="110"/>
              <w:rPr>
                <w:sz w:val="21"/>
              </w:rPr>
            </w:pPr>
            <w:r>
              <w:rPr>
                <w:sz w:val="21"/>
              </w:rPr>
              <w:t>第八条</w:t>
            </w:r>
          </w:p>
        </w:tc>
        <w:tc>
          <w:tcPr>
            <w:tcW w:w="1821" w:type="dxa"/>
          </w:tcPr>
          <w:p>
            <w:pPr>
              <w:pStyle w:val="TableParagraph"/>
              <w:spacing w:before="11"/>
              <w:rPr>
                <w:rFonts w:ascii="Times New Roman"/>
                <w:sz w:val="18"/>
              </w:rPr>
            </w:pPr>
          </w:p>
          <w:p>
            <w:pPr>
              <w:pStyle w:val="TableParagraph"/>
              <w:spacing w:line="300" w:lineRule="auto"/>
              <w:ind w:left="318" w:right="104"/>
              <w:rPr>
                <w:sz w:val="21"/>
              </w:rPr>
            </w:pPr>
            <w:r>
              <w:rPr>
                <w:sz w:val="21"/>
              </w:rPr>
              <w:t>保险期间和保证续保</w:t>
            </w:r>
          </w:p>
        </w:tc>
        <w:tc>
          <w:tcPr>
            <w:tcW w:w="6413" w:type="dxa"/>
          </w:tcPr>
          <w:p>
            <w:pPr>
              <w:pStyle w:val="TableParagraph"/>
              <w:spacing w:before="11"/>
              <w:rPr>
                <w:rFonts w:ascii="Times New Roman"/>
                <w:sz w:val="18"/>
              </w:rPr>
            </w:pPr>
          </w:p>
          <w:p>
            <w:pPr>
              <w:pStyle w:val="TableParagraph"/>
              <w:spacing w:line="300" w:lineRule="auto"/>
              <w:ind w:left="108" w:right="1"/>
              <w:rPr>
                <w:sz w:val="21"/>
              </w:rPr>
            </w:pPr>
            <w:r>
              <w:rPr>
                <w:spacing w:val="-3"/>
                <w:sz w:val="21"/>
              </w:rPr>
              <w:t>本附加合同的保险期间为一年，保险期间自本附加合同生效时起算。</w:t>
            </w:r>
            <w:r>
              <w:rPr>
                <w:spacing w:val="-11"/>
                <w:sz w:val="21"/>
              </w:rPr>
              <w:t>本附加合同为保证续保合同，若投保人于每个保险期间届满前未提出</w:t>
            </w:r>
            <w:r>
              <w:rPr>
                <w:spacing w:val="-13"/>
                <w:sz w:val="21"/>
              </w:rPr>
              <w:t>不再续保的要求，且在保险期间届满时主合同的保单账户价值足以支</w:t>
            </w:r>
            <w:r>
              <w:rPr>
                <w:spacing w:val="-6"/>
                <w:sz w:val="21"/>
              </w:rPr>
              <w:t>付主合同的保险合同费用</w:t>
            </w:r>
            <w:r>
              <w:rPr>
                <w:sz w:val="21"/>
              </w:rPr>
              <w:t>（</w:t>
            </w:r>
            <w:r>
              <w:rPr>
                <w:spacing w:val="-3"/>
                <w:sz w:val="21"/>
              </w:rPr>
              <w:t>风险保险费、保单管理费</w:t>
            </w:r>
            <w:r>
              <w:rPr>
                <w:spacing w:val="-106"/>
                <w:sz w:val="21"/>
              </w:rPr>
              <w:t>）</w:t>
            </w:r>
            <w:r>
              <w:rPr>
                <w:spacing w:val="-3"/>
                <w:sz w:val="21"/>
              </w:rPr>
              <w:t>、本附加合同</w:t>
            </w:r>
            <w:r>
              <w:rPr>
                <w:spacing w:val="-2"/>
                <w:sz w:val="21"/>
              </w:rPr>
              <w:t>的重大疾病风险保险费及其他附加合同根据条款约定应从主合同的</w:t>
            </w:r>
            <w:r>
              <w:rPr>
                <w:spacing w:val="-11"/>
                <w:sz w:val="21"/>
              </w:rPr>
              <w:t>保单账户中扣除的风险保险费，则本附加合同自保险期间届满时起将</w:t>
            </w:r>
            <w:r>
              <w:rPr>
                <w:spacing w:val="-13"/>
                <w:sz w:val="21"/>
              </w:rPr>
              <w:t>自动续保一年，但若于每一保险期间届满前发生下列情形之一，本附</w:t>
            </w:r>
            <w:r>
              <w:rPr>
                <w:spacing w:val="-6"/>
                <w:sz w:val="21"/>
              </w:rPr>
              <w:t>加合同自动不再接受续保：</w:t>
            </w:r>
          </w:p>
          <w:p>
            <w:pPr>
              <w:pStyle w:val="TableParagraph"/>
              <w:spacing w:before="15"/>
              <w:ind w:left="108"/>
              <w:rPr>
                <w:sz w:val="21"/>
              </w:rPr>
            </w:pPr>
            <w:r>
              <w:rPr>
                <w:sz w:val="21"/>
              </w:rPr>
              <w:t>一、主合同效力终止；</w:t>
            </w:r>
          </w:p>
          <w:p>
            <w:pPr>
              <w:pStyle w:val="TableParagraph"/>
              <w:spacing w:line="300" w:lineRule="auto" w:before="67"/>
              <w:ind w:left="108" w:right="3148"/>
              <w:rPr>
                <w:sz w:val="21"/>
              </w:rPr>
            </w:pPr>
            <w:r>
              <w:rPr>
                <w:sz w:val="21"/>
              </w:rPr>
              <w:t>二、投保人申请解除本附加合同； 三、被保险人身故；</w:t>
            </w:r>
          </w:p>
          <w:p>
            <w:pPr>
              <w:pStyle w:val="TableParagraph"/>
              <w:spacing w:line="300" w:lineRule="auto" w:before="15"/>
              <w:ind w:left="108" w:right="3680"/>
              <w:rPr>
                <w:sz w:val="21"/>
              </w:rPr>
            </w:pPr>
            <w:r>
              <w:rPr>
                <w:spacing w:val="-3"/>
                <w:sz w:val="21"/>
              </w:rPr>
              <w:t>四、本附加合同效力终止； </w:t>
            </w:r>
            <w:r>
              <w:rPr>
                <w:spacing w:val="-8"/>
                <w:sz w:val="21"/>
              </w:rPr>
              <w:t>五、被保险人年满 </w:t>
            </w:r>
            <w:r>
              <w:rPr>
                <w:sz w:val="21"/>
              </w:rPr>
              <w:t>80</w:t>
            </w:r>
            <w:r>
              <w:rPr>
                <w:spacing w:val="-15"/>
                <w:sz w:val="21"/>
              </w:rPr>
              <w:t> 周岁；</w:t>
            </w:r>
          </w:p>
          <w:p>
            <w:pPr>
              <w:pStyle w:val="TableParagraph"/>
              <w:spacing w:before="15"/>
              <w:ind w:left="108"/>
              <w:rPr>
                <w:sz w:val="21"/>
              </w:rPr>
            </w:pPr>
            <w:r>
              <w:rPr>
                <w:sz w:val="21"/>
              </w:rPr>
              <w:t>六、主合同或本附加合同约定的其他终止情形。</w:t>
            </w:r>
          </w:p>
          <w:p>
            <w:pPr>
              <w:pStyle w:val="TableParagraph"/>
              <w:spacing w:line="300" w:lineRule="auto" w:before="67"/>
              <w:ind w:left="108" w:right="100"/>
              <w:rPr>
                <w:sz w:val="21"/>
              </w:rPr>
            </w:pPr>
            <w:r>
              <w:rPr>
                <w:spacing w:val="-9"/>
                <w:sz w:val="21"/>
              </w:rPr>
              <w:t>续保时将根据续保生效当时被保险人的年龄、健康状况和费率表重新</w:t>
            </w:r>
            <w:r>
              <w:rPr>
                <w:spacing w:val="-3"/>
                <w:sz w:val="21"/>
              </w:rPr>
              <w:t>计算重大疾病风险保险费。</w:t>
            </w:r>
          </w:p>
        </w:tc>
      </w:tr>
      <w:tr>
        <w:trPr>
          <w:trHeight w:val="1180" w:hRule="atLeast"/>
        </w:trPr>
        <w:tc>
          <w:tcPr>
            <w:tcW w:w="1062" w:type="dxa"/>
          </w:tcPr>
          <w:p>
            <w:pPr>
              <w:pStyle w:val="TableParagraph"/>
              <w:rPr>
                <w:rFonts w:ascii="Times New Roman"/>
                <w:sz w:val="19"/>
              </w:rPr>
            </w:pPr>
          </w:p>
          <w:p>
            <w:pPr>
              <w:pStyle w:val="TableParagraph"/>
              <w:spacing w:before="1"/>
              <w:ind w:left="110"/>
              <w:rPr>
                <w:sz w:val="21"/>
              </w:rPr>
            </w:pPr>
            <w:r>
              <w:rPr>
                <w:sz w:val="21"/>
              </w:rPr>
              <w:t>第九条</w:t>
            </w:r>
          </w:p>
        </w:tc>
        <w:tc>
          <w:tcPr>
            <w:tcW w:w="1821" w:type="dxa"/>
          </w:tcPr>
          <w:p>
            <w:pPr>
              <w:pStyle w:val="TableParagraph"/>
              <w:spacing w:line="340" w:lineRule="atLeast" w:before="154"/>
              <w:ind w:left="318" w:right="104"/>
              <w:jc w:val="both"/>
              <w:rPr>
                <w:sz w:val="21"/>
              </w:rPr>
            </w:pPr>
            <w:r>
              <w:rPr>
                <w:sz w:val="21"/>
              </w:rPr>
              <w:t>投保人解除合同的手续及风险</w:t>
            </w:r>
          </w:p>
        </w:tc>
        <w:tc>
          <w:tcPr>
            <w:tcW w:w="6413" w:type="dxa"/>
          </w:tcPr>
          <w:p>
            <w:pPr>
              <w:pStyle w:val="TableParagraph"/>
              <w:rPr>
                <w:rFonts w:ascii="Times New Roman"/>
                <w:sz w:val="19"/>
              </w:rPr>
            </w:pPr>
          </w:p>
          <w:p>
            <w:pPr>
              <w:pStyle w:val="TableParagraph"/>
              <w:spacing w:line="300" w:lineRule="auto" w:before="1"/>
              <w:ind w:left="108" w:right="99"/>
              <w:rPr>
                <w:sz w:val="21"/>
              </w:rPr>
            </w:pPr>
            <w:r>
              <w:rPr>
                <w:spacing w:val="-10"/>
                <w:sz w:val="21"/>
              </w:rPr>
              <w:t>在本附加合同保险期间内，若未发生保险金给付，投保人申请解除本</w:t>
            </w:r>
            <w:r>
              <w:rPr>
                <w:spacing w:val="-5"/>
                <w:sz w:val="21"/>
              </w:rPr>
              <w:t>附加合同，请填写解除合同申请书并向本公司提供下列资料：</w:t>
            </w:r>
          </w:p>
          <w:p>
            <w:pPr>
              <w:pStyle w:val="TableParagraph"/>
              <w:spacing w:line="255" w:lineRule="exact" w:before="16"/>
              <w:ind w:left="108"/>
              <w:rPr>
                <w:sz w:val="21"/>
              </w:rPr>
            </w:pPr>
            <w:r>
              <w:rPr>
                <w:sz w:val="21"/>
              </w:rPr>
              <w:t>一、保险合同；</w:t>
            </w:r>
          </w:p>
        </w:tc>
      </w:tr>
    </w:tbl>
    <w:p>
      <w:pPr>
        <w:spacing w:after="0" w:line="255" w:lineRule="exac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7"/>
        <w:gridCol w:w="1717"/>
        <w:gridCol w:w="6413"/>
      </w:tblGrid>
      <w:tr>
        <w:trPr>
          <w:trHeight w:val="1865" w:hRule="atLeast"/>
        </w:trPr>
        <w:tc>
          <w:tcPr>
            <w:tcW w:w="1167" w:type="dxa"/>
          </w:tcPr>
          <w:p>
            <w:pPr>
              <w:pStyle w:val="TableParagraph"/>
              <w:rPr>
                <w:rFonts w:ascii="Times New Roman"/>
                <w:sz w:val="20"/>
              </w:rPr>
            </w:pPr>
          </w:p>
        </w:tc>
        <w:tc>
          <w:tcPr>
            <w:tcW w:w="1717" w:type="dxa"/>
          </w:tcPr>
          <w:p>
            <w:pPr>
              <w:pStyle w:val="TableParagraph"/>
              <w:rPr>
                <w:rFonts w:ascii="Times New Roman"/>
                <w:sz w:val="20"/>
              </w:rPr>
            </w:pPr>
          </w:p>
        </w:tc>
        <w:tc>
          <w:tcPr>
            <w:tcW w:w="6413" w:type="dxa"/>
          </w:tcPr>
          <w:p>
            <w:pPr>
              <w:pStyle w:val="TableParagraph"/>
              <w:spacing w:line="211" w:lineRule="exact"/>
              <w:ind w:left="107"/>
              <w:rPr>
                <w:sz w:val="21"/>
              </w:rPr>
            </w:pPr>
            <w:r>
              <w:rPr>
                <w:sz w:val="21"/>
              </w:rPr>
              <w:t>二、投保人的有效身份证件。</w:t>
            </w:r>
          </w:p>
          <w:p>
            <w:pPr>
              <w:pStyle w:val="TableParagraph"/>
              <w:spacing w:line="300" w:lineRule="auto" w:before="68"/>
              <w:ind w:left="107" w:right="102"/>
              <w:rPr>
                <w:sz w:val="21"/>
              </w:rPr>
            </w:pPr>
            <w:r>
              <w:rPr>
                <w:spacing w:val="-8"/>
                <w:sz w:val="21"/>
              </w:rPr>
              <w:t>本公司收到解除合同申请书及上述文件时起，本附加合同终止。本公</w:t>
            </w:r>
            <w:r>
              <w:rPr>
                <w:spacing w:val="-5"/>
                <w:sz w:val="21"/>
              </w:rPr>
              <w:t>司将已收取的本附加合同终止日之后的重大疾病风险保险费无息退</w:t>
            </w:r>
            <w:r>
              <w:rPr>
                <w:spacing w:val="-4"/>
                <w:sz w:val="21"/>
              </w:rPr>
              <w:t>还至主合同保单账户，主合同保单账户价值按照退还的金额等额增加。</w:t>
            </w:r>
          </w:p>
        </w:tc>
      </w:tr>
      <w:tr>
        <w:trPr>
          <w:trHeight w:val="5067" w:hRule="atLeast"/>
        </w:trPr>
        <w:tc>
          <w:tcPr>
            <w:tcW w:w="1167" w:type="dxa"/>
          </w:tcPr>
          <w:p>
            <w:pPr>
              <w:pStyle w:val="TableParagraph"/>
              <w:spacing w:before="11"/>
              <w:rPr>
                <w:rFonts w:ascii="Times New Roman"/>
                <w:sz w:val="18"/>
              </w:rPr>
            </w:pPr>
          </w:p>
          <w:p>
            <w:pPr>
              <w:pStyle w:val="TableParagraph"/>
              <w:ind w:left="110"/>
              <w:rPr>
                <w:sz w:val="21"/>
              </w:rPr>
            </w:pPr>
            <w:r>
              <w:rPr>
                <w:sz w:val="21"/>
              </w:rPr>
              <w:t>第十条</w:t>
            </w:r>
          </w:p>
        </w:tc>
        <w:tc>
          <w:tcPr>
            <w:tcW w:w="1717" w:type="dxa"/>
          </w:tcPr>
          <w:p>
            <w:pPr>
              <w:pStyle w:val="TableParagraph"/>
              <w:spacing w:before="11"/>
              <w:rPr>
                <w:rFonts w:ascii="Times New Roman"/>
                <w:sz w:val="18"/>
              </w:rPr>
            </w:pPr>
          </w:p>
          <w:p>
            <w:pPr>
              <w:pStyle w:val="TableParagraph"/>
              <w:spacing w:line="300" w:lineRule="auto"/>
              <w:ind w:left="213" w:right="105"/>
              <w:rPr>
                <w:sz w:val="21"/>
              </w:rPr>
            </w:pPr>
            <w:r>
              <w:rPr>
                <w:sz w:val="21"/>
              </w:rPr>
              <w:t>附加合同效力中止、恢复</w:t>
            </w:r>
          </w:p>
        </w:tc>
        <w:tc>
          <w:tcPr>
            <w:tcW w:w="6413" w:type="dxa"/>
          </w:tcPr>
          <w:p>
            <w:pPr>
              <w:pStyle w:val="TableParagraph"/>
              <w:spacing w:before="11"/>
              <w:rPr>
                <w:rFonts w:ascii="Times New Roman"/>
                <w:sz w:val="18"/>
              </w:rPr>
            </w:pPr>
          </w:p>
          <w:p>
            <w:pPr>
              <w:pStyle w:val="TableParagraph"/>
              <w:spacing w:line="300" w:lineRule="auto"/>
              <w:ind w:left="107" w:right="100"/>
              <w:jc w:val="both"/>
              <w:rPr>
                <w:sz w:val="21"/>
              </w:rPr>
            </w:pPr>
            <w:r>
              <w:rPr>
                <w:spacing w:val="-12"/>
                <w:sz w:val="21"/>
              </w:rPr>
              <w:t>在主合同每月结算日零时，若主合同保单账户价值扣除保单借款本息</w:t>
            </w:r>
            <w:r>
              <w:rPr>
                <w:spacing w:val="-13"/>
                <w:sz w:val="21"/>
              </w:rPr>
              <w:t>后，再扣除主合同当月风险保险费和保单管理费后的余额不足以支付</w:t>
            </w:r>
            <w:r>
              <w:rPr>
                <w:spacing w:val="-12"/>
                <w:sz w:val="21"/>
              </w:rPr>
              <w:t>本附加合同当月的重大疾病风险保险费，本附加合同自结算日零时起</w:t>
            </w:r>
            <w:r>
              <w:rPr>
                <w:spacing w:val="-25"/>
                <w:sz w:val="21"/>
              </w:rPr>
              <w:t>的 </w:t>
            </w:r>
            <w:r>
              <w:rPr>
                <w:sz w:val="21"/>
              </w:rPr>
              <w:t>60</w:t>
            </w:r>
            <w:r>
              <w:rPr>
                <w:spacing w:val="-8"/>
                <w:sz w:val="21"/>
              </w:rPr>
              <w:t> 日内继续有效，在此期间，若被保险人发生保险事故，本公司</w:t>
            </w:r>
            <w:r>
              <w:rPr>
                <w:spacing w:val="-13"/>
                <w:sz w:val="21"/>
              </w:rPr>
              <w:t>仍承担保险责任，但给付重大疾病保险金时，必须从给付的保险金中</w:t>
            </w:r>
            <w:r>
              <w:rPr>
                <w:spacing w:val="-6"/>
                <w:sz w:val="21"/>
              </w:rPr>
              <w:t>扣除所欠的重大疾病风险保险费及利息。</w:t>
            </w:r>
          </w:p>
          <w:p>
            <w:pPr>
              <w:pStyle w:val="TableParagraph"/>
              <w:spacing w:line="300" w:lineRule="auto" w:before="15"/>
              <w:ind w:left="107" w:right="101"/>
              <w:jc w:val="both"/>
              <w:rPr>
                <w:sz w:val="21"/>
              </w:rPr>
            </w:pPr>
            <w:r>
              <w:rPr>
                <w:spacing w:val="-13"/>
                <w:sz w:val="21"/>
              </w:rPr>
              <w:t>自第 </w:t>
            </w:r>
            <w:r>
              <w:rPr>
                <w:sz w:val="21"/>
              </w:rPr>
              <w:t>61</w:t>
            </w:r>
            <w:r>
              <w:rPr>
                <w:spacing w:val="-8"/>
                <w:sz w:val="21"/>
              </w:rPr>
              <w:t> 天零时起，本附加合同效力中止。在效力中止期间，本公司</w:t>
            </w:r>
            <w:r>
              <w:rPr>
                <w:spacing w:val="-5"/>
                <w:sz w:val="21"/>
              </w:rPr>
              <w:t>对发生的保险事故不承担保险责任。</w:t>
            </w:r>
          </w:p>
          <w:p>
            <w:pPr>
              <w:pStyle w:val="TableParagraph"/>
              <w:spacing w:line="300" w:lineRule="auto" w:before="15"/>
              <w:ind w:left="107" w:right="101"/>
              <w:jc w:val="both"/>
              <w:rPr>
                <w:sz w:val="21"/>
              </w:rPr>
            </w:pPr>
            <w:r>
              <w:rPr>
                <w:spacing w:val="-6"/>
                <w:sz w:val="21"/>
              </w:rPr>
              <w:t>自本附加合同效力中止之日起 </w:t>
            </w:r>
            <w:r>
              <w:rPr>
                <w:sz w:val="21"/>
              </w:rPr>
              <w:t>2</w:t>
            </w:r>
            <w:r>
              <w:rPr>
                <w:spacing w:val="-14"/>
                <w:sz w:val="21"/>
              </w:rPr>
              <w:t> 年内，投保人可书面申请恢复合同效</w:t>
            </w:r>
            <w:r>
              <w:rPr>
                <w:spacing w:val="-13"/>
                <w:sz w:val="21"/>
              </w:rPr>
              <w:t>力。若本公司审核同意，同时已收取本附加合同所欠的重大疾病风险保险费及利息后，本附加合同自保险单上以批单形式载明的复效日期</w:t>
            </w:r>
            <w:r>
              <w:rPr>
                <w:spacing w:val="-15"/>
                <w:sz w:val="21"/>
              </w:rPr>
              <w:t>的零时起恢复效力。若自本附加合同效力中止之日起 </w:t>
            </w:r>
            <w:r>
              <w:rPr>
                <w:sz w:val="21"/>
              </w:rPr>
              <w:t>2</w:t>
            </w:r>
            <w:r>
              <w:rPr>
                <w:spacing w:val="-8"/>
                <w:sz w:val="21"/>
              </w:rPr>
              <w:t> 年内双方未达</w:t>
            </w:r>
            <w:r>
              <w:rPr>
                <w:spacing w:val="-5"/>
                <w:sz w:val="21"/>
              </w:rPr>
              <w:t>成合同效力恢复协议的，本公司有权解除本附加合同。</w:t>
            </w:r>
          </w:p>
        </w:tc>
      </w:tr>
      <w:tr>
        <w:trPr>
          <w:trHeight w:val="434" w:hRule="atLeast"/>
        </w:trPr>
        <w:tc>
          <w:tcPr>
            <w:tcW w:w="1167" w:type="dxa"/>
            <w:shd w:val="clear" w:color="auto" w:fill="CCCCCC"/>
          </w:tcPr>
          <w:p>
            <w:pPr>
              <w:pStyle w:val="TableParagraph"/>
              <w:spacing w:before="48"/>
              <w:ind w:left="110"/>
              <w:rPr>
                <w:b/>
                <w:sz w:val="21"/>
              </w:rPr>
            </w:pPr>
            <w:r>
              <w:rPr>
                <w:b/>
                <w:sz w:val="21"/>
              </w:rPr>
              <w:t>第五章</w:t>
            </w:r>
          </w:p>
        </w:tc>
        <w:tc>
          <w:tcPr>
            <w:tcW w:w="1717" w:type="dxa"/>
            <w:shd w:val="clear" w:color="auto" w:fill="CCCCCC"/>
          </w:tcPr>
          <w:p>
            <w:pPr>
              <w:pStyle w:val="TableParagraph"/>
              <w:spacing w:before="48"/>
              <w:ind w:left="213"/>
              <w:rPr>
                <w:b/>
                <w:sz w:val="21"/>
              </w:rPr>
            </w:pPr>
            <w:r>
              <w:rPr>
                <w:b/>
                <w:sz w:val="21"/>
              </w:rPr>
              <w:t>保险金申请</w:t>
            </w:r>
          </w:p>
        </w:tc>
        <w:tc>
          <w:tcPr>
            <w:tcW w:w="6413" w:type="dxa"/>
            <w:shd w:val="clear" w:color="auto" w:fill="CCCCCC"/>
          </w:tcPr>
          <w:p>
            <w:pPr>
              <w:pStyle w:val="TableParagraph"/>
              <w:rPr>
                <w:rFonts w:ascii="Times New Roman"/>
                <w:sz w:val="20"/>
              </w:rPr>
            </w:pPr>
          </w:p>
        </w:tc>
      </w:tr>
      <w:tr>
        <w:trPr>
          <w:trHeight w:val="2319" w:hRule="atLeast"/>
        </w:trPr>
        <w:tc>
          <w:tcPr>
            <w:tcW w:w="1167" w:type="dxa"/>
          </w:tcPr>
          <w:p>
            <w:pPr>
              <w:pStyle w:val="TableParagraph"/>
              <w:spacing w:before="45"/>
              <w:ind w:left="110"/>
              <w:rPr>
                <w:sz w:val="21"/>
              </w:rPr>
            </w:pPr>
            <w:r>
              <w:rPr>
                <w:sz w:val="21"/>
              </w:rPr>
              <w:t>第十一条</w:t>
            </w:r>
          </w:p>
        </w:tc>
        <w:tc>
          <w:tcPr>
            <w:tcW w:w="1717" w:type="dxa"/>
          </w:tcPr>
          <w:p>
            <w:pPr>
              <w:pStyle w:val="TableParagraph"/>
              <w:spacing w:before="45"/>
              <w:ind w:left="213"/>
              <w:rPr>
                <w:sz w:val="21"/>
              </w:rPr>
            </w:pPr>
            <w:r>
              <w:rPr>
                <w:sz w:val="21"/>
              </w:rPr>
              <w:t>保险事故通知</w:t>
            </w:r>
          </w:p>
        </w:tc>
        <w:tc>
          <w:tcPr>
            <w:tcW w:w="6413" w:type="dxa"/>
          </w:tcPr>
          <w:p>
            <w:pPr>
              <w:pStyle w:val="TableParagraph"/>
              <w:spacing w:before="45"/>
              <w:ind w:left="107"/>
              <w:rPr>
                <w:sz w:val="21"/>
              </w:rPr>
            </w:pPr>
            <w:r>
              <w:rPr>
                <w:sz w:val="21"/>
              </w:rPr>
              <w:t>投保人或受益人知道保险事故后应当在 10 日内通知本公司。</w:t>
            </w:r>
          </w:p>
          <w:p>
            <w:pPr>
              <w:pStyle w:val="TableParagraph"/>
              <w:spacing w:line="300" w:lineRule="auto" w:before="68"/>
              <w:ind w:left="107" w:right="-15"/>
              <w:rPr>
                <w:sz w:val="21"/>
              </w:rPr>
            </w:pPr>
            <w:r>
              <w:rPr>
                <w:spacing w:val="-8"/>
                <w:sz w:val="21"/>
              </w:rPr>
              <w:t>如果投保人和受益人故意或者因重大过失未及时通知，致使保险事故</w:t>
            </w:r>
            <w:r>
              <w:rPr>
                <w:spacing w:val="-5"/>
                <w:sz w:val="21"/>
              </w:rPr>
              <w:t>的性质、原因、损失程度等难以确定的，本公司对无法确定的部分， </w:t>
            </w:r>
            <w:r>
              <w:rPr>
                <w:spacing w:val="-12"/>
                <w:sz w:val="21"/>
              </w:rPr>
              <w:t>不承担给付保险金的责任，但本公司通过其他途径已经及时知道或者</w:t>
            </w:r>
            <w:r>
              <w:rPr>
                <w:spacing w:val="-6"/>
                <w:sz w:val="21"/>
              </w:rPr>
              <w:t>应当及时知道保险事故发生或者虽未及时通知但不影响本公司确定 </w:t>
            </w:r>
            <w:r>
              <w:rPr>
                <w:spacing w:val="-4"/>
                <w:sz w:val="21"/>
              </w:rPr>
              <w:t>保险事故的性质、原因、损失程度的除外。</w:t>
            </w:r>
          </w:p>
        </w:tc>
      </w:tr>
      <w:tr>
        <w:trPr>
          <w:trHeight w:val="2897" w:hRule="atLeast"/>
        </w:trPr>
        <w:tc>
          <w:tcPr>
            <w:tcW w:w="1167" w:type="dxa"/>
          </w:tcPr>
          <w:p>
            <w:pPr>
              <w:pStyle w:val="TableParagraph"/>
              <w:rPr>
                <w:rFonts w:ascii="Times New Roman"/>
                <w:sz w:val="19"/>
              </w:rPr>
            </w:pPr>
          </w:p>
          <w:p>
            <w:pPr>
              <w:pStyle w:val="TableParagraph"/>
              <w:spacing w:before="1"/>
              <w:ind w:left="110"/>
              <w:rPr>
                <w:sz w:val="21"/>
              </w:rPr>
            </w:pPr>
            <w:r>
              <w:rPr>
                <w:sz w:val="21"/>
              </w:rPr>
              <w:t>第十二条</w:t>
            </w:r>
          </w:p>
        </w:tc>
        <w:tc>
          <w:tcPr>
            <w:tcW w:w="1717" w:type="dxa"/>
          </w:tcPr>
          <w:p>
            <w:pPr>
              <w:pStyle w:val="TableParagraph"/>
              <w:rPr>
                <w:rFonts w:ascii="Times New Roman"/>
                <w:sz w:val="19"/>
              </w:rPr>
            </w:pPr>
          </w:p>
          <w:p>
            <w:pPr>
              <w:pStyle w:val="TableParagraph"/>
              <w:spacing w:before="1"/>
              <w:ind w:left="213"/>
              <w:rPr>
                <w:sz w:val="21"/>
              </w:rPr>
            </w:pPr>
            <w:r>
              <w:rPr>
                <w:sz w:val="21"/>
              </w:rPr>
              <w:t>保险金申请</w:t>
            </w:r>
          </w:p>
        </w:tc>
        <w:tc>
          <w:tcPr>
            <w:tcW w:w="6413" w:type="dxa"/>
          </w:tcPr>
          <w:p>
            <w:pPr>
              <w:pStyle w:val="TableParagraph"/>
              <w:rPr>
                <w:rFonts w:ascii="Times New Roman"/>
                <w:sz w:val="19"/>
              </w:rPr>
            </w:pPr>
          </w:p>
          <w:p>
            <w:pPr>
              <w:pStyle w:val="TableParagraph"/>
              <w:spacing w:line="300" w:lineRule="auto" w:before="1"/>
              <w:ind w:left="107" w:right="101"/>
              <w:rPr>
                <w:sz w:val="21"/>
              </w:rPr>
            </w:pPr>
            <w:r>
              <w:rPr>
                <w:spacing w:val="-12"/>
                <w:sz w:val="21"/>
              </w:rPr>
              <w:t>在申请重大疾病保险金时，重大疾病保险金受益人须填写保险金给付</w:t>
            </w:r>
            <w:r>
              <w:rPr>
                <w:spacing w:val="-6"/>
                <w:sz w:val="21"/>
              </w:rPr>
              <w:t>申请书，并提供下列证明和资料：</w:t>
            </w:r>
          </w:p>
          <w:p>
            <w:pPr>
              <w:pStyle w:val="TableParagraph"/>
              <w:numPr>
                <w:ilvl w:val="0"/>
                <w:numId w:val="1"/>
              </w:numPr>
              <w:tabs>
                <w:tab w:pos="527" w:val="left" w:leader="none"/>
                <w:tab w:pos="528" w:val="left" w:leader="none"/>
              </w:tabs>
              <w:spacing w:line="240" w:lineRule="auto" w:before="16" w:after="0"/>
              <w:ind w:left="527" w:right="0" w:hanging="420"/>
              <w:jc w:val="left"/>
              <w:rPr>
                <w:sz w:val="21"/>
              </w:rPr>
            </w:pPr>
            <w:r>
              <w:rPr>
                <w:spacing w:val="-1"/>
                <w:sz w:val="21"/>
              </w:rPr>
              <w:t>保险合同；</w:t>
            </w:r>
          </w:p>
          <w:p>
            <w:pPr>
              <w:pStyle w:val="TableParagraph"/>
              <w:numPr>
                <w:ilvl w:val="0"/>
                <w:numId w:val="1"/>
              </w:numPr>
              <w:tabs>
                <w:tab w:pos="527" w:val="left" w:leader="none"/>
                <w:tab w:pos="528" w:val="left" w:leader="none"/>
              </w:tabs>
              <w:spacing w:line="240" w:lineRule="auto" w:before="69" w:after="0"/>
              <w:ind w:left="527" w:right="0" w:hanging="420"/>
              <w:jc w:val="left"/>
              <w:rPr>
                <w:sz w:val="21"/>
              </w:rPr>
            </w:pPr>
            <w:r>
              <w:rPr>
                <w:spacing w:val="-3"/>
                <w:sz w:val="21"/>
              </w:rPr>
              <w:t>重大疾病保险金受益人的有效身份证件；</w:t>
            </w:r>
          </w:p>
          <w:p>
            <w:pPr>
              <w:pStyle w:val="TableParagraph"/>
              <w:numPr>
                <w:ilvl w:val="0"/>
                <w:numId w:val="1"/>
              </w:numPr>
              <w:tabs>
                <w:tab w:pos="527" w:val="left" w:leader="none"/>
                <w:tab w:pos="528" w:val="left" w:leader="none"/>
              </w:tabs>
              <w:spacing w:line="300" w:lineRule="auto" w:before="68" w:after="0"/>
              <w:ind w:left="527" w:right="100" w:hanging="420"/>
              <w:jc w:val="left"/>
              <w:rPr>
                <w:sz w:val="21"/>
              </w:rPr>
            </w:pPr>
            <w:r>
              <w:rPr>
                <w:spacing w:val="-10"/>
                <w:sz w:val="21"/>
              </w:rPr>
              <w:t>医院出具的被保险人病历资料，诊断证明，病理、血液及其他科</w:t>
            </w:r>
            <w:r>
              <w:rPr>
                <w:spacing w:val="-5"/>
                <w:sz w:val="21"/>
              </w:rPr>
              <w:t>学检验方法的检验报告；</w:t>
            </w:r>
          </w:p>
          <w:p>
            <w:pPr>
              <w:pStyle w:val="TableParagraph"/>
              <w:numPr>
                <w:ilvl w:val="0"/>
                <w:numId w:val="1"/>
              </w:numPr>
              <w:tabs>
                <w:tab w:pos="527" w:val="left" w:leader="none"/>
                <w:tab w:pos="528" w:val="left" w:leader="none"/>
              </w:tabs>
              <w:spacing w:line="240" w:lineRule="auto" w:before="15" w:after="0"/>
              <w:ind w:left="527" w:right="0" w:hanging="420"/>
              <w:jc w:val="left"/>
              <w:rPr>
                <w:sz w:val="21"/>
              </w:rPr>
            </w:pPr>
            <w:r>
              <w:rPr>
                <w:spacing w:val="-3"/>
                <w:sz w:val="21"/>
              </w:rPr>
              <w:t>重大疾病保险金受益人所能提供的与确认保险事故的时间、性</w:t>
            </w:r>
          </w:p>
          <w:p>
            <w:pPr>
              <w:pStyle w:val="TableParagraph"/>
              <w:spacing w:line="255" w:lineRule="exact" w:before="68"/>
              <w:ind w:left="527"/>
              <w:rPr>
                <w:sz w:val="21"/>
              </w:rPr>
            </w:pPr>
            <w:r>
              <w:rPr>
                <w:sz w:val="21"/>
              </w:rPr>
              <w:t>质、原因、损失程度等相关的其他证明和资料。</w:t>
            </w:r>
          </w:p>
        </w:tc>
      </w:tr>
    </w:tbl>
    <w:p>
      <w:pPr>
        <w:spacing w:after="0" w:line="255" w:lineRule="exac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7"/>
        <w:gridCol w:w="1718"/>
        <w:gridCol w:w="6413"/>
      </w:tblGrid>
      <w:tr>
        <w:trPr>
          <w:trHeight w:val="836" w:hRule="atLeast"/>
        </w:trPr>
        <w:tc>
          <w:tcPr>
            <w:tcW w:w="1167" w:type="dxa"/>
          </w:tcPr>
          <w:p>
            <w:pPr>
              <w:pStyle w:val="TableParagraph"/>
              <w:rPr>
                <w:rFonts w:ascii="Times New Roman"/>
                <w:sz w:val="20"/>
              </w:rPr>
            </w:pPr>
          </w:p>
        </w:tc>
        <w:tc>
          <w:tcPr>
            <w:tcW w:w="1718" w:type="dxa"/>
          </w:tcPr>
          <w:p>
            <w:pPr>
              <w:pStyle w:val="TableParagraph"/>
              <w:rPr>
                <w:rFonts w:ascii="Times New Roman"/>
                <w:sz w:val="20"/>
              </w:rPr>
            </w:pPr>
          </w:p>
        </w:tc>
        <w:tc>
          <w:tcPr>
            <w:tcW w:w="6413" w:type="dxa"/>
          </w:tcPr>
          <w:p>
            <w:pPr>
              <w:pStyle w:val="TableParagraph"/>
              <w:spacing w:line="211" w:lineRule="exact"/>
              <w:ind w:left="106"/>
              <w:rPr>
                <w:sz w:val="21"/>
              </w:rPr>
            </w:pPr>
            <w:r>
              <w:rPr>
                <w:sz w:val="21"/>
              </w:rPr>
              <w:t>以上证明和资料不完整的，本公司将及时一次性通知申请人补充提供</w:t>
            </w:r>
          </w:p>
          <w:p>
            <w:pPr>
              <w:pStyle w:val="TableParagraph"/>
              <w:spacing w:before="68"/>
              <w:ind w:left="106"/>
              <w:rPr>
                <w:sz w:val="21"/>
              </w:rPr>
            </w:pPr>
            <w:r>
              <w:rPr>
                <w:sz w:val="21"/>
              </w:rPr>
              <w:t>有关证明和资料。</w:t>
            </w:r>
          </w:p>
        </w:tc>
      </w:tr>
      <w:tr>
        <w:trPr>
          <w:trHeight w:val="4209" w:hRule="atLeast"/>
        </w:trPr>
        <w:tc>
          <w:tcPr>
            <w:tcW w:w="1167" w:type="dxa"/>
          </w:tcPr>
          <w:p>
            <w:pPr>
              <w:pStyle w:val="TableParagraph"/>
              <w:spacing w:before="11"/>
              <w:rPr>
                <w:rFonts w:ascii="Times New Roman"/>
                <w:sz w:val="18"/>
              </w:rPr>
            </w:pPr>
          </w:p>
          <w:p>
            <w:pPr>
              <w:pStyle w:val="TableParagraph"/>
              <w:ind w:left="110"/>
              <w:rPr>
                <w:sz w:val="21"/>
              </w:rPr>
            </w:pPr>
            <w:r>
              <w:rPr>
                <w:sz w:val="21"/>
              </w:rPr>
              <w:t>第十三条</w:t>
            </w:r>
          </w:p>
        </w:tc>
        <w:tc>
          <w:tcPr>
            <w:tcW w:w="1718" w:type="dxa"/>
          </w:tcPr>
          <w:p>
            <w:pPr>
              <w:pStyle w:val="TableParagraph"/>
              <w:spacing w:before="11"/>
              <w:rPr>
                <w:rFonts w:ascii="Times New Roman"/>
                <w:sz w:val="18"/>
              </w:rPr>
            </w:pPr>
          </w:p>
          <w:p>
            <w:pPr>
              <w:pStyle w:val="TableParagraph"/>
              <w:ind w:left="213"/>
              <w:rPr>
                <w:sz w:val="21"/>
              </w:rPr>
            </w:pPr>
            <w:r>
              <w:rPr>
                <w:sz w:val="21"/>
              </w:rPr>
              <w:t>保险金给付</w:t>
            </w:r>
          </w:p>
        </w:tc>
        <w:tc>
          <w:tcPr>
            <w:tcW w:w="6413" w:type="dxa"/>
          </w:tcPr>
          <w:p>
            <w:pPr>
              <w:pStyle w:val="TableParagraph"/>
              <w:spacing w:before="11"/>
              <w:rPr>
                <w:rFonts w:ascii="Times New Roman"/>
                <w:sz w:val="18"/>
              </w:rPr>
            </w:pPr>
          </w:p>
          <w:p>
            <w:pPr>
              <w:pStyle w:val="TableParagraph"/>
              <w:spacing w:line="300" w:lineRule="auto"/>
              <w:ind w:left="106"/>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5"/>
              <w:ind w:left="106" w:right="95"/>
              <w:rPr>
                <w:sz w:val="21"/>
              </w:rPr>
            </w:pPr>
            <w:r>
              <w:rPr>
                <w:sz w:val="21"/>
              </w:rPr>
              <w:t>对属于保险责任的，本公司在与受益人达成给付保险金的协议后 10 日内，履行给付保险金义务。</w:t>
            </w:r>
          </w:p>
          <w:p>
            <w:pPr>
              <w:pStyle w:val="TableParagraph"/>
              <w:spacing w:line="300" w:lineRule="auto" w:before="15"/>
              <w:ind w:left="106" w:right="102"/>
              <w:rPr>
                <w:sz w:val="21"/>
              </w:rPr>
            </w:pPr>
            <w:r>
              <w:rPr>
                <w:spacing w:val="-8"/>
                <w:sz w:val="21"/>
              </w:rPr>
              <w:t>本公司未及时履行前款规定义务的，除支付保险金外，应当赔偿受益</w:t>
            </w:r>
            <w:r>
              <w:rPr>
                <w:spacing w:val="-5"/>
                <w:sz w:val="21"/>
              </w:rPr>
              <w:t>人因此受到的损失。</w:t>
            </w:r>
          </w:p>
          <w:p>
            <w:pPr>
              <w:pStyle w:val="TableParagraph"/>
              <w:spacing w:line="300" w:lineRule="auto" w:before="15"/>
              <w:ind w:left="106" w:right="101"/>
              <w:rPr>
                <w:sz w:val="21"/>
              </w:rPr>
            </w:pPr>
            <w:r>
              <w:rPr>
                <w:spacing w:val="-14"/>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5"/>
              <w:ind w:left="106" w:right="1"/>
              <w:jc w:val="both"/>
              <w:rPr>
                <w:sz w:val="21"/>
              </w:rPr>
            </w:pPr>
            <w:r>
              <w:rPr>
                <w:spacing w:val="-6"/>
                <w:sz w:val="21"/>
              </w:rPr>
              <w:t>本公司在收到有关证明和资料之日起 </w:t>
            </w:r>
            <w:r>
              <w:rPr>
                <w:sz w:val="21"/>
              </w:rPr>
              <w:t>60</w:t>
            </w:r>
            <w:r>
              <w:rPr>
                <w:spacing w:val="-8"/>
                <w:sz w:val="21"/>
              </w:rPr>
              <w:t> 日内，对属于保险责任而给</w:t>
            </w:r>
            <w:r>
              <w:rPr>
                <w:spacing w:val="-13"/>
                <w:sz w:val="21"/>
              </w:rPr>
              <w:t>付保险金的数额不能确定的，根据已有证明和资料可以确定的数额先</w:t>
            </w:r>
            <w:r>
              <w:rPr>
                <w:spacing w:val="-6"/>
                <w:sz w:val="21"/>
              </w:rPr>
              <w:t>予支付，本公司最终确定给付保险金的数额后，将支付相应的差额。</w:t>
            </w:r>
          </w:p>
        </w:tc>
      </w:tr>
      <w:tr>
        <w:trPr>
          <w:trHeight w:val="1290" w:hRule="atLeast"/>
        </w:trPr>
        <w:tc>
          <w:tcPr>
            <w:tcW w:w="1167" w:type="dxa"/>
          </w:tcPr>
          <w:p>
            <w:pPr>
              <w:pStyle w:val="TableParagraph"/>
              <w:rPr>
                <w:rFonts w:ascii="Times New Roman"/>
                <w:sz w:val="19"/>
              </w:rPr>
            </w:pPr>
          </w:p>
          <w:p>
            <w:pPr>
              <w:pStyle w:val="TableParagraph"/>
              <w:spacing w:before="1"/>
              <w:ind w:left="110"/>
              <w:rPr>
                <w:sz w:val="21"/>
              </w:rPr>
            </w:pPr>
            <w:r>
              <w:rPr>
                <w:sz w:val="21"/>
              </w:rPr>
              <w:t>第十四条</w:t>
            </w:r>
          </w:p>
        </w:tc>
        <w:tc>
          <w:tcPr>
            <w:tcW w:w="1718" w:type="dxa"/>
          </w:tcPr>
          <w:p>
            <w:pPr>
              <w:pStyle w:val="TableParagraph"/>
              <w:rPr>
                <w:rFonts w:ascii="Times New Roman"/>
                <w:sz w:val="19"/>
              </w:rPr>
            </w:pPr>
          </w:p>
          <w:p>
            <w:pPr>
              <w:pStyle w:val="TableParagraph"/>
              <w:spacing w:before="1"/>
              <w:ind w:left="213"/>
              <w:rPr>
                <w:sz w:val="21"/>
              </w:rPr>
            </w:pPr>
            <w:r>
              <w:rPr>
                <w:sz w:val="21"/>
              </w:rPr>
              <w:t>诉讼时效</w:t>
            </w:r>
          </w:p>
        </w:tc>
        <w:tc>
          <w:tcPr>
            <w:tcW w:w="6413" w:type="dxa"/>
          </w:tcPr>
          <w:p>
            <w:pPr>
              <w:pStyle w:val="TableParagraph"/>
              <w:rPr>
                <w:rFonts w:ascii="Times New Roman"/>
                <w:sz w:val="19"/>
              </w:rPr>
            </w:pPr>
          </w:p>
          <w:p>
            <w:pPr>
              <w:pStyle w:val="TableParagraph"/>
              <w:spacing w:line="300" w:lineRule="auto" w:before="1"/>
              <w:ind w:left="106" w:right="207"/>
              <w:rPr>
                <w:sz w:val="21"/>
              </w:rPr>
            </w:pPr>
            <w:r>
              <w:rPr>
                <w:sz w:val="21"/>
              </w:rPr>
              <w:t>被被保险人或受益人向本公司请求给付重大疾病保险金的诉讼时效期间为 2 年，自其知道或者应当知道保险事故发生之日起计算。</w:t>
            </w:r>
          </w:p>
        </w:tc>
      </w:tr>
      <w:tr>
        <w:trPr>
          <w:trHeight w:val="434" w:hRule="atLeast"/>
        </w:trPr>
        <w:tc>
          <w:tcPr>
            <w:tcW w:w="1167" w:type="dxa"/>
            <w:shd w:val="clear" w:color="auto" w:fill="CCCCCC"/>
          </w:tcPr>
          <w:p>
            <w:pPr>
              <w:pStyle w:val="TableParagraph"/>
              <w:spacing w:before="47"/>
              <w:ind w:left="110"/>
              <w:rPr>
                <w:b/>
                <w:sz w:val="21"/>
              </w:rPr>
            </w:pPr>
            <w:r>
              <w:rPr>
                <w:b/>
                <w:sz w:val="21"/>
              </w:rPr>
              <w:t>第六章</w:t>
            </w:r>
          </w:p>
        </w:tc>
        <w:tc>
          <w:tcPr>
            <w:tcW w:w="1718" w:type="dxa"/>
            <w:shd w:val="clear" w:color="auto" w:fill="CCCCCC"/>
          </w:tcPr>
          <w:p>
            <w:pPr>
              <w:pStyle w:val="TableParagraph"/>
              <w:spacing w:before="47"/>
              <w:ind w:left="213"/>
              <w:rPr>
                <w:b/>
                <w:sz w:val="21"/>
              </w:rPr>
            </w:pPr>
            <w:r>
              <w:rPr>
                <w:b/>
                <w:sz w:val="21"/>
              </w:rPr>
              <w:t>一般条款</w:t>
            </w:r>
          </w:p>
        </w:tc>
        <w:tc>
          <w:tcPr>
            <w:tcW w:w="6413" w:type="dxa"/>
            <w:shd w:val="clear" w:color="auto" w:fill="CCCCCC"/>
          </w:tcPr>
          <w:p>
            <w:pPr>
              <w:pStyle w:val="TableParagraph"/>
              <w:rPr>
                <w:rFonts w:ascii="Times New Roman"/>
                <w:sz w:val="20"/>
              </w:rPr>
            </w:pPr>
          </w:p>
        </w:tc>
      </w:tr>
      <w:tr>
        <w:trPr>
          <w:trHeight w:val="5737" w:hRule="atLeast"/>
        </w:trPr>
        <w:tc>
          <w:tcPr>
            <w:tcW w:w="1167" w:type="dxa"/>
          </w:tcPr>
          <w:p>
            <w:pPr>
              <w:pStyle w:val="TableParagraph"/>
              <w:spacing w:before="47"/>
              <w:ind w:left="110"/>
              <w:rPr>
                <w:sz w:val="21"/>
              </w:rPr>
            </w:pPr>
            <w:r>
              <w:rPr>
                <w:sz w:val="21"/>
              </w:rPr>
              <w:t>第十五条</w:t>
            </w:r>
          </w:p>
        </w:tc>
        <w:tc>
          <w:tcPr>
            <w:tcW w:w="1718" w:type="dxa"/>
          </w:tcPr>
          <w:p>
            <w:pPr>
              <w:pStyle w:val="TableParagraph"/>
              <w:spacing w:line="300" w:lineRule="auto" w:before="47"/>
              <w:ind w:left="213" w:right="105"/>
              <w:rPr>
                <w:sz w:val="21"/>
              </w:rPr>
            </w:pPr>
            <w:r>
              <w:rPr>
                <w:sz w:val="21"/>
              </w:rPr>
              <w:t>明确说明与如实告知</w:t>
            </w:r>
          </w:p>
        </w:tc>
        <w:tc>
          <w:tcPr>
            <w:tcW w:w="6413" w:type="dxa"/>
          </w:tcPr>
          <w:p>
            <w:pPr>
              <w:pStyle w:val="TableParagraph"/>
              <w:spacing w:before="33"/>
              <w:ind w:left="106"/>
              <w:rPr>
                <w:sz w:val="21"/>
              </w:rPr>
            </w:pPr>
            <w:r>
              <w:rPr>
                <w:sz w:val="21"/>
              </w:rPr>
              <w:t>订立本附加合同时，本公司应向投保人说明本附加合同的内容。</w:t>
            </w:r>
          </w:p>
          <w:p>
            <w:pPr>
              <w:pStyle w:val="TableParagraph"/>
              <w:spacing w:line="273" w:lineRule="auto" w:before="37"/>
              <w:ind w:left="106"/>
              <w:rPr>
                <w:sz w:val="21"/>
              </w:rPr>
            </w:pPr>
            <w:r>
              <w:rPr>
                <w:spacing w:val="-9"/>
                <w:sz w:val="21"/>
              </w:rPr>
              <w:t>对保险条款中免除本公司责任的条款，本公司在订立合同时应当在投</w:t>
            </w:r>
            <w:r>
              <w:rPr>
                <w:spacing w:val="-5"/>
                <w:sz w:val="21"/>
              </w:rPr>
              <w:t>保单、保险单或者其他保险凭证上作出足以引起投保人注意的提示， </w:t>
            </w:r>
            <w:r>
              <w:rPr>
                <w:spacing w:val="-8"/>
                <w:sz w:val="21"/>
              </w:rPr>
              <w:t>并对该条款的内容以书面或者口头形式向投保人作出明确说明，未作</w:t>
            </w:r>
            <w:r>
              <w:rPr>
                <w:spacing w:val="-5"/>
                <w:sz w:val="21"/>
              </w:rPr>
              <w:t>提示或者明确说明的，该条款不产生效力。</w:t>
            </w:r>
          </w:p>
          <w:p>
            <w:pPr>
              <w:pStyle w:val="TableParagraph"/>
              <w:spacing w:line="273" w:lineRule="auto" w:before="7"/>
              <w:ind w:left="106" w:right="102"/>
              <w:jc w:val="both"/>
              <w:rPr>
                <w:sz w:val="21"/>
              </w:rPr>
            </w:pPr>
            <w:r>
              <w:rPr>
                <w:spacing w:val="-8"/>
                <w:sz w:val="21"/>
              </w:rPr>
              <w:t>本公司就投保人和被保险人的有关情况提出询问，投保人应当如实告知。</w:t>
            </w:r>
          </w:p>
          <w:p>
            <w:pPr>
              <w:pStyle w:val="TableParagraph"/>
              <w:spacing w:line="273" w:lineRule="auto" w:before="7"/>
              <w:ind w:left="106" w:right="102"/>
              <w:jc w:val="both"/>
              <w:rPr>
                <w:sz w:val="21"/>
              </w:rPr>
            </w:pPr>
            <w:r>
              <w:rPr>
                <w:spacing w:val="-7"/>
                <w:sz w:val="21"/>
              </w:rPr>
              <w:t>如果投保人故意或者因重大过失未履行前款规定的如实告知义务，足</w:t>
            </w:r>
            <w:r>
              <w:rPr>
                <w:spacing w:val="-10"/>
                <w:sz w:val="21"/>
              </w:rPr>
              <w:t>以影响本公司决定是否同意承保或者提高保险费率的，本公司有权解</w:t>
            </w:r>
            <w:r>
              <w:rPr>
                <w:spacing w:val="-5"/>
                <w:sz w:val="21"/>
              </w:rPr>
              <w:t>除本附加合同。</w:t>
            </w:r>
          </w:p>
          <w:p>
            <w:pPr>
              <w:pStyle w:val="TableParagraph"/>
              <w:spacing w:line="273" w:lineRule="auto" w:before="7"/>
              <w:ind w:left="106" w:right="102"/>
              <w:jc w:val="both"/>
              <w:rPr>
                <w:sz w:val="21"/>
              </w:rPr>
            </w:pPr>
            <w:r>
              <w:rPr>
                <w:spacing w:val="-9"/>
                <w:sz w:val="21"/>
              </w:rPr>
              <w:t>如果投保人故意不履行如实告知义务，对于本附加合同解除前发生的</w:t>
            </w:r>
            <w:r>
              <w:rPr>
                <w:spacing w:val="-13"/>
                <w:sz w:val="21"/>
              </w:rPr>
              <w:t>保险事故，本公司不承担给付保险金的责任，并不退还重大疾病风险</w:t>
            </w:r>
            <w:r>
              <w:rPr>
                <w:spacing w:val="-8"/>
                <w:sz w:val="21"/>
              </w:rPr>
              <w:t>保险费。</w:t>
            </w:r>
          </w:p>
          <w:p>
            <w:pPr>
              <w:pStyle w:val="TableParagraph"/>
              <w:spacing w:line="300" w:lineRule="auto" w:before="22"/>
              <w:ind w:left="106" w:right="102"/>
              <w:jc w:val="both"/>
              <w:rPr>
                <w:sz w:val="21"/>
              </w:rPr>
            </w:pPr>
            <w:r>
              <w:rPr>
                <w:spacing w:val="-9"/>
                <w:sz w:val="21"/>
              </w:rPr>
              <w:t>如果投保人因重大过失未履行如实告知义务，对保险事故的发生有严</w:t>
            </w:r>
            <w:r>
              <w:rPr>
                <w:spacing w:val="-12"/>
                <w:sz w:val="21"/>
              </w:rPr>
              <w:t>重影响的，对于本附加合同解除前发生的保险事故，本公司不承担给</w:t>
            </w:r>
            <w:r>
              <w:rPr>
                <w:spacing w:val="-13"/>
                <w:sz w:val="21"/>
              </w:rPr>
              <w:t>付保险金的责任，但将已收取的重大疾病风险保险费无息退还至主合</w:t>
            </w:r>
            <w:r>
              <w:rPr>
                <w:spacing w:val="-6"/>
                <w:sz w:val="21"/>
              </w:rPr>
              <w:t>同保单账户，主合同保单账户价值按照退还的金额等额增加。</w:t>
            </w:r>
          </w:p>
          <w:p>
            <w:pPr>
              <w:pStyle w:val="TableParagraph"/>
              <w:spacing w:line="255" w:lineRule="exact" w:before="1"/>
              <w:ind w:left="106"/>
              <w:jc w:val="both"/>
              <w:rPr>
                <w:sz w:val="21"/>
              </w:rPr>
            </w:pPr>
            <w:r>
              <w:rPr>
                <w:sz w:val="21"/>
              </w:rPr>
              <w:t>本公司在合同订立时已经知道投保人未如实告知情况的，本公司不得</w:t>
            </w:r>
          </w:p>
        </w:tc>
      </w:tr>
    </w:tbl>
    <w:p>
      <w:pPr>
        <w:spacing w:after="0" w:line="255" w:lineRule="exact"/>
        <w:jc w:val="both"/>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0"/>
        <w:ind w:left="0"/>
        <w:rPr>
          <w:rFonts w:ascii="Times New Roman"/>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6"/>
        <w:gridCol w:w="1717"/>
        <w:gridCol w:w="6616"/>
      </w:tblGrid>
      <w:tr>
        <w:trPr>
          <w:trHeight w:val="484" w:hRule="atLeast"/>
        </w:trPr>
        <w:tc>
          <w:tcPr>
            <w:tcW w:w="1256" w:type="dxa"/>
          </w:tcPr>
          <w:p>
            <w:pPr>
              <w:pStyle w:val="TableParagraph"/>
              <w:rPr>
                <w:rFonts w:ascii="Times New Roman"/>
                <w:sz w:val="20"/>
              </w:rPr>
            </w:pPr>
          </w:p>
        </w:tc>
        <w:tc>
          <w:tcPr>
            <w:tcW w:w="1717" w:type="dxa"/>
          </w:tcPr>
          <w:p>
            <w:pPr>
              <w:pStyle w:val="TableParagraph"/>
              <w:rPr>
                <w:rFonts w:ascii="Times New Roman"/>
                <w:sz w:val="20"/>
              </w:rPr>
            </w:pPr>
          </w:p>
        </w:tc>
        <w:tc>
          <w:tcPr>
            <w:tcW w:w="6616" w:type="dxa"/>
          </w:tcPr>
          <w:p>
            <w:pPr>
              <w:pStyle w:val="TableParagraph"/>
              <w:spacing w:line="211" w:lineRule="exact"/>
              <w:ind w:left="107"/>
              <w:rPr>
                <w:sz w:val="21"/>
              </w:rPr>
            </w:pPr>
            <w:r>
              <w:rPr>
                <w:sz w:val="21"/>
              </w:rPr>
              <w:t>解除合同；发生保险事故的，本公司承担给付保险金的责任。</w:t>
            </w:r>
          </w:p>
        </w:tc>
      </w:tr>
      <w:tr>
        <w:trPr>
          <w:trHeight w:val="1111" w:hRule="atLeast"/>
        </w:trPr>
        <w:tc>
          <w:tcPr>
            <w:tcW w:w="1256" w:type="dxa"/>
          </w:tcPr>
          <w:p>
            <w:pPr>
              <w:pStyle w:val="TableParagraph"/>
              <w:spacing w:before="2"/>
              <w:rPr>
                <w:rFonts w:ascii="Times New Roman"/>
                <w:sz w:val="18"/>
              </w:rPr>
            </w:pPr>
          </w:p>
          <w:p>
            <w:pPr>
              <w:pStyle w:val="TableParagraph"/>
              <w:spacing w:before="1"/>
              <w:ind w:left="182" w:right="193"/>
              <w:jc w:val="center"/>
              <w:rPr>
                <w:sz w:val="21"/>
              </w:rPr>
            </w:pPr>
            <w:r>
              <w:rPr>
                <w:sz w:val="21"/>
              </w:rPr>
              <w:t>第十六条</w:t>
            </w:r>
          </w:p>
        </w:tc>
        <w:tc>
          <w:tcPr>
            <w:tcW w:w="1717" w:type="dxa"/>
          </w:tcPr>
          <w:p>
            <w:pPr>
              <w:pStyle w:val="TableParagraph"/>
              <w:spacing w:before="2"/>
              <w:rPr>
                <w:rFonts w:ascii="Times New Roman"/>
                <w:sz w:val="18"/>
              </w:rPr>
            </w:pPr>
          </w:p>
          <w:p>
            <w:pPr>
              <w:pStyle w:val="TableParagraph"/>
              <w:spacing w:line="300" w:lineRule="auto" w:before="1"/>
              <w:ind w:left="213" w:right="105"/>
              <w:rPr>
                <w:sz w:val="21"/>
              </w:rPr>
            </w:pPr>
            <w:r>
              <w:rPr>
                <w:sz w:val="21"/>
              </w:rPr>
              <w:t>本公司合同解除权的限制</w:t>
            </w:r>
          </w:p>
        </w:tc>
        <w:tc>
          <w:tcPr>
            <w:tcW w:w="6616" w:type="dxa"/>
          </w:tcPr>
          <w:p>
            <w:pPr>
              <w:pStyle w:val="TableParagraph"/>
              <w:spacing w:before="2"/>
              <w:rPr>
                <w:rFonts w:ascii="Times New Roman"/>
                <w:sz w:val="18"/>
              </w:rPr>
            </w:pPr>
          </w:p>
          <w:p>
            <w:pPr>
              <w:pStyle w:val="TableParagraph"/>
              <w:spacing w:line="300" w:lineRule="auto" w:before="1"/>
              <w:ind w:left="107" w:right="308"/>
              <w:rPr>
                <w:sz w:val="21"/>
              </w:rPr>
            </w:pPr>
            <w:r>
              <w:rPr>
                <w:sz w:val="21"/>
              </w:rPr>
              <w:t>前条规定的合同解除权，自本公司知道有解除事由之日起，超过 30 日不行使而消灭。</w:t>
            </w:r>
          </w:p>
        </w:tc>
      </w:tr>
      <w:tr>
        <w:trPr>
          <w:trHeight w:val="6783" w:hRule="atLeast"/>
        </w:trPr>
        <w:tc>
          <w:tcPr>
            <w:tcW w:w="1256" w:type="dxa"/>
          </w:tcPr>
          <w:p>
            <w:pPr>
              <w:pStyle w:val="TableParagraph"/>
              <w:rPr>
                <w:rFonts w:ascii="Times New Roman"/>
                <w:sz w:val="19"/>
              </w:rPr>
            </w:pPr>
          </w:p>
          <w:p>
            <w:pPr>
              <w:pStyle w:val="TableParagraph"/>
              <w:spacing w:before="1"/>
              <w:ind w:left="182" w:right="193"/>
              <w:jc w:val="center"/>
              <w:rPr>
                <w:sz w:val="21"/>
              </w:rPr>
            </w:pPr>
            <w:r>
              <w:rPr>
                <w:sz w:val="21"/>
              </w:rPr>
              <w:t>第十七条</w:t>
            </w:r>
          </w:p>
        </w:tc>
        <w:tc>
          <w:tcPr>
            <w:tcW w:w="1717" w:type="dxa"/>
          </w:tcPr>
          <w:p>
            <w:pPr>
              <w:pStyle w:val="TableParagraph"/>
              <w:rPr>
                <w:rFonts w:ascii="Times New Roman"/>
                <w:sz w:val="19"/>
              </w:rPr>
            </w:pPr>
          </w:p>
          <w:p>
            <w:pPr>
              <w:pStyle w:val="TableParagraph"/>
              <w:spacing w:before="1"/>
              <w:ind w:left="213"/>
              <w:rPr>
                <w:sz w:val="21"/>
              </w:rPr>
            </w:pPr>
            <w:r>
              <w:rPr>
                <w:sz w:val="21"/>
              </w:rPr>
              <w:t>年龄错误</w:t>
            </w:r>
          </w:p>
        </w:tc>
        <w:tc>
          <w:tcPr>
            <w:tcW w:w="6616" w:type="dxa"/>
          </w:tcPr>
          <w:p>
            <w:pPr>
              <w:pStyle w:val="TableParagraph"/>
              <w:rPr>
                <w:rFonts w:ascii="Times New Roman"/>
                <w:sz w:val="19"/>
              </w:rPr>
            </w:pPr>
          </w:p>
          <w:p>
            <w:pPr>
              <w:pStyle w:val="TableParagraph"/>
              <w:spacing w:line="300" w:lineRule="auto" w:before="1"/>
              <w:ind w:left="107" w:right="303"/>
              <w:rPr>
                <w:sz w:val="21"/>
              </w:rPr>
            </w:pPr>
            <w:r>
              <w:rPr>
                <w:spacing w:val="-12"/>
                <w:sz w:val="21"/>
              </w:rPr>
              <w:t>投保人在申请投保时，应将与有效身份证件相符的被保险人的出生日</w:t>
            </w:r>
            <w:r>
              <w:rPr>
                <w:spacing w:val="-6"/>
                <w:sz w:val="21"/>
              </w:rPr>
              <w:t>期在投保单上填明，如果发生错误按照下列方式办理：</w:t>
            </w:r>
          </w:p>
          <w:p>
            <w:pPr>
              <w:pStyle w:val="TableParagraph"/>
              <w:spacing w:line="300" w:lineRule="auto" w:before="16"/>
              <w:ind w:left="107" w:right="303"/>
              <w:rPr>
                <w:sz w:val="21"/>
              </w:rPr>
            </w:pPr>
            <w:r>
              <w:rPr>
                <w:spacing w:val="-12"/>
                <w:sz w:val="21"/>
              </w:rPr>
              <w:t>一、投保人申报的被保险人年龄不真实，致使本公司已收取的本附加</w:t>
            </w:r>
            <w:r>
              <w:rPr>
                <w:spacing w:val="-7"/>
                <w:sz w:val="21"/>
              </w:rPr>
              <w:t>合同有效期间的重大疾病风险保险费高于应收取的本附加合同有效</w:t>
            </w:r>
            <w:r>
              <w:rPr>
                <w:spacing w:val="-13"/>
                <w:sz w:val="21"/>
              </w:rPr>
              <w:t>期间重大疾病风险保险费，多收的重大疾病风险保险费将无息退还至</w:t>
            </w:r>
            <w:r>
              <w:rPr>
                <w:spacing w:val="-6"/>
                <w:sz w:val="21"/>
              </w:rPr>
              <w:t>主合同保单账户，主合同保单账户价值按照退还的金额等额增加。</w:t>
            </w:r>
            <w:r>
              <w:rPr>
                <w:spacing w:val="-12"/>
                <w:sz w:val="21"/>
              </w:rPr>
              <w:t>二、投保人申报的被保险人年龄不真实，致使本公司已收取的本附加</w:t>
            </w:r>
            <w:r>
              <w:rPr>
                <w:spacing w:val="-7"/>
                <w:sz w:val="21"/>
              </w:rPr>
              <w:t>合同有效期间重大疾病风险保险费低于应收取的本附加合同有效期</w:t>
            </w:r>
            <w:r>
              <w:rPr>
                <w:spacing w:val="-12"/>
                <w:sz w:val="21"/>
              </w:rPr>
              <w:t>间重大疾病风险保险费，且被保险人未发生保险事故，本公司有权从</w:t>
            </w:r>
            <w:r>
              <w:rPr>
                <w:spacing w:val="-11"/>
                <w:sz w:val="21"/>
              </w:rPr>
              <w:t>主合同保单账户中收取少收的重大疾病风险保险费；若被保险人已发</w:t>
            </w:r>
            <w:r>
              <w:rPr>
                <w:spacing w:val="-13"/>
                <w:sz w:val="21"/>
              </w:rPr>
              <w:t>生保险事故，本公司有权按照已收取的重大疾病风险保险费与应收取</w:t>
            </w:r>
            <w:r>
              <w:rPr>
                <w:spacing w:val="-10"/>
                <w:sz w:val="21"/>
              </w:rPr>
              <w:t>的重大疾病风险保险费的比例调整当时的基本保险金额。重大疾病保</w:t>
            </w:r>
            <w:r>
              <w:rPr>
                <w:spacing w:val="-5"/>
                <w:sz w:val="21"/>
              </w:rPr>
              <w:t>险金按照调整后的基本保险金额给付。</w:t>
            </w:r>
          </w:p>
          <w:p>
            <w:pPr>
              <w:pStyle w:val="TableParagraph"/>
              <w:spacing w:line="300" w:lineRule="auto" w:before="16"/>
              <w:ind w:left="107" w:right="202"/>
              <w:jc w:val="both"/>
              <w:rPr>
                <w:sz w:val="21"/>
              </w:rPr>
            </w:pPr>
            <w:r>
              <w:rPr>
                <w:spacing w:val="-12"/>
                <w:sz w:val="21"/>
              </w:rPr>
              <w:t>三、投保人申报的被保险人年龄不真实，并且其真实年龄不符合本公司规定的投保年龄限制的，本公司有权解除本附加合同。本公司行使</w:t>
            </w:r>
            <w:r>
              <w:rPr>
                <w:spacing w:val="-13"/>
                <w:sz w:val="21"/>
              </w:rPr>
              <w:t>合同解除权适用“本公司合同解除权的限制”的规定。对于解除本附</w:t>
            </w:r>
            <w:r>
              <w:rPr>
                <w:spacing w:val="-6"/>
                <w:sz w:val="21"/>
              </w:rPr>
              <w:t>加合同的,本公司向投保人无息退还已收取的本附加合同有效期间内</w:t>
            </w:r>
            <w:r>
              <w:rPr>
                <w:spacing w:val="-4"/>
                <w:sz w:val="21"/>
              </w:rPr>
              <w:t>的重大疾病风险保险费；对于不得解除合同的，按第一、二项处理。</w:t>
            </w:r>
          </w:p>
        </w:tc>
      </w:tr>
      <w:tr>
        <w:trPr>
          <w:trHeight w:val="2321" w:hRule="atLeast"/>
        </w:trPr>
        <w:tc>
          <w:tcPr>
            <w:tcW w:w="1256" w:type="dxa"/>
          </w:tcPr>
          <w:p>
            <w:pPr>
              <w:pStyle w:val="TableParagraph"/>
              <w:rPr>
                <w:rFonts w:ascii="Times New Roman"/>
                <w:sz w:val="20"/>
              </w:rPr>
            </w:pPr>
          </w:p>
          <w:p>
            <w:pPr>
              <w:pStyle w:val="TableParagraph"/>
              <w:spacing w:before="160"/>
              <w:ind w:left="182" w:right="193"/>
              <w:jc w:val="center"/>
              <w:rPr>
                <w:sz w:val="21"/>
              </w:rPr>
            </w:pPr>
            <w:r>
              <w:rPr>
                <w:sz w:val="21"/>
              </w:rPr>
              <w:t>第十八条</w:t>
            </w:r>
          </w:p>
        </w:tc>
        <w:tc>
          <w:tcPr>
            <w:tcW w:w="1717" w:type="dxa"/>
          </w:tcPr>
          <w:p>
            <w:pPr>
              <w:pStyle w:val="TableParagraph"/>
              <w:rPr>
                <w:rFonts w:ascii="Times New Roman"/>
                <w:sz w:val="20"/>
              </w:rPr>
            </w:pPr>
          </w:p>
          <w:p>
            <w:pPr>
              <w:pStyle w:val="TableParagraph"/>
              <w:spacing w:before="160"/>
              <w:ind w:left="213"/>
              <w:rPr>
                <w:sz w:val="21"/>
              </w:rPr>
            </w:pPr>
            <w:r>
              <w:rPr>
                <w:sz w:val="21"/>
              </w:rPr>
              <w:t>犹豫期</w:t>
            </w:r>
          </w:p>
        </w:tc>
        <w:tc>
          <w:tcPr>
            <w:tcW w:w="6616" w:type="dxa"/>
          </w:tcPr>
          <w:p>
            <w:pPr>
              <w:pStyle w:val="TableParagraph"/>
              <w:rPr>
                <w:rFonts w:ascii="Times New Roman"/>
                <w:sz w:val="20"/>
              </w:rPr>
            </w:pPr>
          </w:p>
          <w:p>
            <w:pPr>
              <w:pStyle w:val="TableParagraph"/>
              <w:spacing w:line="300" w:lineRule="auto" w:before="160"/>
              <w:ind w:left="107" w:right="303"/>
              <w:jc w:val="both"/>
              <w:rPr>
                <w:sz w:val="21"/>
              </w:rPr>
            </w:pPr>
            <w:r>
              <w:rPr>
                <w:spacing w:val="-5"/>
                <w:sz w:val="21"/>
              </w:rPr>
              <w:t>若未发生保险金给付，投保人自本附加合同签收日起 </w:t>
            </w:r>
            <w:r>
              <w:rPr>
                <w:sz w:val="21"/>
              </w:rPr>
              <w:t>10</w:t>
            </w:r>
            <w:r>
              <w:rPr>
                <w:spacing w:val="-9"/>
                <w:sz w:val="21"/>
              </w:rPr>
              <w:t> 日内可以申</w:t>
            </w:r>
            <w:r>
              <w:rPr>
                <w:spacing w:val="-13"/>
                <w:sz w:val="21"/>
              </w:rPr>
              <w:t>请解除本附加合同。自本公司收到解除申请时起，本附加合同自始无效。投保人向本公司退回保险合同，本公司将已收取的本附加合同的</w:t>
            </w:r>
            <w:r>
              <w:rPr>
                <w:spacing w:val="-11"/>
                <w:sz w:val="21"/>
              </w:rPr>
              <w:t>重大疾病风险保险费无息退还至主合同保单账户，主合同保单账户价</w:t>
            </w:r>
            <w:r>
              <w:rPr>
                <w:spacing w:val="-6"/>
                <w:sz w:val="21"/>
              </w:rPr>
              <w:t>值按照退还的金额等额增加。</w:t>
            </w:r>
          </w:p>
        </w:tc>
      </w:tr>
      <w:tr>
        <w:trPr>
          <w:trHeight w:val="1867" w:hRule="atLeast"/>
        </w:trPr>
        <w:tc>
          <w:tcPr>
            <w:tcW w:w="1256" w:type="dxa"/>
          </w:tcPr>
          <w:p>
            <w:pPr>
              <w:pStyle w:val="TableParagraph"/>
              <w:spacing w:before="1"/>
              <w:rPr>
                <w:rFonts w:ascii="Times New Roman"/>
                <w:sz w:val="19"/>
              </w:rPr>
            </w:pPr>
          </w:p>
          <w:p>
            <w:pPr>
              <w:pStyle w:val="TableParagraph"/>
              <w:ind w:left="182" w:right="193"/>
              <w:jc w:val="center"/>
              <w:rPr>
                <w:sz w:val="21"/>
              </w:rPr>
            </w:pPr>
            <w:r>
              <w:rPr>
                <w:sz w:val="21"/>
              </w:rPr>
              <w:t>第十九条</w:t>
            </w:r>
          </w:p>
        </w:tc>
        <w:tc>
          <w:tcPr>
            <w:tcW w:w="1717" w:type="dxa"/>
          </w:tcPr>
          <w:p>
            <w:pPr>
              <w:pStyle w:val="TableParagraph"/>
              <w:spacing w:before="1"/>
              <w:rPr>
                <w:rFonts w:ascii="Times New Roman"/>
                <w:sz w:val="19"/>
              </w:rPr>
            </w:pPr>
          </w:p>
          <w:p>
            <w:pPr>
              <w:pStyle w:val="TableParagraph"/>
              <w:ind w:left="213"/>
              <w:rPr>
                <w:sz w:val="21"/>
              </w:rPr>
            </w:pPr>
            <w:r>
              <w:rPr>
                <w:sz w:val="21"/>
              </w:rPr>
              <w:t>受益人</w:t>
            </w:r>
          </w:p>
        </w:tc>
        <w:tc>
          <w:tcPr>
            <w:tcW w:w="6616" w:type="dxa"/>
          </w:tcPr>
          <w:p>
            <w:pPr>
              <w:pStyle w:val="TableParagraph"/>
              <w:spacing w:before="1"/>
              <w:rPr>
                <w:rFonts w:ascii="Times New Roman"/>
                <w:sz w:val="19"/>
              </w:rPr>
            </w:pPr>
          </w:p>
          <w:p>
            <w:pPr>
              <w:pStyle w:val="TableParagraph"/>
              <w:spacing w:line="300" w:lineRule="auto"/>
              <w:ind w:left="107" w:right="200"/>
              <w:rPr>
                <w:sz w:val="21"/>
              </w:rPr>
            </w:pPr>
            <w:r>
              <w:rPr>
                <w:sz w:val="21"/>
              </w:rPr>
              <w:t>投保人或者被保险人可以指定一人或多人为受益人。除另有约定外， 重大疾病保险金的受益人为被保险人本人。</w:t>
            </w:r>
          </w:p>
          <w:p>
            <w:pPr>
              <w:pStyle w:val="TableParagraph"/>
              <w:spacing w:line="300" w:lineRule="auto" w:before="15"/>
              <w:ind w:left="107" w:right="198"/>
              <w:rPr>
                <w:sz w:val="21"/>
              </w:rPr>
            </w:pPr>
            <w:r>
              <w:rPr>
                <w:spacing w:val="-17"/>
                <w:sz w:val="21"/>
              </w:rPr>
              <w:t>受益人为多人时，可以确定受益顺序和受益份额；如果没有确定份额， </w:t>
            </w:r>
            <w:r>
              <w:rPr>
                <w:spacing w:val="-7"/>
                <w:sz w:val="21"/>
              </w:rPr>
              <w:t>各受益人按照相等份额享有受益权。</w:t>
            </w:r>
          </w:p>
          <w:p>
            <w:pPr>
              <w:pStyle w:val="TableParagraph"/>
              <w:spacing w:line="255" w:lineRule="exact" w:before="15"/>
              <w:ind w:left="107"/>
              <w:rPr>
                <w:sz w:val="21"/>
              </w:rPr>
            </w:pPr>
            <w:r>
              <w:rPr>
                <w:sz w:val="21"/>
              </w:rPr>
              <w:t>被保险人为无民事行为能力人或限制民事行为能力人的，可以由其监</w:t>
            </w:r>
          </w:p>
        </w:tc>
      </w:tr>
    </w:tbl>
    <w:p>
      <w:pPr>
        <w:spacing w:after="0" w:line="255" w:lineRule="exact"/>
        <w:rPr>
          <w:sz w:val="21"/>
        </w:rPr>
        <w:sectPr>
          <w:pgSz w:w="11910" w:h="16840"/>
          <w:pgMar w:header="0" w:footer="919" w:top="1580" w:bottom="1100" w:left="1020" w:right="108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2382" w:hRule="atLeast"/>
        </w:trPr>
        <w:tc>
          <w:tcPr>
            <w:tcW w:w="1175" w:type="dxa"/>
          </w:tcPr>
          <w:p>
            <w:pPr>
              <w:pStyle w:val="TableParagraph"/>
              <w:rPr>
                <w:rFonts w:ascii="Times New Roman"/>
                <w:sz w:val="20"/>
              </w:rPr>
            </w:pPr>
          </w:p>
        </w:tc>
        <w:tc>
          <w:tcPr>
            <w:tcW w:w="1426" w:type="dxa"/>
          </w:tcPr>
          <w:p>
            <w:pPr>
              <w:pStyle w:val="TableParagraph"/>
              <w:rPr>
                <w:rFonts w:ascii="Times New Roman"/>
                <w:sz w:val="20"/>
              </w:rPr>
            </w:pPr>
          </w:p>
        </w:tc>
        <w:tc>
          <w:tcPr>
            <w:tcW w:w="6773" w:type="dxa"/>
          </w:tcPr>
          <w:p>
            <w:pPr>
              <w:pStyle w:val="TableParagraph"/>
              <w:spacing w:line="211" w:lineRule="exact"/>
              <w:ind w:left="320"/>
              <w:rPr>
                <w:sz w:val="21"/>
              </w:rPr>
            </w:pPr>
            <w:r>
              <w:rPr>
                <w:sz w:val="21"/>
              </w:rPr>
              <w:t>护人指定受益人。</w:t>
            </w:r>
          </w:p>
          <w:p>
            <w:pPr>
              <w:pStyle w:val="TableParagraph"/>
              <w:spacing w:line="300" w:lineRule="auto" w:before="68"/>
              <w:ind w:left="320" w:right="248"/>
              <w:rPr>
                <w:sz w:val="21"/>
              </w:rPr>
            </w:pPr>
            <w:r>
              <w:rPr>
                <w:spacing w:val="-8"/>
                <w:sz w:val="21"/>
              </w:rPr>
              <w:t>投保人或者被保险人可以变更受益人并通知本公司。本公司收到变更</w:t>
            </w:r>
            <w:r>
              <w:rPr>
                <w:spacing w:val="-5"/>
                <w:sz w:val="21"/>
              </w:rPr>
              <w:t>受益人的通知后，在保险单或其他保险凭证上批注或者附贴批单。</w:t>
            </w:r>
            <w:r>
              <w:rPr>
                <w:spacing w:val="-4"/>
                <w:sz w:val="21"/>
              </w:rPr>
              <w:t>投保人指定和变更受益人时须经被保险人同意。</w:t>
            </w:r>
          </w:p>
          <w:p>
            <w:pPr>
              <w:pStyle w:val="TableParagraph"/>
              <w:spacing w:line="300" w:lineRule="auto" w:before="15"/>
              <w:ind w:left="320" w:right="247"/>
              <w:rPr>
                <w:sz w:val="21"/>
              </w:rPr>
            </w:pPr>
            <w:r>
              <w:rPr>
                <w:spacing w:val="-10"/>
                <w:sz w:val="21"/>
              </w:rPr>
              <w:t>受益人故意造成被保险人身故、伤残、疾病的，或者故意杀害被保险</w:t>
            </w:r>
            <w:r>
              <w:rPr>
                <w:spacing w:val="-5"/>
                <w:sz w:val="21"/>
              </w:rPr>
              <w:t>人未遂的，该受益人丧失受益权。</w:t>
            </w:r>
          </w:p>
        </w:tc>
      </w:tr>
      <w:tr>
        <w:trPr>
          <w:trHeight w:val="343" w:hRule="atLeast"/>
        </w:trPr>
        <w:tc>
          <w:tcPr>
            <w:tcW w:w="1175" w:type="dxa"/>
            <w:shd w:val="clear" w:color="auto" w:fill="C0C0C0"/>
          </w:tcPr>
          <w:p>
            <w:pPr>
              <w:pStyle w:val="TableParagraph"/>
              <w:spacing w:before="2"/>
              <w:ind w:left="108"/>
              <w:rPr>
                <w:b/>
                <w:sz w:val="21"/>
              </w:rPr>
            </w:pPr>
            <w:r>
              <w:rPr>
                <w:b/>
                <w:sz w:val="21"/>
              </w:rPr>
              <w:t>第七章</w:t>
            </w:r>
          </w:p>
        </w:tc>
        <w:tc>
          <w:tcPr>
            <w:tcW w:w="1426" w:type="dxa"/>
            <w:shd w:val="clear" w:color="auto" w:fill="C0C0C0"/>
          </w:tcPr>
          <w:p>
            <w:pPr>
              <w:pStyle w:val="TableParagraph"/>
              <w:spacing w:before="2"/>
              <w:ind w:left="224"/>
              <w:rPr>
                <w:b/>
                <w:sz w:val="21"/>
              </w:rPr>
            </w:pPr>
            <w:r>
              <w:rPr>
                <w:b/>
                <w:sz w:val="21"/>
              </w:rPr>
              <w:t>释义</w:t>
            </w:r>
          </w:p>
        </w:tc>
        <w:tc>
          <w:tcPr>
            <w:tcW w:w="6773" w:type="dxa"/>
            <w:shd w:val="clear" w:color="auto" w:fill="C0C0C0"/>
          </w:tcPr>
          <w:p>
            <w:pPr>
              <w:pStyle w:val="TableParagraph"/>
              <w:rPr>
                <w:rFonts w:ascii="Times New Roman"/>
                <w:sz w:val="20"/>
              </w:rPr>
            </w:pPr>
          </w:p>
        </w:tc>
      </w:tr>
      <w:tr>
        <w:trPr>
          <w:trHeight w:val="342" w:hRule="atLeast"/>
        </w:trPr>
        <w:tc>
          <w:tcPr>
            <w:tcW w:w="1175" w:type="dxa"/>
          </w:tcPr>
          <w:p>
            <w:pPr>
              <w:pStyle w:val="TableParagraph"/>
              <w:spacing w:before="2"/>
              <w:ind w:left="108"/>
              <w:rPr>
                <w:sz w:val="21"/>
              </w:rPr>
            </w:pPr>
            <w:r>
              <w:rPr>
                <w:sz w:val="21"/>
              </w:rPr>
              <w:t>第二十条</w:t>
            </w:r>
          </w:p>
        </w:tc>
        <w:tc>
          <w:tcPr>
            <w:tcW w:w="1426" w:type="dxa"/>
          </w:tcPr>
          <w:p>
            <w:pPr>
              <w:pStyle w:val="TableParagraph"/>
              <w:spacing w:before="2"/>
              <w:ind w:left="224"/>
              <w:rPr>
                <w:sz w:val="21"/>
              </w:rPr>
            </w:pPr>
            <w:r>
              <w:rPr>
                <w:sz w:val="21"/>
              </w:rPr>
              <w:t>释义</w:t>
            </w:r>
          </w:p>
        </w:tc>
        <w:tc>
          <w:tcPr>
            <w:tcW w:w="6773" w:type="dxa"/>
          </w:tcPr>
          <w:p>
            <w:pPr>
              <w:pStyle w:val="TableParagraph"/>
              <w:rPr>
                <w:rFonts w:ascii="Times New Roman"/>
                <w:sz w:val="20"/>
              </w:rPr>
            </w:pPr>
          </w:p>
        </w:tc>
      </w:tr>
      <w:tr>
        <w:trPr>
          <w:trHeight w:val="515" w:hRule="atLeast"/>
        </w:trPr>
        <w:tc>
          <w:tcPr>
            <w:tcW w:w="1175" w:type="dxa"/>
          </w:tcPr>
          <w:p>
            <w:pPr>
              <w:pStyle w:val="TableParagraph"/>
              <w:spacing w:before="2"/>
              <w:ind w:left="116"/>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8"/>
              <w:rPr>
                <w:sz w:val="21"/>
              </w:rPr>
            </w:pPr>
            <w:r>
              <w:rPr>
                <w:sz w:val="21"/>
              </w:rPr>
              <w:t>指中航三星人寿保险有限公司。</w:t>
            </w:r>
          </w:p>
        </w:tc>
      </w:tr>
      <w:tr>
        <w:trPr>
          <w:trHeight w:val="1373" w:hRule="atLeast"/>
        </w:trPr>
        <w:tc>
          <w:tcPr>
            <w:tcW w:w="1175" w:type="dxa"/>
          </w:tcPr>
          <w:p>
            <w:pPr>
              <w:pStyle w:val="TableParagraph"/>
              <w:spacing w:before="174"/>
              <w:ind w:left="116"/>
              <w:jc w:val="center"/>
              <w:rPr>
                <w:sz w:val="21"/>
              </w:rPr>
            </w:pPr>
            <w:r>
              <w:rPr>
                <w:w w:val="100"/>
                <w:sz w:val="21"/>
              </w:rPr>
              <w:t>二</w:t>
            </w:r>
          </w:p>
        </w:tc>
        <w:tc>
          <w:tcPr>
            <w:tcW w:w="1426" w:type="dxa"/>
          </w:tcPr>
          <w:p>
            <w:pPr>
              <w:pStyle w:val="TableParagraph"/>
              <w:spacing w:before="174"/>
              <w:ind w:left="224"/>
              <w:rPr>
                <w:sz w:val="21"/>
              </w:rPr>
            </w:pPr>
            <w:r>
              <w:rPr>
                <w:sz w:val="21"/>
              </w:rPr>
              <w:t>医院</w:t>
            </w:r>
          </w:p>
        </w:tc>
        <w:tc>
          <w:tcPr>
            <w:tcW w:w="6773" w:type="dxa"/>
          </w:tcPr>
          <w:p>
            <w:pPr>
              <w:pStyle w:val="TableParagraph"/>
              <w:spacing w:line="300" w:lineRule="auto" w:before="174"/>
              <w:ind w:left="358" w:right="-15"/>
              <w:rPr>
                <w:sz w:val="21"/>
              </w:rPr>
            </w:pPr>
            <w:r>
              <w:rPr>
                <w:spacing w:val="-3"/>
                <w:sz w:val="21"/>
              </w:rPr>
              <w:t>指在本附加合同中列明的医院。本附加合同未列明的，则指国家卫生</w:t>
            </w:r>
            <w:r>
              <w:rPr>
                <w:spacing w:val="-8"/>
                <w:sz w:val="21"/>
              </w:rPr>
              <w:t>行政部门评定的二级或二级以上社保定点医院，但不包括康复、护理、</w:t>
            </w:r>
            <w:r>
              <w:rPr>
                <w:spacing w:val="-5"/>
                <w:sz w:val="21"/>
              </w:rPr>
              <w:t>疗养、戒酒、戒毒或类似性质的医疗机构。</w:t>
            </w:r>
          </w:p>
        </w:tc>
      </w:tr>
      <w:tr>
        <w:trPr>
          <w:trHeight w:val="7654" w:hRule="atLeast"/>
        </w:trPr>
        <w:tc>
          <w:tcPr>
            <w:tcW w:w="1175" w:type="dxa"/>
          </w:tcPr>
          <w:p>
            <w:pPr>
              <w:pStyle w:val="TableParagraph"/>
              <w:spacing w:before="174"/>
              <w:ind w:left="116"/>
              <w:jc w:val="center"/>
              <w:rPr>
                <w:sz w:val="21"/>
              </w:rPr>
            </w:pPr>
            <w:r>
              <w:rPr>
                <w:w w:val="100"/>
                <w:sz w:val="21"/>
              </w:rPr>
              <w:t>三</w:t>
            </w:r>
          </w:p>
        </w:tc>
        <w:tc>
          <w:tcPr>
            <w:tcW w:w="1426" w:type="dxa"/>
          </w:tcPr>
          <w:p>
            <w:pPr>
              <w:pStyle w:val="TableParagraph"/>
              <w:spacing w:before="174"/>
              <w:ind w:left="224"/>
              <w:rPr>
                <w:sz w:val="21"/>
              </w:rPr>
            </w:pPr>
            <w:r>
              <w:rPr>
                <w:sz w:val="21"/>
              </w:rPr>
              <w:t>重大疾病</w:t>
            </w:r>
          </w:p>
        </w:tc>
        <w:tc>
          <w:tcPr>
            <w:tcW w:w="6773" w:type="dxa"/>
          </w:tcPr>
          <w:p>
            <w:pPr>
              <w:pStyle w:val="TableParagraph"/>
              <w:spacing w:line="300" w:lineRule="auto" w:before="174"/>
              <w:ind w:left="358" w:right="101"/>
              <w:jc w:val="both"/>
              <w:rPr>
                <w:sz w:val="21"/>
              </w:rPr>
            </w:pPr>
            <w:r>
              <w:rPr>
                <w:spacing w:val="-6"/>
                <w:sz w:val="21"/>
              </w:rPr>
              <w:t>本附加合同所称的重大疾病共包含 </w:t>
            </w:r>
            <w:r>
              <w:rPr>
                <w:sz w:val="21"/>
              </w:rPr>
              <w:t>39</w:t>
            </w:r>
            <w:r>
              <w:rPr>
                <w:spacing w:val="-12"/>
                <w:sz w:val="21"/>
              </w:rPr>
              <w:t> 种重大疾病，其中 </w:t>
            </w:r>
            <w:r>
              <w:rPr>
                <w:sz w:val="21"/>
              </w:rPr>
              <w:t>25</w:t>
            </w:r>
            <w:r>
              <w:rPr>
                <w:spacing w:val="-12"/>
                <w:sz w:val="21"/>
              </w:rPr>
              <w:t> 种为中国</w:t>
            </w:r>
            <w:r>
              <w:rPr>
                <w:spacing w:val="-7"/>
                <w:sz w:val="21"/>
              </w:rPr>
              <w:t>保险行业协会推荐的疾病，</w:t>
            </w:r>
            <w:r>
              <w:rPr>
                <w:spacing w:val="-16"/>
                <w:sz w:val="21"/>
              </w:rPr>
              <w:t>14</w:t>
            </w:r>
            <w:r>
              <w:rPr>
                <w:spacing w:val="-7"/>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spacing w:before="16"/>
              <w:ind w:left="392"/>
              <w:rPr>
                <w:sz w:val="21"/>
              </w:rPr>
            </w:pPr>
            <w:r>
              <w:rPr>
                <w:sz w:val="21"/>
              </w:rPr>
              <w:t>1.</w:t>
            </w:r>
            <w:r>
              <w:rPr>
                <w:spacing w:val="67"/>
                <w:sz w:val="21"/>
              </w:rPr>
              <w:t> </w:t>
            </w:r>
            <w:r>
              <w:rPr>
                <w:sz w:val="21"/>
              </w:rPr>
              <w:t>25</w:t>
            </w:r>
            <w:r>
              <w:rPr>
                <w:spacing w:val="-8"/>
                <w:sz w:val="21"/>
              </w:rPr>
              <w:t> 种由中国保险行业协会推荐的疾病是指符合下列条件的疾病：</w:t>
            </w:r>
          </w:p>
          <w:p>
            <w:pPr>
              <w:pStyle w:val="TableParagraph"/>
              <w:rPr>
                <w:rFonts w:ascii="Times New Roman"/>
                <w:sz w:val="20"/>
              </w:rPr>
            </w:pPr>
          </w:p>
          <w:p>
            <w:pPr>
              <w:pStyle w:val="TableParagraph"/>
              <w:spacing w:before="9"/>
              <w:rPr>
                <w:rFonts w:ascii="Times New Roman"/>
                <w:sz w:val="15"/>
              </w:rPr>
            </w:pPr>
          </w:p>
          <w:p>
            <w:pPr>
              <w:pStyle w:val="TableParagraph"/>
              <w:numPr>
                <w:ilvl w:val="0"/>
                <w:numId w:val="2"/>
              </w:numPr>
              <w:tabs>
                <w:tab w:pos="779" w:val="left" w:leader="none"/>
              </w:tabs>
              <w:spacing w:line="240" w:lineRule="auto" w:before="0" w:after="0"/>
              <w:ind w:left="778" w:right="0" w:hanging="420"/>
              <w:jc w:val="left"/>
              <w:rPr>
                <w:sz w:val="21"/>
              </w:rPr>
            </w:pPr>
            <w:r>
              <w:rPr>
                <w:spacing w:val="-1"/>
                <w:sz w:val="21"/>
              </w:rPr>
              <w:t>恶性肿瘤</w:t>
            </w:r>
          </w:p>
          <w:p>
            <w:pPr>
              <w:pStyle w:val="TableParagraph"/>
              <w:spacing w:line="300" w:lineRule="auto" w:before="68"/>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
              <w:ind w:left="358"/>
              <w:rPr>
                <w:sz w:val="21"/>
              </w:rPr>
            </w:pPr>
            <w:r>
              <w:rPr>
                <w:sz w:val="21"/>
              </w:rPr>
              <w:t>下列疾病不在保障范围内：</w:t>
            </w:r>
          </w:p>
          <w:p>
            <w:pPr>
              <w:pStyle w:val="TableParagraph"/>
              <w:spacing w:before="68"/>
              <w:ind w:left="358"/>
              <w:rPr>
                <w:sz w:val="21"/>
              </w:rPr>
            </w:pPr>
            <w:r>
              <w:rPr>
                <w:sz w:val="21"/>
              </w:rPr>
              <w:t>① 原位癌；</w:t>
            </w:r>
          </w:p>
          <w:p>
            <w:pPr>
              <w:pStyle w:val="TableParagraph"/>
              <w:spacing w:before="68"/>
              <w:ind w:left="358"/>
              <w:rPr>
                <w:sz w:val="21"/>
              </w:rPr>
            </w:pPr>
            <w:r>
              <w:rPr>
                <w:sz w:val="21"/>
              </w:rPr>
              <w:t>② 相当于 Binet 分期方案 A 期程度的慢性淋巴细胞白血病；</w:t>
            </w:r>
          </w:p>
          <w:p>
            <w:pPr>
              <w:pStyle w:val="TableParagraph"/>
              <w:spacing w:before="68"/>
              <w:ind w:left="358"/>
              <w:rPr>
                <w:sz w:val="21"/>
              </w:rPr>
            </w:pPr>
            <w:r>
              <w:rPr>
                <w:sz w:val="21"/>
              </w:rPr>
              <w:t>③ 相当于 Ann Arbor 分期方案 I 期程度的何杰金氏病；</w:t>
            </w:r>
          </w:p>
          <w:p>
            <w:pPr>
              <w:pStyle w:val="TableParagraph"/>
              <w:spacing w:before="68"/>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6"/>
              <w:ind w:left="35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before="69"/>
              <w:ind w:left="358"/>
              <w:rPr>
                <w:sz w:val="21"/>
              </w:rPr>
            </w:pPr>
            <w:r>
              <w:rPr>
                <w:sz w:val="21"/>
              </w:rPr>
              <w:t>⑥ 感染艾滋病病毒或患艾滋病期间所患恶性肿瘤。</w:t>
            </w:r>
          </w:p>
          <w:p>
            <w:pPr>
              <w:pStyle w:val="TableParagraph"/>
              <w:rPr>
                <w:rFonts w:ascii="Times New Roman"/>
                <w:sz w:val="20"/>
              </w:rPr>
            </w:pPr>
          </w:p>
          <w:p>
            <w:pPr>
              <w:pStyle w:val="TableParagraph"/>
              <w:spacing w:before="9"/>
              <w:rPr>
                <w:rFonts w:ascii="Times New Roman"/>
                <w:sz w:val="15"/>
              </w:rPr>
            </w:pPr>
          </w:p>
          <w:p>
            <w:pPr>
              <w:pStyle w:val="TableParagraph"/>
              <w:numPr>
                <w:ilvl w:val="0"/>
                <w:numId w:val="2"/>
              </w:numPr>
              <w:tabs>
                <w:tab w:pos="779" w:val="left" w:leader="none"/>
              </w:tabs>
              <w:spacing w:line="240" w:lineRule="auto" w:before="0" w:after="0"/>
              <w:ind w:left="778" w:right="0" w:hanging="420"/>
              <w:jc w:val="left"/>
              <w:rPr>
                <w:sz w:val="21"/>
              </w:rPr>
            </w:pPr>
            <w:r>
              <w:rPr>
                <w:spacing w:val="-2"/>
                <w:sz w:val="21"/>
              </w:rPr>
              <w:t>急性心肌梗塞</w:t>
            </w:r>
          </w:p>
          <w:p>
            <w:pPr>
              <w:pStyle w:val="TableParagraph"/>
              <w:spacing w:line="340" w:lineRule="atLeast" w:before="3"/>
              <w:ind w:left="358" w:right="106"/>
              <w:rPr>
                <w:sz w:val="21"/>
              </w:rPr>
            </w:pPr>
            <w:r>
              <w:rPr>
                <w:sz w:val="21"/>
              </w:rPr>
              <w:t>指因冠状动脉阻塞导致的相应区域供血不足造成部分心肌坏死。须满足下列至少三项条件：</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58"/>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189" w:hanging="360"/>
      </w:pPr>
      <w:r>
        <w:rPr/>
        <w:t>③ 心肌酶或肌钙蛋白有诊断意义的升高，或呈符合急性心肌梗塞的动态性变化；</w:t>
      </w:r>
    </w:p>
    <w:p>
      <w:pPr>
        <w:pStyle w:val="BodyText"/>
        <w:spacing w:line="300" w:lineRule="auto" w:before="15"/>
        <w:ind w:left="3409" w:right="12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3"/>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before="67"/>
        <w:ind w:right="12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363" w:right="127" w:hanging="315"/>
      </w:pPr>
      <w:r>
        <w:rPr>
          <w:spacing w:val="-10"/>
        </w:rPr>
        <w:t>③ 自主生活能力完全丧失，无法独立完成六项基本日常生活活动中的</w:t>
      </w:r>
      <w:r>
        <w:rPr>
          <w:spacing w:val="-5"/>
        </w:rPr>
        <w:t>三项或三项以上。</w:t>
      </w:r>
    </w:p>
    <w:p>
      <w:pPr>
        <w:pStyle w:val="BodyText"/>
        <w:spacing w:before="5"/>
        <w:ind w:left="0"/>
        <w:rPr>
          <w:sz w:val="27"/>
        </w:rPr>
      </w:pPr>
    </w:p>
    <w:p>
      <w:pPr>
        <w:pStyle w:val="ListParagraph"/>
        <w:numPr>
          <w:ilvl w:val="0"/>
          <w:numId w:val="3"/>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129"/>
      </w:pPr>
      <w:r>
        <w:rPr/>
        <w:t>重大器官移植术，指因相应器官功能衰竭，已经实施了肾脏、肝脏、心脏或肺脏的异体移植手术。</w:t>
      </w:r>
    </w:p>
    <w:p>
      <w:pPr>
        <w:pStyle w:val="BodyText"/>
        <w:spacing w:line="300" w:lineRule="auto" w:before="15"/>
        <w:ind w:right="12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3"/>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29"/>
      </w:pPr>
      <w:r>
        <w:rPr/>
        <w:t>指为治疗严重的冠心病，实际实施了开胸进行的冠状动脉血管旁路移植的手术。</w:t>
      </w:r>
    </w:p>
    <w:p>
      <w:pPr>
        <w:pStyle w:val="BodyText"/>
        <w:spacing w:line="300" w:lineRule="auto" w:before="15"/>
        <w:ind w:right="12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3"/>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7"/>
        <w:ind w:right="12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3"/>
        </w:numPr>
        <w:tabs>
          <w:tab w:pos="3469" w:val="left" w:leader="none"/>
        </w:tabs>
        <w:spacing w:line="240" w:lineRule="auto" w:before="0" w:after="0"/>
        <w:ind w:left="3469" w:right="0" w:hanging="420"/>
        <w:jc w:val="left"/>
        <w:rPr>
          <w:sz w:val="21"/>
        </w:rPr>
      </w:pPr>
      <w:r>
        <w:rPr>
          <w:spacing w:val="-2"/>
          <w:sz w:val="21"/>
        </w:rPr>
        <w:t>多个肢体缺失</w:t>
      </w:r>
    </w:p>
    <w:p>
      <w:pPr>
        <w:pStyle w:val="BodyText"/>
        <w:spacing w:before="67"/>
      </w:pPr>
      <w:r>
        <w:rPr/>
        <w:t>指因疾病或意外伤害导致两个或两个以上肢体自腕关节或踝关节近端</w:t>
      </w:r>
    </w:p>
    <w:p>
      <w:pPr>
        <w:pStyle w:val="BodyText"/>
        <w:spacing w:before="67"/>
      </w:pPr>
      <w:r>
        <w:rPr/>
        <w:t>（靠近躯干端）以上完全性断离。</w:t>
      </w:r>
    </w:p>
    <w:p>
      <w:pPr>
        <w:spacing w:after="0"/>
        <w:sectPr>
          <w:pgSz w:w="11910" w:h="16840"/>
          <w:pgMar w:header="0" w:footer="919" w:top="1580" w:bottom="1100" w:left="1200" w:right="1220"/>
        </w:sectPr>
      </w:pPr>
    </w:p>
    <w:p>
      <w:pPr>
        <w:pStyle w:val="BodyText"/>
        <w:spacing w:before="12"/>
        <w:ind w:left="0"/>
        <w:rPr>
          <w:sz w:val="26"/>
        </w:rPr>
      </w:pPr>
    </w:p>
    <w:p>
      <w:pPr>
        <w:pStyle w:val="ListParagraph"/>
        <w:numPr>
          <w:ilvl w:val="0"/>
          <w:numId w:val="3"/>
        </w:numPr>
        <w:tabs>
          <w:tab w:pos="3469" w:val="left" w:leader="none"/>
        </w:tabs>
        <w:spacing w:line="240" w:lineRule="auto" w:before="36"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6"/>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3"/>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3"/>
        </w:numPr>
        <w:tabs>
          <w:tab w:pos="3888" w:val="left" w:leader="none"/>
          <w:tab w:pos="3889" w:val="left" w:leader="none"/>
        </w:tabs>
        <w:spacing w:line="240" w:lineRule="auto" w:before="150" w:after="0"/>
        <w:ind w:left="3889" w:right="0" w:hanging="840"/>
        <w:jc w:val="left"/>
        <w:rPr>
          <w:sz w:val="21"/>
        </w:rPr>
      </w:pPr>
      <w:r>
        <w:rPr>
          <w:spacing w:val="-3"/>
          <w:sz w:val="21"/>
        </w:rPr>
        <w:t>慢性肝功能衰竭失代偿期</w:t>
      </w:r>
    </w:p>
    <w:p>
      <w:pPr>
        <w:pStyle w:val="BodyText"/>
      </w:pPr>
      <w:r>
        <w:rPr/>
        <w:t>指因慢性肝脏疾病导致肝功能衰竭。须满足下列全部条件：</w:t>
      </w:r>
    </w:p>
    <w:p>
      <w:pPr>
        <w:pStyle w:val="BodyText"/>
        <w:tabs>
          <w:tab w:pos="3468" w:val="left" w:leader="none"/>
        </w:tabs>
      </w:pPr>
      <w:r>
        <w:rPr/>
        <w:t>①</w:t>
        <w:tab/>
      </w:r>
      <w:r>
        <w:rPr>
          <w:spacing w:val="-2"/>
        </w:rPr>
        <w:t>持续性黄疸；</w:t>
      </w:r>
    </w:p>
    <w:p>
      <w:pPr>
        <w:pStyle w:val="BodyText"/>
        <w:tabs>
          <w:tab w:pos="3468" w:val="left" w:leader="none"/>
        </w:tabs>
      </w:pPr>
      <w:r>
        <w:rPr/>
        <w:t>②</w:t>
        <w:tab/>
        <w:t>腹水；</w:t>
      </w:r>
    </w:p>
    <w:p>
      <w:pPr>
        <w:pStyle w:val="BodyText"/>
        <w:tabs>
          <w:tab w:pos="3468" w:val="left" w:leader="none"/>
        </w:tabs>
      </w:pPr>
      <w:r>
        <w:rPr/>
        <w:t>③</w:t>
        <w:tab/>
      </w:r>
      <w:r>
        <w:rPr>
          <w:spacing w:val="-1"/>
        </w:rPr>
        <w:t>肝性脑病；</w:t>
      </w:r>
    </w:p>
    <w:p>
      <w:pPr>
        <w:pStyle w:val="BodyText"/>
        <w:tabs>
          <w:tab w:pos="3468" w:val="left" w:leader="none"/>
        </w:tabs>
        <w:spacing w:line="292" w:lineRule="auto"/>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6"/>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212"/>
      </w:pPr>
      <w:r>
        <w:rPr>
          <w:spacing w:val="-3"/>
        </w:rPr>
        <w:t>指因疾病或意外伤害导致意识丧失,对外界刺激和体内需求均无反应, 昏迷程度按照格拉斯哥昏迷分级</w:t>
      </w:r>
      <w:r>
        <w:rPr/>
        <w:t>（Glasgow coma scale）</w:t>
      </w:r>
      <w:r>
        <w:rPr>
          <w:spacing w:val="-15"/>
        </w:rPr>
        <w:t>结果为 </w:t>
      </w:r>
      <w:r>
        <w:rPr/>
        <w:t>5</w:t>
      </w:r>
      <w:r>
        <w:rPr>
          <w:spacing w:val="-27"/>
        </w:rPr>
        <w:t> 分</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1"/>
      </w:pP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3"/>
        </w:rPr>
        <w:t>听力测试、声导抗检测或听觉诱发电位检测等证实。</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7"/>
        <w:ind w:right="209"/>
      </w:pPr>
      <w:r>
        <w:rPr/>
        <w:t>指因疾病或意外伤害导致双眼视力永久不可逆性丧失，双眼中较好眼须满足下列至少一项条件：</w:t>
      </w:r>
    </w:p>
    <w:p>
      <w:pPr>
        <w:pStyle w:val="BodyText"/>
        <w:spacing w:before="15"/>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line="300" w:lineRule="auto" w:before="67"/>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神经官能症和精神疾病不在保障范围内。</w:t>
      </w:r>
    </w:p>
    <w:p>
      <w:pPr>
        <w:pStyle w:val="BodyText"/>
        <w:spacing w:before="0"/>
        <w:ind w:left="0"/>
        <w:rPr>
          <w:sz w:val="20"/>
        </w:rPr>
      </w:pPr>
    </w:p>
    <w:p>
      <w:pPr>
        <w:pStyle w:val="ListParagraph"/>
        <w:numPr>
          <w:ilvl w:val="0"/>
          <w:numId w:val="3"/>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tabs>
          <w:tab w:pos="3504" w:val="left" w:leader="none"/>
        </w:tabs>
        <w:spacing w:before="15"/>
        <w:ind w:left="3082"/>
      </w:pPr>
      <w:r>
        <w:rPr/>
        <w:t>①</w:t>
        <w:tab/>
      </w:r>
      <w:r>
        <w:rPr>
          <w:spacing w:val="-3"/>
        </w:rPr>
        <w:t>药物治疗无法控制病情；</w:t>
      </w:r>
    </w:p>
    <w:p>
      <w:pPr>
        <w:pStyle w:val="BodyText"/>
        <w:tabs>
          <w:tab w:pos="3504" w:val="left" w:leader="none"/>
        </w:tabs>
        <w:spacing w:line="300" w:lineRule="auto"/>
        <w:ind w:left="3502" w:right="207" w:hanging="420"/>
      </w:pPr>
      <w:r>
        <w:rPr/>
        <w:t>②</w:t>
        <w:tab/>
        <w:tab/>
      </w:r>
      <w:r>
        <w:rPr>
          <w:spacing w:val="-6"/>
        </w:rPr>
        <w:t>自主生活能力完全丧失，无法独立完成六项基本日常生活活动中 </w:t>
      </w:r>
      <w:r>
        <w:rPr>
          <w:spacing w:val="-4"/>
        </w:rPr>
        <w:t>的三项或三项以上。</w:t>
      </w:r>
    </w:p>
    <w:p>
      <w:pPr>
        <w:pStyle w:val="BodyText"/>
        <w:spacing w:line="300" w:lineRule="auto" w:before="16"/>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pPr>
      <w:r>
        <w:rPr/>
        <w:t>继发性帕金森综合征不在保障范围内。</w:t>
      </w:r>
    </w:p>
    <w:p>
      <w:pPr>
        <w:pStyle w:val="BodyText"/>
        <w:spacing w:before="0"/>
        <w:ind w:left="0"/>
        <w:rPr>
          <w:sz w:val="20"/>
        </w:rPr>
      </w:pPr>
    </w:p>
    <w:p>
      <w:pPr>
        <w:pStyle w:val="ListParagraph"/>
        <w:numPr>
          <w:ilvl w:val="0"/>
          <w:numId w:val="3"/>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3"/>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before="67"/>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4"/>
        <w:ind w:left="0"/>
        <w:rPr>
          <w:sz w:val="27"/>
        </w:rPr>
      </w:pPr>
    </w:p>
    <w:p>
      <w:pPr>
        <w:pStyle w:val="ListParagraph"/>
        <w:numPr>
          <w:ilvl w:val="0"/>
          <w:numId w:val="3"/>
        </w:numPr>
        <w:tabs>
          <w:tab w:pos="3888" w:val="left" w:leader="none"/>
          <w:tab w:pos="3889" w:val="left" w:leader="none"/>
        </w:tabs>
        <w:spacing w:line="240" w:lineRule="auto" w:before="1" w:after="0"/>
        <w:ind w:left="3889" w:right="0" w:hanging="840"/>
        <w:jc w:val="left"/>
        <w:rPr>
          <w:sz w:val="21"/>
        </w:rPr>
      </w:pPr>
      <w:r>
        <w:rPr>
          <w:spacing w:val="-3"/>
          <w:sz w:val="21"/>
        </w:rPr>
        <w:t>严重运动神经元病</w:t>
      </w:r>
    </w:p>
    <w:p>
      <w:pPr>
        <w:pStyle w:val="BodyText"/>
        <w:spacing w:line="300" w:lineRule="auto" w:before="69"/>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ListParagraph"/>
        <w:numPr>
          <w:ilvl w:val="0"/>
          <w:numId w:val="3"/>
        </w:numPr>
        <w:tabs>
          <w:tab w:pos="3888" w:val="left" w:leader="none"/>
          <w:tab w:pos="3889" w:val="left" w:leader="none"/>
        </w:tabs>
        <w:spacing w:line="240" w:lineRule="auto" w:before="36"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before="67"/>
        <w:ind w:right="209"/>
      </w:pPr>
      <w:r>
        <w:rPr/>
        <w:t>指因骨髓造血功能慢性持续性衰竭导致的贫血、中性粒细胞减少及血小板减少。须满足下列全部条件：</w:t>
      </w:r>
    </w:p>
    <w:p>
      <w:pPr>
        <w:pStyle w:val="BodyText"/>
        <w:spacing w:before="16"/>
      </w:pPr>
      <w:r>
        <w:rPr/>
        <w:t>① 骨髓穿刺检查或骨髓活检结果支持诊断；</w:t>
      </w:r>
    </w:p>
    <w:p>
      <w:pPr>
        <w:pStyle w:val="BodyText"/>
      </w:pPr>
      <w:r>
        <w:rPr/>
        <w:t>② 外周血象须具备以下三项条件：</w:t>
      </w:r>
    </w:p>
    <w:p>
      <w:pPr>
        <w:pStyle w:val="ListParagraph"/>
        <w:numPr>
          <w:ilvl w:val="0"/>
          <w:numId w:val="4"/>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4"/>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4"/>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6"/>
        <w:ind w:left="0"/>
        <w:rPr>
          <w:sz w:val="31"/>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BodyText"/>
        <w:spacing w:line="300" w:lineRule="auto" w:before="149"/>
        <w:ind w:left="3442" w:right="207" w:hanging="360"/>
      </w:pPr>
      <w:r>
        <w:rPr/>
        <w:t>2.</w:t>
      </w:r>
      <w:r>
        <w:rPr>
          <w:spacing w:val="68"/>
        </w:rPr>
        <w:t> </w:t>
      </w:r>
      <w:r>
        <w:rPr/>
        <w:t>14</w:t>
      </w:r>
      <w:r>
        <w:rPr>
          <w:spacing w:val="-10"/>
        </w:rPr>
        <w:t> 种中国保险行业协会推荐范围以外的疾病是指符合下列条件的疾病：</w:t>
      </w:r>
    </w:p>
    <w:p>
      <w:pPr>
        <w:pStyle w:val="BodyText"/>
        <w:spacing w:before="5"/>
        <w:ind w:left="0"/>
        <w:rPr>
          <w:sz w:val="27"/>
        </w:rPr>
      </w:pPr>
    </w:p>
    <w:p>
      <w:pPr>
        <w:pStyle w:val="ListParagraph"/>
        <w:numPr>
          <w:ilvl w:val="0"/>
          <w:numId w:val="3"/>
        </w:numPr>
        <w:tabs>
          <w:tab w:pos="3898" w:val="left" w:leader="none"/>
          <w:tab w:pos="3899" w:val="left" w:leader="none"/>
        </w:tabs>
        <w:spacing w:line="240" w:lineRule="auto" w:before="0" w:after="0"/>
        <w:ind w:left="3898" w:right="0" w:hanging="849"/>
        <w:jc w:val="left"/>
        <w:rPr>
          <w:sz w:val="21"/>
        </w:rPr>
      </w:pPr>
      <w:r>
        <w:rPr>
          <w:spacing w:val="-3"/>
          <w:sz w:val="21"/>
        </w:rPr>
        <w:t>去皮质综合征</w:t>
      </w:r>
      <w:r>
        <w:rPr>
          <w:sz w:val="21"/>
        </w:rPr>
        <w:t>（</w:t>
      </w:r>
      <w:r>
        <w:rPr>
          <w:spacing w:val="-3"/>
          <w:sz w:val="21"/>
        </w:rPr>
        <w:t>植物人状态</w:t>
      </w:r>
      <w:r>
        <w:rPr>
          <w:sz w:val="21"/>
        </w:rPr>
        <w:t>）</w:t>
      </w:r>
    </w:p>
    <w:p>
      <w:pPr>
        <w:pStyle w:val="BodyText"/>
        <w:spacing w:line="300" w:lineRule="auto"/>
        <w:ind w:right="2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2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47"/>
      </w:pP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pPr>
      <w:r>
        <w:rPr/>
        <w:t>世界卫生组织（WHO）对狼疮性肾炎的分类标准：</w:t>
      </w:r>
    </w:p>
    <w:p>
      <w:pPr>
        <w:pStyle w:val="ListParagraph"/>
        <w:numPr>
          <w:ilvl w:val="0"/>
          <w:numId w:val="5"/>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5"/>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5"/>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5"/>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5"/>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5"/>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3"/>
        </w:numPr>
        <w:tabs>
          <w:tab w:pos="3888" w:val="left" w:leader="none"/>
          <w:tab w:pos="3889" w:val="left" w:leader="none"/>
        </w:tabs>
        <w:spacing w:line="240" w:lineRule="auto" w:before="150" w:after="0"/>
        <w:ind w:left="3889" w:right="0" w:hanging="840"/>
        <w:jc w:val="left"/>
        <w:rPr>
          <w:sz w:val="21"/>
        </w:rPr>
      </w:pPr>
      <w:r>
        <w:rPr>
          <w:spacing w:val="-3"/>
          <w:sz w:val="21"/>
        </w:rPr>
        <w:t>严重肌营养不良症</w:t>
      </w:r>
    </w:p>
    <w:p>
      <w:pPr>
        <w:pStyle w:val="BodyText"/>
        <w:spacing w:line="300" w:lineRule="auto"/>
        <w:ind w:right="149"/>
      </w:pPr>
      <w:r>
        <w:rPr/>
        <w:t>是一组以与神经系统无关的肌肉无力及萎缩为特征的遗传性疾病，并导致永久性运动功能障碍。须满足下列全部条件：</w:t>
      </w:r>
    </w:p>
    <w:p>
      <w:pPr>
        <w:pStyle w:val="BodyText"/>
        <w:tabs>
          <w:tab w:pos="3471" w:val="left" w:leader="none"/>
        </w:tabs>
        <w:spacing w:before="15"/>
      </w:pPr>
      <w:r>
        <w:rPr/>
        <w:t>①</w:t>
        <w:tab/>
      </w:r>
      <w:r>
        <w:rPr>
          <w:spacing w:val="-3"/>
        </w:rPr>
        <w:t>肌电图显示肌营养不良症的特征性改变；</w:t>
      </w:r>
    </w:p>
    <w:p>
      <w:pPr>
        <w:pStyle w:val="BodyText"/>
        <w:tabs>
          <w:tab w:pos="3471" w:val="left" w:leader="none"/>
        </w:tabs>
        <w:spacing w:line="300" w:lineRule="auto"/>
        <w:ind w:left="3507" w:right="149" w:hanging="459"/>
      </w:pPr>
      <w:r>
        <w:rPr/>
        <w:t>②</w:t>
        <w:tab/>
      </w:r>
      <w:r>
        <w:rPr>
          <w:spacing w:val="-3"/>
        </w:rPr>
        <w:t>肌肉活体组织检查的病理学诊断符合肌营养不良症的肌肉细胞变 性、坏死等阳性改变；</w:t>
      </w:r>
    </w:p>
    <w:p>
      <w:pPr>
        <w:pStyle w:val="BodyText"/>
        <w:tabs>
          <w:tab w:pos="3471" w:val="left" w:leader="none"/>
        </w:tabs>
        <w:spacing w:line="300" w:lineRule="auto" w:before="16"/>
        <w:ind w:left="3507" w:right="149" w:hanging="459"/>
      </w:pPr>
      <w:r>
        <w:rPr/>
        <w:t>③</w:t>
        <w:tab/>
      </w:r>
      <w:r>
        <w:rPr>
          <w:spacing w:val="-10"/>
        </w:rPr>
        <w:t>被保险人 </w:t>
      </w:r>
      <w:r>
        <w:rPr/>
        <w:t>180</w:t>
      </w:r>
      <w:r>
        <w:rPr>
          <w:spacing w:val="-8"/>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before="67"/>
        <w:ind w:right="14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严重类风湿性关节炎</w:t>
      </w:r>
    </w:p>
    <w:p>
      <w:pPr>
        <w:pStyle w:val="BodyText"/>
        <w:spacing w:line="300" w:lineRule="auto"/>
        <w:ind w:right="149"/>
      </w:pPr>
      <w:r>
        <w:rPr/>
        <w:t>是指广泛的慢性渐进性的关节损害，伴有明显的关节畸形，必须具有下列所有情况：</w:t>
      </w:r>
    </w:p>
    <w:p>
      <w:pPr>
        <w:pStyle w:val="BodyText"/>
        <w:tabs>
          <w:tab w:pos="3471" w:val="left" w:leader="none"/>
        </w:tabs>
        <w:spacing w:before="15"/>
      </w:pPr>
      <w:r>
        <w:rPr/>
        <w:t>①</w:t>
        <w:tab/>
      </w:r>
      <w:r>
        <w:rPr>
          <w:spacing w:val="-7"/>
        </w:rPr>
        <w:t>符合美国风湿病学学会的 </w:t>
      </w:r>
      <w:r>
        <w:rPr/>
        <w:t>1987</w:t>
      </w:r>
      <w:r>
        <w:rPr>
          <w:spacing w:val="-9"/>
        </w:rPr>
        <w:t> 年诊断标准；</w:t>
      </w:r>
    </w:p>
    <w:p>
      <w:pPr>
        <w:pStyle w:val="BodyText"/>
        <w:tabs>
          <w:tab w:pos="3471" w:val="left" w:leader="none"/>
        </w:tabs>
        <w:spacing w:line="300" w:lineRule="auto"/>
        <w:ind w:left="3469" w:right="149" w:hanging="420"/>
      </w:pPr>
      <w:r>
        <w:rPr/>
        <w:t>②</w:t>
        <w:tab/>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71" w:val="left" w:leader="none"/>
        </w:tabs>
        <w:spacing w:line="300" w:lineRule="auto" w:before="16"/>
        <w:ind w:left="3469" w:right="149" w:hanging="420"/>
      </w:pPr>
      <w:r>
        <w:rPr/>
        <w:t>③</w:t>
        <w:tab/>
        <w:tab/>
      </w:r>
      <w:r>
        <w:rPr>
          <w:spacing w:val="-3"/>
        </w:rPr>
        <w:t>自主生活能力完全丧失，无法独立完成六项基本日常生活活动中 的三项或三项以上。</w:t>
      </w:r>
    </w:p>
    <w:p>
      <w:pPr>
        <w:pStyle w:val="BodyText"/>
        <w:spacing w:line="300" w:lineRule="auto" w:before="16"/>
        <w:ind w:right="14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1" w:after="0"/>
        <w:ind w:left="3889" w:right="0" w:hanging="840"/>
        <w:jc w:val="left"/>
        <w:rPr>
          <w:sz w:val="21"/>
        </w:rPr>
      </w:pPr>
      <w:r>
        <w:rPr>
          <w:spacing w:val="-3"/>
          <w:sz w:val="21"/>
        </w:rPr>
        <w:t>全身性重症肌无力</w:t>
      </w:r>
    </w:p>
    <w:p>
      <w:pPr>
        <w:spacing w:after="0" w:line="240" w:lineRule="auto"/>
        <w:jc w:val="left"/>
        <w:rPr>
          <w:sz w:val="21"/>
        </w:rPr>
        <w:sectPr>
          <w:pgSz w:w="11910" w:h="16840"/>
          <w:pgMar w:header="0" w:footer="919" w:top="1580" w:bottom="1180" w:left="1200" w:right="1200"/>
        </w:sectPr>
      </w:pPr>
    </w:p>
    <w:p>
      <w:pPr>
        <w:pStyle w:val="BodyText"/>
        <w:spacing w:before="12"/>
        <w:ind w:left="0"/>
        <w:rPr>
          <w:sz w:val="26"/>
        </w:rPr>
      </w:pPr>
    </w:p>
    <w:p>
      <w:pPr>
        <w:pStyle w:val="BodyText"/>
        <w:spacing w:line="300" w:lineRule="auto" w:before="36"/>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before="67"/>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left="3469" w:right="262" w:hanging="420"/>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left="3469" w:right="209" w:hanging="420"/>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5"/>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z w:val="21"/>
        </w:rPr>
        <w:t>I</w:t>
      </w:r>
      <w:r>
        <w:rPr>
          <w:spacing w:val="-11"/>
          <w:sz w:val="21"/>
        </w:rPr>
        <w:t> 型糖尿病</w:t>
      </w:r>
    </w:p>
    <w:p>
      <w:pPr>
        <w:pStyle w:val="BodyText"/>
        <w:spacing w:line="300" w:lineRule="auto" w:before="67"/>
        <w:ind w:right="106"/>
      </w:pPr>
      <w:r>
        <w:rPr>
          <w:spacing w:val="-11"/>
        </w:rPr>
        <w:t>指未满 </w:t>
      </w:r>
      <w:r>
        <w:rPr/>
        <w:t>19</w:t>
      </w:r>
      <w:r>
        <w:rPr>
          <w:spacing w:val="-8"/>
        </w:rPr>
        <w:t> 周岁的被保险人由于胰岛素分泌不足引起的慢性血糖升高。</w:t>
      </w:r>
      <w:r>
        <w:rPr>
          <w:spacing w:val="-5"/>
        </w:rPr>
        <w:t>本病须经医院的内分泌专科医生确诊并满足以下所有条件：</w:t>
      </w:r>
    </w:p>
    <w:p>
      <w:pPr>
        <w:pStyle w:val="BodyText"/>
        <w:tabs>
          <w:tab w:pos="3468" w:val="left" w:leader="none"/>
        </w:tabs>
        <w:spacing w:before="15"/>
      </w:pPr>
      <w:r>
        <w:rPr/>
        <w:t>①</w:t>
        <w:tab/>
      </w:r>
      <w:r>
        <w:rPr>
          <w:spacing w:val="-7"/>
        </w:rPr>
        <w:t>血胰岛素测定或血 </w:t>
      </w:r>
      <w:r>
        <w:rPr/>
        <w:t>C</w:t>
      </w:r>
      <w:r>
        <w:rPr>
          <w:spacing w:val="-8"/>
        </w:rPr>
        <w:t> 肽测定证实存在胰岛素分泌绝对不足；</w:t>
      </w:r>
    </w:p>
    <w:p>
      <w:pPr>
        <w:pStyle w:val="BodyText"/>
        <w:tabs>
          <w:tab w:pos="3468" w:val="left" w:leader="none"/>
        </w:tabs>
      </w:pPr>
      <w:r>
        <w:rPr/>
        <w:t>②</w:t>
        <w:tab/>
      </w:r>
      <w:r>
        <w:rPr>
          <w:spacing w:val="-3"/>
        </w:rPr>
        <w:t>持续性地依赖外源性胰岛素治疗６个月以上。</w:t>
      </w:r>
    </w:p>
    <w:p>
      <w:pPr>
        <w:pStyle w:val="BodyText"/>
        <w:spacing w:line="300" w:lineRule="auto"/>
        <w:ind w:right="212"/>
      </w:pPr>
      <w:r>
        <w:rPr/>
        <w:t>II</w:t>
      </w:r>
      <w:r>
        <w:rPr>
          <w:spacing w:val="-10"/>
        </w:rPr>
        <w:t> 型糖尿病(非胰岛素依赖性糖尿病 </w:t>
      </w:r>
      <w:r>
        <w:rPr/>
        <w:t>NIDDM</w:t>
      </w:r>
      <w:r>
        <w:rPr>
          <w:spacing w:val="-3"/>
        </w:rPr>
        <w:t>)或继发性糖尿病，不在保险责任范围内。</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2"/>
          <w:sz w:val="21"/>
        </w:rPr>
        <w:t>急性脊髓灰质炎</w:t>
      </w:r>
    </w:p>
    <w:p>
      <w:pPr>
        <w:pStyle w:val="BodyText"/>
        <w:spacing w:line="300" w:lineRule="auto"/>
        <w:ind w:right="209"/>
        <w:jc w:val="both"/>
      </w:pPr>
      <w:r>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未导致肢体瘫痪及其它病因所致的瘫痪，例如格林—巴利综合症(急性感染性多神经炎)则不在此保障范围以内。肢体瘫痪指</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49"/>
        <w:jc w:val="both"/>
      </w:pPr>
      <w:r>
        <w:rPr>
          <w:spacing w:val="-3"/>
        </w:rPr>
        <w:t>两肢或两肢以上肢体机能永久完全丧失。肢体机能永久完全丧失，指</w:t>
      </w:r>
      <w:r>
        <w:rPr>
          <w:spacing w:val="-11"/>
        </w:rPr>
        <w:t>疾病确诊 </w:t>
      </w:r>
      <w:r>
        <w:rPr/>
        <w:t>180</w:t>
      </w:r>
      <w:r>
        <w:rPr>
          <w:spacing w:val="-7"/>
        </w:rPr>
        <w:t> 天后，每肢三大关节中的两大关节仍然完全僵硬，或不</w:t>
      </w:r>
      <w:r>
        <w:rPr>
          <w:spacing w:val="-5"/>
        </w:rPr>
        <w:t>能随意识活动。</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ind w:right="14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经输血导致的人类免疫缺陷病毒感染</w:t>
      </w:r>
    </w:p>
    <w:p>
      <w:pPr>
        <w:pStyle w:val="BodyText"/>
        <w:spacing w:before="85"/>
      </w:pPr>
      <w:r>
        <w:rPr/>
        <w:t>被保险人感染上人类免疫缺陷病毒（HIV）并且符合下列所有条件：</w:t>
      </w:r>
    </w:p>
    <w:p>
      <w:pPr>
        <w:pStyle w:val="BodyText"/>
        <w:tabs>
          <w:tab w:pos="3468" w:val="left" w:leader="none"/>
        </w:tabs>
        <w:spacing w:line="326" w:lineRule="auto" w:before="99"/>
        <w:ind w:left="3469" w:right="149" w:hanging="420"/>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26" w:lineRule="auto" w:before="23"/>
        <w:ind w:left="3469" w:right="149" w:hanging="420"/>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23"/>
      </w:pPr>
      <w:r>
        <w:rPr/>
        <w:t>③</w:t>
        <w:tab/>
      </w:r>
      <w:r>
        <w:rPr>
          <w:spacing w:val="-3"/>
        </w:rPr>
        <w:t>提供输血治疗的输血中心或医院必须拥有合法经营执照；</w:t>
      </w:r>
    </w:p>
    <w:p>
      <w:pPr>
        <w:pStyle w:val="BodyText"/>
        <w:tabs>
          <w:tab w:pos="3468" w:val="left" w:leader="none"/>
        </w:tabs>
        <w:spacing w:before="99"/>
      </w:pPr>
      <w:r>
        <w:rPr/>
        <w:t>④</w:t>
        <w:tab/>
      </w:r>
      <w:r>
        <w:rPr>
          <w:spacing w:val="-3"/>
        </w:rPr>
        <w:t>受感染的被保险人不是血友病患者；</w:t>
      </w:r>
    </w:p>
    <w:p>
      <w:pPr>
        <w:pStyle w:val="BodyText"/>
        <w:spacing w:line="326" w:lineRule="auto" w:before="99"/>
        <w:ind w:right="144"/>
        <w:jc w:val="both"/>
      </w:pPr>
      <w:r>
        <w:rPr>
          <w:spacing w:val="-3"/>
        </w:rPr>
        <w:t>在任何治愈爱滋病</w:t>
      </w:r>
      <w:r>
        <w:rPr/>
        <w:t>（AIDS）</w:t>
      </w:r>
      <w:r>
        <w:rPr>
          <w:spacing w:val="-11"/>
        </w:rPr>
        <w:t>或阻止 </w:t>
      </w:r>
      <w:r>
        <w:rPr/>
        <w:t>HIV</w:t>
      </w:r>
      <w:r>
        <w:rPr>
          <w:spacing w:val="-7"/>
        </w:rPr>
        <w:t> 病毒作用的疗法被发现以后， </w:t>
      </w:r>
      <w:r>
        <w:rPr>
          <w:spacing w:val="-12"/>
        </w:rPr>
        <w:t>或能防止 </w:t>
      </w:r>
      <w:r>
        <w:rPr/>
        <w:t>AIDS</w:t>
      </w:r>
      <w:r>
        <w:rPr>
          <w:spacing w:val="-14"/>
        </w:rPr>
        <w:t> 发生的医疗方法被研究出来以后，本保障将不再予以赔付。</w:t>
      </w:r>
    </w:p>
    <w:p>
      <w:pPr>
        <w:pStyle w:val="BodyText"/>
        <w:spacing w:line="326" w:lineRule="auto" w:before="24"/>
        <w:ind w:right="144"/>
      </w:pPr>
      <w:r>
        <w:rPr>
          <w:spacing w:val="-3"/>
        </w:rPr>
        <w:t>任何因其他传播方式</w:t>
      </w:r>
      <w:r>
        <w:rPr/>
        <w:t>（</w:t>
      </w:r>
      <w:r>
        <w:rPr>
          <w:spacing w:val="-3"/>
        </w:rPr>
        <w:t>包括：性传播或静脉注射毒品</w:t>
      </w:r>
      <w:r>
        <w:rPr/>
        <w:t>）</w:t>
      </w:r>
      <w:r>
        <w:rPr>
          <w:spacing w:val="-11"/>
        </w:rPr>
        <w:t>导致的 </w:t>
      </w:r>
      <w:r>
        <w:rPr/>
        <w:t>HIV</w:t>
      </w:r>
      <w:r>
        <w:rPr>
          <w:spacing w:val="-19"/>
        </w:rPr>
        <w:t> 感</w:t>
      </w:r>
      <w:r>
        <w:rPr>
          <w:spacing w:val="-8"/>
        </w:rPr>
        <w:t>染不在本保单保障范围内。</w:t>
      </w:r>
    </w:p>
    <w:p>
      <w:pPr>
        <w:pStyle w:val="BodyText"/>
        <w:spacing w:line="300" w:lineRule="auto" w:before="7"/>
        <w:ind w:right="149"/>
      </w:pPr>
      <w:r>
        <w:rPr/>
        <w:t>保险公司必须拥有获得使用被保险人的血液样本的权利和能够对这些样本进行独立检验的权利。</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严重胃肠炎</w:t>
      </w:r>
    </w:p>
    <w:p>
      <w:pPr>
        <w:pStyle w:val="BodyText"/>
        <w:spacing w:line="326" w:lineRule="auto" w:before="84"/>
        <w:ind w:right="147"/>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pStyle w:val="BodyText"/>
        <w:spacing w:before="2"/>
        <w:ind w:left="0"/>
        <w:rPr>
          <w:sz w:val="29"/>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终末期肺病</w:t>
      </w:r>
    </w:p>
    <w:p>
      <w:pPr>
        <w:pStyle w:val="BodyText"/>
        <w:spacing w:line="326" w:lineRule="auto" w:before="85"/>
        <w:ind w:right="147"/>
      </w:pPr>
      <w:r>
        <w:rPr/>
        <w:t>是指因慢性肺部疾病导致永久不可逆性的慢性呼吸衰竭。该病必须由医院的呼吸科专科医生确诊并符合以下各项：</w:t>
      </w:r>
    </w:p>
    <w:p>
      <w:pPr>
        <w:pStyle w:val="BodyText"/>
        <w:spacing w:before="24"/>
        <w:jc w:val="both"/>
      </w:pPr>
      <w:r>
        <w:rPr/>
        <w:t>① 动脉血氧分压 （PaO2 ）&lt; 50mmHg；；</w:t>
      </w:r>
    </w:p>
    <w:p>
      <w:pPr>
        <w:pStyle w:val="BodyText"/>
        <w:spacing w:before="99"/>
        <w:jc w:val="both"/>
      </w:pPr>
      <w:r>
        <w:rPr/>
        <w:t>②  动脉血氧饱和度 （SaO2 ）&lt; 80％；</w:t>
      </w:r>
    </w:p>
    <w:p>
      <w:pPr>
        <w:spacing w:after="0"/>
        <w:jc w:val="both"/>
        <w:sectPr>
          <w:pgSz w:w="11910" w:h="16840"/>
          <w:pgMar w:header="0" w:footer="919" w:top="1580" w:bottom="1180" w:left="1200" w:right="1200"/>
        </w:sectPr>
      </w:pPr>
    </w:p>
    <w:p>
      <w:pPr>
        <w:pStyle w:val="BodyText"/>
        <w:spacing w:before="0"/>
        <w:ind w:left="0"/>
        <w:rPr>
          <w:rFonts w:ascii="Times New Roman"/>
          <w:sz w:val="20"/>
        </w:rPr>
      </w:pPr>
    </w:p>
    <w:p>
      <w:pPr>
        <w:pStyle w:val="BodyText"/>
        <w:spacing w:before="9"/>
        <w:ind w:left="0"/>
        <w:rPr>
          <w:rFonts w:ascii="Times New Roman"/>
          <w:sz w:val="20"/>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822" w:hRule="atLeast"/>
        </w:trPr>
        <w:tc>
          <w:tcPr>
            <w:tcW w:w="894" w:type="dxa"/>
          </w:tcPr>
          <w:p>
            <w:pPr>
              <w:pStyle w:val="TableParagraph"/>
              <w:rPr>
                <w:rFonts w:ascii="Times New Roman"/>
                <w:sz w:val="20"/>
              </w:rPr>
            </w:pPr>
          </w:p>
        </w:tc>
        <w:tc>
          <w:tcPr>
            <w:tcW w:w="1683" w:type="dxa"/>
          </w:tcPr>
          <w:p>
            <w:pPr>
              <w:pStyle w:val="TableParagraph"/>
              <w:rPr>
                <w:rFonts w:ascii="Times New Roman"/>
                <w:sz w:val="20"/>
              </w:rPr>
            </w:pPr>
          </w:p>
        </w:tc>
        <w:tc>
          <w:tcPr>
            <w:tcW w:w="6763" w:type="dxa"/>
          </w:tcPr>
          <w:p>
            <w:pPr>
              <w:pStyle w:val="TableParagraph"/>
              <w:tabs>
                <w:tab w:pos="568" w:val="left" w:leader="none"/>
              </w:tabs>
              <w:spacing w:line="211" w:lineRule="exact"/>
              <w:ind w:left="148"/>
              <w:rPr>
                <w:sz w:val="21"/>
              </w:rPr>
            </w:pPr>
            <w:r>
              <w:rPr>
                <w:sz w:val="21"/>
              </w:rPr>
              <w:t>③</w:t>
              <w:tab/>
            </w:r>
            <w:r>
              <w:rPr>
                <w:spacing w:val="-3"/>
                <w:sz w:val="21"/>
              </w:rPr>
              <w:t>休息时出现呼吸困难；</w:t>
            </w:r>
          </w:p>
          <w:p>
            <w:pPr>
              <w:pStyle w:val="TableParagraph"/>
              <w:tabs>
                <w:tab w:pos="570" w:val="left" w:leader="none"/>
              </w:tabs>
              <w:spacing w:before="82"/>
              <w:ind w:left="148"/>
              <w:rPr>
                <w:sz w:val="21"/>
              </w:rPr>
            </w:pPr>
            <w:r>
              <w:rPr>
                <w:sz w:val="21"/>
              </w:rPr>
              <w:t>④</w:t>
              <w:tab/>
            </w:r>
            <w:r>
              <w:rPr>
                <w:spacing w:val="-3"/>
                <w:sz w:val="21"/>
              </w:rPr>
              <w:t>必须接受持续的输氧治疗。</w:t>
            </w:r>
          </w:p>
        </w:tc>
      </w:tr>
      <w:tr>
        <w:trPr>
          <w:trHeight w:val="702" w:hRule="atLeast"/>
        </w:trPr>
        <w:tc>
          <w:tcPr>
            <w:tcW w:w="894" w:type="dxa"/>
          </w:tcPr>
          <w:p>
            <w:pPr>
              <w:pStyle w:val="TableParagraph"/>
              <w:spacing w:before="5"/>
              <w:rPr>
                <w:rFonts w:ascii="Times New Roman"/>
                <w:sz w:val="16"/>
              </w:rPr>
            </w:pPr>
          </w:p>
          <w:p>
            <w:pPr>
              <w:pStyle w:val="TableParagraph"/>
              <w:ind w:right="69"/>
              <w:jc w:val="center"/>
              <w:rPr>
                <w:sz w:val="21"/>
              </w:rPr>
            </w:pPr>
            <w:r>
              <w:rPr>
                <w:w w:val="100"/>
                <w:sz w:val="21"/>
              </w:rPr>
              <w:t>四</w:t>
            </w:r>
          </w:p>
        </w:tc>
        <w:tc>
          <w:tcPr>
            <w:tcW w:w="1683" w:type="dxa"/>
          </w:tcPr>
          <w:p>
            <w:pPr>
              <w:pStyle w:val="TableParagraph"/>
              <w:spacing w:before="5"/>
              <w:rPr>
                <w:rFonts w:ascii="Times New Roman"/>
                <w:sz w:val="16"/>
              </w:rPr>
            </w:pPr>
          </w:p>
          <w:p>
            <w:pPr>
              <w:pStyle w:val="TableParagraph"/>
              <w:ind w:left="270"/>
              <w:rPr>
                <w:sz w:val="21"/>
              </w:rPr>
            </w:pPr>
            <w:r>
              <w:rPr>
                <w:sz w:val="21"/>
              </w:rPr>
              <w:t>意外伤害</w:t>
            </w:r>
          </w:p>
        </w:tc>
        <w:tc>
          <w:tcPr>
            <w:tcW w:w="6763" w:type="dxa"/>
          </w:tcPr>
          <w:p>
            <w:pPr>
              <w:pStyle w:val="TableParagraph"/>
              <w:spacing w:before="5"/>
              <w:rPr>
                <w:rFonts w:ascii="Times New Roman"/>
                <w:sz w:val="16"/>
              </w:rPr>
            </w:pPr>
          </w:p>
          <w:p>
            <w:pPr>
              <w:pStyle w:val="TableParagraph"/>
              <w:ind w:left="148"/>
              <w:rPr>
                <w:sz w:val="21"/>
              </w:rPr>
            </w:pPr>
            <w:r>
              <w:rPr>
                <w:sz w:val="21"/>
              </w:rPr>
              <w:t>指外来的、突然的、非本意的、非疾病的使身体受到伤害的客观事件。</w:t>
            </w:r>
          </w:p>
        </w:tc>
      </w:tr>
      <w:tr>
        <w:trPr>
          <w:trHeight w:val="1716" w:hRule="atLeast"/>
        </w:trPr>
        <w:tc>
          <w:tcPr>
            <w:tcW w:w="894" w:type="dxa"/>
          </w:tcPr>
          <w:p>
            <w:pPr>
              <w:pStyle w:val="TableParagraph"/>
              <w:spacing w:before="174"/>
              <w:ind w:right="69"/>
              <w:jc w:val="center"/>
              <w:rPr>
                <w:sz w:val="21"/>
              </w:rPr>
            </w:pPr>
            <w:r>
              <w:rPr>
                <w:w w:val="100"/>
                <w:sz w:val="21"/>
              </w:rPr>
              <w:t>五</w:t>
            </w:r>
          </w:p>
        </w:tc>
        <w:tc>
          <w:tcPr>
            <w:tcW w:w="1683" w:type="dxa"/>
          </w:tcPr>
          <w:p>
            <w:pPr>
              <w:pStyle w:val="TableParagraph"/>
              <w:spacing w:before="174"/>
              <w:ind w:left="270"/>
              <w:rPr>
                <w:sz w:val="21"/>
              </w:rPr>
            </w:pPr>
            <w:r>
              <w:rPr>
                <w:sz w:val="21"/>
              </w:rPr>
              <w:t>毒品</w:t>
            </w:r>
          </w:p>
        </w:tc>
        <w:tc>
          <w:tcPr>
            <w:tcW w:w="6763" w:type="dxa"/>
          </w:tcPr>
          <w:p>
            <w:pPr>
              <w:pStyle w:val="TableParagraph"/>
              <w:spacing w:line="300" w:lineRule="auto" w:before="174"/>
              <w:ind w:left="148" w:right="306"/>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1373" w:hRule="atLeast"/>
        </w:trPr>
        <w:tc>
          <w:tcPr>
            <w:tcW w:w="894" w:type="dxa"/>
          </w:tcPr>
          <w:p>
            <w:pPr>
              <w:pStyle w:val="TableParagraph"/>
              <w:spacing w:before="174"/>
              <w:ind w:right="69"/>
              <w:jc w:val="center"/>
              <w:rPr>
                <w:sz w:val="21"/>
              </w:rPr>
            </w:pPr>
            <w:r>
              <w:rPr>
                <w:w w:val="100"/>
                <w:sz w:val="21"/>
              </w:rPr>
              <w:t>六</w:t>
            </w:r>
          </w:p>
        </w:tc>
        <w:tc>
          <w:tcPr>
            <w:tcW w:w="1683" w:type="dxa"/>
          </w:tcPr>
          <w:p>
            <w:pPr>
              <w:pStyle w:val="TableParagraph"/>
              <w:spacing w:before="174"/>
              <w:ind w:left="270"/>
              <w:rPr>
                <w:sz w:val="21"/>
              </w:rPr>
            </w:pPr>
            <w:r>
              <w:rPr>
                <w:sz w:val="21"/>
              </w:rPr>
              <w:t>酒后驾驶</w:t>
            </w:r>
          </w:p>
        </w:tc>
        <w:tc>
          <w:tcPr>
            <w:tcW w:w="6763" w:type="dxa"/>
          </w:tcPr>
          <w:p>
            <w:pPr>
              <w:pStyle w:val="TableParagraph"/>
              <w:spacing w:line="300" w:lineRule="auto" w:before="174"/>
              <w:ind w:left="148" w:right="306"/>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894" w:type="dxa"/>
          </w:tcPr>
          <w:p>
            <w:pPr>
              <w:pStyle w:val="TableParagraph"/>
              <w:spacing w:before="174"/>
              <w:ind w:right="69"/>
              <w:jc w:val="center"/>
              <w:rPr>
                <w:sz w:val="21"/>
              </w:rPr>
            </w:pPr>
            <w:r>
              <w:rPr>
                <w:w w:val="100"/>
                <w:sz w:val="21"/>
              </w:rPr>
              <w:t>七</w:t>
            </w:r>
          </w:p>
        </w:tc>
        <w:tc>
          <w:tcPr>
            <w:tcW w:w="1683" w:type="dxa"/>
          </w:tcPr>
          <w:p>
            <w:pPr>
              <w:pStyle w:val="TableParagraph"/>
              <w:spacing w:line="300" w:lineRule="auto" w:before="174"/>
              <w:ind w:left="270" w:right="147"/>
              <w:rPr>
                <w:sz w:val="21"/>
              </w:rPr>
            </w:pPr>
            <w:r>
              <w:rPr>
                <w:sz w:val="21"/>
              </w:rPr>
              <w:t>无合法有效驾驶证驾驶</w:t>
            </w:r>
          </w:p>
        </w:tc>
        <w:tc>
          <w:tcPr>
            <w:tcW w:w="6763" w:type="dxa"/>
          </w:tcPr>
          <w:p>
            <w:pPr>
              <w:pStyle w:val="TableParagraph"/>
              <w:spacing w:before="174"/>
              <w:ind w:left="148"/>
              <w:rPr>
                <w:sz w:val="21"/>
              </w:rPr>
            </w:pPr>
            <w:r>
              <w:rPr>
                <w:sz w:val="21"/>
              </w:rPr>
              <w:t>指下列情形之一：</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没有取得驾驶资格；</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驾驶与驾驶证准驾车型不相符合的车辆；</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持审验不合格的驾驶证驾驶；</w:t>
            </w:r>
          </w:p>
          <w:p>
            <w:pPr>
              <w:pStyle w:val="TableParagraph"/>
              <w:numPr>
                <w:ilvl w:val="0"/>
                <w:numId w:val="6"/>
              </w:numPr>
              <w:tabs>
                <w:tab w:pos="568" w:val="left" w:leader="none"/>
                <w:tab w:pos="569" w:val="left" w:leader="none"/>
              </w:tabs>
              <w:spacing w:line="300" w:lineRule="auto" w:before="68" w:after="0"/>
              <w:ind w:left="568" w:right="199" w:hanging="420"/>
              <w:jc w:val="left"/>
              <w:rPr>
                <w:sz w:val="21"/>
              </w:rPr>
            </w:pPr>
            <w:r>
              <w:rPr>
                <w:spacing w:val="-10"/>
                <w:sz w:val="21"/>
              </w:rPr>
              <w:t>持学习驾驶证学习驾车时，无教练员随车指导，或不按指定时间、</w:t>
            </w:r>
            <w:r>
              <w:rPr>
                <w:spacing w:val="-5"/>
                <w:sz w:val="21"/>
              </w:rPr>
              <w:t>路线学习驾车。</w:t>
            </w:r>
          </w:p>
        </w:tc>
      </w:tr>
      <w:tr>
        <w:trPr>
          <w:trHeight w:val="1373" w:hRule="atLeast"/>
        </w:trPr>
        <w:tc>
          <w:tcPr>
            <w:tcW w:w="894" w:type="dxa"/>
          </w:tcPr>
          <w:p>
            <w:pPr>
              <w:pStyle w:val="TableParagraph"/>
              <w:spacing w:before="174"/>
              <w:ind w:right="69"/>
              <w:jc w:val="center"/>
              <w:rPr>
                <w:sz w:val="21"/>
              </w:rPr>
            </w:pPr>
            <w:r>
              <w:rPr>
                <w:w w:val="100"/>
                <w:sz w:val="21"/>
              </w:rPr>
              <w:t>八</w:t>
            </w:r>
          </w:p>
        </w:tc>
        <w:tc>
          <w:tcPr>
            <w:tcW w:w="1683" w:type="dxa"/>
          </w:tcPr>
          <w:p>
            <w:pPr>
              <w:pStyle w:val="TableParagraph"/>
              <w:spacing w:before="174"/>
              <w:ind w:left="270"/>
              <w:rPr>
                <w:sz w:val="21"/>
              </w:rPr>
            </w:pPr>
            <w:r>
              <w:rPr>
                <w:sz w:val="21"/>
              </w:rPr>
              <w:t>无有效行驶证</w:t>
            </w:r>
          </w:p>
        </w:tc>
        <w:tc>
          <w:tcPr>
            <w:tcW w:w="6763" w:type="dxa"/>
          </w:tcPr>
          <w:p>
            <w:pPr>
              <w:pStyle w:val="TableParagraph"/>
              <w:spacing w:before="174"/>
              <w:ind w:left="148"/>
              <w:rPr>
                <w:sz w:val="21"/>
              </w:rPr>
            </w:pPr>
            <w:r>
              <w:rPr>
                <w:sz w:val="21"/>
              </w:rPr>
              <w:t>指下列情形之一：</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2" w:hRule="atLeast"/>
        </w:trPr>
        <w:tc>
          <w:tcPr>
            <w:tcW w:w="894" w:type="dxa"/>
          </w:tcPr>
          <w:p>
            <w:pPr>
              <w:pStyle w:val="TableParagraph"/>
              <w:spacing w:before="174"/>
              <w:ind w:right="88"/>
              <w:jc w:val="center"/>
              <w:rPr>
                <w:sz w:val="21"/>
              </w:rPr>
            </w:pPr>
            <w:r>
              <w:rPr>
                <w:w w:val="100"/>
                <w:sz w:val="21"/>
              </w:rPr>
              <w:t>九</w:t>
            </w:r>
          </w:p>
        </w:tc>
        <w:tc>
          <w:tcPr>
            <w:tcW w:w="1683" w:type="dxa"/>
          </w:tcPr>
          <w:p>
            <w:pPr>
              <w:pStyle w:val="TableParagraph"/>
              <w:spacing w:line="300" w:lineRule="auto" w:before="174"/>
              <w:ind w:left="270" w:right="147"/>
              <w:jc w:val="both"/>
              <w:rPr>
                <w:sz w:val="21"/>
              </w:rPr>
            </w:pPr>
            <w:r>
              <w:rPr>
                <w:sz w:val="21"/>
              </w:rPr>
              <w:t>先天性畸形、变形或染色体异常</w:t>
            </w:r>
          </w:p>
        </w:tc>
        <w:tc>
          <w:tcPr>
            <w:tcW w:w="6763" w:type="dxa"/>
          </w:tcPr>
          <w:p>
            <w:pPr>
              <w:pStyle w:val="TableParagraph"/>
              <w:spacing w:line="300" w:lineRule="auto" w:before="174"/>
              <w:ind w:left="148"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spacing w:before="174"/>
              <w:ind w:right="69"/>
              <w:jc w:val="center"/>
              <w:rPr>
                <w:sz w:val="21"/>
              </w:rPr>
            </w:pPr>
            <w:r>
              <w:rPr>
                <w:w w:val="100"/>
                <w:sz w:val="21"/>
              </w:rPr>
              <w:t>十</w:t>
            </w:r>
          </w:p>
        </w:tc>
        <w:tc>
          <w:tcPr>
            <w:tcW w:w="1683" w:type="dxa"/>
          </w:tcPr>
          <w:p>
            <w:pPr>
              <w:pStyle w:val="TableParagraph"/>
              <w:spacing w:before="174"/>
              <w:ind w:left="270"/>
              <w:rPr>
                <w:sz w:val="21"/>
              </w:rPr>
            </w:pPr>
            <w:r>
              <w:rPr>
                <w:sz w:val="21"/>
              </w:rPr>
              <w:t>周岁</w:t>
            </w:r>
          </w:p>
        </w:tc>
        <w:tc>
          <w:tcPr>
            <w:tcW w:w="6763" w:type="dxa"/>
          </w:tcPr>
          <w:p>
            <w:pPr>
              <w:pStyle w:val="TableParagraph"/>
              <w:spacing w:line="300" w:lineRule="auto" w:before="174"/>
              <w:ind w:left="148" w:right="306"/>
              <w:rPr>
                <w:sz w:val="21"/>
              </w:rPr>
            </w:pPr>
            <w:r>
              <w:rPr>
                <w:sz w:val="21"/>
              </w:rPr>
              <w:t>按照公历的年、月、日计算，从周岁生日的第二天起，为年满××周岁。</w:t>
            </w:r>
          </w:p>
        </w:tc>
      </w:tr>
      <w:tr>
        <w:trPr>
          <w:trHeight w:val="1029"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before="174"/>
              <w:ind w:left="270"/>
              <w:rPr>
                <w:sz w:val="21"/>
              </w:rPr>
            </w:pPr>
            <w:r>
              <w:rPr>
                <w:sz w:val="21"/>
              </w:rPr>
              <w:t>保险单周年日</w:t>
            </w:r>
          </w:p>
        </w:tc>
        <w:tc>
          <w:tcPr>
            <w:tcW w:w="6763" w:type="dxa"/>
          </w:tcPr>
          <w:p>
            <w:pPr>
              <w:pStyle w:val="TableParagraph"/>
              <w:spacing w:line="300" w:lineRule="auto" w:before="174"/>
              <w:ind w:left="148" w:right="304"/>
              <w:rPr>
                <w:sz w:val="21"/>
              </w:rPr>
            </w:pPr>
            <w:r>
              <w:rPr>
                <w:sz w:val="21"/>
              </w:rPr>
              <w:t>本附加合同生效日在以后每年的对应日为保险单周年日，如果当年无此对应日，则以生效日前一日的对应日为该年的保险单周年日。</w:t>
            </w:r>
          </w:p>
        </w:tc>
      </w:tr>
      <w:tr>
        <w:trPr>
          <w:trHeight w:val="791"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spacing w:line="255" w:lineRule="exact" w:before="68"/>
              <w:ind w:left="148"/>
              <w:rPr>
                <w:sz w:val="21"/>
              </w:rPr>
            </w:pPr>
            <w:r>
              <w:rPr>
                <w:sz w:val="21"/>
              </w:rPr>
              <w:t>1. 具有有效的中华人民共和国《医师资格证书》；</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821" w:hRule="atLeast"/>
        </w:trPr>
        <w:tc>
          <w:tcPr>
            <w:tcW w:w="894" w:type="dxa"/>
          </w:tcPr>
          <w:p>
            <w:pPr>
              <w:pStyle w:val="TableParagraph"/>
              <w:rPr>
                <w:rFonts w:ascii="Times New Roman"/>
                <w:sz w:val="20"/>
              </w:rPr>
            </w:pPr>
          </w:p>
        </w:tc>
        <w:tc>
          <w:tcPr>
            <w:tcW w:w="1683" w:type="dxa"/>
          </w:tcPr>
          <w:p>
            <w:pPr>
              <w:pStyle w:val="TableParagraph"/>
              <w:rPr>
                <w:rFonts w:ascii="Times New Roman"/>
                <w:sz w:val="20"/>
              </w:rPr>
            </w:pPr>
          </w:p>
        </w:tc>
        <w:tc>
          <w:tcPr>
            <w:tcW w:w="6763" w:type="dxa"/>
          </w:tcPr>
          <w:p>
            <w:pPr>
              <w:pStyle w:val="TableParagraph"/>
              <w:numPr>
                <w:ilvl w:val="0"/>
                <w:numId w:val="8"/>
              </w:numPr>
              <w:tabs>
                <w:tab w:pos="509" w:val="left" w:leader="none"/>
              </w:tabs>
              <w:spacing w:line="211" w:lineRule="exact" w:before="0" w:after="0"/>
              <w:ind w:left="508" w:right="0" w:hanging="360"/>
              <w:jc w:val="left"/>
              <w:rPr>
                <w:sz w:val="21"/>
              </w:rPr>
            </w:pPr>
            <w:r>
              <w:rPr>
                <w:spacing w:val="-3"/>
                <w:sz w:val="21"/>
              </w:rPr>
              <w:t>具有有效的中华人民共和国《医师执业证书》，并按期到相关部</w:t>
            </w:r>
          </w:p>
          <w:p>
            <w:pPr>
              <w:pStyle w:val="TableParagraph"/>
              <w:spacing w:before="68"/>
              <w:ind w:left="508"/>
              <w:rPr>
                <w:sz w:val="21"/>
              </w:rPr>
            </w:pPr>
            <w:r>
              <w:rPr>
                <w:sz w:val="21"/>
              </w:rPr>
              <w:t>门登记注册；</w:t>
            </w:r>
          </w:p>
          <w:p>
            <w:pPr>
              <w:pStyle w:val="TableParagraph"/>
              <w:numPr>
                <w:ilvl w:val="0"/>
                <w:numId w:val="8"/>
              </w:numPr>
              <w:tabs>
                <w:tab w:pos="509" w:val="left" w:leader="none"/>
              </w:tabs>
              <w:spacing w:line="300" w:lineRule="auto" w:before="68"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8"/>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1"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p>
      <w:pPr>
        <w:pStyle w:val="BodyText"/>
        <w:spacing w:before="0"/>
        <w:ind w:left="0"/>
        <w:rPr>
          <w:rFonts w:ascii="Times New Roman"/>
          <w:sz w:val="20"/>
        </w:rPr>
      </w:pPr>
    </w:p>
    <w:p>
      <w:pPr>
        <w:pStyle w:val="BodyText"/>
        <w:spacing w:before="4"/>
        <w:ind w:left="0"/>
        <w:rPr>
          <w:rFonts w:ascii="Times New Roman"/>
          <w:sz w:val="11"/>
        </w:rPr>
      </w:pPr>
      <w:r>
        <w:rPr/>
        <w:pict>
          <v:group style="position:absolute;margin-left:60.959999pt;margin-top:8.975977pt;width:464.9pt;height:21.75pt;mso-position-horizontal-relative:page;mso-position-vertical-relative:paragraph;z-index:1048;mso-wrap-distance-left:0;mso-wrap-distance-right:0" coordorigin="1219,180" coordsize="9298,435">
            <v:line style="position:absolute" from="1222,202" to="2492,202" stroked="true" strokeweight="2.280pt" strokecolor="#cccccc">
              <v:stroke dashstyle="solid"/>
            </v:line>
            <v:line style="position:absolute" from="1276,225" to="1276,568" stroked="true" strokeweight="5.424pt" strokecolor="#cccccc">
              <v:stroke dashstyle="solid"/>
            </v:line>
            <v:rect style="position:absolute;left:2383;top:225;width:108;height:344" filled="true" fillcolor="#cccccc" stroked="false">
              <v:fill type="solid"/>
            </v:rect>
            <v:rect style="position:absolute;left:1221;top:568;width:1271;height:46" filled="true" fillcolor="#cccccc" stroked="false">
              <v:fill type="solid"/>
            </v:rect>
            <v:rect style="position:absolute;left:1330;top:225;width:1054;height:344" filled="true" fillcolor="#cccccc" stroked="false">
              <v:fill type="solid"/>
            </v:rect>
            <v:line style="position:absolute" from="2492,202" to="10516,202" stroked="true" strokeweight="2.280pt" strokecolor="#cccccc">
              <v:stroke dashstyle="solid"/>
            </v:line>
            <v:rect style="position:absolute;left:2491;top:225;width:108;height:344" filled="true" fillcolor="#cccccc" stroked="false">
              <v:fill type="solid"/>
            </v:rect>
            <v:line style="position:absolute" from="10462,225" to="10462,568" stroked="true" strokeweight="5.4pt" strokecolor="#cccccc">
              <v:stroke dashstyle="solid"/>
            </v:line>
            <v:rect style="position:absolute;left:2491;top:568;width:8025;height:46" filled="true" fillcolor="#cccccc" stroked="false">
              <v:fill type="solid"/>
            </v:rect>
            <v:rect style="position:absolute;left:2599;top:225;width:7809;height:344" filled="true" fillcolor="#cccccc" stroked="false">
              <v:fill type="solid"/>
            </v:rect>
            <v:rect style="position:absolute;left:1219;top:179;width:71;height:46" filled="true" fillcolor="#cccccc" stroked="false">
              <v:fill type="solid"/>
            </v:rect>
            <v:line style="position:absolute" from="1289,202" to="2492,202" stroked="true" strokeweight="2.280pt" strokecolor="#cccccc">
              <v:stroke dashstyle="solid"/>
            </v:line>
            <v:rect style="position:absolute;left:2491;top:179;width:89;height:46" filled="true" fillcolor="#cccccc" stroked="false">
              <v:fill type="solid"/>
            </v:rect>
            <v:line style="position:absolute" from="2580,202" to="4138,202" stroked="true" strokeweight="2.280pt" strokecolor="#cccccc">
              <v:stroke dashstyle="solid"/>
            </v:line>
            <v:line style="position:absolute" from="4139,202" to="10516,202" stroked="true" strokeweight="2.280pt" strokecolor="#cccccc">
              <v:stroke dashstyle="solid"/>
            </v:line>
            <v:rect style="position:absolute;left:1219;top:568;width:1273;height:46" filled="true" fillcolor="#cccccc" stroked="false">
              <v:fill type="solid"/>
            </v:rect>
            <v:rect style="position:absolute;left:2491;top:568;width:8025;height:46" filled="true" fillcolor="#cccccc" stroked="false">
              <v:fill type="solid"/>
            </v:rect>
            <w10:wrap type="topAndBottom"/>
          </v:group>
        </w:pict>
      </w:r>
    </w:p>
    <w:p>
      <w:pPr>
        <w:spacing w:after="0"/>
        <w:rPr>
          <w:rFonts w:ascii="Times New Roman"/>
          <w:sz w:val="11"/>
        </w:rPr>
        <w:sectPr>
          <w:pgSz w:w="11910" w:h="16840"/>
          <w:pgMar w:header="0" w:footer="919" w:top="1580" w:bottom="1100" w:left="1100" w:right="940"/>
        </w:sectPr>
      </w:pPr>
    </w:p>
    <w:p>
      <w:pPr>
        <w:pStyle w:val="BodyText"/>
        <w:spacing w:before="0"/>
        <w:ind w:left="0"/>
        <w:rPr>
          <w:rFonts w:ascii="Times New Roman"/>
          <w:sz w:val="20"/>
        </w:rPr>
      </w:pPr>
    </w:p>
    <w:p>
      <w:pPr>
        <w:pStyle w:val="BodyText"/>
        <w:spacing w:before="9"/>
        <w:ind w:left="0"/>
        <w:rPr>
          <w:rFonts w:ascii="Times New Roman"/>
          <w:sz w:val="19"/>
        </w:rPr>
      </w:pPr>
    </w:p>
    <w:p>
      <w:pPr>
        <w:spacing w:before="15"/>
        <w:ind w:left="403" w:right="0" w:firstLine="0"/>
        <w:jc w:val="left"/>
        <w:rPr>
          <w:b/>
          <w:sz w:val="28"/>
        </w:rPr>
      </w:pPr>
      <w:r>
        <w:rPr>
          <w:b/>
          <w:w w:val="95"/>
          <w:sz w:val="28"/>
        </w:rPr>
        <w:t>附表一:</w:t>
      </w:r>
    </w:p>
    <w:p>
      <w:pPr>
        <w:pStyle w:val="BodyText"/>
        <w:spacing w:before="9"/>
        <w:ind w:left="0"/>
        <w:rPr>
          <w:b/>
          <w:sz w:val="17"/>
        </w:rPr>
      </w:pPr>
    </w:p>
    <w:p>
      <w:pPr>
        <w:spacing w:before="7"/>
        <w:ind w:left="3318" w:right="3318" w:firstLine="0"/>
        <w:jc w:val="center"/>
        <w:rPr>
          <w:b/>
          <w:sz w:val="30"/>
        </w:rPr>
      </w:pPr>
      <w:r>
        <w:rPr>
          <w:b/>
          <w:w w:val="95"/>
          <w:sz w:val="30"/>
        </w:rPr>
        <w:t>年重大疾病风险保险费率表</w:t>
      </w:r>
    </w:p>
    <w:p>
      <w:pPr>
        <w:spacing w:before="142"/>
        <w:ind w:left="3318" w:right="3317" w:firstLine="0"/>
        <w:jc w:val="center"/>
        <w:rPr>
          <w:sz w:val="22"/>
        </w:rPr>
      </w:pPr>
      <w:r>
        <w:rPr>
          <w:sz w:val="22"/>
        </w:rPr>
        <w:t>（每 1000 元基本保险金额）</w:t>
      </w:r>
    </w:p>
    <w:p>
      <w:pPr>
        <w:spacing w:before="24" w:after="46"/>
        <w:ind w:left="0" w:right="106" w:firstLine="0"/>
        <w:jc w:val="right"/>
        <w:rPr>
          <w:sz w:val="22"/>
        </w:rPr>
      </w:pPr>
      <w:r>
        <w:rPr>
          <w:sz w:val="22"/>
        </w:rPr>
        <w:t>单位：人民币元</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1469"/>
        <w:gridCol w:w="1288"/>
        <w:gridCol w:w="2198"/>
        <w:gridCol w:w="1454"/>
        <w:gridCol w:w="1444"/>
      </w:tblGrid>
      <w:tr>
        <w:trPr>
          <w:trHeight w:val="311" w:hRule="atLeast"/>
        </w:trPr>
        <w:tc>
          <w:tcPr>
            <w:tcW w:w="2028" w:type="dxa"/>
          </w:tcPr>
          <w:p>
            <w:pPr>
              <w:pStyle w:val="TableParagraph"/>
              <w:spacing w:line="262" w:lineRule="exact"/>
              <w:ind w:left="782" w:right="774"/>
              <w:jc w:val="center"/>
              <w:rPr>
                <w:b/>
                <w:sz w:val="21"/>
              </w:rPr>
            </w:pPr>
            <w:r>
              <w:rPr>
                <w:b/>
                <w:sz w:val="21"/>
              </w:rPr>
              <w:t>年龄</w:t>
            </w:r>
          </w:p>
        </w:tc>
        <w:tc>
          <w:tcPr>
            <w:tcW w:w="1469" w:type="dxa"/>
          </w:tcPr>
          <w:p>
            <w:pPr>
              <w:pStyle w:val="TableParagraph"/>
              <w:spacing w:line="262" w:lineRule="exact"/>
              <w:jc w:val="center"/>
              <w:rPr>
                <w:b/>
                <w:sz w:val="21"/>
              </w:rPr>
            </w:pPr>
            <w:r>
              <w:rPr>
                <w:b/>
                <w:w w:val="100"/>
                <w:sz w:val="21"/>
              </w:rPr>
              <w:t>男</w:t>
            </w:r>
          </w:p>
        </w:tc>
        <w:tc>
          <w:tcPr>
            <w:tcW w:w="1288" w:type="dxa"/>
          </w:tcPr>
          <w:p>
            <w:pPr>
              <w:pStyle w:val="TableParagraph"/>
              <w:spacing w:line="262" w:lineRule="exact"/>
              <w:jc w:val="center"/>
              <w:rPr>
                <w:b/>
                <w:sz w:val="21"/>
              </w:rPr>
            </w:pPr>
            <w:r>
              <w:rPr>
                <w:b/>
                <w:w w:val="100"/>
                <w:sz w:val="21"/>
              </w:rPr>
              <w:t>女</w:t>
            </w:r>
          </w:p>
        </w:tc>
        <w:tc>
          <w:tcPr>
            <w:tcW w:w="2198" w:type="dxa"/>
          </w:tcPr>
          <w:p>
            <w:pPr>
              <w:pStyle w:val="TableParagraph"/>
              <w:spacing w:line="262" w:lineRule="exact"/>
              <w:ind w:left="865" w:right="861"/>
              <w:jc w:val="center"/>
              <w:rPr>
                <w:b/>
                <w:sz w:val="21"/>
              </w:rPr>
            </w:pPr>
            <w:r>
              <w:rPr>
                <w:b/>
                <w:sz w:val="21"/>
              </w:rPr>
              <w:t>年龄</w:t>
            </w:r>
          </w:p>
        </w:tc>
        <w:tc>
          <w:tcPr>
            <w:tcW w:w="1454" w:type="dxa"/>
          </w:tcPr>
          <w:p>
            <w:pPr>
              <w:pStyle w:val="TableParagraph"/>
              <w:spacing w:line="262" w:lineRule="exact"/>
              <w:ind w:left="5"/>
              <w:jc w:val="center"/>
              <w:rPr>
                <w:b/>
                <w:sz w:val="21"/>
              </w:rPr>
            </w:pPr>
            <w:r>
              <w:rPr>
                <w:b/>
                <w:w w:val="100"/>
                <w:sz w:val="21"/>
              </w:rPr>
              <w:t>男</w:t>
            </w:r>
          </w:p>
        </w:tc>
        <w:tc>
          <w:tcPr>
            <w:tcW w:w="1444" w:type="dxa"/>
          </w:tcPr>
          <w:p>
            <w:pPr>
              <w:pStyle w:val="TableParagraph"/>
              <w:spacing w:line="262" w:lineRule="exact"/>
              <w:ind w:left="7"/>
              <w:jc w:val="center"/>
              <w:rPr>
                <w:b/>
                <w:sz w:val="21"/>
              </w:rPr>
            </w:pPr>
            <w:r>
              <w:rPr>
                <w:b/>
                <w:w w:val="100"/>
                <w:sz w:val="21"/>
              </w:rPr>
              <w:t>女</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0</w:t>
            </w:r>
          </w:p>
        </w:tc>
        <w:tc>
          <w:tcPr>
            <w:tcW w:w="1469" w:type="dxa"/>
          </w:tcPr>
          <w:p>
            <w:pPr>
              <w:pStyle w:val="TableParagraph"/>
              <w:spacing w:line="262" w:lineRule="exact"/>
              <w:ind w:left="499" w:right="499"/>
              <w:jc w:val="center"/>
              <w:rPr>
                <w:sz w:val="21"/>
              </w:rPr>
            </w:pPr>
            <w:r>
              <w:rPr>
                <w:sz w:val="21"/>
              </w:rPr>
              <w:t>1.74</w:t>
            </w:r>
          </w:p>
        </w:tc>
        <w:tc>
          <w:tcPr>
            <w:tcW w:w="1288" w:type="dxa"/>
          </w:tcPr>
          <w:p>
            <w:pPr>
              <w:pStyle w:val="TableParagraph"/>
              <w:spacing w:line="262" w:lineRule="exact"/>
              <w:ind w:left="409" w:right="409"/>
              <w:jc w:val="center"/>
              <w:rPr>
                <w:sz w:val="21"/>
              </w:rPr>
            </w:pPr>
            <w:r>
              <w:rPr>
                <w:sz w:val="21"/>
              </w:rPr>
              <w:t>1.43</w:t>
            </w:r>
          </w:p>
        </w:tc>
        <w:tc>
          <w:tcPr>
            <w:tcW w:w="2198" w:type="dxa"/>
          </w:tcPr>
          <w:p>
            <w:pPr>
              <w:pStyle w:val="TableParagraph"/>
              <w:spacing w:before="36"/>
              <w:ind w:left="865" w:right="861"/>
              <w:jc w:val="center"/>
              <w:rPr>
                <w:rFonts w:ascii="Times New Roman"/>
                <w:b/>
                <w:sz w:val="21"/>
              </w:rPr>
            </w:pPr>
            <w:r>
              <w:rPr>
                <w:rFonts w:ascii="Times New Roman"/>
                <w:b/>
                <w:sz w:val="21"/>
              </w:rPr>
              <w:t>41</w:t>
            </w:r>
          </w:p>
        </w:tc>
        <w:tc>
          <w:tcPr>
            <w:tcW w:w="1454" w:type="dxa"/>
          </w:tcPr>
          <w:p>
            <w:pPr>
              <w:pStyle w:val="TableParagraph"/>
              <w:spacing w:line="262" w:lineRule="exact"/>
              <w:ind w:left="442" w:right="437"/>
              <w:jc w:val="center"/>
              <w:rPr>
                <w:sz w:val="21"/>
              </w:rPr>
            </w:pPr>
            <w:r>
              <w:rPr>
                <w:sz w:val="21"/>
              </w:rPr>
              <w:t>2.96</w:t>
            </w:r>
          </w:p>
        </w:tc>
        <w:tc>
          <w:tcPr>
            <w:tcW w:w="1444" w:type="dxa"/>
          </w:tcPr>
          <w:p>
            <w:pPr>
              <w:pStyle w:val="TableParagraph"/>
              <w:spacing w:line="262" w:lineRule="exact"/>
              <w:ind w:left="438" w:right="431"/>
              <w:jc w:val="center"/>
              <w:rPr>
                <w:sz w:val="21"/>
              </w:rPr>
            </w:pPr>
            <w:r>
              <w:rPr>
                <w:sz w:val="21"/>
              </w:rPr>
              <w:t>3.34</w:t>
            </w:r>
          </w:p>
        </w:tc>
      </w:tr>
      <w:tr>
        <w:trPr>
          <w:trHeight w:val="313" w:hRule="atLeast"/>
        </w:trPr>
        <w:tc>
          <w:tcPr>
            <w:tcW w:w="2028" w:type="dxa"/>
          </w:tcPr>
          <w:p>
            <w:pPr>
              <w:pStyle w:val="TableParagraph"/>
              <w:spacing w:before="39"/>
              <w:ind w:left="8"/>
              <w:jc w:val="center"/>
              <w:rPr>
                <w:rFonts w:ascii="Times New Roman"/>
                <w:b/>
                <w:sz w:val="21"/>
              </w:rPr>
            </w:pPr>
            <w:r>
              <w:rPr>
                <w:rFonts w:ascii="Times New Roman"/>
                <w:b/>
                <w:w w:val="100"/>
                <w:sz w:val="21"/>
              </w:rPr>
              <w:t>1</w:t>
            </w:r>
          </w:p>
        </w:tc>
        <w:tc>
          <w:tcPr>
            <w:tcW w:w="1469" w:type="dxa"/>
          </w:tcPr>
          <w:p>
            <w:pPr>
              <w:pStyle w:val="TableParagraph"/>
              <w:spacing w:line="265" w:lineRule="exact"/>
              <w:ind w:left="499" w:right="499"/>
              <w:jc w:val="center"/>
              <w:rPr>
                <w:sz w:val="21"/>
              </w:rPr>
            </w:pPr>
            <w:r>
              <w:rPr>
                <w:sz w:val="21"/>
              </w:rPr>
              <w:t>1.41</w:t>
            </w:r>
          </w:p>
        </w:tc>
        <w:tc>
          <w:tcPr>
            <w:tcW w:w="1288" w:type="dxa"/>
          </w:tcPr>
          <w:p>
            <w:pPr>
              <w:pStyle w:val="TableParagraph"/>
              <w:spacing w:line="265" w:lineRule="exact"/>
              <w:ind w:left="409" w:right="409"/>
              <w:jc w:val="center"/>
              <w:rPr>
                <w:sz w:val="21"/>
              </w:rPr>
            </w:pPr>
            <w:r>
              <w:rPr>
                <w:sz w:val="21"/>
              </w:rPr>
              <w:t>1.16</w:t>
            </w:r>
          </w:p>
        </w:tc>
        <w:tc>
          <w:tcPr>
            <w:tcW w:w="2198" w:type="dxa"/>
          </w:tcPr>
          <w:p>
            <w:pPr>
              <w:pStyle w:val="TableParagraph"/>
              <w:spacing w:before="39"/>
              <w:ind w:left="865" w:right="861"/>
              <w:jc w:val="center"/>
              <w:rPr>
                <w:rFonts w:ascii="Times New Roman"/>
                <w:b/>
                <w:sz w:val="21"/>
              </w:rPr>
            </w:pPr>
            <w:r>
              <w:rPr>
                <w:rFonts w:ascii="Times New Roman"/>
                <w:b/>
                <w:sz w:val="21"/>
              </w:rPr>
              <w:t>42</w:t>
            </w:r>
          </w:p>
        </w:tc>
        <w:tc>
          <w:tcPr>
            <w:tcW w:w="1454" w:type="dxa"/>
          </w:tcPr>
          <w:p>
            <w:pPr>
              <w:pStyle w:val="TableParagraph"/>
              <w:spacing w:line="265" w:lineRule="exact"/>
              <w:ind w:left="442" w:right="437"/>
              <w:jc w:val="center"/>
              <w:rPr>
                <w:sz w:val="21"/>
              </w:rPr>
            </w:pPr>
            <w:r>
              <w:rPr>
                <w:sz w:val="21"/>
              </w:rPr>
              <w:t>3.29</w:t>
            </w:r>
          </w:p>
        </w:tc>
        <w:tc>
          <w:tcPr>
            <w:tcW w:w="1444" w:type="dxa"/>
          </w:tcPr>
          <w:p>
            <w:pPr>
              <w:pStyle w:val="TableParagraph"/>
              <w:spacing w:line="265" w:lineRule="exact"/>
              <w:ind w:left="438" w:right="431"/>
              <w:jc w:val="center"/>
              <w:rPr>
                <w:sz w:val="21"/>
              </w:rPr>
            </w:pPr>
            <w:r>
              <w:rPr>
                <w:sz w:val="21"/>
              </w:rPr>
              <w:t>3.65</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2</w:t>
            </w:r>
          </w:p>
        </w:tc>
        <w:tc>
          <w:tcPr>
            <w:tcW w:w="1469" w:type="dxa"/>
          </w:tcPr>
          <w:p>
            <w:pPr>
              <w:pStyle w:val="TableParagraph"/>
              <w:spacing w:line="262" w:lineRule="exact"/>
              <w:ind w:left="499" w:right="499"/>
              <w:jc w:val="center"/>
              <w:rPr>
                <w:sz w:val="21"/>
              </w:rPr>
            </w:pPr>
            <w:r>
              <w:rPr>
                <w:sz w:val="21"/>
              </w:rPr>
              <w:t>1.14</w:t>
            </w:r>
          </w:p>
        </w:tc>
        <w:tc>
          <w:tcPr>
            <w:tcW w:w="1288" w:type="dxa"/>
          </w:tcPr>
          <w:p>
            <w:pPr>
              <w:pStyle w:val="TableParagraph"/>
              <w:spacing w:line="262" w:lineRule="exact"/>
              <w:ind w:left="409" w:right="409"/>
              <w:jc w:val="center"/>
              <w:rPr>
                <w:sz w:val="21"/>
              </w:rPr>
            </w:pPr>
            <w:r>
              <w:rPr>
                <w:sz w:val="21"/>
              </w:rPr>
              <w:t>1.01</w:t>
            </w:r>
          </w:p>
        </w:tc>
        <w:tc>
          <w:tcPr>
            <w:tcW w:w="2198" w:type="dxa"/>
          </w:tcPr>
          <w:p>
            <w:pPr>
              <w:pStyle w:val="TableParagraph"/>
              <w:spacing w:before="36"/>
              <w:ind w:left="865" w:right="861"/>
              <w:jc w:val="center"/>
              <w:rPr>
                <w:rFonts w:ascii="Times New Roman"/>
                <w:b/>
                <w:sz w:val="21"/>
              </w:rPr>
            </w:pPr>
            <w:r>
              <w:rPr>
                <w:rFonts w:ascii="Times New Roman"/>
                <w:b/>
                <w:sz w:val="21"/>
              </w:rPr>
              <w:t>43</w:t>
            </w:r>
          </w:p>
        </w:tc>
        <w:tc>
          <w:tcPr>
            <w:tcW w:w="1454" w:type="dxa"/>
          </w:tcPr>
          <w:p>
            <w:pPr>
              <w:pStyle w:val="TableParagraph"/>
              <w:spacing w:line="262" w:lineRule="exact"/>
              <w:ind w:left="442" w:right="437"/>
              <w:jc w:val="center"/>
              <w:rPr>
                <w:sz w:val="21"/>
              </w:rPr>
            </w:pPr>
            <w:r>
              <w:rPr>
                <w:sz w:val="21"/>
              </w:rPr>
              <w:t>3.69</w:t>
            </w:r>
          </w:p>
        </w:tc>
        <w:tc>
          <w:tcPr>
            <w:tcW w:w="1444" w:type="dxa"/>
          </w:tcPr>
          <w:p>
            <w:pPr>
              <w:pStyle w:val="TableParagraph"/>
              <w:spacing w:line="262" w:lineRule="exact"/>
              <w:ind w:left="438" w:right="431"/>
              <w:jc w:val="center"/>
              <w:rPr>
                <w:sz w:val="21"/>
              </w:rPr>
            </w:pPr>
            <w:r>
              <w:rPr>
                <w:sz w:val="21"/>
              </w:rPr>
              <w:t>4.03</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3</w:t>
            </w:r>
          </w:p>
        </w:tc>
        <w:tc>
          <w:tcPr>
            <w:tcW w:w="1469" w:type="dxa"/>
          </w:tcPr>
          <w:p>
            <w:pPr>
              <w:pStyle w:val="TableParagraph"/>
              <w:spacing w:line="262" w:lineRule="exact"/>
              <w:ind w:left="499" w:right="499"/>
              <w:jc w:val="center"/>
              <w:rPr>
                <w:sz w:val="21"/>
              </w:rPr>
            </w:pPr>
            <w:r>
              <w:rPr>
                <w:sz w:val="21"/>
              </w:rPr>
              <w:t>1.07</w:t>
            </w:r>
          </w:p>
        </w:tc>
        <w:tc>
          <w:tcPr>
            <w:tcW w:w="1288" w:type="dxa"/>
          </w:tcPr>
          <w:p>
            <w:pPr>
              <w:pStyle w:val="TableParagraph"/>
              <w:spacing w:line="262" w:lineRule="exact"/>
              <w:ind w:left="409" w:right="409"/>
              <w:jc w:val="center"/>
              <w:rPr>
                <w:sz w:val="21"/>
              </w:rPr>
            </w:pPr>
            <w:r>
              <w:rPr>
                <w:sz w:val="21"/>
              </w:rPr>
              <w:t>0.87</w:t>
            </w:r>
          </w:p>
        </w:tc>
        <w:tc>
          <w:tcPr>
            <w:tcW w:w="2198" w:type="dxa"/>
          </w:tcPr>
          <w:p>
            <w:pPr>
              <w:pStyle w:val="TableParagraph"/>
              <w:spacing w:before="36"/>
              <w:ind w:left="865" w:right="861"/>
              <w:jc w:val="center"/>
              <w:rPr>
                <w:rFonts w:ascii="Times New Roman"/>
                <w:b/>
                <w:sz w:val="21"/>
              </w:rPr>
            </w:pPr>
            <w:r>
              <w:rPr>
                <w:rFonts w:ascii="Times New Roman"/>
                <w:b/>
                <w:sz w:val="21"/>
              </w:rPr>
              <w:t>44</w:t>
            </w:r>
          </w:p>
        </w:tc>
        <w:tc>
          <w:tcPr>
            <w:tcW w:w="1454" w:type="dxa"/>
          </w:tcPr>
          <w:p>
            <w:pPr>
              <w:pStyle w:val="TableParagraph"/>
              <w:spacing w:line="262" w:lineRule="exact"/>
              <w:ind w:left="442" w:right="437"/>
              <w:jc w:val="center"/>
              <w:rPr>
                <w:sz w:val="21"/>
              </w:rPr>
            </w:pPr>
            <w:r>
              <w:rPr>
                <w:sz w:val="21"/>
              </w:rPr>
              <w:t>4.14</w:t>
            </w:r>
          </w:p>
        </w:tc>
        <w:tc>
          <w:tcPr>
            <w:tcW w:w="1444" w:type="dxa"/>
          </w:tcPr>
          <w:p>
            <w:pPr>
              <w:pStyle w:val="TableParagraph"/>
              <w:spacing w:line="262" w:lineRule="exact"/>
              <w:ind w:left="438" w:right="431"/>
              <w:jc w:val="center"/>
              <w:rPr>
                <w:sz w:val="21"/>
              </w:rPr>
            </w:pPr>
            <w:r>
              <w:rPr>
                <w:sz w:val="21"/>
              </w:rPr>
              <w:t>4.42</w:t>
            </w:r>
          </w:p>
        </w:tc>
      </w:tr>
      <w:tr>
        <w:trPr>
          <w:trHeight w:val="312" w:hRule="atLeast"/>
        </w:trPr>
        <w:tc>
          <w:tcPr>
            <w:tcW w:w="2028" w:type="dxa"/>
          </w:tcPr>
          <w:p>
            <w:pPr>
              <w:pStyle w:val="TableParagraph"/>
              <w:spacing w:before="37"/>
              <w:ind w:left="8"/>
              <w:jc w:val="center"/>
              <w:rPr>
                <w:rFonts w:ascii="Times New Roman"/>
                <w:b/>
                <w:sz w:val="21"/>
              </w:rPr>
            </w:pPr>
            <w:r>
              <w:rPr>
                <w:rFonts w:ascii="Times New Roman"/>
                <w:b/>
                <w:w w:val="100"/>
                <w:sz w:val="21"/>
              </w:rPr>
              <w:t>4</w:t>
            </w:r>
          </w:p>
        </w:tc>
        <w:tc>
          <w:tcPr>
            <w:tcW w:w="1469" w:type="dxa"/>
          </w:tcPr>
          <w:p>
            <w:pPr>
              <w:pStyle w:val="TableParagraph"/>
              <w:spacing w:line="263" w:lineRule="exact"/>
              <w:ind w:left="499" w:right="499"/>
              <w:jc w:val="center"/>
              <w:rPr>
                <w:sz w:val="21"/>
              </w:rPr>
            </w:pPr>
            <w:r>
              <w:rPr>
                <w:sz w:val="21"/>
              </w:rPr>
              <w:t>0.95</w:t>
            </w:r>
          </w:p>
        </w:tc>
        <w:tc>
          <w:tcPr>
            <w:tcW w:w="1288" w:type="dxa"/>
          </w:tcPr>
          <w:p>
            <w:pPr>
              <w:pStyle w:val="TableParagraph"/>
              <w:spacing w:line="263" w:lineRule="exact"/>
              <w:ind w:left="409" w:right="409"/>
              <w:jc w:val="center"/>
              <w:rPr>
                <w:sz w:val="21"/>
              </w:rPr>
            </w:pPr>
            <w:r>
              <w:rPr>
                <w:sz w:val="21"/>
              </w:rPr>
              <w:t>0.77</w:t>
            </w:r>
          </w:p>
        </w:tc>
        <w:tc>
          <w:tcPr>
            <w:tcW w:w="2198" w:type="dxa"/>
          </w:tcPr>
          <w:p>
            <w:pPr>
              <w:pStyle w:val="TableParagraph"/>
              <w:spacing w:before="37"/>
              <w:ind w:left="865" w:right="861"/>
              <w:jc w:val="center"/>
              <w:rPr>
                <w:rFonts w:ascii="Times New Roman"/>
                <w:b/>
                <w:sz w:val="21"/>
              </w:rPr>
            </w:pPr>
            <w:r>
              <w:rPr>
                <w:rFonts w:ascii="Times New Roman"/>
                <w:b/>
                <w:sz w:val="21"/>
              </w:rPr>
              <w:t>45</w:t>
            </w:r>
          </w:p>
        </w:tc>
        <w:tc>
          <w:tcPr>
            <w:tcW w:w="1454" w:type="dxa"/>
          </w:tcPr>
          <w:p>
            <w:pPr>
              <w:pStyle w:val="TableParagraph"/>
              <w:spacing w:line="263" w:lineRule="exact"/>
              <w:ind w:left="442" w:right="437"/>
              <w:jc w:val="center"/>
              <w:rPr>
                <w:sz w:val="21"/>
              </w:rPr>
            </w:pPr>
            <w:r>
              <w:rPr>
                <w:sz w:val="21"/>
              </w:rPr>
              <w:t>4.67</w:t>
            </w:r>
          </w:p>
        </w:tc>
        <w:tc>
          <w:tcPr>
            <w:tcW w:w="1444" w:type="dxa"/>
          </w:tcPr>
          <w:p>
            <w:pPr>
              <w:pStyle w:val="TableParagraph"/>
              <w:spacing w:line="263" w:lineRule="exact"/>
              <w:ind w:left="438" w:right="431"/>
              <w:jc w:val="center"/>
              <w:rPr>
                <w:sz w:val="21"/>
              </w:rPr>
            </w:pPr>
            <w:r>
              <w:rPr>
                <w:sz w:val="21"/>
              </w:rPr>
              <w:t>4.83</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5</w:t>
            </w:r>
          </w:p>
        </w:tc>
        <w:tc>
          <w:tcPr>
            <w:tcW w:w="1469" w:type="dxa"/>
          </w:tcPr>
          <w:p>
            <w:pPr>
              <w:pStyle w:val="TableParagraph"/>
              <w:spacing w:line="262" w:lineRule="exact"/>
              <w:ind w:left="499" w:right="499"/>
              <w:jc w:val="center"/>
              <w:rPr>
                <w:sz w:val="21"/>
              </w:rPr>
            </w:pPr>
            <w:r>
              <w:rPr>
                <w:sz w:val="21"/>
              </w:rPr>
              <w:t>0.87</w:t>
            </w:r>
          </w:p>
        </w:tc>
        <w:tc>
          <w:tcPr>
            <w:tcW w:w="1288" w:type="dxa"/>
          </w:tcPr>
          <w:p>
            <w:pPr>
              <w:pStyle w:val="TableParagraph"/>
              <w:spacing w:line="262" w:lineRule="exact"/>
              <w:ind w:left="409" w:right="409"/>
              <w:jc w:val="center"/>
              <w:rPr>
                <w:sz w:val="21"/>
              </w:rPr>
            </w:pPr>
            <w:r>
              <w:rPr>
                <w:sz w:val="21"/>
              </w:rPr>
              <w:t>0.77</w:t>
            </w:r>
          </w:p>
        </w:tc>
        <w:tc>
          <w:tcPr>
            <w:tcW w:w="2198" w:type="dxa"/>
          </w:tcPr>
          <w:p>
            <w:pPr>
              <w:pStyle w:val="TableParagraph"/>
              <w:spacing w:before="36"/>
              <w:ind w:left="865" w:right="861"/>
              <w:jc w:val="center"/>
              <w:rPr>
                <w:rFonts w:ascii="Times New Roman"/>
                <w:b/>
                <w:sz w:val="21"/>
              </w:rPr>
            </w:pPr>
            <w:r>
              <w:rPr>
                <w:rFonts w:ascii="Times New Roman"/>
                <w:b/>
                <w:sz w:val="21"/>
              </w:rPr>
              <w:t>46</w:t>
            </w:r>
          </w:p>
        </w:tc>
        <w:tc>
          <w:tcPr>
            <w:tcW w:w="1454" w:type="dxa"/>
          </w:tcPr>
          <w:p>
            <w:pPr>
              <w:pStyle w:val="TableParagraph"/>
              <w:spacing w:line="262" w:lineRule="exact"/>
              <w:ind w:left="442" w:right="437"/>
              <w:jc w:val="center"/>
              <w:rPr>
                <w:sz w:val="21"/>
              </w:rPr>
            </w:pPr>
            <w:r>
              <w:rPr>
                <w:sz w:val="21"/>
              </w:rPr>
              <w:t>5.27</w:t>
            </w:r>
          </w:p>
        </w:tc>
        <w:tc>
          <w:tcPr>
            <w:tcW w:w="1444" w:type="dxa"/>
          </w:tcPr>
          <w:p>
            <w:pPr>
              <w:pStyle w:val="TableParagraph"/>
              <w:spacing w:line="262" w:lineRule="exact"/>
              <w:ind w:left="438" w:right="431"/>
              <w:jc w:val="center"/>
              <w:rPr>
                <w:sz w:val="21"/>
              </w:rPr>
            </w:pPr>
            <w:r>
              <w:rPr>
                <w:sz w:val="21"/>
              </w:rPr>
              <w:t>5.34</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6</w:t>
            </w:r>
          </w:p>
        </w:tc>
        <w:tc>
          <w:tcPr>
            <w:tcW w:w="1469" w:type="dxa"/>
          </w:tcPr>
          <w:p>
            <w:pPr>
              <w:pStyle w:val="TableParagraph"/>
              <w:spacing w:line="262" w:lineRule="exact"/>
              <w:ind w:left="499" w:right="499"/>
              <w:jc w:val="center"/>
              <w:rPr>
                <w:sz w:val="21"/>
              </w:rPr>
            </w:pPr>
            <w:r>
              <w:rPr>
                <w:sz w:val="21"/>
              </w:rPr>
              <w:t>0.86</w:t>
            </w:r>
          </w:p>
        </w:tc>
        <w:tc>
          <w:tcPr>
            <w:tcW w:w="1288" w:type="dxa"/>
          </w:tcPr>
          <w:p>
            <w:pPr>
              <w:pStyle w:val="TableParagraph"/>
              <w:spacing w:line="262" w:lineRule="exact"/>
              <w:ind w:left="409" w:right="409"/>
              <w:jc w:val="center"/>
              <w:rPr>
                <w:sz w:val="21"/>
              </w:rPr>
            </w:pPr>
            <w:r>
              <w:rPr>
                <w:sz w:val="21"/>
              </w:rPr>
              <w:t>0.70</w:t>
            </w:r>
          </w:p>
        </w:tc>
        <w:tc>
          <w:tcPr>
            <w:tcW w:w="2198" w:type="dxa"/>
          </w:tcPr>
          <w:p>
            <w:pPr>
              <w:pStyle w:val="TableParagraph"/>
              <w:spacing w:before="36"/>
              <w:ind w:left="865" w:right="861"/>
              <w:jc w:val="center"/>
              <w:rPr>
                <w:rFonts w:ascii="Times New Roman"/>
                <w:b/>
                <w:sz w:val="21"/>
              </w:rPr>
            </w:pPr>
            <w:r>
              <w:rPr>
                <w:rFonts w:ascii="Times New Roman"/>
                <w:b/>
                <w:sz w:val="21"/>
              </w:rPr>
              <w:t>47</w:t>
            </w:r>
          </w:p>
        </w:tc>
        <w:tc>
          <w:tcPr>
            <w:tcW w:w="1454" w:type="dxa"/>
          </w:tcPr>
          <w:p>
            <w:pPr>
              <w:pStyle w:val="TableParagraph"/>
              <w:spacing w:line="262" w:lineRule="exact"/>
              <w:ind w:left="442" w:right="437"/>
              <w:jc w:val="center"/>
              <w:rPr>
                <w:sz w:val="21"/>
              </w:rPr>
            </w:pPr>
            <w:r>
              <w:rPr>
                <w:sz w:val="21"/>
              </w:rPr>
              <w:t>5.79</w:t>
            </w:r>
          </w:p>
        </w:tc>
        <w:tc>
          <w:tcPr>
            <w:tcW w:w="1444" w:type="dxa"/>
          </w:tcPr>
          <w:p>
            <w:pPr>
              <w:pStyle w:val="TableParagraph"/>
              <w:spacing w:line="262" w:lineRule="exact"/>
              <w:ind w:left="438" w:right="431"/>
              <w:jc w:val="center"/>
              <w:rPr>
                <w:sz w:val="21"/>
              </w:rPr>
            </w:pPr>
            <w:r>
              <w:rPr>
                <w:sz w:val="21"/>
              </w:rPr>
              <w:t>5.79</w:t>
            </w:r>
          </w:p>
        </w:tc>
      </w:tr>
      <w:tr>
        <w:trPr>
          <w:trHeight w:val="313" w:hRule="atLeast"/>
        </w:trPr>
        <w:tc>
          <w:tcPr>
            <w:tcW w:w="2028" w:type="dxa"/>
          </w:tcPr>
          <w:p>
            <w:pPr>
              <w:pStyle w:val="TableParagraph"/>
              <w:spacing w:before="39"/>
              <w:ind w:left="8"/>
              <w:jc w:val="center"/>
              <w:rPr>
                <w:rFonts w:ascii="Times New Roman"/>
                <w:b/>
                <w:sz w:val="21"/>
              </w:rPr>
            </w:pPr>
            <w:r>
              <w:rPr>
                <w:rFonts w:ascii="Times New Roman"/>
                <w:b/>
                <w:w w:val="100"/>
                <w:sz w:val="21"/>
              </w:rPr>
              <w:t>7</w:t>
            </w:r>
          </w:p>
        </w:tc>
        <w:tc>
          <w:tcPr>
            <w:tcW w:w="1469" w:type="dxa"/>
          </w:tcPr>
          <w:p>
            <w:pPr>
              <w:pStyle w:val="TableParagraph"/>
              <w:spacing w:line="265" w:lineRule="exact"/>
              <w:ind w:left="499" w:right="499"/>
              <w:jc w:val="center"/>
              <w:rPr>
                <w:sz w:val="21"/>
              </w:rPr>
            </w:pPr>
            <w:r>
              <w:rPr>
                <w:sz w:val="21"/>
              </w:rPr>
              <w:t>0.81</w:t>
            </w:r>
          </w:p>
        </w:tc>
        <w:tc>
          <w:tcPr>
            <w:tcW w:w="1288" w:type="dxa"/>
          </w:tcPr>
          <w:p>
            <w:pPr>
              <w:pStyle w:val="TableParagraph"/>
              <w:spacing w:line="265" w:lineRule="exact"/>
              <w:ind w:left="409" w:right="409"/>
              <w:jc w:val="center"/>
              <w:rPr>
                <w:sz w:val="21"/>
              </w:rPr>
            </w:pPr>
            <w:r>
              <w:rPr>
                <w:sz w:val="21"/>
              </w:rPr>
              <w:t>0.66</w:t>
            </w:r>
          </w:p>
        </w:tc>
        <w:tc>
          <w:tcPr>
            <w:tcW w:w="2198" w:type="dxa"/>
          </w:tcPr>
          <w:p>
            <w:pPr>
              <w:pStyle w:val="TableParagraph"/>
              <w:spacing w:before="39"/>
              <w:ind w:left="865" w:right="861"/>
              <w:jc w:val="center"/>
              <w:rPr>
                <w:rFonts w:ascii="Times New Roman"/>
                <w:b/>
                <w:sz w:val="21"/>
              </w:rPr>
            </w:pPr>
            <w:r>
              <w:rPr>
                <w:rFonts w:ascii="Times New Roman"/>
                <w:b/>
                <w:sz w:val="21"/>
              </w:rPr>
              <w:t>48</w:t>
            </w:r>
          </w:p>
        </w:tc>
        <w:tc>
          <w:tcPr>
            <w:tcW w:w="1454" w:type="dxa"/>
          </w:tcPr>
          <w:p>
            <w:pPr>
              <w:pStyle w:val="TableParagraph"/>
              <w:spacing w:line="265" w:lineRule="exact"/>
              <w:ind w:left="442" w:right="437"/>
              <w:jc w:val="center"/>
              <w:rPr>
                <w:sz w:val="21"/>
              </w:rPr>
            </w:pPr>
            <w:r>
              <w:rPr>
                <w:sz w:val="21"/>
              </w:rPr>
              <w:t>6.54</w:t>
            </w:r>
          </w:p>
        </w:tc>
        <w:tc>
          <w:tcPr>
            <w:tcW w:w="1444" w:type="dxa"/>
          </w:tcPr>
          <w:p>
            <w:pPr>
              <w:pStyle w:val="TableParagraph"/>
              <w:spacing w:line="265" w:lineRule="exact"/>
              <w:ind w:left="438" w:right="431"/>
              <w:jc w:val="center"/>
              <w:rPr>
                <w:sz w:val="21"/>
              </w:rPr>
            </w:pPr>
            <w:r>
              <w:rPr>
                <w:sz w:val="21"/>
              </w:rPr>
              <w:t>6.35</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8</w:t>
            </w:r>
          </w:p>
        </w:tc>
        <w:tc>
          <w:tcPr>
            <w:tcW w:w="1469" w:type="dxa"/>
          </w:tcPr>
          <w:p>
            <w:pPr>
              <w:pStyle w:val="TableParagraph"/>
              <w:spacing w:line="262" w:lineRule="exact"/>
              <w:ind w:left="499" w:right="499"/>
              <w:jc w:val="center"/>
              <w:rPr>
                <w:sz w:val="21"/>
              </w:rPr>
            </w:pPr>
            <w:r>
              <w:rPr>
                <w:sz w:val="21"/>
              </w:rPr>
              <w:t>0.75</w:t>
            </w:r>
          </w:p>
        </w:tc>
        <w:tc>
          <w:tcPr>
            <w:tcW w:w="1288" w:type="dxa"/>
          </w:tcPr>
          <w:p>
            <w:pPr>
              <w:pStyle w:val="TableParagraph"/>
              <w:spacing w:line="262" w:lineRule="exact"/>
              <w:ind w:left="409" w:right="409"/>
              <w:jc w:val="center"/>
              <w:rPr>
                <w:sz w:val="21"/>
              </w:rPr>
            </w:pPr>
            <w:r>
              <w:rPr>
                <w:sz w:val="21"/>
              </w:rPr>
              <w:t>0.56</w:t>
            </w:r>
          </w:p>
        </w:tc>
        <w:tc>
          <w:tcPr>
            <w:tcW w:w="2198" w:type="dxa"/>
          </w:tcPr>
          <w:p>
            <w:pPr>
              <w:pStyle w:val="TableParagraph"/>
              <w:spacing w:before="36"/>
              <w:ind w:left="865" w:right="861"/>
              <w:jc w:val="center"/>
              <w:rPr>
                <w:rFonts w:ascii="Times New Roman"/>
                <w:b/>
                <w:sz w:val="21"/>
              </w:rPr>
            </w:pPr>
            <w:r>
              <w:rPr>
                <w:rFonts w:ascii="Times New Roman"/>
                <w:b/>
                <w:sz w:val="21"/>
              </w:rPr>
              <w:t>49</w:t>
            </w:r>
          </w:p>
        </w:tc>
        <w:tc>
          <w:tcPr>
            <w:tcW w:w="1454" w:type="dxa"/>
          </w:tcPr>
          <w:p>
            <w:pPr>
              <w:pStyle w:val="TableParagraph"/>
              <w:spacing w:line="262" w:lineRule="exact"/>
              <w:ind w:left="442" w:right="437"/>
              <w:jc w:val="center"/>
              <w:rPr>
                <w:sz w:val="21"/>
              </w:rPr>
            </w:pPr>
            <w:r>
              <w:rPr>
                <w:sz w:val="21"/>
              </w:rPr>
              <w:t>7.43</w:t>
            </w:r>
          </w:p>
        </w:tc>
        <w:tc>
          <w:tcPr>
            <w:tcW w:w="1444" w:type="dxa"/>
          </w:tcPr>
          <w:p>
            <w:pPr>
              <w:pStyle w:val="TableParagraph"/>
              <w:spacing w:line="262" w:lineRule="exact"/>
              <w:ind w:left="438" w:right="431"/>
              <w:jc w:val="center"/>
              <w:rPr>
                <w:sz w:val="21"/>
              </w:rPr>
            </w:pPr>
            <w:r>
              <w:rPr>
                <w:sz w:val="21"/>
              </w:rPr>
              <w:t>6.88</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9</w:t>
            </w:r>
          </w:p>
        </w:tc>
        <w:tc>
          <w:tcPr>
            <w:tcW w:w="1469" w:type="dxa"/>
          </w:tcPr>
          <w:p>
            <w:pPr>
              <w:pStyle w:val="TableParagraph"/>
              <w:spacing w:line="262" w:lineRule="exact"/>
              <w:ind w:left="499" w:right="499"/>
              <w:jc w:val="center"/>
              <w:rPr>
                <w:sz w:val="21"/>
              </w:rPr>
            </w:pPr>
            <w:r>
              <w:rPr>
                <w:sz w:val="21"/>
              </w:rPr>
              <w:t>0.75</w:t>
            </w:r>
          </w:p>
        </w:tc>
        <w:tc>
          <w:tcPr>
            <w:tcW w:w="1288" w:type="dxa"/>
          </w:tcPr>
          <w:p>
            <w:pPr>
              <w:pStyle w:val="TableParagraph"/>
              <w:spacing w:line="262" w:lineRule="exact"/>
              <w:ind w:left="409" w:right="409"/>
              <w:jc w:val="center"/>
              <w:rPr>
                <w:sz w:val="21"/>
              </w:rPr>
            </w:pPr>
            <w:r>
              <w:rPr>
                <w:sz w:val="21"/>
              </w:rPr>
              <w:t>0.58</w:t>
            </w:r>
          </w:p>
        </w:tc>
        <w:tc>
          <w:tcPr>
            <w:tcW w:w="2198" w:type="dxa"/>
          </w:tcPr>
          <w:p>
            <w:pPr>
              <w:pStyle w:val="TableParagraph"/>
              <w:spacing w:before="36"/>
              <w:ind w:left="865" w:right="861"/>
              <w:jc w:val="center"/>
              <w:rPr>
                <w:rFonts w:ascii="Times New Roman"/>
                <w:b/>
                <w:sz w:val="21"/>
              </w:rPr>
            </w:pPr>
            <w:r>
              <w:rPr>
                <w:rFonts w:ascii="Times New Roman"/>
                <w:b/>
                <w:sz w:val="21"/>
              </w:rPr>
              <w:t>50</w:t>
            </w:r>
          </w:p>
        </w:tc>
        <w:tc>
          <w:tcPr>
            <w:tcW w:w="1454" w:type="dxa"/>
          </w:tcPr>
          <w:p>
            <w:pPr>
              <w:pStyle w:val="TableParagraph"/>
              <w:spacing w:line="262" w:lineRule="exact"/>
              <w:ind w:left="442" w:right="437"/>
              <w:jc w:val="center"/>
              <w:rPr>
                <w:sz w:val="21"/>
              </w:rPr>
            </w:pPr>
            <w:r>
              <w:rPr>
                <w:sz w:val="21"/>
              </w:rPr>
              <w:t>8.33</w:t>
            </w:r>
          </w:p>
        </w:tc>
        <w:tc>
          <w:tcPr>
            <w:tcW w:w="1444" w:type="dxa"/>
          </w:tcPr>
          <w:p>
            <w:pPr>
              <w:pStyle w:val="TableParagraph"/>
              <w:spacing w:line="262" w:lineRule="exact"/>
              <w:ind w:left="438" w:right="431"/>
              <w:jc w:val="center"/>
              <w:rPr>
                <w:sz w:val="21"/>
              </w:rPr>
            </w:pPr>
            <w:r>
              <w:rPr>
                <w:sz w:val="21"/>
              </w:rPr>
              <w:t>7.50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10</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0.63</w:t>
            </w:r>
          </w:p>
        </w:tc>
        <w:tc>
          <w:tcPr>
            <w:tcW w:w="2198" w:type="dxa"/>
          </w:tcPr>
          <w:p>
            <w:pPr>
              <w:pStyle w:val="TableParagraph"/>
              <w:spacing w:before="36"/>
              <w:ind w:left="865" w:right="861"/>
              <w:jc w:val="center"/>
              <w:rPr>
                <w:rFonts w:ascii="Times New Roman"/>
                <w:b/>
                <w:sz w:val="21"/>
              </w:rPr>
            </w:pPr>
            <w:r>
              <w:rPr>
                <w:rFonts w:ascii="Times New Roman"/>
                <w:b/>
                <w:sz w:val="21"/>
              </w:rPr>
              <w:t>51</w:t>
            </w:r>
          </w:p>
        </w:tc>
        <w:tc>
          <w:tcPr>
            <w:tcW w:w="1454" w:type="dxa"/>
          </w:tcPr>
          <w:p>
            <w:pPr>
              <w:pStyle w:val="TableParagraph"/>
              <w:spacing w:line="262" w:lineRule="exact"/>
              <w:ind w:left="442" w:right="437"/>
              <w:jc w:val="center"/>
              <w:rPr>
                <w:sz w:val="21"/>
              </w:rPr>
            </w:pPr>
            <w:r>
              <w:rPr>
                <w:sz w:val="21"/>
              </w:rPr>
              <w:t>9.20</w:t>
            </w:r>
          </w:p>
        </w:tc>
        <w:tc>
          <w:tcPr>
            <w:tcW w:w="1444" w:type="dxa"/>
          </w:tcPr>
          <w:p>
            <w:pPr>
              <w:pStyle w:val="TableParagraph"/>
              <w:spacing w:line="262" w:lineRule="exact"/>
              <w:ind w:left="438" w:right="431"/>
              <w:jc w:val="center"/>
              <w:rPr>
                <w:sz w:val="21"/>
              </w:rPr>
            </w:pPr>
            <w:r>
              <w:rPr>
                <w:sz w:val="21"/>
              </w:rPr>
              <w:t>8.10</w:t>
            </w:r>
          </w:p>
        </w:tc>
      </w:tr>
      <w:tr>
        <w:trPr>
          <w:trHeight w:val="311" w:hRule="atLeast"/>
        </w:trPr>
        <w:tc>
          <w:tcPr>
            <w:tcW w:w="2028" w:type="dxa"/>
          </w:tcPr>
          <w:p>
            <w:pPr>
              <w:pStyle w:val="TableParagraph"/>
              <w:spacing w:before="36"/>
              <w:ind w:left="773" w:right="774"/>
              <w:jc w:val="center"/>
              <w:rPr>
                <w:rFonts w:ascii="Times New Roman"/>
                <w:b/>
                <w:sz w:val="21"/>
              </w:rPr>
            </w:pPr>
            <w:r>
              <w:rPr>
                <w:rFonts w:ascii="Times New Roman"/>
                <w:b/>
                <w:sz w:val="21"/>
              </w:rPr>
              <w:t>11</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0.65</w:t>
            </w:r>
          </w:p>
        </w:tc>
        <w:tc>
          <w:tcPr>
            <w:tcW w:w="2198" w:type="dxa"/>
          </w:tcPr>
          <w:p>
            <w:pPr>
              <w:pStyle w:val="TableParagraph"/>
              <w:spacing w:before="36"/>
              <w:ind w:left="865" w:right="861"/>
              <w:jc w:val="center"/>
              <w:rPr>
                <w:rFonts w:ascii="Times New Roman"/>
                <w:b/>
                <w:sz w:val="21"/>
              </w:rPr>
            </w:pPr>
            <w:r>
              <w:rPr>
                <w:rFonts w:ascii="Times New Roman"/>
                <w:b/>
                <w:sz w:val="21"/>
              </w:rPr>
              <w:t>52</w:t>
            </w:r>
          </w:p>
        </w:tc>
        <w:tc>
          <w:tcPr>
            <w:tcW w:w="1454" w:type="dxa"/>
          </w:tcPr>
          <w:p>
            <w:pPr>
              <w:pStyle w:val="TableParagraph"/>
              <w:spacing w:line="262" w:lineRule="exact"/>
              <w:ind w:left="442" w:right="437"/>
              <w:jc w:val="center"/>
              <w:rPr>
                <w:sz w:val="21"/>
              </w:rPr>
            </w:pPr>
            <w:r>
              <w:rPr>
                <w:sz w:val="21"/>
              </w:rPr>
              <w:t>9.69</w:t>
            </w:r>
          </w:p>
        </w:tc>
        <w:tc>
          <w:tcPr>
            <w:tcW w:w="1444" w:type="dxa"/>
          </w:tcPr>
          <w:p>
            <w:pPr>
              <w:pStyle w:val="TableParagraph"/>
              <w:spacing w:line="262" w:lineRule="exact"/>
              <w:ind w:left="438" w:right="431"/>
              <w:jc w:val="center"/>
              <w:rPr>
                <w:sz w:val="21"/>
              </w:rPr>
            </w:pPr>
            <w:r>
              <w:rPr>
                <w:sz w:val="21"/>
              </w:rPr>
              <w:t>8.42</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12</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0.66</w:t>
            </w:r>
          </w:p>
        </w:tc>
        <w:tc>
          <w:tcPr>
            <w:tcW w:w="2198" w:type="dxa"/>
          </w:tcPr>
          <w:p>
            <w:pPr>
              <w:pStyle w:val="TableParagraph"/>
              <w:spacing w:before="36"/>
              <w:ind w:left="865" w:right="861"/>
              <w:jc w:val="center"/>
              <w:rPr>
                <w:rFonts w:ascii="Times New Roman"/>
                <w:b/>
                <w:sz w:val="21"/>
              </w:rPr>
            </w:pPr>
            <w:r>
              <w:rPr>
                <w:rFonts w:ascii="Times New Roman"/>
                <w:b/>
                <w:sz w:val="21"/>
              </w:rPr>
              <w:t>53</w:t>
            </w:r>
          </w:p>
        </w:tc>
        <w:tc>
          <w:tcPr>
            <w:tcW w:w="1454" w:type="dxa"/>
          </w:tcPr>
          <w:p>
            <w:pPr>
              <w:pStyle w:val="TableParagraph"/>
              <w:spacing w:line="262" w:lineRule="exact"/>
              <w:ind w:left="442" w:right="437"/>
              <w:jc w:val="center"/>
              <w:rPr>
                <w:sz w:val="21"/>
              </w:rPr>
            </w:pPr>
            <w:r>
              <w:rPr>
                <w:sz w:val="21"/>
              </w:rPr>
              <w:t>10.32</w:t>
            </w:r>
          </w:p>
        </w:tc>
        <w:tc>
          <w:tcPr>
            <w:tcW w:w="1444" w:type="dxa"/>
          </w:tcPr>
          <w:p>
            <w:pPr>
              <w:pStyle w:val="TableParagraph"/>
              <w:spacing w:line="262" w:lineRule="exact"/>
              <w:ind w:left="438" w:right="431"/>
              <w:jc w:val="center"/>
              <w:rPr>
                <w:sz w:val="21"/>
              </w:rPr>
            </w:pPr>
            <w:r>
              <w:rPr>
                <w:sz w:val="21"/>
              </w:rPr>
              <w:t>8.61</w:t>
            </w:r>
          </w:p>
        </w:tc>
      </w:tr>
      <w:tr>
        <w:trPr>
          <w:trHeight w:val="313" w:hRule="atLeast"/>
        </w:trPr>
        <w:tc>
          <w:tcPr>
            <w:tcW w:w="2028" w:type="dxa"/>
          </w:tcPr>
          <w:p>
            <w:pPr>
              <w:pStyle w:val="TableParagraph"/>
              <w:spacing w:before="39"/>
              <w:ind w:left="782" w:right="774"/>
              <w:jc w:val="center"/>
              <w:rPr>
                <w:rFonts w:ascii="Times New Roman"/>
                <w:b/>
                <w:sz w:val="21"/>
              </w:rPr>
            </w:pPr>
            <w:r>
              <w:rPr>
                <w:rFonts w:ascii="Times New Roman"/>
                <w:b/>
                <w:sz w:val="21"/>
              </w:rPr>
              <w:t>13</w:t>
            </w:r>
          </w:p>
        </w:tc>
        <w:tc>
          <w:tcPr>
            <w:tcW w:w="1469" w:type="dxa"/>
          </w:tcPr>
          <w:p>
            <w:pPr>
              <w:pStyle w:val="TableParagraph"/>
              <w:spacing w:line="265" w:lineRule="exact"/>
              <w:ind w:left="499" w:right="499"/>
              <w:jc w:val="center"/>
              <w:rPr>
                <w:sz w:val="21"/>
              </w:rPr>
            </w:pPr>
            <w:r>
              <w:rPr>
                <w:sz w:val="21"/>
              </w:rPr>
              <w:t>0.74</w:t>
            </w:r>
          </w:p>
        </w:tc>
        <w:tc>
          <w:tcPr>
            <w:tcW w:w="1288" w:type="dxa"/>
          </w:tcPr>
          <w:p>
            <w:pPr>
              <w:pStyle w:val="TableParagraph"/>
              <w:spacing w:line="265" w:lineRule="exact"/>
              <w:ind w:left="409" w:right="409"/>
              <w:jc w:val="center"/>
              <w:rPr>
                <w:sz w:val="21"/>
              </w:rPr>
            </w:pPr>
            <w:r>
              <w:rPr>
                <w:sz w:val="21"/>
              </w:rPr>
              <w:t>0.66</w:t>
            </w:r>
          </w:p>
        </w:tc>
        <w:tc>
          <w:tcPr>
            <w:tcW w:w="2198" w:type="dxa"/>
          </w:tcPr>
          <w:p>
            <w:pPr>
              <w:pStyle w:val="TableParagraph"/>
              <w:spacing w:before="39"/>
              <w:ind w:left="865" w:right="861"/>
              <w:jc w:val="center"/>
              <w:rPr>
                <w:rFonts w:ascii="Times New Roman"/>
                <w:b/>
                <w:sz w:val="21"/>
              </w:rPr>
            </w:pPr>
            <w:r>
              <w:rPr>
                <w:rFonts w:ascii="Times New Roman"/>
                <w:b/>
                <w:sz w:val="21"/>
              </w:rPr>
              <w:t>54</w:t>
            </w:r>
          </w:p>
        </w:tc>
        <w:tc>
          <w:tcPr>
            <w:tcW w:w="1454" w:type="dxa"/>
          </w:tcPr>
          <w:p>
            <w:pPr>
              <w:pStyle w:val="TableParagraph"/>
              <w:spacing w:line="265" w:lineRule="exact"/>
              <w:ind w:left="442" w:right="437"/>
              <w:jc w:val="center"/>
              <w:rPr>
                <w:sz w:val="21"/>
              </w:rPr>
            </w:pPr>
            <w:r>
              <w:rPr>
                <w:sz w:val="21"/>
              </w:rPr>
              <w:t>11.33</w:t>
            </w:r>
          </w:p>
        </w:tc>
        <w:tc>
          <w:tcPr>
            <w:tcW w:w="1444" w:type="dxa"/>
          </w:tcPr>
          <w:p>
            <w:pPr>
              <w:pStyle w:val="TableParagraph"/>
              <w:spacing w:line="265" w:lineRule="exact"/>
              <w:ind w:left="438" w:right="431"/>
              <w:jc w:val="center"/>
              <w:rPr>
                <w:sz w:val="21"/>
              </w:rPr>
            </w:pPr>
            <w:r>
              <w:rPr>
                <w:sz w:val="21"/>
              </w:rPr>
              <w:t>9.39</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14</w:t>
            </w:r>
          </w:p>
        </w:tc>
        <w:tc>
          <w:tcPr>
            <w:tcW w:w="1469" w:type="dxa"/>
          </w:tcPr>
          <w:p>
            <w:pPr>
              <w:pStyle w:val="TableParagraph"/>
              <w:spacing w:line="262" w:lineRule="exact"/>
              <w:ind w:left="499" w:right="499"/>
              <w:jc w:val="center"/>
              <w:rPr>
                <w:sz w:val="21"/>
              </w:rPr>
            </w:pPr>
            <w:r>
              <w:rPr>
                <w:sz w:val="21"/>
              </w:rPr>
              <w:t>0.72</w:t>
            </w:r>
          </w:p>
        </w:tc>
        <w:tc>
          <w:tcPr>
            <w:tcW w:w="1288" w:type="dxa"/>
          </w:tcPr>
          <w:p>
            <w:pPr>
              <w:pStyle w:val="TableParagraph"/>
              <w:spacing w:line="262" w:lineRule="exact"/>
              <w:ind w:left="409" w:right="409"/>
              <w:jc w:val="center"/>
              <w:rPr>
                <w:sz w:val="21"/>
              </w:rPr>
            </w:pPr>
            <w:r>
              <w:rPr>
                <w:sz w:val="21"/>
              </w:rPr>
              <w:t>0.68</w:t>
            </w:r>
          </w:p>
        </w:tc>
        <w:tc>
          <w:tcPr>
            <w:tcW w:w="2198" w:type="dxa"/>
          </w:tcPr>
          <w:p>
            <w:pPr>
              <w:pStyle w:val="TableParagraph"/>
              <w:spacing w:before="36"/>
              <w:ind w:left="865" w:right="861"/>
              <w:jc w:val="center"/>
              <w:rPr>
                <w:rFonts w:ascii="Times New Roman"/>
                <w:b/>
                <w:sz w:val="21"/>
              </w:rPr>
            </w:pPr>
            <w:r>
              <w:rPr>
                <w:rFonts w:ascii="Times New Roman"/>
                <w:b/>
                <w:sz w:val="21"/>
              </w:rPr>
              <w:t>55</w:t>
            </w:r>
          </w:p>
        </w:tc>
        <w:tc>
          <w:tcPr>
            <w:tcW w:w="1454" w:type="dxa"/>
          </w:tcPr>
          <w:p>
            <w:pPr>
              <w:pStyle w:val="TableParagraph"/>
              <w:spacing w:line="262" w:lineRule="exact"/>
              <w:ind w:left="442" w:right="437"/>
              <w:jc w:val="center"/>
              <w:rPr>
                <w:sz w:val="21"/>
              </w:rPr>
            </w:pPr>
            <w:r>
              <w:rPr>
                <w:sz w:val="21"/>
              </w:rPr>
              <w:t>13.16</w:t>
            </w:r>
          </w:p>
        </w:tc>
        <w:tc>
          <w:tcPr>
            <w:tcW w:w="1444" w:type="dxa"/>
          </w:tcPr>
          <w:p>
            <w:pPr>
              <w:pStyle w:val="TableParagraph"/>
              <w:spacing w:line="262" w:lineRule="exact"/>
              <w:ind w:left="438" w:right="431"/>
              <w:jc w:val="center"/>
              <w:rPr>
                <w:sz w:val="21"/>
              </w:rPr>
            </w:pPr>
            <w:r>
              <w:rPr>
                <w:sz w:val="21"/>
              </w:rPr>
              <w:t>9.99</w:t>
            </w:r>
          </w:p>
        </w:tc>
      </w:tr>
      <w:tr>
        <w:trPr>
          <w:trHeight w:val="312" w:hRule="atLeast"/>
        </w:trPr>
        <w:tc>
          <w:tcPr>
            <w:tcW w:w="2028" w:type="dxa"/>
          </w:tcPr>
          <w:p>
            <w:pPr>
              <w:pStyle w:val="TableParagraph"/>
              <w:spacing w:before="36"/>
              <w:ind w:left="782" w:right="774"/>
              <w:jc w:val="center"/>
              <w:rPr>
                <w:rFonts w:ascii="Times New Roman"/>
                <w:b/>
                <w:sz w:val="21"/>
              </w:rPr>
            </w:pPr>
            <w:r>
              <w:rPr>
                <w:rFonts w:ascii="Times New Roman"/>
                <w:b/>
                <w:sz w:val="21"/>
              </w:rPr>
              <w:t>15</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0.70</w:t>
            </w:r>
          </w:p>
        </w:tc>
        <w:tc>
          <w:tcPr>
            <w:tcW w:w="2198" w:type="dxa"/>
          </w:tcPr>
          <w:p>
            <w:pPr>
              <w:pStyle w:val="TableParagraph"/>
              <w:spacing w:before="36"/>
              <w:ind w:left="865" w:right="861"/>
              <w:jc w:val="center"/>
              <w:rPr>
                <w:rFonts w:ascii="Times New Roman"/>
                <w:b/>
                <w:sz w:val="21"/>
              </w:rPr>
            </w:pPr>
            <w:r>
              <w:rPr>
                <w:rFonts w:ascii="Times New Roman"/>
                <w:b/>
                <w:sz w:val="21"/>
              </w:rPr>
              <w:t>56</w:t>
            </w:r>
          </w:p>
        </w:tc>
        <w:tc>
          <w:tcPr>
            <w:tcW w:w="1454" w:type="dxa"/>
          </w:tcPr>
          <w:p>
            <w:pPr>
              <w:pStyle w:val="TableParagraph"/>
              <w:spacing w:line="262" w:lineRule="exact"/>
              <w:ind w:left="442" w:right="437"/>
              <w:jc w:val="center"/>
              <w:rPr>
                <w:sz w:val="21"/>
              </w:rPr>
            </w:pPr>
            <w:r>
              <w:rPr>
                <w:sz w:val="21"/>
              </w:rPr>
              <w:t>14.40</w:t>
            </w:r>
          </w:p>
        </w:tc>
        <w:tc>
          <w:tcPr>
            <w:tcW w:w="1444" w:type="dxa"/>
          </w:tcPr>
          <w:p>
            <w:pPr>
              <w:pStyle w:val="TableParagraph"/>
              <w:spacing w:line="262" w:lineRule="exact"/>
              <w:ind w:left="438" w:right="431"/>
              <w:jc w:val="center"/>
              <w:rPr>
                <w:sz w:val="21"/>
              </w:rPr>
            </w:pPr>
            <w:r>
              <w:rPr>
                <w:sz w:val="21"/>
              </w:rPr>
              <w:t>10.50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16</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0.68</w:t>
            </w:r>
          </w:p>
        </w:tc>
        <w:tc>
          <w:tcPr>
            <w:tcW w:w="2198" w:type="dxa"/>
          </w:tcPr>
          <w:p>
            <w:pPr>
              <w:pStyle w:val="TableParagraph"/>
              <w:spacing w:before="36"/>
              <w:ind w:left="865" w:right="861"/>
              <w:jc w:val="center"/>
              <w:rPr>
                <w:rFonts w:ascii="Times New Roman"/>
                <w:b/>
                <w:sz w:val="21"/>
              </w:rPr>
            </w:pPr>
            <w:r>
              <w:rPr>
                <w:rFonts w:ascii="Times New Roman"/>
                <w:b/>
                <w:sz w:val="21"/>
              </w:rPr>
              <w:t>57</w:t>
            </w:r>
          </w:p>
        </w:tc>
        <w:tc>
          <w:tcPr>
            <w:tcW w:w="1454" w:type="dxa"/>
          </w:tcPr>
          <w:p>
            <w:pPr>
              <w:pStyle w:val="TableParagraph"/>
              <w:spacing w:line="262" w:lineRule="exact"/>
              <w:ind w:left="442" w:right="437"/>
              <w:jc w:val="center"/>
              <w:rPr>
                <w:sz w:val="21"/>
              </w:rPr>
            </w:pPr>
            <w:r>
              <w:rPr>
                <w:sz w:val="21"/>
              </w:rPr>
              <w:t>16.02</w:t>
            </w:r>
          </w:p>
        </w:tc>
        <w:tc>
          <w:tcPr>
            <w:tcW w:w="1444" w:type="dxa"/>
          </w:tcPr>
          <w:p>
            <w:pPr>
              <w:pStyle w:val="TableParagraph"/>
              <w:spacing w:line="262" w:lineRule="exact"/>
              <w:ind w:left="438" w:right="431"/>
              <w:jc w:val="center"/>
              <w:rPr>
                <w:sz w:val="21"/>
              </w:rPr>
            </w:pPr>
            <w:r>
              <w:rPr>
                <w:sz w:val="21"/>
              </w:rPr>
              <w:t>11.10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17</w:t>
            </w:r>
          </w:p>
        </w:tc>
        <w:tc>
          <w:tcPr>
            <w:tcW w:w="1469" w:type="dxa"/>
          </w:tcPr>
          <w:p>
            <w:pPr>
              <w:pStyle w:val="TableParagraph"/>
              <w:spacing w:line="262" w:lineRule="exact"/>
              <w:ind w:left="499" w:right="499"/>
              <w:jc w:val="center"/>
              <w:rPr>
                <w:sz w:val="21"/>
              </w:rPr>
            </w:pPr>
            <w:r>
              <w:rPr>
                <w:sz w:val="21"/>
              </w:rPr>
              <w:t>0.77</w:t>
            </w:r>
          </w:p>
        </w:tc>
        <w:tc>
          <w:tcPr>
            <w:tcW w:w="1288" w:type="dxa"/>
          </w:tcPr>
          <w:p>
            <w:pPr>
              <w:pStyle w:val="TableParagraph"/>
              <w:spacing w:line="262" w:lineRule="exact"/>
              <w:ind w:left="409" w:right="409"/>
              <w:jc w:val="center"/>
              <w:rPr>
                <w:sz w:val="21"/>
              </w:rPr>
            </w:pPr>
            <w:r>
              <w:rPr>
                <w:sz w:val="21"/>
              </w:rPr>
              <w:t>0.70</w:t>
            </w:r>
          </w:p>
        </w:tc>
        <w:tc>
          <w:tcPr>
            <w:tcW w:w="2198" w:type="dxa"/>
          </w:tcPr>
          <w:p>
            <w:pPr>
              <w:pStyle w:val="TableParagraph"/>
              <w:spacing w:before="36"/>
              <w:ind w:left="865" w:right="861"/>
              <w:jc w:val="center"/>
              <w:rPr>
                <w:rFonts w:ascii="Times New Roman"/>
                <w:b/>
                <w:sz w:val="21"/>
              </w:rPr>
            </w:pPr>
            <w:r>
              <w:rPr>
                <w:rFonts w:ascii="Times New Roman"/>
                <w:b/>
                <w:sz w:val="21"/>
              </w:rPr>
              <w:t>58</w:t>
            </w:r>
          </w:p>
        </w:tc>
        <w:tc>
          <w:tcPr>
            <w:tcW w:w="1454" w:type="dxa"/>
          </w:tcPr>
          <w:p>
            <w:pPr>
              <w:pStyle w:val="TableParagraph"/>
              <w:spacing w:line="262" w:lineRule="exact"/>
              <w:ind w:left="442" w:right="437"/>
              <w:jc w:val="center"/>
              <w:rPr>
                <w:sz w:val="21"/>
              </w:rPr>
            </w:pPr>
            <w:r>
              <w:rPr>
                <w:sz w:val="21"/>
              </w:rPr>
              <w:t>17.58</w:t>
            </w:r>
          </w:p>
        </w:tc>
        <w:tc>
          <w:tcPr>
            <w:tcW w:w="1444" w:type="dxa"/>
          </w:tcPr>
          <w:p>
            <w:pPr>
              <w:pStyle w:val="TableParagraph"/>
              <w:spacing w:line="262" w:lineRule="exact"/>
              <w:ind w:left="438" w:right="431"/>
              <w:jc w:val="center"/>
              <w:rPr>
                <w:sz w:val="21"/>
              </w:rPr>
            </w:pPr>
            <w:r>
              <w:rPr>
                <w:sz w:val="21"/>
              </w:rPr>
              <w:t>12.11</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18</w:t>
            </w:r>
          </w:p>
        </w:tc>
        <w:tc>
          <w:tcPr>
            <w:tcW w:w="1469" w:type="dxa"/>
          </w:tcPr>
          <w:p>
            <w:pPr>
              <w:pStyle w:val="TableParagraph"/>
              <w:spacing w:line="262" w:lineRule="exact"/>
              <w:ind w:left="499" w:right="499"/>
              <w:jc w:val="center"/>
              <w:rPr>
                <w:sz w:val="21"/>
              </w:rPr>
            </w:pPr>
            <w:r>
              <w:rPr>
                <w:sz w:val="21"/>
              </w:rPr>
              <w:t>0.81</w:t>
            </w:r>
          </w:p>
        </w:tc>
        <w:tc>
          <w:tcPr>
            <w:tcW w:w="1288" w:type="dxa"/>
          </w:tcPr>
          <w:p>
            <w:pPr>
              <w:pStyle w:val="TableParagraph"/>
              <w:spacing w:line="262" w:lineRule="exact"/>
              <w:ind w:left="409" w:right="409"/>
              <w:jc w:val="center"/>
              <w:rPr>
                <w:sz w:val="21"/>
              </w:rPr>
            </w:pPr>
            <w:r>
              <w:rPr>
                <w:sz w:val="21"/>
              </w:rPr>
              <w:t>0.77</w:t>
            </w:r>
          </w:p>
        </w:tc>
        <w:tc>
          <w:tcPr>
            <w:tcW w:w="2198" w:type="dxa"/>
          </w:tcPr>
          <w:p>
            <w:pPr>
              <w:pStyle w:val="TableParagraph"/>
              <w:spacing w:before="36"/>
              <w:ind w:left="865" w:right="861"/>
              <w:jc w:val="center"/>
              <w:rPr>
                <w:rFonts w:ascii="Times New Roman"/>
                <w:b/>
                <w:sz w:val="21"/>
              </w:rPr>
            </w:pPr>
            <w:r>
              <w:rPr>
                <w:rFonts w:ascii="Times New Roman"/>
                <w:b/>
                <w:sz w:val="21"/>
              </w:rPr>
              <w:t>59</w:t>
            </w:r>
          </w:p>
        </w:tc>
        <w:tc>
          <w:tcPr>
            <w:tcW w:w="1454" w:type="dxa"/>
          </w:tcPr>
          <w:p>
            <w:pPr>
              <w:pStyle w:val="TableParagraph"/>
              <w:spacing w:line="262" w:lineRule="exact"/>
              <w:ind w:left="442" w:right="437"/>
              <w:jc w:val="center"/>
              <w:rPr>
                <w:sz w:val="21"/>
              </w:rPr>
            </w:pPr>
            <w:r>
              <w:rPr>
                <w:sz w:val="21"/>
              </w:rPr>
              <w:t>19.26</w:t>
            </w:r>
          </w:p>
        </w:tc>
        <w:tc>
          <w:tcPr>
            <w:tcW w:w="1444" w:type="dxa"/>
          </w:tcPr>
          <w:p>
            <w:pPr>
              <w:pStyle w:val="TableParagraph"/>
              <w:spacing w:line="262" w:lineRule="exact"/>
              <w:ind w:left="438" w:right="431"/>
              <w:jc w:val="center"/>
              <w:rPr>
                <w:sz w:val="21"/>
              </w:rPr>
            </w:pPr>
            <w:r>
              <w:rPr>
                <w:sz w:val="21"/>
              </w:rPr>
              <w:t>12.65</w:t>
            </w:r>
          </w:p>
        </w:tc>
      </w:tr>
      <w:tr>
        <w:trPr>
          <w:trHeight w:val="313" w:hRule="atLeast"/>
        </w:trPr>
        <w:tc>
          <w:tcPr>
            <w:tcW w:w="2028" w:type="dxa"/>
          </w:tcPr>
          <w:p>
            <w:pPr>
              <w:pStyle w:val="TableParagraph"/>
              <w:spacing w:before="39"/>
              <w:ind w:left="782" w:right="774"/>
              <w:jc w:val="center"/>
              <w:rPr>
                <w:rFonts w:ascii="Times New Roman"/>
                <w:b/>
                <w:sz w:val="21"/>
              </w:rPr>
            </w:pPr>
            <w:r>
              <w:rPr>
                <w:rFonts w:ascii="Times New Roman"/>
                <w:b/>
                <w:sz w:val="21"/>
              </w:rPr>
              <w:t>19</w:t>
            </w:r>
          </w:p>
        </w:tc>
        <w:tc>
          <w:tcPr>
            <w:tcW w:w="1469" w:type="dxa"/>
          </w:tcPr>
          <w:p>
            <w:pPr>
              <w:pStyle w:val="TableParagraph"/>
              <w:spacing w:line="265" w:lineRule="exact"/>
              <w:ind w:left="499" w:right="499"/>
              <w:jc w:val="center"/>
              <w:rPr>
                <w:sz w:val="21"/>
              </w:rPr>
            </w:pPr>
            <w:r>
              <w:rPr>
                <w:sz w:val="21"/>
              </w:rPr>
              <w:t>0.81</w:t>
            </w:r>
          </w:p>
        </w:tc>
        <w:tc>
          <w:tcPr>
            <w:tcW w:w="1288" w:type="dxa"/>
          </w:tcPr>
          <w:p>
            <w:pPr>
              <w:pStyle w:val="TableParagraph"/>
              <w:spacing w:line="265" w:lineRule="exact"/>
              <w:ind w:left="409" w:right="409"/>
              <w:jc w:val="center"/>
              <w:rPr>
                <w:sz w:val="21"/>
              </w:rPr>
            </w:pPr>
            <w:r>
              <w:rPr>
                <w:sz w:val="21"/>
              </w:rPr>
              <w:t>0.77</w:t>
            </w:r>
          </w:p>
        </w:tc>
        <w:tc>
          <w:tcPr>
            <w:tcW w:w="2198" w:type="dxa"/>
          </w:tcPr>
          <w:p>
            <w:pPr>
              <w:pStyle w:val="TableParagraph"/>
              <w:spacing w:before="39"/>
              <w:ind w:left="865" w:right="861"/>
              <w:jc w:val="center"/>
              <w:rPr>
                <w:rFonts w:ascii="Times New Roman"/>
                <w:b/>
                <w:sz w:val="21"/>
              </w:rPr>
            </w:pPr>
            <w:r>
              <w:rPr>
                <w:rFonts w:ascii="Times New Roman"/>
                <w:b/>
                <w:sz w:val="21"/>
              </w:rPr>
              <w:t>60</w:t>
            </w:r>
          </w:p>
        </w:tc>
        <w:tc>
          <w:tcPr>
            <w:tcW w:w="1454" w:type="dxa"/>
          </w:tcPr>
          <w:p>
            <w:pPr>
              <w:pStyle w:val="TableParagraph"/>
              <w:spacing w:line="265" w:lineRule="exact"/>
              <w:ind w:left="442" w:right="437"/>
              <w:jc w:val="center"/>
              <w:rPr>
                <w:sz w:val="21"/>
              </w:rPr>
            </w:pPr>
            <w:r>
              <w:rPr>
                <w:sz w:val="21"/>
              </w:rPr>
              <w:t>21.14</w:t>
            </w:r>
          </w:p>
        </w:tc>
        <w:tc>
          <w:tcPr>
            <w:tcW w:w="1444" w:type="dxa"/>
          </w:tcPr>
          <w:p>
            <w:pPr>
              <w:pStyle w:val="TableParagraph"/>
              <w:spacing w:line="265" w:lineRule="exact"/>
              <w:ind w:left="438" w:right="431"/>
              <w:jc w:val="center"/>
              <w:rPr>
                <w:sz w:val="21"/>
              </w:rPr>
            </w:pPr>
            <w:r>
              <w:rPr>
                <w:sz w:val="21"/>
              </w:rPr>
              <w:t>13.14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20</w:t>
            </w:r>
          </w:p>
        </w:tc>
        <w:tc>
          <w:tcPr>
            <w:tcW w:w="1469" w:type="dxa"/>
          </w:tcPr>
          <w:p>
            <w:pPr>
              <w:pStyle w:val="TableParagraph"/>
              <w:spacing w:line="262" w:lineRule="exact"/>
              <w:ind w:left="499" w:right="499"/>
              <w:jc w:val="center"/>
              <w:rPr>
                <w:sz w:val="21"/>
              </w:rPr>
            </w:pPr>
            <w:r>
              <w:rPr>
                <w:sz w:val="21"/>
              </w:rPr>
              <w:t>0.84</w:t>
            </w:r>
          </w:p>
        </w:tc>
        <w:tc>
          <w:tcPr>
            <w:tcW w:w="1288" w:type="dxa"/>
          </w:tcPr>
          <w:p>
            <w:pPr>
              <w:pStyle w:val="TableParagraph"/>
              <w:spacing w:line="262" w:lineRule="exact"/>
              <w:ind w:left="409" w:right="409"/>
              <w:jc w:val="center"/>
              <w:rPr>
                <w:sz w:val="21"/>
              </w:rPr>
            </w:pPr>
            <w:r>
              <w:rPr>
                <w:sz w:val="21"/>
              </w:rPr>
              <w:t>0.77</w:t>
            </w:r>
          </w:p>
        </w:tc>
        <w:tc>
          <w:tcPr>
            <w:tcW w:w="2198" w:type="dxa"/>
          </w:tcPr>
          <w:p>
            <w:pPr>
              <w:pStyle w:val="TableParagraph"/>
              <w:spacing w:before="36"/>
              <w:ind w:left="865" w:right="861"/>
              <w:jc w:val="center"/>
              <w:rPr>
                <w:rFonts w:ascii="Times New Roman"/>
                <w:b/>
                <w:sz w:val="21"/>
              </w:rPr>
            </w:pPr>
            <w:r>
              <w:rPr>
                <w:rFonts w:ascii="Times New Roman"/>
                <w:b/>
                <w:sz w:val="21"/>
              </w:rPr>
              <w:t>61</w:t>
            </w:r>
          </w:p>
        </w:tc>
        <w:tc>
          <w:tcPr>
            <w:tcW w:w="1454" w:type="dxa"/>
          </w:tcPr>
          <w:p>
            <w:pPr>
              <w:pStyle w:val="TableParagraph"/>
              <w:spacing w:line="262" w:lineRule="exact"/>
              <w:ind w:left="442" w:right="437"/>
              <w:jc w:val="center"/>
              <w:rPr>
                <w:sz w:val="21"/>
              </w:rPr>
            </w:pPr>
            <w:r>
              <w:rPr>
                <w:sz w:val="21"/>
              </w:rPr>
              <w:t>22.62</w:t>
            </w:r>
          </w:p>
        </w:tc>
        <w:tc>
          <w:tcPr>
            <w:tcW w:w="1444" w:type="dxa"/>
          </w:tcPr>
          <w:p>
            <w:pPr>
              <w:pStyle w:val="TableParagraph"/>
              <w:spacing w:line="262" w:lineRule="exact"/>
              <w:ind w:left="438" w:right="431"/>
              <w:jc w:val="center"/>
              <w:rPr>
                <w:sz w:val="21"/>
              </w:rPr>
            </w:pPr>
            <w:r>
              <w:rPr>
                <w:sz w:val="21"/>
              </w:rPr>
              <w:t>15.51</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21</w:t>
            </w:r>
          </w:p>
        </w:tc>
        <w:tc>
          <w:tcPr>
            <w:tcW w:w="1469" w:type="dxa"/>
          </w:tcPr>
          <w:p>
            <w:pPr>
              <w:pStyle w:val="TableParagraph"/>
              <w:spacing w:line="262" w:lineRule="exact"/>
              <w:ind w:left="499" w:right="499"/>
              <w:jc w:val="center"/>
              <w:rPr>
                <w:sz w:val="21"/>
              </w:rPr>
            </w:pPr>
            <w:r>
              <w:rPr>
                <w:sz w:val="21"/>
              </w:rPr>
              <w:t>0.86</w:t>
            </w:r>
          </w:p>
        </w:tc>
        <w:tc>
          <w:tcPr>
            <w:tcW w:w="1288" w:type="dxa"/>
          </w:tcPr>
          <w:p>
            <w:pPr>
              <w:pStyle w:val="TableParagraph"/>
              <w:spacing w:line="262" w:lineRule="exact"/>
              <w:ind w:left="409" w:right="409"/>
              <w:jc w:val="center"/>
              <w:rPr>
                <w:sz w:val="21"/>
              </w:rPr>
            </w:pPr>
            <w:r>
              <w:rPr>
                <w:sz w:val="21"/>
              </w:rPr>
              <w:t>0.78</w:t>
            </w:r>
          </w:p>
        </w:tc>
        <w:tc>
          <w:tcPr>
            <w:tcW w:w="2198" w:type="dxa"/>
          </w:tcPr>
          <w:p>
            <w:pPr>
              <w:pStyle w:val="TableParagraph"/>
              <w:spacing w:before="36"/>
              <w:ind w:left="865" w:right="861"/>
              <w:jc w:val="center"/>
              <w:rPr>
                <w:rFonts w:ascii="Times New Roman"/>
                <w:b/>
                <w:sz w:val="21"/>
              </w:rPr>
            </w:pPr>
            <w:r>
              <w:rPr>
                <w:rFonts w:ascii="Times New Roman"/>
                <w:b/>
                <w:sz w:val="21"/>
              </w:rPr>
              <w:t>62</w:t>
            </w:r>
          </w:p>
        </w:tc>
        <w:tc>
          <w:tcPr>
            <w:tcW w:w="1454" w:type="dxa"/>
          </w:tcPr>
          <w:p>
            <w:pPr>
              <w:pStyle w:val="TableParagraph"/>
              <w:spacing w:line="262" w:lineRule="exact"/>
              <w:ind w:left="442" w:right="437"/>
              <w:jc w:val="center"/>
              <w:rPr>
                <w:sz w:val="21"/>
              </w:rPr>
            </w:pPr>
            <w:r>
              <w:rPr>
                <w:sz w:val="21"/>
              </w:rPr>
              <w:t>23.99</w:t>
            </w:r>
          </w:p>
        </w:tc>
        <w:tc>
          <w:tcPr>
            <w:tcW w:w="1444" w:type="dxa"/>
          </w:tcPr>
          <w:p>
            <w:pPr>
              <w:pStyle w:val="TableParagraph"/>
              <w:spacing w:line="262" w:lineRule="exact"/>
              <w:ind w:left="438" w:right="431"/>
              <w:jc w:val="center"/>
              <w:rPr>
                <w:sz w:val="21"/>
              </w:rPr>
            </w:pPr>
            <w:r>
              <w:rPr>
                <w:sz w:val="21"/>
              </w:rPr>
              <w:t>16.14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22</w:t>
            </w:r>
          </w:p>
        </w:tc>
        <w:tc>
          <w:tcPr>
            <w:tcW w:w="1469" w:type="dxa"/>
          </w:tcPr>
          <w:p>
            <w:pPr>
              <w:pStyle w:val="TableParagraph"/>
              <w:spacing w:line="262" w:lineRule="exact"/>
              <w:ind w:left="499" w:right="499"/>
              <w:jc w:val="center"/>
              <w:rPr>
                <w:sz w:val="21"/>
              </w:rPr>
            </w:pPr>
            <w:r>
              <w:rPr>
                <w:sz w:val="21"/>
              </w:rPr>
              <w:t>0.89</w:t>
            </w:r>
          </w:p>
        </w:tc>
        <w:tc>
          <w:tcPr>
            <w:tcW w:w="1288" w:type="dxa"/>
          </w:tcPr>
          <w:p>
            <w:pPr>
              <w:pStyle w:val="TableParagraph"/>
              <w:spacing w:line="262" w:lineRule="exact"/>
              <w:ind w:left="409" w:right="409"/>
              <w:jc w:val="center"/>
              <w:rPr>
                <w:sz w:val="21"/>
              </w:rPr>
            </w:pPr>
            <w:r>
              <w:rPr>
                <w:sz w:val="21"/>
              </w:rPr>
              <w:t>0.82</w:t>
            </w:r>
          </w:p>
        </w:tc>
        <w:tc>
          <w:tcPr>
            <w:tcW w:w="2198" w:type="dxa"/>
          </w:tcPr>
          <w:p>
            <w:pPr>
              <w:pStyle w:val="TableParagraph"/>
              <w:spacing w:before="36"/>
              <w:ind w:left="865" w:right="861"/>
              <w:jc w:val="center"/>
              <w:rPr>
                <w:rFonts w:ascii="Times New Roman"/>
                <w:b/>
                <w:sz w:val="21"/>
              </w:rPr>
            </w:pPr>
            <w:r>
              <w:rPr>
                <w:rFonts w:ascii="Times New Roman"/>
                <w:b/>
                <w:sz w:val="21"/>
              </w:rPr>
              <w:t>63</w:t>
            </w:r>
          </w:p>
        </w:tc>
        <w:tc>
          <w:tcPr>
            <w:tcW w:w="1454" w:type="dxa"/>
          </w:tcPr>
          <w:p>
            <w:pPr>
              <w:pStyle w:val="TableParagraph"/>
              <w:spacing w:line="262" w:lineRule="exact"/>
              <w:ind w:left="442" w:right="437"/>
              <w:jc w:val="center"/>
              <w:rPr>
                <w:sz w:val="21"/>
              </w:rPr>
            </w:pPr>
            <w:r>
              <w:rPr>
                <w:sz w:val="21"/>
              </w:rPr>
              <w:t>25.13</w:t>
            </w:r>
          </w:p>
        </w:tc>
        <w:tc>
          <w:tcPr>
            <w:tcW w:w="1444" w:type="dxa"/>
          </w:tcPr>
          <w:p>
            <w:pPr>
              <w:pStyle w:val="TableParagraph"/>
              <w:spacing w:line="262" w:lineRule="exact"/>
              <w:ind w:left="438" w:right="431"/>
              <w:jc w:val="center"/>
              <w:rPr>
                <w:sz w:val="21"/>
              </w:rPr>
            </w:pPr>
            <w:r>
              <w:rPr>
                <w:sz w:val="21"/>
              </w:rPr>
              <w:t>16.61</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23</w:t>
            </w:r>
          </w:p>
        </w:tc>
        <w:tc>
          <w:tcPr>
            <w:tcW w:w="1469" w:type="dxa"/>
          </w:tcPr>
          <w:p>
            <w:pPr>
              <w:pStyle w:val="TableParagraph"/>
              <w:spacing w:line="262" w:lineRule="exact"/>
              <w:ind w:left="499" w:right="499"/>
              <w:jc w:val="center"/>
              <w:rPr>
                <w:sz w:val="21"/>
              </w:rPr>
            </w:pPr>
            <w:r>
              <w:rPr>
                <w:sz w:val="21"/>
              </w:rPr>
              <w:t>0.92</w:t>
            </w:r>
          </w:p>
        </w:tc>
        <w:tc>
          <w:tcPr>
            <w:tcW w:w="1288" w:type="dxa"/>
          </w:tcPr>
          <w:p>
            <w:pPr>
              <w:pStyle w:val="TableParagraph"/>
              <w:spacing w:line="262" w:lineRule="exact"/>
              <w:ind w:left="409" w:right="409"/>
              <w:jc w:val="center"/>
              <w:rPr>
                <w:sz w:val="21"/>
              </w:rPr>
            </w:pPr>
            <w:r>
              <w:rPr>
                <w:sz w:val="21"/>
              </w:rPr>
              <w:t>0.92</w:t>
            </w:r>
          </w:p>
        </w:tc>
        <w:tc>
          <w:tcPr>
            <w:tcW w:w="2198" w:type="dxa"/>
          </w:tcPr>
          <w:p>
            <w:pPr>
              <w:pStyle w:val="TableParagraph"/>
              <w:spacing w:before="36"/>
              <w:ind w:left="865" w:right="861"/>
              <w:jc w:val="center"/>
              <w:rPr>
                <w:rFonts w:ascii="Times New Roman"/>
                <w:b/>
                <w:sz w:val="21"/>
              </w:rPr>
            </w:pPr>
            <w:r>
              <w:rPr>
                <w:rFonts w:ascii="Times New Roman"/>
                <w:b/>
                <w:sz w:val="21"/>
              </w:rPr>
              <w:t>64</w:t>
            </w:r>
          </w:p>
        </w:tc>
        <w:tc>
          <w:tcPr>
            <w:tcW w:w="1454" w:type="dxa"/>
          </w:tcPr>
          <w:p>
            <w:pPr>
              <w:pStyle w:val="TableParagraph"/>
              <w:spacing w:line="262" w:lineRule="exact"/>
              <w:ind w:left="442" w:right="437"/>
              <w:jc w:val="center"/>
              <w:rPr>
                <w:sz w:val="21"/>
              </w:rPr>
            </w:pPr>
            <w:r>
              <w:rPr>
                <w:sz w:val="21"/>
              </w:rPr>
              <w:t>26.79</w:t>
            </w:r>
          </w:p>
        </w:tc>
        <w:tc>
          <w:tcPr>
            <w:tcW w:w="1444" w:type="dxa"/>
          </w:tcPr>
          <w:p>
            <w:pPr>
              <w:pStyle w:val="TableParagraph"/>
              <w:spacing w:line="262" w:lineRule="exact"/>
              <w:ind w:left="438" w:right="431"/>
              <w:jc w:val="center"/>
              <w:rPr>
                <w:sz w:val="21"/>
              </w:rPr>
            </w:pPr>
            <w:r>
              <w:rPr>
                <w:sz w:val="21"/>
              </w:rPr>
              <w:t>17.40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24</w:t>
            </w:r>
          </w:p>
        </w:tc>
        <w:tc>
          <w:tcPr>
            <w:tcW w:w="1469" w:type="dxa"/>
          </w:tcPr>
          <w:p>
            <w:pPr>
              <w:pStyle w:val="TableParagraph"/>
              <w:spacing w:line="262" w:lineRule="exact"/>
              <w:ind w:left="499" w:right="499"/>
              <w:jc w:val="center"/>
              <w:rPr>
                <w:sz w:val="21"/>
              </w:rPr>
            </w:pPr>
            <w:r>
              <w:rPr>
                <w:sz w:val="21"/>
              </w:rPr>
              <w:t>0.93</w:t>
            </w:r>
          </w:p>
        </w:tc>
        <w:tc>
          <w:tcPr>
            <w:tcW w:w="1288" w:type="dxa"/>
          </w:tcPr>
          <w:p>
            <w:pPr>
              <w:pStyle w:val="TableParagraph"/>
              <w:spacing w:line="262" w:lineRule="exact"/>
              <w:ind w:left="409" w:right="409"/>
              <w:jc w:val="center"/>
              <w:rPr>
                <w:sz w:val="21"/>
              </w:rPr>
            </w:pPr>
            <w:r>
              <w:rPr>
                <w:sz w:val="21"/>
              </w:rPr>
              <w:t>0.97</w:t>
            </w:r>
          </w:p>
        </w:tc>
        <w:tc>
          <w:tcPr>
            <w:tcW w:w="2198" w:type="dxa"/>
          </w:tcPr>
          <w:p>
            <w:pPr>
              <w:pStyle w:val="TableParagraph"/>
              <w:spacing w:before="36"/>
              <w:ind w:left="865" w:right="861"/>
              <w:jc w:val="center"/>
              <w:rPr>
                <w:rFonts w:ascii="Times New Roman"/>
                <w:b/>
                <w:sz w:val="21"/>
              </w:rPr>
            </w:pPr>
            <w:r>
              <w:rPr>
                <w:rFonts w:ascii="Times New Roman"/>
                <w:b/>
                <w:sz w:val="21"/>
              </w:rPr>
              <w:t>65</w:t>
            </w:r>
          </w:p>
        </w:tc>
        <w:tc>
          <w:tcPr>
            <w:tcW w:w="1454" w:type="dxa"/>
          </w:tcPr>
          <w:p>
            <w:pPr>
              <w:pStyle w:val="TableParagraph"/>
              <w:spacing w:line="262" w:lineRule="exact"/>
              <w:ind w:left="442" w:right="437"/>
              <w:jc w:val="center"/>
              <w:rPr>
                <w:sz w:val="21"/>
              </w:rPr>
            </w:pPr>
            <w:r>
              <w:rPr>
                <w:sz w:val="21"/>
              </w:rPr>
              <w:t>30.05</w:t>
            </w:r>
          </w:p>
        </w:tc>
        <w:tc>
          <w:tcPr>
            <w:tcW w:w="1444" w:type="dxa"/>
          </w:tcPr>
          <w:p>
            <w:pPr>
              <w:pStyle w:val="TableParagraph"/>
              <w:spacing w:line="262" w:lineRule="exact"/>
              <w:ind w:left="438" w:right="431"/>
              <w:jc w:val="center"/>
              <w:rPr>
                <w:sz w:val="21"/>
              </w:rPr>
            </w:pPr>
            <w:r>
              <w:rPr>
                <w:sz w:val="21"/>
              </w:rPr>
              <w:t>19.38</w:t>
            </w:r>
          </w:p>
        </w:tc>
      </w:tr>
      <w:tr>
        <w:trPr>
          <w:trHeight w:val="314" w:hRule="atLeast"/>
        </w:trPr>
        <w:tc>
          <w:tcPr>
            <w:tcW w:w="2028" w:type="dxa"/>
          </w:tcPr>
          <w:p>
            <w:pPr>
              <w:pStyle w:val="TableParagraph"/>
              <w:spacing w:before="39"/>
              <w:ind w:left="782" w:right="774"/>
              <w:jc w:val="center"/>
              <w:rPr>
                <w:rFonts w:ascii="Times New Roman"/>
                <w:b/>
                <w:sz w:val="21"/>
              </w:rPr>
            </w:pPr>
            <w:r>
              <w:rPr>
                <w:rFonts w:ascii="Times New Roman"/>
                <w:b/>
                <w:sz w:val="21"/>
              </w:rPr>
              <w:t>25</w:t>
            </w:r>
          </w:p>
        </w:tc>
        <w:tc>
          <w:tcPr>
            <w:tcW w:w="1469" w:type="dxa"/>
          </w:tcPr>
          <w:p>
            <w:pPr>
              <w:pStyle w:val="TableParagraph"/>
              <w:spacing w:line="265" w:lineRule="exact"/>
              <w:ind w:left="499" w:right="499"/>
              <w:jc w:val="center"/>
              <w:rPr>
                <w:sz w:val="21"/>
              </w:rPr>
            </w:pPr>
            <w:r>
              <w:rPr>
                <w:sz w:val="21"/>
              </w:rPr>
              <w:t>0.95</w:t>
            </w:r>
          </w:p>
        </w:tc>
        <w:tc>
          <w:tcPr>
            <w:tcW w:w="1288" w:type="dxa"/>
          </w:tcPr>
          <w:p>
            <w:pPr>
              <w:pStyle w:val="TableParagraph"/>
              <w:spacing w:line="265" w:lineRule="exact"/>
              <w:ind w:left="409" w:right="409"/>
              <w:jc w:val="center"/>
              <w:rPr>
                <w:sz w:val="21"/>
              </w:rPr>
            </w:pPr>
            <w:r>
              <w:rPr>
                <w:sz w:val="21"/>
              </w:rPr>
              <w:t>1.02</w:t>
            </w:r>
          </w:p>
        </w:tc>
        <w:tc>
          <w:tcPr>
            <w:tcW w:w="2198" w:type="dxa"/>
          </w:tcPr>
          <w:p>
            <w:pPr>
              <w:pStyle w:val="TableParagraph"/>
              <w:spacing w:before="39"/>
              <w:ind w:left="865" w:right="861"/>
              <w:jc w:val="center"/>
              <w:rPr>
                <w:rFonts w:ascii="Times New Roman"/>
                <w:b/>
                <w:sz w:val="21"/>
              </w:rPr>
            </w:pPr>
            <w:r>
              <w:rPr>
                <w:rFonts w:ascii="Times New Roman"/>
                <w:b/>
                <w:sz w:val="21"/>
              </w:rPr>
              <w:t>66</w:t>
            </w:r>
          </w:p>
        </w:tc>
        <w:tc>
          <w:tcPr>
            <w:tcW w:w="1454" w:type="dxa"/>
          </w:tcPr>
          <w:p>
            <w:pPr>
              <w:pStyle w:val="TableParagraph"/>
              <w:spacing w:line="265" w:lineRule="exact"/>
              <w:ind w:left="442" w:right="437"/>
              <w:jc w:val="center"/>
              <w:rPr>
                <w:sz w:val="21"/>
              </w:rPr>
            </w:pPr>
            <w:r>
              <w:rPr>
                <w:sz w:val="21"/>
              </w:rPr>
              <w:t>30.71</w:t>
            </w:r>
          </w:p>
        </w:tc>
        <w:tc>
          <w:tcPr>
            <w:tcW w:w="1444" w:type="dxa"/>
          </w:tcPr>
          <w:p>
            <w:pPr>
              <w:pStyle w:val="TableParagraph"/>
              <w:spacing w:line="265" w:lineRule="exact"/>
              <w:ind w:left="438" w:right="431"/>
              <w:jc w:val="center"/>
              <w:rPr>
                <w:sz w:val="21"/>
              </w:rPr>
            </w:pPr>
            <w:r>
              <w:rPr>
                <w:sz w:val="21"/>
              </w:rPr>
              <w:t>20.04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26</w:t>
            </w:r>
          </w:p>
        </w:tc>
        <w:tc>
          <w:tcPr>
            <w:tcW w:w="1469" w:type="dxa"/>
          </w:tcPr>
          <w:p>
            <w:pPr>
              <w:pStyle w:val="TableParagraph"/>
              <w:spacing w:line="262" w:lineRule="exact"/>
              <w:ind w:left="499" w:right="499"/>
              <w:jc w:val="center"/>
              <w:rPr>
                <w:sz w:val="21"/>
              </w:rPr>
            </w:pPr>
            <w:r>
              <w:rPr>
                <w:sz w:val="21"/>
              </w:rPr>
              <w:t>0.96</w:t>
            </w:r>
          </w:p>
        </w:tc>
        <w:tc>
          <w:tcPr>
            <w:tcW w:w="1288" w:type="dxa"/>
          </w:tcPr>
          <w:p>
            <w:pPr>
              <w:pStyle w:val="TableParagraph"/>
              <w:spacing w:line="262" w:lineRule="exact"/>
              <w:ind w:left="409" w:right="409"/>
              <w:jc w:val="center"/>
              <w:rPr>
                <w:sz w:val="21"/>
              </w:rPr>
            </w:pPr>
            <w:r>
              <w:rPr>
                <w:sz w:val="21"/>
              </w:rPr>
              <w:t>1.05</w:t>
            </w:r>
          </w:p>
        </w:tc>
        <w:tc>
          <w:tcPr>
            <w:tcW w:w="2198" w:type="dxa"/>
          </w:tcPr>
          <w:p>
            <w:pPr>
              <w:pStyle w:val="TableParagraph"/>
              <w:spacing w:before="36"/>
              <w:ind w:left="865" w:right="861"/>
              <w:jc w:val="center"/>
              <w:rPr>
                <w:rFonts w:ascii="Times New Roman"/>
                <w:b/>
                <w:sz w:val="21"/>
              </w:rPr>
            </w:pPr>
            <w:r>
              <w:rPr>
                <w:rFonts w:ascii="Times New Roman"/>
                <w:b/>
                <w:sz w:val="21"/>
              </w:rPr>
              <w:t>67</w:t>
            </w:r>
          </w:p>
        </w:tc>
        <w:tc>
          <w:tcPr>
            <w:tcW w:w="1454" w:type="dxa"/>
          </w:tcPr>
          <w:p>
            <w:pPr>
              <w:pStyle w:val="TableParagraph"/>
              <w:spacing w:line="262" w:lineRule="exact"/>
              <w:ind w:left="442" w:right="437"/>
              <w:jc w:val="center"/>
              <w:rPr>
                <w:sz w:val="21"/>
              </w:rPr>
            </w:pPr>
            <w:r>
              <w:rPr>
                <w:sz w:val="21"/>
              </w:rPr>
              <w:t>31.79</w:t>
            </w:r>
          </w:p>
        </w:tc>
        <w:tc>
          <w:tcPr>
            <w:tcW w:w="1444" w:type="dxa"/>
          </w:tcPr>
          <w:p>
            <w:pPr>
              <w:pStyle w:val="TableParagraph"/>
              <w:spacing w:line="262" w:lineRule="exact"/>
              <w:ind w:left="438" w:right="431"/>
              <w:jc w:val="center"/>
              <w:rPr>
                <w:sz w:val="21"/>
              </w:rPr>
            </w:pPr>
            <w:r>
              <w:rPr>
                <w:sz w:val="21"/>
              </w:rPr>
              <w:t>20.63</w:t>
            </w:r>
          </w:p>
        </w:tc>
      </w:tr>
      <w:tr>
        <w:trPr>
          <w:trHeight w:val="312" w:hRule="atLeast"/>
        </w:trPr>
        <w:tc>
          <w:tcPr>
            <w:tcW w:w="2028" w:type="dxa"/>
          </w:tcPr>
          <w:p>
            <w:pPr>
              <w:pStyle w:val="TableParagraph"/>
              <w:spacing w:before="37"/>
              <w:ind w:left="782" w:right="774"/>
              <w:jc w:val="center"/>
              <w:rPr>
                <w:rFonts w:ascii="Times New Roman"/>
                <w:b/>
                <w:sz w:val="21"/>
              </w:rPr>
            </w:pPr>
            <w:r>
              <w:rPr>
                <w:rFonts w:ascii="Times New Roman"/>
                <w:b/>
                <w:sz w:val="21"/>
              </w:rPr>
              <w:t>27</w:t>
            </w:r>
          </w:p>
        </w:tc>
        <w:tc>
          <w:tcPr>
            <w:tcW w:w="1469" w:type="dxa"/>
          </w:tcPr>
          <w:p>
            <w:pPr>
              <w:pStyle w:val="TableParagraph"/>
              <w:spacing w:line="263" w:lineRule="exact"/>
              <w:ind w:left="499" w:right="499"/>
              <w:jc w:val="center"/>
              <w:rPr>
                <w:sz w:val="21"/>
              </w:rPr>
            </w:pPr>
            <w:r>
              <w:rPr>
                <w:sz w:val="21"/>
              </w:rPr>
              <w:t>0.99</w:t>
            </w:r>
          </w:p>
        </w:tc>
        <w:tc>
          <w:tcPr>
            <w:tcW w:w="1288" w:type="dxa"/>
          </w:tcPr>
          <w:p>
            <w:pPr>
              <w:pStyle w:val="TableParagraph"/>
              <w:spacing w:line="263" w:lineRule="exact"/>
              <w:ind w:left="409" w:right="409"/>
              <w:jc w:val="center"/>
              <w:rPr>
                <w:sz w:val="21"/>
              </w:rPr>
            </w:pPr>
            <w:r>
              <w:rPr>
                <w:sz w:val="21"/>
              </w:rPr>
              <w:t>1.09</w:t>
            </w:r>
          </w:p>
        </w:tc>
        <w:tc>
          <w:tcPr>
            <w:tcW w:w="2198" w:type="dxa"/>
          </w:tcPr>
          <w:p>
            <w:pPr>
              <w:pStyle w:val="TableParagraph"/>
              <w:spacing w:before="37"/>
              <w:ind w:left="865" w:right="861"/>
              <w:jc w:val="center"/>
              <w:rPr>
                <w:rFonts w:ascii="Times New Roman"/>
                <w:b/>
                <w:sz w:val="21"/>
              </w:rPr>
            </w:pPr>
            <w:r>
              <w:rPr>
                <w:rFonts w:ascii="Times New Roman"/>
                <w:b/>
                <w:sz w:val="21"/>
              </w:rPr>
              <w:t>68</w:t>
            </w:r>
          </w:p>
        </w:tc>
        <w:tc>
          <w:tcPr>
            <w:tcW w:w="1454" w:type="dxa"/>
          </w:tcPr>
          <w:p>
            <w:pPr>
              <w:pStyle w:val="TableParagraph"/>
              <w:spacing w:line="263" w:lineRule="exact"/>
              <w:ind w:left="442" w:right="437"/>
              <w:jc w:val="center"/>
              <w:rPr>
                <w:sz w:val="21"/>
              </w:rPr>
            </w:pPr>
            <w:r>
              <w:rPr>
                <w:sz w:val="21"/>
              </w:rPr>
              <w:t>32.85</w:t>
            </w:r>
          </w:p>
        </w:tc>
        <w:tc>
          <w:tcPr>
            <w:tcW w:w="1444" w:type="dxa"/>
          </w:tcPr>
          <w:p>
            <w:pPr>
              <w:pStyle w:val="TableParagraph"/>
              <w:spacing w:line="263" w:lineRule="exact"/>
              <w:ind w:left="438" w:right="431"/>
              <w:jc w:val="center"/>
              <w:rPr>
                <w:sz w:val="21"/>
              </w:rPr>
            </w:pPr>
            <w:r>
              <w:rPr>
                <w:sz w:val="21"/>
              </w:rPr>
              <w:t>21.18</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28</w:t>
            </w:r>
          </w:p>
        </w:tc>
        <w:tc>
          <w:tcPr>
            <w:tcW w:w="1469" w:type="dxa"/>
          </w:tcPr>
          <w:p>
            <w:pPr>
              <w:pStyle w:val="TableParagraph"/>
              <w:spacing w:line="262" w:lineRule="exact"/>
              <w:ind w:left="499" w:right="499"/>
              <w:jc w:val="center"/>
              <w:rPr>
                <w:sz w:val="21"/>
              </w:rPr>
            </w:pPr>
            <w:r>
              <w:rPr>
                <w:sz w:val="21"/>
              </w:rPr>
              <w:t>1.08</w:t>
            </w:r>
          </w:p>
        </w:tc>
        <w:tc>
          <w:tcPr>
            <w:tcW w:w="1288" w:type="dxa"/>
          </w:tcPr>
          <w:p>
            <w:pPr>
              <w:pStyle w:val="TableParagraph"/>
              <w:spacing w:line="262" w:lineRule="exact"/>
              <w:ind w:left="409" w:right="409"/>
              <w:jc w:val="center"/>
              <w:rPr>
                <w:sz w:val="21"/>
              </w:rPr>
            </w:pPr>
            <w:r>
              <w:rPr>
                <w:sz w:val="21"/>
              </w:rPr>
              <w:t>1.24</w:t>
            </w:r>
          </w:p>
        </w:tc>
        <w:tc>
          <w:tcPr>
            <w:tcW w:w="2198" w:type="dxa"/>
          </w:tcPr>
          <w:p>
            <w:pPr>
              <w:pStyle w:val="TableParagraph"/>
              <w:spacing w:before="36"/>
              <w:ind w:left="865" w:right="861"/>
              <w:jc w:val="center"/>
              <w:rPr>
                <w:rFonts w:ascii="Times New Roman"/>
                <w:b/>
                <w:sz w:val="21"/>
              </w:rPr>
            </w:pPr>
            <w:r>
              <w:rPr>
                <w:rFonts w:ascii="Times New Roman"/>
                <w:b/>
                <w:sz w:val="21"/>
              </w:rPr>
              <w:t>69</w:t>
            </w:r>
          </w:p>
        </w:tc>
        <w:tc>
          <w:tcPr>
            <w:tcW w:w="1454" w:type="dxa"/>
          </w:tcPr>
          <w:p>
            <w:pPr>
              <w:pStyle w:val="TableParagraph"/>
              <w:spacing w:line="262" w:lineRule="exact"/>
              <w:ind w:left="442" w:right="437"/>
              <w:jc w:val="center"/>
              <w:rPr>
                <w:sz w:val="21"/>
              </w:rPr>
            </w:pPr>
            <w:r>
              <w:rPr>
                <w:sz w:val="21"/>
              </w:rPr>
              <w:t>33.50</w:t>
            </w:r>
          </w:p>
        </w:tc>
        <w:tc>
          <w:tcPr>
            <w:tcW w:w="1444" w:type="dxa"/>
          </w:tcPr>
          <w:p>
            <w:pPr>
              <w:pStyle w:val="TableParagraph"/>
              <w:spacing w:line="262" w:lineRule="exact"/>
              <w:ind w:left="438" w:right="431"/>
              <w:jc w:val="center"/>
              <w:rPr>
                <w:sz w:val="21"/>
              </w:rPr>
            </w:pPr>
            <w:r>
              <w:rPr>
                <w:sz w:val="21"/>
              </w:rPr>
              <w:t>21.78</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29</w:t>
            </w:r>
          </w:p>
        </w:tc>
        <w:tc>
          <w:tcPr>
            <w:tcW w:w="1469" w:type="dxa"/>
          </w:tcPr>
          <w:p>
            <w:pPr>
              <w:pStyle w:val="TableParagraph"/>
              <w:spacing w:line="262" w:lineRule="exact"/>
              <w:ind w:left="499" w:right="499"/>
              <w:jc w:val="center"/>
              <w:rPr>
                <w:sz w:val="21"/>
              </w:rPr>
            </w:pPr>
            <w:r>
              <w:rPr>
                <w:sz w:val="21"/>
              </w:rPr>
              <w:t>1.14</w:t>
            </w:r>
          </w:p>
        </w:tc>
        <w:tc>
          <w:tcPr>
            <w:tcW w:w="1288" w:type="dxa"/>
          </w:tcPr>
          <w:p>
            <w:pPr>
              <w:pStyle w:val="TableParagraph"/>
              <w:spacing w:line="262" w:lineRule="exact"/>
              <w:ind w:left="409" w:right="409"/>
              <w:jc w:val="center"/>
              <w:rPr>
                <w:sz w:val="21"/>
              </w:rPr>
            </w:pPr>
            <w:r>
              <w:rPr>
                <w:sz w:val="21"/>
              </w:rPr>
              <w:t>1.34</w:t>
            </w:r>
          </w:p>
        </w:tc>
        <w:tc>
          <w:tcPr>
            <w:tcW w:w="2198" w:type="dxa"/>
          </w:tcPr>
          <w:p>
            <w:pPr>
              <w:pStyle w:val="TableParagraph"/>
              <w:spacing w:before="36"/>
              <w:ind w:left="865" w:right="861"/>
              <w:jc w:val="center"/>
              <w:rPr>
                <w:rFonts w:ascii="Times New Roman"/>
                <w:b/>
                <w:sz w:val="21"/>
              </w:rPr>
            </w:pPr>
            <w:r>
              <w:rPr>
                <w:rFonts w:ascii="Times New Roman"/>
                <w:b/>
                <w:sz w:val="21"/>
              </w:rPr>
              <w:t>70</w:t>
            </w:r>
          </w:p>
        </w:tc>
        <w:tc>
          <w:tcPr>
            <w:tcW w:w="1454" w:type="dxa"/>
          </w:tcPr>
          <w:p>
            <w:pPr>
              <w:pStyle w:val="TableParagraph"/>
              <w:spacing w:line="262" w:lineRule="exact"/>
              <w:ind w:left="442" w:right="437"/>
              <w:jc w:val="center"/>
              <w:rPr>
                <w:sz w:val="21"/>
              </w:rPr>
            </w:pPr>
            <w:r>
              <w:rPr>
                <w:sz w:val="21"/>
              </w:rPr>
              <w:t>34.56</w:t>
            </w:r>
          </w:p>
        </w:tc>
        <w:tc>
          <w:tcPr>
            <w:tcW w:w="1444" w:type="dxa"/>
          </w:tcPr>
          <w:p>
            <w:pPr>
              <w:pStyle w:val="TableParagraph"/>
              <w:spacing w:line="262" w:lineRule="exact"/>
              <w:ind w:left="438" w:right="431"/>
              <w:jc w:val="center"/>
              <w:rPr>
                <w:sz w:val="21"/>
              </w:rPr>
            </w:pPr>
            <w:r>
              <w:rPr>
                <w:sz w:val="21"/>
              </w:rPr>
              <w:t>22.10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30</w:t>
            </w:r>
          </w:p>
        </w:tc>
        <w:tc>
          <w:tcPr>
            <w:tcW w:w="1469" w:type="dxa"/>
          </w:tcPr>
          <w:p>
            <w:pPr>
              <w:pStyle w:val="TableParagraph"/>
              <w:spacing w:line="262" w:lineRule="exact"/>
              <w:ind w:left="499" w:right="499"/>
              <w:jc w:val="center"/>
              <w:rPr>
                <w:sz w:val="21"/>
              </w:rPr>
            </w:pPr>
            <w:r>
              <w:rPr>
                <w:sz w:val="21"/>
              </w:rPr>
              <w:t>1.20</w:t>
            </w:r>
          </w:p>
        </w:tc>
        <w:tc>
          <w:tcPr>
            <w:tcW w:w="1288" w:type="dxa"/>
          </w:tcPr>
          <w:p>
            <w:pPr>
              <w:pStyle w:val="TableParagraph"/>
              <w:spacing w:line="262" w:lineRule="exact"/>
              <w:ind w:left="409" w:right="409"/>
              <w:jc w:val="center"/>
              <w:rPr>
                <w:sz w:val="21"/>
              </w:rPr>
            </w:pPr>
            <w:r>
              <w:rPr>
                <w:sz w:val="21"/>
              </w:rPr>
              <w:t>1.41</w:t>
            </w:r>
          </w:p>
        </w:tc>
        <w:tc>
          <w:tcPr>
            <w:tcW w:w="2198" w:type="dxa"/>
          </w:tcPr>
          <w:p>
            <w:pPr>
              <w:pStyle w:val="TableParagraph"/>
              <w:spacing w:before="36"/>
              <w:ind w:left="865" w:right="861"/>
              <w:jc w:val="center"/>
              <w:rPr>
                <w:rFonts w:ascii="Times New Roman"/>
                <w:b/>
                <w:sz w:val="21"/>
              </w:rPr>
            </w:pPr>
            <w:r>
              <w:rPr>
                <w:rFonts w:ascii="Times New Roman"/>
                <w:b/>
                <w:sz w:val="21"/>
              </w:rPr>
              <w:t>71</w:t>
            </w:r>
          </w:p>
        </w:tc>
        <w:tc>
          <w:tcPr>
            <w:tcW w:w="1454" w:type="dxa"/>
          </w:tcPr>
          <w:p>
            <w:pPr>
              <w:pStyle w:val="TableParagraph"/>
              <w:spacing w:line="262" w:lineRule="exact"/>
              <w:ind w:left="442" w:right="437"/>
              <w:jc w:val="center"/>
              <w:rPr>
                <w:sz w:val="21"/>
              </w:rPr>
            </w:pPr>
            <w:r>
              <w:rPr>
                <w:sz w:val="21"/>
              </w:rPr>
              <w:t>36.29</w:t>
            </w:r>
          </w:p>
        </w:tc>
        <w:tc>
          <w:tcPr>
            <w:tcW w:w="1444" w:type="dxa"/>
          </w:tcPr>
          <w:p>
            <w:pPr>
              <w:pStyle w:val="TableParagraph"/>
              <w:spacing w:line="262" w:lineRule="exact"/>
              <w:ind w:left="438" w:right="431"/>
              <w:jc w:val="center"/>
              <w:rPr>
                <w:sz w:val="21"/>
              </w:rPr>
            </w:pPr>
            <w:r>
              <w:rPr>
                <w:sz w:val="21"/>
              </w:rPr>
              <w:t>22.76</w:t>
            </w:r>
          </w:p>
        </w:tc>
      </w:tr>
      <w:tr>
        <w:trPr>
          <w:trHeight w:val="314" w:hRule="atLeast"/>
        </w:trPr>
        <w:tc>
          <w:tcPr>
            <w:tcW w:w="2028" w:type="dxa"/>
          </w:tcPr>
          <w:p>
            <w:pPr>
              <w:pStyle w:val="TableParagraph"/>
              <w:spacing w:before="39"/>
              <w:ind w:left="782" w:right="774"/>
              <w:jc w:val="center"/>
              <w:rPr>
                <w:rFonts w:ascii="Times New Roman"/>
                <w:b/>
                <w:sz w:val="21"/>
              </w:rPr>
            </w:pPr>
            <w:r>
              <w:rPr>
                <w:rFonts w:ascii="Times New Roman"/>
                <w:b/>
                <w:sz w:val="21"/>
              </w:rPr>
              <w:t>31</w:t>
            </w:r>
          </w:p>
        </w:tc>
        <w:tc>
          <w:tcPr>
            <w:tcW w:w="1469" w:type="dxa"/>
          </w:tcPr>
          <w:p>
            <w:pPr>
              <w:pStyle w:val="TableParagraph"/>
              <w:spacing w:line="265" w:lineRule="exact"/>
              <w:ind w:left="499" w:right="499"/>
              <w:jc w:val="center"/>
              <w:rPr>
                <w:sz w:val="21"/>
              </w:rPr>
            </w:pPr>
            <w:r>
              <w:rPr>
                <w:sz w:val="21"/>
              </w:rPr>
              <w:t>1.29</w:t>
            </w:r>
          </w:p>
        </w:tc>
        <w:tc>
          <w:tcPr>
            <w:tcW w:w="1288" w:type="dxa"/>
          </w:tcPr>
          <w:p>
            <w:pPr>
              <w:pStyle w:val="TableParagraph"/>
              <w:spacing w:line="265" w:lineRule="exact"/>
              <w:ind w:left="409" w:right="409"/>
              <w:jc w:val="center"/>
              <w:rPr>
                <w:sz w:val="21"/>
              </w:rPr>
            </w:pPr>
            <w:r>
              <w:rPr>
                <w:sz w:val="21"/>
              </w:rPr>
              <w:t>1.58</w:t>
            </w:r>
          </w:p>
        </w:tc>
        <w:tc>
          <w:tcPr>
            <w:tcW w:w="2198" w:type="dxa"/>
          </w:tcPr>
          <w:p>
            <w:pPr>
              <w:pStyle w:val="TableParagraph"/>
              <w:spacing w:before="39"/>
              <w:ind w:left="865" w:right="861"/>
              <w:jc w:val="center"/>
              <w:rPr>
                <w:rFonts w:ascii="Times New Roman"/>
                <w:b/>
                <w:sz w:val="21"/>
              </w:rPr>
            </w:pPr>
            <w:r>
              <w:rPr>
                <w:rFonts w:ascii="Times New Roman"/>
                <w:b/>
                <w:sz w:val="21"/>
              </w:rPr>
              <w:t>72</w:t>
            </w:r>
          </w:p>
        </w:tc>
        <w:tc>
          <w:tcPr>
            <w:tcW w:w="1454" w:type="dxa"/>
          </w:tcPr>
          <w:p>
            <w:pPr>
              <w:pStyle w:val="TableParagraph"/>
              <w:spacing w:line="265" w:lineRule="exact"/>
              <w:ind w:left="442" w:right="437"/>
              <w:jc w:val="center"/>
              <w:rPr>
                <w:sz w:val="21"/>
              </w:rPr>
            </w:pPr>
            <w:r>
              <w:rPr>
                <w:sz w:val="21"/>
              </w:rPr>
              <w:t>38.46</w:t>
            </w:r>
          </w:p>
        </w:tc>
        <w:tc>
          <w:tcPr>
            <w:tcW w:w="1444" w:type="dxa"/>
          </w:tcPr>
          <w:p>
            <w:pPr>
              <w:pStyle w:val="TableParagraph"/>
              <w:spacing w:line="265" w:lineRule="exact"/>
              <w:ind w:left="438" w:right="431"/>
              <w:jc w:val="center"/>
              <w:rPr>
                <w:sz w:val="21"/>
              </w:rPr>
            </w:pPr>
            <w:r>
              <w:rPr>
                <w:sz w:val="21"/>
              </w:rPr>
              <w:t>23.78</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32</w:t>
            </w:r>
          </w:p>
        </w:tc>
        <w:tc>
          <w:tcPr>
            <w:tcW w:w="1469" w:type="dxa"/>
          </w:tcPr>
          <w:p>
            <w:pPr>
              <w:pStyle w:val="TableParagraph"/>
              <w:spacing w:line="262" w:lineRule="exact"/>
              <w:ind w:left="499" w:right="499"/>
              <w:jc w:val="center"/>
              <w:rPr>
                <w:sz w:val="21"/>
              </w:rPr>
            </w:pPr>
            <w:r>
              <w:rPr>
                <w:sz w:val="21"/>
              </w:rPr>
              <w:t>1.37</w:t>
            </w:r>
          </w:p>
        </w:tc>
        <w:tc>
          <w:tcPr>
            <w:tcW w:w="1288" w:type="dxa"/>
          </w:tcPr>
          <w:p>
            <w:pPr>
              <w:pStyle w:val="TableParagraph"/>
              <w:spacing w:line="262" w:lineRule="exact"/>
              <w:ind w:left="409" w:right="409"/>
              <w:jc w:val="center"/>
              <w:rPr>
                <w:sz w:val="21"/>
              </w:rPr>
            </w:pPr>
            <w:r>
              <w:rPr>
                <w:sz w:val="21"/>
              </w:rPr>
              <w:t>1.73</w:t>
            </w:r>
          </w:p>
        </w:tc>
        <w:tc>
          <w:tcPr>
            <w:tcW w:w="2198" w:type="dxa"/>
          </w:tcPr>
          <w:p>
            <w:pPr>
              <w:pStyle w:val="TableParagraph"/>
              <w:spacing w:before="36"/>
              <w:ind w:left="865" w:right="861"/>
              <w:jc w:val="center"/>
              <w:rPr>
                <w:rFonts w:ascii="Times New Roman"/>
                <w:b/>
                <w:sz w:val="21"/>
              </w:rPr>
            </w:pPr>
            <w:r>
              <w:rPr>
                <w:rFonts w:ascii="Times New Roman"/>
                <w:b/>
                <w:sz w:val="21"/>
              </w:rPr>
              <w:t>73</w:t>
            </w:r>
          </w:p>
        </w:tc>
        <w:tc>
          <w:tcPr>
            <w:tcW w:w="1454" w:type="dxa"/>
          </w:tcPr>
          <w:p>
            <w:pPr>
              <w:pStyle w:val="TableParagraph"/>
              <w:spacing w:line="262" w:lineRule="exact"/>
              <w:ind w:left="442" w:right="437"/>
              <w:jc w:val="center"/>
              <w:rPr>
                <w:sz w:val="21"/>
              </w:rPr>
            </w:pPr>
            <w:r>
              <w:rPr>
                <w:sz w:val="21"/>
              </w:rPr>
              <w:t>41.15</w:t>
            </w:r>
          </w:p>
        </w:tc>
        <w:tc>
          <w:tcPr>
            <w:tcW w:w="1444" w:type="dxa"/>
          </w:tcPr>
          <w:p>
            <w:pPr>
              <w:pStyle w:val="TableParagraph"/>
              <w:spacing w:line="262" w:lineRule="exact"/>
              <w:ind w:left="438" w:right="431"/>
              <w:jc w:val="center"/>
              <w:rPr>
                <w:sz w:val="21"/>
              </w:rPr>
            </w:pPr>
            <w:r>
              <w:rPr>
                <w:sz w:val="21"/>
              </w:rPr>
              <w:t>25.20</w:t>
            </w:r>
          </w:p>
        </w:tc>
      </w:tr>
    </w:tbl>
    <w:p>
      <w:pPr>
        <w:spacing w:after="0" w:line="262" w:lineRule="exact"/>
        <w:jc w:val="center"/>
        <w:rPr>
          <w:sz w:val="21"/>
        </w:rPr>
        <w:sectPr>
          <w:pgSz w:w="11910" w:h="16840"/>
          <w:pgMar w:header="0" w:footer="919" w:top="1580" w:bottom="1100" w:left="900" w:right="900"/>
        </w:sectPr>
      </w:pPr>
    </w:p>
    <w:p>
      <w:pPr>
        <w:pStyle w:val="BodyText"/>
        <w:spacing w:before="7"/>
        <w:ind w:left="0"/>
        <w:rPr>
          <w:sz w:val="2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1469"/>
        <w:gridCol w:w="1288"/>
        <w:gridCol w:w="2198"/>
        <w:gridCol w:w="1454"/>
        <w:gridCol w:w="1444"/>
      </w:tblGrid>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33</w:t>
            </w:r>
          </w:p>
        </w:tc>
        <w:tc>
          <w:tcPr>
            <w:tcW w:w="1469" w:type="dxa"/>
          </w:tcPr>
          <w:p>
            <w:pPr>
              <w:pStyle w:val="TableParagraph"/>
              <w:spacing w:line="262" w:lineRule="exact"/>
              <w:ind w:left="499" w:right="499"/>
              <w:jc w:val="center"/>
              <w:rPr>
                <w:sz w:val="21"/>
              </w:rPr>
            </w:pPr>
            <w:r>
              <w:rPr>
                <w:sz w:val="21"/>
              </w:rPr>
              <w:t>1.50</w:t>
            </w:r>
          </w:p>
        </w:tc>
        <w:tc>
          <w:tcPr>
            <w:tcW w:w="1288" w:type="dxa"/>
          </w:tcPr>
          <w:p>
            <w:pPr>
              <w:pStyle w:val="TableParagraph"/>
              <w:spacing w:line="262" w:lineRule="exact"/>
              <w:ind w:right="425"/>
              <w:jc w:val="right"/>
              <w:rPr>
                <w:sz w:val="21"/>
              </w:rPr>
            </w:pPr>
            <w:r>
              <w:rPr>
                <w:sz w:val="21"/>
              </w:rPr>
              <w:t>1.89</w:t>
            </w:r>
          </w:p>
        </w:tc>
        <w:tc>
          <w:tcPr>
            <w:tcW w:w="2198" w:type="dxa"/>
          </w:tcPr>
          <w:p>
            <w:pPr>
              <w:pStyle w:val="TableParagraph"/>
              <w:spacing w:before="36"/>
              <w:ind w:left="865" w:right="861"/>
              <w:jc w:val="center"/>
              <w:rPr>
                <w:rFonts w:ascii="Times New Roman"/>
                <w:b/>
                <w:sz w:val="21"/>
              </w:rPr>
            </w:pPr>
            <w:r>
              <w:rPr>
                <w:rFonts w:ascii="Times New Roman"/>
                <w:b/>
                <w:sz w:val="21"/>
              </w:rPr>
              <w:t>74</w:t>
            </w:r>
          </w:p>
        </w:tc>
        <w:tc>
          <w:tcPr>
            <w:tcW w:w="1454" w:type="dxa"/>
          </w:tcPr>
          <w:p>
            <w:pPr>
              <w:pStyle w:val="TableParagraph"/>
              <w:spacing w:line="262" w:lineRule="exact"/>
              <w:ind w:left="442" w:right="437"/>
              <w:jc w:val="center"/>
              <w:rPr>
                <w:sz w:val="21"/>
              </w:rPr>
            </w:pPr>
            <w:r>
              <w:rPr>
                <w:sz w:val="21"/>
              </w:rPr>
              <w:t>44.43</w:t>
            </w:r>
          </w:p>
        </w:tc>
        <w:tc>
          <w:tcPr>
            <w:tcW w:w="1444" w:type="dxa"/>
          </w:tcPr>
          <w:p>
            <w:pPr>
              <w:pStyle w:val="TableParagraph"/>
              <w:spacing w:line="262" w:lineRule="exact"/>
              <w:ind w:left="438" w:right="431"/>
              <w:jc w:val="center"/>
              <w:rPr>
                <w:sz w:val="21"/>
              </w:rPr>
            </w:pPr>
            <w:r>
              <w:rPr>
                <w:sz w:val="21"/>
              </w:rPr>
              <w:t>27.09</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34</w:t>
            </w:r>
          </w:p>
        </w:tc>
        <w:tc>
          <w:tcPr>
            <w:tcW w:w="1469" w:type="dxa"/>
          </w:tcPr>
          <w:p>
            <w:pPr>
              <w:pStyle w:val="TableParagraph"/>
              <w:spacing w:line="262" w:lineRule="exact"/>
              <w:ind w:left="499" w:right="499"/>
              <w:jc w:val="center"/>
              <w:rPr>
                <w:sz w:val="21"/>
              </w:rPr>
            </w:pPr>
            <w:r>
              <w:rPr>
                <w:sz w:val="21"/>
              </w:rPr>
              <w:t>1.65</w:t>
            </w:r>
          </w:p>
        </w:tc>
        <w:tc>
          <w:tcPr>
            <w:tcW w:w="1288" w:type="dxa"/>
          </w:tcPr>
          <w:p>
            <w:pPr>
              <w:pStyle w:val="TableParagraph"/>
              <w:spacing w:line="262" w:lineRule="exact"/>
              <w:ind w:right="425"/>
              <w:jc w:val="right"/>
              <w:rPr>
                <w:sz w:val="21"/>
              </w:rPr>
            </w:pPr>
            <w:r>
              <w:rPr>
                <w:sz w:val="21"/>
              </w:rPr>
              <w:t>1.97</w:t>
            </w:r>
          </w:p>
        </w:tc>
        <w:tc>
          <w:tcPr>
            <w:tcW w:w="2198" w:type="dxa"/>
          </w:tcPr>
          <w:p>
            <w:pPr>
              <w:pStyle w:val="TableParagraph"/>
              <w:spacing w:before="36"/>
              <w:ind w:left="865" w:right="861"/>
              <w:jc w:val="center"/>
              <w:rPr>
                <w:rFonts w:ascii="Times New Roman"/>
                <w:b/>
                <w:sz w:val="21"/>
              </w:rPr>
            </w:pPr>
            <w:r>
              <w:rPr>
                <w:rFonts w:ascii="Times New Roman"/>
                <w:b/>
                <w:sz w:val="21"/>
              </w:rPr>
              <w:t>75</w:t>
            </w:r>
          </w:p>
        </w:tc>
        <w:tc>
          <w:tcPr>
            <w:tcW w:w="1454" w:type="dxa"/>
          </w:tcPr>
          <w:p>
            <w:pPr>
              <w:pStyle w:val="TableParagraph"/>
              <w:spacing w:line="262" w:lineRule="exact"/>
              <w:ind w:left="442" w:right="437"/>
              <w:jc w:val="center"/>
              <w:rPr>
                <w:sz w:val="21"/>
              </w:rPr>
            </w:pPr>
            <w:r>
              <w:rPr>
                <w:sz w:val="21"/>
              </w:rPr>
              <w:t>48.44</w:t>
            </w:r>
          </w:p>
        </w:tc>
        <w:tc>
          <w:tcPr>
            <w:tcW w:w="1444" w:type="dxa"/>
          </w:tcPr>
          <w:p>
            <w:pPr>
              <w:pStyle w:val="TableParagraph"/>
              <w:spacing w:line="262" w:lineRule="exact"/>
              <w:ind w:left="438" w:right="431"/>
              <w:jc w:val="center"/>
              <w:rPr>
                <w:sz w:val="21"/>
              </w:rPr>
            </w:pPr>
            <w:r>
              <w:rPr>
                <w:sz w:val="21"/>
              </w:rPr>
              <w:t>29.54</w:t>
            </w:r>
          </w:p>
        </w:tc>
      </w:tr>
      <w:tr>
        <w:trPr>
          <w:trHeight w:val="314" w:hRule="atLeast"/>
        </w:trPr>
        <w:tc>
          <w:tcPr>
            <w:tcW w:w="2028" w:type="dxa"/>
          </w:tcPr>
          <w:p>
            <w:pPr>
              <w:pStyle w:val="TableParagraph"/>
              <w:spacing w:before="39"/>
              <w:ind w:left="782" w:right="774"/>
              <w:jc w:val="center"/>
              <w:rPr>
                <w:rFonts w:ascii="Times New Roman"/>
                <w:b/>
                <w:sz w:val="21"/>
              </w:rPr>
            </w:pPr>
            <w:r>
              <w:rPr>
                <w:rFonts w:ascii="Times New Roman"/>
                <w:b/>
                <w:sz w:val="21"/>
              </w:rPr>
              <w:t>35</w:t>
            </w:r>
          </w:p>
        </w:tc>
        <w:tc>
          <w:tcPr>
            <w:tcW w:w="1469" w:type="dxa"/>
          </w:tcPr>
          <w:p>
            <w:pPr>
              <w:pStyle w:val="TableParagraph"/>
              <w:spacing w:line="265" w:lineRule="exact"/>
              <w:ind w:left="499" w:right="499"/>
              <w:jc w:val="center"/>
              <w:rPr>
                <w:sz w:val="21"/>
              </w:rPr>
            </w:pPr>
            <w:r>
              <w:rPr>
                <w:sz w:val="21"/>
              </w:rPr>
              <w:t>1.79</w:t>
            </w:r>
          </w:p>
        </w:tc>
        <w:tc>
          <w:tcPr>
            <w:tcW w:w="1288" w:type="dxa"/>
          </w:tcPr>
          <w:p>
            <w:pPr>
              <w:pStyle w:val="TableParagraph"/>
              <w:spacing w:line="265" w:lineRule="exact"/>
              <w:ind w:right="425"/>
              <w:jc w:val="right"/>
              <w:rPr>
                <w:sz w:val="21"/>
              </w:rPr>
            </w:pPr>
            <w:r>
              <w:rPr>
                <w:sz w:val="21"/>
              </w:rPr>
              <w:t>2.07</w:t>
            </w:r>
          </w:p>
        </w:tc>
        <w:tc>
          <w:tcPr>
            <w:tcW w:w="2198" w:type="dxa"/>
          </w:tcPr>
          <w:p>
            <w:pPr>
              <w:pStyle w:val="TableParagraph"/>
              <w:spacing w:before="39"/>
              <w:ind w:left="865" w:right="861"/>
              <w:jc w:val="center"/>
              <w:rPr>
                <w:rFonts w:ascii="Times New Roman"/>
                <w:b/>
                <w:sz w:val="21"/>
              </w:rPr>
            </w:pPr>
            <w:r>
              <w:rPr>
                <w:rFonts w:ascii="Times New Roman"/>
                <w:b/>
                <w:sz w:val="21"/>
              </w:rPr>
              <w:t>76</w:t>
            </w:r>
          </w:p>
        </w:tc>
        <w:tc>
          <w:tcPr>
            <w:tcW w:w="1454" w:type="dxa"/>
          </w:tcPr>
          <w:p>
            <w:pPr>
              <w:pStyle w:val="TableParagraph"/>
              <w:spacing w:line="265" w:lineRule="exact"/>
              <w:ind w:left="442" w:right="437"/>
              <w:jc w:val="center"/>
              <w:rPr>
                <w:sz w:val="21"/>
              </w:rPr>
            </w:pPr>
            <w:r>
              <w:rPr>
                <w:sz w:val="21"/>
              </w:rPr>
              <w:t>52.80</w:t>
            </w:r>
          </w:p>
        </w:tc>
        <w:tc>
          <w:tcPr>
            <w:tcW w:w="1444" w:type="dxa"/>
          </w:tcPr>
          <w:p>
            <w:pPr>
              <w:pStyle w:val="TableParagraph"/>
              <w:spacing w:line="265" w:lineRule="exact"/>
              <w:ind w:left="438" w:right="431"/>
              <w:jc w:val="center"/>
              <w:rPr>
                <w:sz w:val="21"/>
              </w:rPr>
            </w:pPr>
            <w:r>
              <w:rPr>
                <w:sz w:val="21"/>
              </w:rPr>
              <w:t>32.64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36</w:t>
            </w:r>
          </w:p>
        </w:tc>
        <w:tc>
          <w:tcPr>
            <w:tcW w:w="1469" w:type="dxa"/>
          </w:tcPr>
          <w:p>
            <w:pPr>
              <w:pStyle w:val="TableParagraph"/>
              <w:spacing w:line="262" w:lineRule="exact"/>
              <w:ind w:left="499" w:right="499"/>
              <w:jc w:val="center"/>
              <w:rPr>
                <w:sz w:val="21"/>
              </w:rPr>
            </w:pPr>
            <w:r>
              <w:rPr>
                <w:sz w:val="21"/>
              </w:rPr>
              <w:t>1.97</w:t>
            </w:r>
          </w:p>
        </w:tc>
        <w:tc>
          <w:tcPr>
            <w:tcW w:w="1288" w:type="dxa"/>
          </w:tcPr>
          <w:p>
            <w:pPr>
              <w:pStyle w:val="TableParagraph"/>
              <w:spacing w:line="262" w:lineRule="exact"/>
              <w:ind w:right="425"/>
              <w:jc w:val="right"/>
              <w:rPr>
                <w:sz w:val="21"/>
              </w:rPr>
            </w:pPr>
            <w:r>
              <w:rPr>
                <w:sz w:val="21"/>
              </w:rPr>
              <w:t>2.24</w:t>
            </w:r>
          </w:p>
        </w:tc>
        <w:tc>
          <w:tcPr>
            <w:tcW w:w="2198" w:type="dxa"/>
          </w:tcPr>
          <w:p>
            <w:pPr>
              <w:pStyle w:val="TableParagraph"/>
              <w:spacing w:before="36"/>
              <w:ind w:left="865" w:right="861"/>
              <w:jc w:val="center"/>
              <w:rPr>
                <w:rFonts w:ascii="Times New Roman"/>
                <w:b/>
                <w:sz w:val="21"/>
              </w:rPr>
            </w:pPr>
            <w:r>
              <w:rPr>
                <w:rFonts w:ascii="Times New Roman"/>
                <w:b/>
                <w:sz w:val="21"/>
              </w:rPr>
              <w:t>77</w:t>
            </w:r>
          </w:p>
        </w:tc>
        <w:tc>
          <w:tcPr>
            <w:tcW w:w="1454" w:type="dxa"/>
          </w:tcPr>
          <w:p>
            <w:pPr>
              <w:pStyle w:val="TableParagraph"/>
              <w:spacing w:line="262" w:lineRule="exact"/>
              <w:ind w:left="442" w:right="437"/>
              <w:jc w:val="center"/>
              <w:rPr>
                <w:sz w:val="21"/>
              </w:rPr>
            </w:pPr>
            <w:r>
              <w:rPr>
                <w:sz w:val="21"/>
              </w:rPr>
              <w:t>57.56</w:t>
            </w:r>
          </w:p>
        </w:tc>
        <w:tc>
          <w:tcPr>
            <w:tcW w:w="1444" w:type="dxa"/>
          </w:tcPr>
          <w:p>
            <w:pPr>
              <w:pStyle w:val="TableParagraph"/>
              <w:spacing w:line="262" w:lineRule="exact"/>
              <w:ind w:left="438" w:right="431"/>
              <w:jc w:val="center"/>
              <w:rPr>
                <w:sz w:val="21"/>
              </w:rPr>
            </w:pPr>
            <w:r>
              <w:rPr>
                <w:sz w:val="21"/>
              </w:rPr>
              <w:t>36.06</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37</w:t>
            </w:r>
          </w:p>
        </w:tc>
        <w:tc>
          <w:tcPr>
            <w:tcW w:w="1469" w:type="dxa"/>
          </w:tcPr>
          <w:p>
            <w:pPr>
              <w:pStyle w:val="TableParagraph"/>
              <w:spacing w:line="262" w:lineRule="exact"/>
              <w:ind w:left="499" w:right="499"/>
              <w:jc w:val="center"/>
              <w:rPr>
                <w:sz w:val="21"/>
              </w:rPr>
            </w:pPr>
            <w:r>
              <w:rPr>
                <w:sz w:val="21"/>
              </w:rPr>
              <w:t>2.09</w:t>
            </w:r>
          </w:p>
        </w:tc>
        <w:tc>
          <w:tcPr>
            <w:tcW w:w="1288" w:type="dxa"/>
          </w:tcPr>
          <w:p>
            <w:pPr>
              <w:pStyle w:val="TableParagraph"/>
              <w:spacing w:line="262" w:lineRule="exact"/>
              <w:ind w:right="425"/>
              <w:jc w:val="right"/>
              <w:rPr>
                <w:sz w:val="21"/>
              </w:rPr>
            </w:pPr>
            <w:r>
              <w:rPr>
                <w:sz w:val="21"/>
              </w:rPr>
              <w:t>2.40</w:t>
            </w:r>
          </w:p>
        </w:tc>
        <w:tc>
          <w:tcPr>
            <w:tcW w:w="2198" w:type="dxa"/>
          </w:tcPr>
          <w:p>
            <w:pPr>
              <w:pStyle w:val="TableParagraph"/>
              <w:spacing w:before="36"/>
              <w:ind w:left="865" w:right="861"/>
              <w:jc w:val="center"/>
              <w:rPr>
                <w:rFonts w:ascii="Times New Roman"/>
                <w:b/>
                <w:sz w:val="21"/>
              </w:rPr>
            </w:pPr>
            <w:r>
              <w:rPr>
                <w:rFonts w:ascii="Times New Roman"/>
                <w:b/>
                <w:sz w:val="21"/>
              </w:rPr>
              <w:t>78</w:t>
            </w:r>
          </w:p>
        </w:tc>
        <w:tc>
          <w:tcPr>
            <w:tcW w:w="1454" w:type="dxa"/>
          </w:tcPr>
          <w:p>
            <w:pPr>
              <w:pStyle w:val="TableParagraph"/>
              <w:spacing w:line="262" w:lineRule="exact"/>
              <w:ind w:left="442" w:right="437"/>
              <w:jc w:val="center"/>
              <w:rPr>
                <w:sz w:val="21"/>
              </w:rPr>
            </w:pPr>
            <w:r>
              <w:rPr>
                <w:sz w:val="21"/>
              </w:rPr>
              <w:t>62.73</w:t>
            </w:r>
          </w:p>
        </w:tc>
        <w:tc>
          <w:tcPr>
            <w:tcW w:w="1444" w:type="dxa"/>
          </w:tcPr>
          <w:p>
            <w:pPr>
              <w:pStyle w:val="TableParagraph"/>
              <w:spacing w:line="262" w:lineRule="exact"/>
              <w:ind w:left="438" w:right="431"/>
              <w:jc w:val="center"/>
              <w:rPr>
                <w:sz w:val="21"/>
              </w:rPr>
            </w:pPr>
            <w:r>
              <w:rPr>
                <w:sz w:val="21"/>
              </w:rPr>
              <w:t>39.84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38</w:t>
            </w:r>
          </w:p>
        </w:tc>
        <w:tc>
          <w:tcPr>
            <w:tcW w:w="1469" w:type="dxa"/>
          </w:tcPr>
          <w:p>
            <w:pPr>
              <w:pStyle w:val="TableParagraph"/>
              <w:spacing w:line="262" w:lineRule="exact"/>
              <w:ind w:left="499" w:right="499"/>
              <w:jc w:val="center"/>
              <w:rPr>
                <w:sz w:val="21"/>
              </w:rPr>
            </w:pPr>
            <w:r>
              <w:rPr>
                <w:sz w:val="21"/>
              </w:rPr>
              <w:t>2.27</w:t>
            </w:r>
          </w:p>
        </w:tc>
        <w:tc>
          <w:tcPr>
            <w:tcW w:w="1288" w:type="dxa"/>
          </w:tcPr>
          <w:p>
            <w:pPr>
              <w:pStyle w:val="TableParagraph"/>
              <w:spacing w:line="262" w:lineRule="exact"/>
              <w:ind w:right="425"/>
              <w:jc w:val="right"/>
              <w:rPr>
                <w:sz w:val="21"/>
              </w:rPr>
            </w:pPr>
            <w:r>
              <w:rPr>
                <w:sz w:val="21"/>
              </w:rPr>
              <w:t>2.75</w:t>
            </w:r>
          </w:p>
        </w:tc>
        <w:tc>
          <w:tcPr>
            <w:tcW w:w="2198" w:type="dxa"/>
          </w:tcPr>
          <w:p>
            <w:pPr>
              <w:pStyle w:val="TableParagraph"/>
              <w:spacing w:before="36"/>
              <w:ind w:left="865" w:right="861"/>
              <w:jc w:val="center"/>
              <w:rPr>
                <w:rFonts w:ascii="Times New Roman"/>
                <w:b/>
                <w:sz w:val="21"/>
              </w:rPr>
            </w:pPr>
            <w:r>
              <w:rPr>
                <w:rFonts w:ascii="Times New Roman"/>
                <w:b/>
                <w:sz w:val="21"/>
              </w:rPr>
              <w:t>79</w:t>
            </w:r>
          </w:p>
        </w:tc>
        <w:tc>
          <w:tcPr>
            <w:tcW w:w="1454" w:type="dxa"/>
          </w:tcPr>
          <w:p>
            <w:pPr>
              <w:pStyle w:val="TableParagraph"/>
              <w:spacing w:line="262" w:lineRule="exact"/>
              <w:ind w:left="442" w:right="437"/>
              <w:jc w:val="center"/>
              <w:rPr>
                <w:sz w:val="21"/>
              </w:rPr>
            </w:pPr>
            <w:r>
              <w:rPr>
                <w:sz w:val="21"/>
              </w:rPr>
              <w:t>68.37</w:t>
            </w:r>
          </w:p>
        </w:tc>
        <w:tc>
          <w:tcPr>
            <w:tcW w:w="1444" w:type="dxa"/>
          </w:tcPr>
          <w:p>
            <w:pPr>
              <w:pStyle w:val="TableParagraph"/>
              <w:spacing w:line="262" w:lineRule="exact"/>
              <w:ind w:left="438" w:right="431"/>
              <w:jc w:val="center"/>
              <w:rPr>
                <w:sz w:val="21"/>
              </w:rPr>
            </w:pPr>
            <w:r>
              <w:rPr>
                <w:sz w:val="21"/>
              </w:rPr>
              <w:t>44.03</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39</w:t>
            </w:r>
          </w:p>
        </w:tc>
        <w:tc>
          <w:tcPr>
            <w:tcW w:w="1469" w:type="dxa"/>
          </w:tcPr>
          <w:p>
            <w:pPr>
              <w:pStyle w:val="TableParagraph"/>
              <w:spacing w:line="262" w:lineRule="exact"/>
              <w:ind w:left="499" w:right="499"/>
              <w:jc w:val="center"/>
              <w:rPr>
                <w:sz w:val="21"/>
              </w:rPr>
            </w:pPr>
            <w:r>
              <w:rPr>
                <w:sz w:val="21"/>
              </w:rPr>
              <w:t>2.42</w:t>
            </w:r>
          </w:p>
        </w:tc>
        <w:tc>
          <w:tcPr>
            <w:tcW w:w="1288" w:type="dxa"/>
          </w:tcPr>
          <w:p>
            <w:pPr>
              <w:pStyle w:val="TableParagraph"/>
              <w:spacing w:line="262" w:lineRule="exact"/>
              <w:ind w:right="425"/>
              <w:jc w:val="right"/>
              <w:rPr>
                <w:sz w:val="21"/>
              </w:rPr>
            </w:pPr>
            <w:r>
              <w:rPr>
                <w:sz w:val="21"/>
              </w:rPr>
              <w:t>2.96</w:t>
            </w:r>
          </w:p>
        </w:tc>
        <w:tc>
          <w:tcPr>
            <w:tcW w:w="2198" w:type="dxa"/>
          </w:tcPr>
          <w:p>
            <w:pPr>
              <w:pStyle w:val="TableParagraph"/>
              <w:rPr>
                <w:rFonts w:ascii="Times New Roman"/>
                <w:sz w:val="20"/>
              </w:rPr>
            </w:pPr>
          </w:p>
        </w:tc>
        <w:tc>
          <w:tcPr>
            <w:tcW w:w="1454" w:type="dxa"/>
          </w:tcPr>
          <w:p>
            <w:pPr>
              <w:pStyle w:val="TableParagraph"/>
              <w:rPr>
                <w:rFonts w:ascii="Times New Roman"/>
                <w:sz w:val="20"/>
              </w:rPr>
            </w:pPr>
          </w:p>
        </w:tc>
        <w:tc>
          <w:tcPr>
            <w:tcW w:w="1444" w:type="dxa"/>
          </w:tcPr>
          <w:p>
            <w:pPr>
              <w:pStyle w:val="TableParagraph"/>
              <w:rPr>
                <w:rFonts w:ascii="Times New Roman"/>
                <w:sz w:val="20"/>
              </w:rPr>
            </w:pPr>
          </w:p>
        </w:tc>
      </w:tr>
      <w:tr>
        <w:trPr>
          <w:trHeight w:val="313" w:hRule="atLeast"/>
        </w:trPr>
        <w:tc>
          <w:tcPr>
            <w:tcW w:w="2028" w:type="dxa"/>
          </w:tcPr>
          <w:p>
            <w:pPr>
              <w:pStyle w:val="TableParagraph"/>
              <w:spacing w:before="36"/>
              <w:ind w:left="782" w:right="774"/>
              <w:jc w:val="center"/>
              <w:rPr>
                <w:rFonts w:ascii="Times New Roman"/>
                <w:b/>
                <w:sz w:val="21"/>
              </w:rPr>
            </w:pPr>
            <w:r>
              <w:rPr>
                <w:rFonts w:ascii="Times New Roman"/>
                <w:b/>
                <w:sz w:val="21"/>
              </w:rPr>
              <w:t>40</w:t>
            </w:r>
          </w:p>
        </w:tc>
        <w:tc>
          <w:tcPr>
            <w:tcW w:w="1469" w:type="dxa"/>
          </w:tcPr>
          <w:p>
            <w:pPr>
              <w:pStyle w:val="TableParagraph"/>
              <w:spacing w:line="262" w:lineRule="exact"/>
              <w:ind w:left="499" w:right="499"/>
              <w:jc w:val="center"/>
              <w:rPr>
                <w:sz w:val="21"/>
              </w:rPr>
            </w:pPr>
            <w:r>
              <w:rPr>
                <w:sz w:val="21"/>
              </w:rPr>
              <w:t>2.66</w:t>
            </w:r>
          </w:p>
        </w:tc>
        <w:tc>
          <w:tcPr>
            <w:tcW w:w="1288" w:type="dxa"/>
          </w:tcPr>
          <w:p>
            <w:pPr>
              <w:pStyle w:val="TableParagraph"/>
              <w:spacing w:line="262" w:lineRule="exact"/>
              <w:ind w:right="425"/>
              <w:jc w:val="right"/>
              <w:rPr>
                <w:sz w:val="21"/>
              </w:rPr>
            </w:pPr>
            <w:r>
              <w:rPr>
                <w:sz w:val="21"/>
              </w:rPr>
              <w:t>3.25</w:t>
            </w:r>
          </w:p>
        </w:tc>
        <w:tc>
          <w:tcPr>
            <w:tcW w:w="2198" w:type="dxa"/>
          </w:tcPr>
          <w:p>
            <w:pPr>
              <w:pStyle w:val="TableParagraph"/>
              <w:rPr>
                <w:rFonts w:ascii="Times New Roman"/>
                <w:sz w:val="20"/>
              </w:rPr>
            </w:pPr>
          </w:p>
        </w:tc>
        <w:tc>
          <w:tcPr>
            <w:tcW w:w="1454" w:type="dxa"/>
          </w:tcPr>
          <w:p>
            <w:pPr>
              <w:pStyle w:val="TableParagraph"/>
              <w:rPr>
                <w:rFonts w:ascii="Times New Roman"/>
                <w:sz w:val="20"/>
              </w:rPr>
            </w:pPr>
          </w:p>
        </w:tc>
        <w:tc>
          <w:tcPr>
            <w:tcW w:w="1444" w:type="dxa"/>
          </w:tcPr>
          <w:p>
            <w:pPr>
              <w:pStyle w:val="TableParagraph"/>
              <w:rPr>
                <w:rFonts w:ascii="Times New Roman"/>
                <w:sz w:val="20"/>
              </w:rPr>
            </w:pPr>
          </w:p>
        </w:tc>
      </w:tr>
    </w:tbl>
    <w:p>
      <w:pPr>
        <w:pStyle w:val="BodyText"/>
        <w:spacing w:before="5"/>
        <w:ind w:left="0"/>
        <w:rPr>
          <w:sz w:val="16"/>
        </w:rPr>
      </w:pPr>
    </w:p>
    <w:p>
      <w:pPr>
        <w:spacing w:before="26"/>
        <w:ind w:left="403" w:right="0" w:firstLine="0"/>
        <w:jc w:val="left"/>
        <w:rPr>
          <w:sz w:val="24"/>
        </w:rPr>
      </w:pPr>
      <w:r>
        <w:rPr>
          <w:sz w:val="24"/>
        </w:rPr>
        <w:t>注：1、年龄指投保生效日及续保生效日被保险人当时的年龄。</w:t>
      </w:r>
    </w:p>
    <w:p>
      <w:pPr>
        <w:pStyle w:val="BodyText"/>
        <w:spacing w:before="2"/>
        <w:ind w:left="0"/>
        <w:rPr>
          <w:sz w:val="27"/>
        </w:rPr>
      </w:pPr>
    </w:p>
    <w:p>
      <w:pPr>
        <w:spacing w:line="295" w:lineRule="auto" w:before="0"/>
        <w:ind w:left="1375" w:right="460" w:hanging="492"/>
        <w:jc w:val="left"/>
        <w:rPr>
          <w:sz w:val="24"/>
        </w:rPr>
      </w:pPr>
      <w:r>
        <w:rPr>
          <w:sz w:val="24"/>
        </w:rPr>
        <w:t>2、上表所载年重大疾病风险保险费仅适用于标准体，非标准体的年重大疾病风险保险费将根据其风险程度相应增加。</w:t>
      </w:r>
    </w:p>
    <w:sectPr>
      <w:pgSz w:w="11910" w:h="16840"/>
      <w:pgMar w:header="0" w:footer="919" w:top="1580" w:bottom="118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82pt;height:11pt;mso-position-horizontal-relative:page;mso-position-vertical-relative:page;z-index:-43720" type="#_x0000_t202" filled="false" stroked="false">
          <v:textbox inset="0,0,0,0">
            <w:txbxContent>
              <w:p>
                <w:pPr>
                  <w:spacing w:line="200" w:lineRule="exact" w:before="0"/>
                  <w:ind w:left="20" w:right="0" w:firstLine="0"/>
                  <w:jc w:val="left"/>
                  <w:rPr>
                    <w:sz w:val="18"/>
                  </w:rPr>
                </w:pPr>
                <w:r>
                  <w:rPr>
                    <w:sz w:val="18"/>
                  </w:rPr>
                  <w:t>中航三星附加领先财智额外给付重大疾病保险</w:t>
                </w:r>
              </w:p>
            </w:txbxContent>
          </v:textbox>
          <w10:wrap type="none"/>
        </v:shape>
      </w:pict>
    </w:r>
    <w:r>
      <w:rPr/>
      <w:pict>
        <v:shape style="position:absolute;margin-left:329.910004pt;margin-top:780.961609pt;width:20pt;height:11pt;mso-position-horizontal-relative:page;mso-position-vertical-relative:page;z-index:-4369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51.5pt;margin-top:780.961609pt;width:79.8pt;height:11pt;mso-position-horizontal-relative:page;mso-position-vertical-relative:page;z-index:-43672" type="#_x0000_t202" filled="false" stroked="false">
          <v:textbox inset="0,0,0,0">
            <w:txbxContent>
              <w:p>
                <w:pPr>
                  <w:spacing w:line="200" w:lineRule="exact" w:before="0"/>
                  <w:ind w:left="20" w:right="0" w:firstLine="0"/>
                  <w:jc w:val="left"/>
                  <w:rPr>
                    <w:sz w:val="18"/>
                  </w:rPr>
                </w:pPr>
                <w:r>
                  <w:rPr>
                    <w:spacing w:val="-1"/>
                    <w:sz w:val="18"/>
                  </w:rPr>
                  <w:t>第 </w:t>
                </w:r>
                <w:r>
                  <w:rPr/>
                  <w:fldChar w:fldCharType="begin"/>
                </w:r>
                <w:r>
                  <w:rPr>
                    <w:sz w:val="18"/>
                  </w:rPr>
                  <w:instrText> PAGE </w:instrText>
                </w:r>
                <w:r>
                  <w:rPr/>
                  <w:fldChar w:fldCharType="separate"/>
                </w:r>
                <w:r>
                  <w:rPr/>
                  <w:t>10</w:t>
                </w:r>
                <w:r>
                  <w:rPr/>
                  <w:fldChar w:fldCharType="end"/>
                </w:r>
                <w:r>
                  <w:rPr>
                    <w:spacing w:val="-14"/>
                    <w:sz w:val="18"/>
                  </w:rPr>
                  <w:t> 页，共 </w:t>
                </w:r>
                <w:r>
                  <w:rPr>
                    <w:sz w:val="18"/>
                  </w:rPr>
                  <w:t>20</w:t>
                </w:r>
                <w:r>
                  <w:rPr>
                    <w:spacing w:val="-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7">
    <w:multiLevelType w:val="hybridMultilevel"/>
    <w:lvl w:ilvl="0">
      <w:start w:val="2"/>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5">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4">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4" w:hanging="212"/>
      </w:pPr>
      <w:rPr>
        <w:rFonts w:hint="default"/>
      </w:rPr>
    </w:lvl>
    <w:lvl w:ilvl="2">
      <w:start w:val="0"/>
      <w:numFmt w:val="bullet"/>
      <w:lvlText w:val="•"/>
      <w:lvlJc w:val="left"/>
      <w:pPr>
        <w:ind w:left="4509" w:hanging="212"/>
      </w:pPr>
      <w:rPr>
        <w:rFonts w:hint="default"/>
      </w:rPr>
    </w:lvl>
    <w:lvl w:ilvl="3">
      <w:start w:val="0"/>
      <w:numFmt w:val="bullet"/>
      <w:lvlText w:val="•"/>
      <w:lvlJc w:val="left"/>
      <w:pPr>
        <w:ind w:left="5133" w:hanging="212"/>
      </w:pPr>
      <w:rPr>
        <w:rFonts w:hint="default"/>
      </w:rPr>
    </w:lvl>
    <w:lvl w:ilvl="4">
      <w:start w:val="0"/>
      <w:numFmt w:val="bullet"/>
      <w:lvlText w:val="•"/>
      <w:lvlJc w:val="left"/>
      <w:pPr>
        <w:ind w:left="5758" w:hanging="212"/>
      </w:pPr>
      <w:rPr>
        <w:rFonts w:hint="default"/>
      </w:rPr>
    </w:lvl>
    <w:lvl w:ilvl="5">
      <w:start w:val="0"/>
      <w:numFmt w:val="bullet"/>
      <w:lvlText w:val="•"/>
      <w:lvlJc w:val="left"/>
      <w:pPr>
        <w:ind w:left="6383" w:hanging="212"/>
      </w:pPr>
      <w:rPr>
        <w:rFonts w:hint="default"/>
      </w:rPr>
    </w:lvl>
    <w:lvl w:ilvl="6">
      <w:start w:val="0"/>
      <w:numFmt w:val="bullet"/>
      <w:lvlText w:val="•"/>
      <w:lvlJc w:val="left"/>
      <w:pPr>
        <w:ind w:left="7007" w:hanging="212"/>
      </w:pPr>
      <w:rPr>
        <w:rFonts w:hint="default"/>
      </w:rPr>
    </w:lvl>
    <w:lvl w:ilvl="7">
      <w:start w:val="0"/>
      <w:numFmt w:val="bullet"/>
      <w:lvlText w:val="•"/>
      <w:lvlJc w:val="left"/>
      <w:pPr>
        <w:ind w:left="7632" w:hanging="212"/>
      </w:pPr>
      <w:rPr>
        <w:rFonts w:hint="default"/>
      </w:rPr>
    </w:lvl>
    <w:lvl w:ilvl="8">
      <w:start w:val="0"/>
      <w:numFmt w:val="bullet"/>
      <w:lvlText w:val="•"/>
      <w:lvlJc w:val="left"/>
      <w:pPr>
        <w:ind w:left="8257" w:hanging="212"/>
      </w:pPr>
      <w:rPr>
        <w:rFonts w:hint="default"/>
      </w:rPr>
    </w:lvl>
  </w:abstractNum>
  <w:abstractNum w:abstractNumId="3">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2">
    <w:multiLevelType w:val="hybridMultilevel"/>
    <w:lvl w:ilvl="0">
      <w:start w:val="3"/>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2" w:hanging="420"/>
      </w:pPr>
      <w:rPr>
        <w:rFonts w:hint="default"/>
      </w:rPr>
    </w:lvl>
    <w:lvl w:ilvl="2">
      <w:start w:val="0"/>
      <w:numFmt w:val="bullet"/>
      <w:lvlText w:val="•"/>
      <w:lvlJc w:val="left"/>
      <w:pPr>
        <w:ind w:left="4665" w:hanging="420"/>
      </w:pPr>
      <w:rPr>
        <w:rFonts w:hint="default"/>
      </w:rPr>
    </w:lvl>
    <w:lvl w:ilvl="3">
      <w:start w:val="0"/>
      <w:numFmt w:val="bullet"/>
      <w:lvlText w:val="•"/>
      <w:lvlJc w:val="left"/>
      <w:pPr>
        <w:ind w:left="5267" w:hanging="420"/>
      </w:pPr>
      <w:rPr>
        <w:rFonts w:hint="default"/>
      </w:rPr>
    </w:lvl>
    <w:lvl w:ilvl="4">
      <w:start w:val="0"/>
      <w:numFmt w:val="bullet"/>
      <w:lvlText w:val="•"/>
      <w:lvlJc w:val="left"/>
      <w:pPr>
        <w:ind w:left="5870" w:hanging="420"/>
      </w:pPr>
      <w:rPr>
        <w:rFonts w:hint="default"/>
      </w:rPr>
    </w:lvl>
    <w:lvl w:ilvl="5">
      <w:start w:val="0"/>
      <w:numFmt w:val="bullet"/>
      <w:lvlText w:val="•"/>
      <w:lvlJc w:val="left"/>
      <w:pPr>
        <w:ind w:left="6473" w:hanging="420"/>
      </w:pPr>
      <w:rPr>
        <w:rFonts w:hint="default"/>
      </w:rPr>
    </w:lvl>
    <w:lvl w:ilvl="6">
      <w:start w:val="0"/>
      <w:numFmt w:val="bullet"/>
      <w:lvlText w:val="•"/>
      <w:lvlJc w:val="left"/>
      <w:pPr>
        <w:ind w:left="7075" w:hanging="420"/>
      </w:pPr>
      <w:rPr>
        <w:rFonts w:hint="default"/>
      </w:rPr>
    </w:lvl>
    <w:lvl w:ilvl="7">
      <w:start w:val="0"/>
      <w:numFmt w:val="bullet"/>
      <w:lvlText w:val="•"/>
      <w:lvlJc w:val="left"/>
      <w:pPr>
        <w:ind w:left="7678" w:hanging="420"/>
      </w:pPr>
      <w:rPr>
        <w:rFonts w:hint="default"/>
      </w:rPr>
    </w:lvl>
    <w:lvl w:ilvl="8">
      <w:start w:val="0"/>
      <w:numFmt w:val="bullet"/>
      <w:lvlText w:val="•"/>
      <w:lvlJc w:val="left"/>
      <w:pPr>
        <w:ind w:left="8281" w:hanging="420"/>
      </w:pPr>
      <w:rPr>
        <w:rFonts w:hint="default"/>
      </w:rPr>
    </w:lvl>
  </w:abstractNum>
  <w:abstractNum w:abstractNumId="1">
    <w:multiLevelType w:val="hybridMultilevel"/>
    <w:lvl w:ilvl="0">
      <w:start w:val="1"/>
      <w:numFmt w:val="decimal"/>
      <w:lvlText w:val="(%1)"/>
      <w:lvlJc w:val="left"/>
      <w:pPr>
        <w:ind w:left="778" w:hanging="420"/>
        <w:jc w:val="left"/>
      </w:pPr>
      <w:rPr>
        <w:rFonts w:hint="default" w:ascii="宋体" w:hAnsi="宋体" w:eastAsia="宋体" w:cs="宋体"/>
        <w:w w:val="100"/>
        <w:sz w:val="21"/>
        <w:szCs w:val="21"/>
      </w:rPr>
    </w:lvl>
    <w:lvl w:ilvl="1">
      <w:start w:val="0"/>
      <w:numFmt w:val="bullet"/>
      <w:lvlText w:val="•"/>
      <w:lvlJc w:val="left"/>
      <w:pPr>
        <w:ind w:left="1379" w:hanging="420"/>
      </w:pPr>
      <w:rPr>
        <w:rFonts w:hint="default"/>
      </w:rPr>
    </w:lvl>
    <w:lvl w:ilvl="2">
      <w:start w:val="0"/>
      <w:numFmt w:val="bullet"/>
      <w:lvlText w:val="•"/>
      <w:lvlJc w:val="left"/>
      <w:pPr>
        <w:ind w:left="1978" w:hanging="420"/>
      </w:pPr>
      <w:rPr>
        <w:rFonts w:hint="default"/>
      </w:rPr>
    </w:lvl>
    <w:lvl w:ilvl="3">
      <w:start w:val="0"/>
      <w:numFmt w:val="bullet"/>
      <w:lvlText w:val="•"/>
      <w:lvlJc w:val="left"/>
      <w:pPr>
        <w:ind w:left="2577" w:hanging="420"/>
      </w:pPr>
      <w:rPr>
        <w:rFonts w:hint="default"/>
      </w:rPr>
    </w:lvl>
    <w:lvl w:ilvl="4">
      <w:start w:val="0"/>
      <w:numFmt w:val="bullet"/>
      <w:lvlText w:val="•"/>
      <w:lvlJc w:val="left"/>
      <w:pPr>
        <w:ind w:left="3177" w:hanging="420"/>
      </w:pPr>
      <w:rPr>
        <w:rFonts w:hint="default"/>
      </w:rPr>
    </w:lvl>
    <w:lvl w:ilvl="5">
      <w:start w:val="0"/>
      <w:numFmt w:val="bullet"/>
      <w:lvlText w:val="•"/>
      <w:lvlJc w:val="left"/>
      <w:pPr>
        <w:ind w:left="3776" w:hanging="420"/>
      </w:pPr>
      <w:rPr>
        <w:rFonts w:hint="default"/>
      </w:rPr>
    </w:lvl>
    <w:lvl w:ilvl="6">
      <w:start w:val="0"/>
      <w:numFmt w:val="bullet"/>
      <w:lvlText w:val="•"/>
      <w:lvlJc w:val="left"/>
      <w:pPr>
        <w:ind w:left="4375" w:hanging="420"/>
      </w:pPr>
      <w:rPr>
        <w:rFonts w:hint="default"/>
      </w:rPr>
    </w:lvl>
    <w:lvl w:ilvl="7">
      <w:start w:val="0"/>
      <w:numFmt w:val="bullet"/>
      <w:lvlText w:val="•"/>
      <w:lvlJc w:val="left"/>
      <w:pPr>
        <w:ind w:left="4975" w:hanging="420"/>
      </w:pPr>
      <w:rPr>
        <w:rFonts w:hint="default"/>
      </w:rPr>
    </w:lvl>
    <w:lvl w:ilvl="8">
      <w:start w:val="0"/>
      <w:numFmt w:val="bullet"/>
      <w:lvlText w:val="•"/>
      <w:lvlJc w:val="left"/>
      <w:pPr>
        <w:ind w:left="5574" w:hanging="420"/>
      </w:pPr>
      <w:rPr>
        <w:rFonts w:hint="default"/>
      </w:rPr>
    </w:lvl>
  </w:abstractNum>
  <w:abstractNum w:abstractNumId="0">
    <w:multiLevelType w:val="hybridMultilevel"/>
    <w:lvl w:ilvl="0">
      <w:start w:val="1"/>
      <w:numFmt w:val="decimal"/>
      <w:lvlText w:val="%1."/>
      <w:lvlJc w:val="left"/>
      <w:pPr>
        <w:ind w:left="527" w:hanging="420"/>
        <w:jc w:val="left"/>
      </w:pPr>
      <w:rPr>
        <w:rFonts w:hint="default" w:ascii="宋体" w:hAnsi="宋体" w:eastAsia="宋体" w:cs="宋体"/>
        <w:w w:val="100"/>
        <w:sz w:val="21"/>
        <w:szCs w:val="21"/>
      </w:rPr>
    </w:lvl>
    <w:lvl w:ilvl="1">
      <w:start w:val="0"/>
      <w:numFmt w:val="bullet"/>
      <w:lvlText w:val="•"/>
      <w:lvlJc w:val="left"/>
      <w:pPr>
        <w:ind w:left="1109" w:hanging="420"/>
      </w:pPr>
      <w:rPr>
        <w:rFonts w:hint="default"/>
      </w:rPr>
    </w:lvl>
    <w:lvl w:ilvl="2">
      <w:start w:val="0"/>
      <w:numFmt w:val="bullet"/>
      <w:lvlText w:val="•"/>
      <w:lvlJc w:val="left"/>
      <w:pPr>
        <w:ind w:left="1698" w:hanging="420"/>
      </w:pPr>
      <w:rPr>
        <w:rFonts w:hint="default"/>
      </w:rPr>
    </w:lvl>
    <w:lvl w:ilvl="3">
      <w:start w:val="0"/>
      <w:numFmt w:val="bullet"/>
      <w:lvlText w:val="•"/>
      <w:lvlJc w:val="left"/>
      <w:pPr>
        <w:ind w:left="2287" w:hanging="420"/>
      </w:pPr>
      <w:rPr>
        <w:rFonts w:hint="default"/>
      </w:rPr>
    </w:lvl>
    <w:lvl w:ilvl="4">
      <w:start w:val="0"/>
      <w:numFmt w:val="bullet"/>
      <w:lvlText w:val="•"/>
      <w:lvlJc w:val="left"/>
      <w:pPr>
        <w:ind w:left="2877" w:hanging="420"/>
      </w:pPr>
      <w:rPr>
        <w:rFonts w:hint="default"/>
      </w:rPr>
    </w:lvl>
    <w:lvl w:ilvl="5">
      <w:start w:val="0"/>
      <w:numFmt w:val="bullet"/>
      <w:lvlText w:val="•"/>
      <w:lvlJc w:val="left"/>
      <w:pPr>
        <w:ind w:left="3466" w:hanging="420"/>
      </w:pPr>
      <w:rPr>
        <w:rFonts w:hint="default"/>
      </w:rPr>
    </w:lvl>
    <w:lvl w:ilvl="6">
      <w:start w:val="0"/>
      <w:numFmt w:val="bullet"/>
      <w:lvlText w:val="•"/>
      <w:lvlJc w:val="left"/>
      <w:pPr>
        <w:ind w:left="4055" w:hanging="420"/>
      </w:pPr>
      <w:rPr>
        <w:rFonts w:hint="default"/>
      </w:rPr>
    </w:lvl>
    <w:lvl w:ilvl="7">
      <w:start w:val="0"/>
      <w:numFmt w:val="bullet"/>
      <w:lvlText w:val="•"/>
      <w:lvlJc w:val="left"/>
      <w:pPr>
        <w:ind w:left="4645" w:hanging="420"/>
      </w:pPr>
      <w:rPr>
        <w:rFonts w:hint="default"/>
      </w:rPr>
    </w:lvl>
    <w:lvl w:ilvl="8">
      <w:start w:val="0"/>
      <w:numFmt w:val="bullet"/>
      <w:lvlText w:val="•"/>
      <w:lvlJc w:val="left"/>
      <w:pPr>
        <w:ind w:left="5234"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Heading1" w:type="paragraph">
    <w:name w:val="Heading 1"/>
    <w:basedOn w:val="Normal"/>
    <w:uiPriority w:val="1"/>
    <w:qFormat/>
    <w:pPr>
      <w:ind w:left="403" w:hanging="492"/>
      <w:outlineLvl w:val="1"/>
    </w:pPr>
    <w:rPr>
      <w:rFonts w:ascii="宋体" w:hAnsi="宋体" w:eastAsia="宋体" w:cs="宋体"/>
      <w:sz w:val="24"/>
      <w:szCs w:val="24"/>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dc:title>中航三星人寿保险有限公司</dc:title>
  <dcterms:created xsi:type="dcterms:W3CDTF">2018-10-20T02:24:06Z</dcterms:created>
  <dcterms:modified xsi:type="dcterms:W3CDTF">2018-10-20T02:24:06Z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2015-06-10T00:00:00Z</vt:filetime>
  </property>
  <property fmtid="{D5CDD505-2E9C-101B-9397-08002B2CF9AE}" pid="3" name="Creator">
    <vt:lpwstr>Microsoft® Word 2010</vt:lpwstr>
  </property>
  <property fmtid="{D5CDD505-2E9C-101B-9397-08002B2CF9AE}" pid="4" name="LastSaved">
    <vt:filetime>2018-10-19T00:00:00Z</vt:filetime>
  </property>
</Properties>
</file>