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0"/>
        <w:ind w:left="6703" w:right="0" w:firstLine="0"/>
        <w:jc w:val="left"/>
        <w:rPr>
          <w:sz w:val="20"/>
        </w:rPr>
      </w:pPr>
      <w:r>
        <w:rPr/>
        <w:drawing>
          <wp:anchor distT="0" distB="0" distL="0" distR="0" allowOverlap="1" layoutInCell="1" locked="0" behindDoc="0" simplePos="0" relativeHeight="1048">
            <wp:simplePos x="0" y="0"/>
            <wp:positionH relativeFrom="page">
              <wp:posOffset>5466079</wp:posOffset>
            </wp:positionH>
            <wp:positionV relativeFrom="paragraph">
              <wp:posOffset>221992</wp:posOffset>
            </wp:positionV>
            <wp:extent cx="733425" cy="7334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33425" cy="733425"/>
                    </a:xfrm>
                    <a:prstGeom prst="rect">
                      <a:avLst/>
                    </a:prstGeom>
                  </pic:spPr>
                </pic:pic>
              </a:graphicData>
            </a:graphic>
          </wp:anchor>
        </w:drawing>
      </w:r>
      <w:r>
        <w:rPr>
          <w:sz w:val="20"/>
        </w:rPr>
        <w:t>平安健康〔</w:t>
      </w:r>
      <w:r>
        <w:rPr>
          <w:rFonts w:ascii="Times New Roman" w:eastAsia="Times New Roman"/>
          <w:sz w:val="20"/>
        </w:rPr>
        <w:t>2017</w:t>
      </w:r>
      <w:r>
        <w:rPr>
          <w:sz w:val="20"/>
        </w:rPr>
        <w:t>〕疾病保险 </w:t>
      </w:r>
      <w:r>
        <w:rPr>
          <w:rFonts w:ascii="Times New Roman" w:eastAsia="Times New Roman"/>
          <w:sz w:val="20"/>
        </w:rPr>
        <w:t>001 </w:t>
      </w:r>
      <w:r>
        <w:rPr>
          <w:sz w:val="20"/>
        </w:rPr>
        <w:t>号</w:t>
      </w:r>
    </w:p>
    <w:p>
      <w:pPr>
        <w:pStyle w:val="BodyText"/>
        <w:spacing w:before="0"/>
        <w:rPr>
          <w:sz w:val="20"/>
        </w:rPr>
      </w:pPr>
    </w:p>
    <w:p>
      <w:pPr>
        <w:pStyle w:val="BodyText"/>
        <w:spacing w:before="0"/>
        <w:rPr>
          <w:sz w:val="20"/>
        </w:rPr>
      </w:pPr>
    </w:p>
    <w:p>
      <w:pPr>
        <w:pStyle w:val="BodyText"/>
        <w:spacing w:before="0"/>
        <w:rPr>
          <w:sz w:val="20"/>
        </w:rPr>
      </w:pPr>
    </w:p>
    <w:p>
      <w:pPr>
        <w:spacing w:after="0"/>
        <w:rPr>
          <w:sz w:val="20"/>
        </w:rPr>
        <w:sectPr>
          <w:footerReference w:type="even" r:id="rId5"/>
          <w:footerReference w:type="default" r:id="rId6"/>
          <w:type w:val="continuous"/>
          <w:pgSz w:w="11910" w:h="16840"/>
          <w:pgMar w:footer="926" w:top="520" w:bottom="1060" w:left="880" w:right="780"/>
          <w:pgNumType w:start="4"/>
        </w:sectPr>
      </w:pPr>
    </w:p>
    <w:p>
      <w:pPr>
        <w:pStyle w:val="Heading1"/>
        <w:spacing w:before="126"/>
        <w:jc w:val="right"/>
      </w:pPr>
      <w:r>
        <w:rPr/>
        <w:t>阅  读  指 引</w:t>
      </w:r>
    </w:p>
    <w:p>
      <w:pPr>
        <w:pStyle w:val="BodyText"/>
        <w:spacing w:before="10"/>
        <w:rPr>
          <w:rFonts w:ascii="微软雅黑"/>
          <w:b/>
          <w:sz w:val="27"/>
        </w:rPr>
      </w:pPr>
      <w:r>
        <w:rPr/>
        <w:br w:type="column"/>
      </w:r>
      <w:r>
        <w:rPr>
          <w:rFonts w:ascii="微软雅黑"/>
          <w:b/>
          <w:sz w:val="27"/>
        </w:rPr>
      </w:r>
    </w:p>
    <w:p>
      <w:pPr>
        <w:spacing w:before="0"/>
        <w:ind w:left="1315" w:right="0" w:firstLine="0"/>
        <w:jc w:val="left"/>
        <w:rPr>
          <w:sz w:val="20"/>
        </w:rPr>
      </w:pPr>
      <w:r>
        <w:rPr>
          <w:w w:val="95"/>
          <w:sz w:val="20"/>
        </w:rPr>
        <w:t>请扫描以查询验证条款</w:t>
      </w:r>
    </w:p>
    <w:p>
      <w:pPr>
        <w:spacing w:after="0"/>
        <w:jc w:val="left"/>
        <w:rPr>
          <w:sz w:val="20"/>
        </w:rPr>
        <w:sectPr>
          <w:type w:val="continuous"/>
          <w:pgSz w:w="11910" w:h="16840"/>
          <w:pgMar w:top="520" w:bottom="1060" w:left="880" w:right="780"/>
          <w:cols w:num="2" w:equalWidth="0">
            <w:col w:w="5955" w:space="40"/>
            <w:col w:w="4255"/>
          </w:cols>
        </w:sectPr>
      </w:pPr>
    </w:p>
    <w:p>
      <w:pPr>
        <w:pStyle w:val="BodyText"/>
        <w:spacing w:before="0"/>
        <w:rPr>
          <w:sz w:val="10"/>
        </w:rPr>
      </w:pPr>
    </w:p>
    <w:p>
      <w:pPr>
        <w:spacing w:line="319" w:lineRule="auto" w:before="37"/>
        <w:ind w:left="1251" w:right="857" w:hanging="492"/>
        <w:jc w:val="left"/>
        <w:rPr>
          <w:b/>
          <w:sz w:val="21"/>
        </w:rPr>
      </w:pPr>
      <w:r>
        <w:rPr/>
        <w:pict>
          <v:group style="position:absolute;margin-left:49.080002pt;margin-top:21.433661pt;width:502.1pt;height:615.2pt;mso-position-horizontal-relative:page;mso-position-vertical-relative:paragraph;z-index:-32608" coordorigin="982,429" coordsize="10042,12304">
            <v:shape style="position:absolute;left:981;top:428;width:10042;height:12304" type="#_x0000_t75" stroked="false">
              <v:imagedata r:id="rId8" o:title=""/>
            </v:shape>
            <v:rect style="position:absolute;left:1328;top:5669;width:9446;height:6675" filled="true" fillcolor="#ffffff" stroked="false">
              <v:fill type="solid"/>
            </v:rect>
            <v:rect style="position:absolute;left:1328;top:5669;width:9446;height:6675" filled="false" stroked="true" strokeweight=".75pt" strokecolor="#000000">
              <v:stroke dashstyle="dot"/>
            </v:rect>
            <w10:wrap type="none"/>
          </v:group>
        </w:pict>
      </w:r>
      <w:r>
        <w:rPr/>
        <w:pict>
          <v:shape style="position:absolute;margin-left:56.040001pt;margin-top:20.475124pt;width:24.55pt;height:27.5pt;mso-position-horizontal-relative:page;mso-position-vertical-relative:paragraph;z-index:1072"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spacing w:val="-149"/>
          <w:w w:val="100"/>
          <w:sz w:val="21"/>
        </w:rPr>
        <w:t>本</w:t>
      </w:r>
      <w:r>
        <w:rPr>
          <w:spacing w:val="-63"/>
          <w:w w:val="100"/>
          <w:position w:val="-7"/>
          <w:sz w:val="21"/>
        </w:rPr>
        <w:t>．</w:t>
      </w:r>
      <w:r>
        <w:rPr>
          <w:spacing w:val="-149"/>
          <w:w w:val="100"/>
          <w:sz w:val="21"/>
        </w:rPr>
        <w:t>阅</w:t>
      </w:r>
      <w:r>
        <w:rPr>
          <w:spacing w:val="-63"/>
          <w:w w:val="100"/>
          <w:position w:val="-7"/>
          <w:sz w:val="21"/>
        </w:rPr>
        <w:t>．</w:t>
      </w:r>
      <w:r>
        <w:rPr>
          <w:spacing w:val="-152"/>
          <w:w w:val="100"/>
          <w:sz w:val="21"/>
        </w:rPr>
        <w:t>读</w:t>
      </w:r>
      <w:r>
        <w:rPr>
          <w:spacing w:val="-63"/>
          <w:w w:val="100"/>
          <w:position w:val="-7"/>
          <w:sz w:val="21"/>
        </w:rPr>
        <w:t>．</w:t>
      </w:r>
      <w:r>
        <w:rPr>
          <w:spacing w:val="-149"/>
          <w:w w:val="100"/>
          <w:sz w:val="21"/>
        </w:rPr>
        <w:t>指</w:t>
      </w:r>
      <w:r>
        <w:rPr>
          <w:spacing w:val="-63"/>
          <w:w w:val="100"/>
          <w:position w:val="-7"/>
          <w:sz w:val="21"/>
        </w:rPr>
        <w:t>．</w:t>
      </w:r>
      <w:r>
        <w:rPr>
          <w:spacing w:val="-152"/>
          <w:w w:val="100"/>
          <w:sz w:val="21"/>
        </w:rPr>
        <w:t>引</w:t>
      </w:r>
      <w:r>
        <w:rPr>
          <w:spacing w:val="-63"/>
          <w:w w:val="100"/>
          <w:position w:val="-7"/>
          <w:sz w:val="21"/>
        </w:rPr>
        <w:t>．</w:t>
      </w:r>
      <w:r>
        <w:rPr>
          <w:spacing w:val="-150"/>
          <w:w w:val="100"/>
          <w:sz w:val="21"/>
        </w:rPr>
        <w:t>有</w:t>
      </w:r>
      <w:r>
        <w:rPr>
          <w:spacing w:val="-63"/>
          <w:w w:val="100"/>
          <w:position w:val="-7"/>
          <w:sz w:val="21"/>
        </w:rPr>
        <w:t>．</w:t>
      </w:r>
      <w:r>
        <w:rPr>
          <w:spacing w:val="-152"/>
          <w:w w:val="100"/>
          <w:sz w:val="21"/>
        </w:rPr>
        <w:t>助</w:t>
      </w:r>
      <w:r>
        <w:rPr>
          <w:spacing w:val="-63"/>
          <w:w w:val="100"/>
          <w:position w:val="-7"/>
          <w:sz w:val="21"/>
        </w:rPr>
        <w:t>．</w:t>
      </w:r>
      <w:r>
        <w:rPr>
          <w:spacing w:val="-150"/>
          <w:w w:val="100"/>
          <w:sz w:val="21"/>
        </w:rPr>
        <w:t>于</w:t>
      </w:r>
      <w:r>
        <w:rPr>
          <w:spacing w:val="-63"/>
          <w:w w:val="100"/>
          <w:position w:val="-7"/>
          <w:sz w:val="21"/>
        </w:rPr>
        <w:t>．</w:t>
      </w:r>
      <w:r>
        <w:rPr>
          <w:spacing w:val="-152"/>
          <w:w w:val="100"/>
          <w:sz w:val="21"/>
        </w:rPr>
        <w:t>您</w:t>
      </w:r>
      <w:r>
        <w:rPr>
          <w:spacing w:val="-63"/>
          <w:w w:val="100"/>
          <w:position w:val="-7"/>
          <w:sz w:val="21"/>
        </w:rPr>
        <w:t>．</w:t>
      </w:r>
      <w:r>
        <w:rPr>
          <w:spacing w:val="-150"/>
          <w:w w:val="100"/>
          <w:sz w:val="21"/>
        </w:rPr>
        <w:t>理</w:t>
      </w:r>
      <w:r>
        <w:rPr>
          <w:spacing w:val="-63"/>
          <w:w w:val="100"/>
          <w:position w:val="-7"/>
          <w:sz w:val="21"/>
        </w:rPr>
        <w:t>．</w:t>
      </w:r>
      <w:r>
        <w:rPr>
          <w:spacing w:val="-152"/>
          <w:w w:val="100"/>
          <w:sz w:val="21"/>
        </w:rPr>
        <w:t>解</w:t>
      </w:r>
      <w:r>
        <w:rPr>
          <w:spacing w:val="-62"/>
          <w:w w:val="100"/>
          <w:position w:val="-7"/>
          <w:sz w:val="21"/>
        </w:rPr>
        <w:t>．</w:t>
      </w:r>
      <w:r>
        <w:rPr>
          <w:spacing w:val="-149"/>
          <w:w w:val="100"/>
          <w:sz w:val="21"/>
        </w:rPr>
        <w:t>条</w:t>
      </w:r>
      <w:r>
        <w:rPr>
          <w:spacing w:val="-63"/>
          <w:w w:val="100"/>
          <w:position w:val="-7"/>
          <w:sz w:val="21"/>
        </w:rPr>
        <w:t>．</w:t>
      </w:r>
      <w:r>
        <w:rPr>
          <w:spacing w:val="-149"/>
          <w:w w:val="100"/>
          <w:sz w:val="21"/>
        </w:rPr>
        <w:t>款</w:t>
      </w:r>
      <w:r>
        <w:rPr>
          <w:spacing w:val="-63"/>
          <w:w w:val="100"/>
          <w:position w:val="-7"/>
          <w:sz w:val="21"/>
        </w:rPr>
        <w:t>．</w:t>
      </w:r>
      <w:r>
        <w:rPr>
          <w:spacing w:val="-78"/>
          <w:w w:val="100"/>
          <w:sz w:val="21"/>
        </w:rPr>
        <w:t>，对</w:t>
      </w:r>
      <w:r>
        <w:rPr>
          <w:spacing w:val="-63"/>
          <w:w w:val="100"/>
          <w:position w:val="-7"/>
          <w:sz w:val="21"/>
        </w:rPr>
        <w:t>．</w:t>
      </w:r>
      <w:r>
        <w:rPr>
          <w:b/>
          <w:spacing w:val="-149"/>
          <w:w w:val="100"/>
          <w:sz w:val="21"/>
        </w:rPr>
        <w:t>“</w:t>
      </w:r>
      <w:r>
        <w:rPr>
          <w:spacing w:val="-63"/>
          <w:w w:val="100"/>
          <w:position w:val="-7"/>
          <w:sz w:val="21"/>
        </w:rPr>
        <w:t>．</w:t>
      </w:r>
      <w:r>
        <w:rPr>
          <w:b/>
          <w:spacing w:val="-149"/>
          <w:w w:val="100"/>
          <w:sz w:val="21"/>
        </w:rPr>
        <w:t>平</w:t>
      </w:r>
      <w:r>
        <w:rPr>
          <w:spacing w:val="-63"/>
          <w:w w:val="100"/>
          <w:position w:val="-7"/>
          <w:sz w:val="21"/>
        </w:rPr>
        <w:t>．</w:t>
      </w:r>
      <w:r>
        <w:rPr>
          <w:b/>
          <w:spacing w:val="-149"/>
          <w:w w:val="100"/>
          <w:sz w:val="21"/>
        </w:rPr>
        <w:t>安</w:t>
      </w:r>
      <w:r>
        <w:rPr>
          <w:spacing w:val="-63"/>
          <w:w w:val="100"/>
          <w:position w:val="-7"/>
          <w:sz w:val="21"/>
        </w:rPr>
        <w:t>．</w:t>
      </w:r>
      <w:r>
        <w:rPr>
          <w:b/>
          <w:spacing w:val="-149"/>
          <w:w w:val="100"/>
          <w:sz w:val="21"/>
        </w:rPr>
        <w:t>一</w:t>
      </w:r>
      <w:r>
        <w:rPr>
          <w:spacing w:val="-63"/>
          <w:w w:val="100"/>
          <w:position w:val="-7"/>
          <w:sz w:val="21"/>
        </w:rPr>
        <w:t>．</w:t>
      </w:r>
      <w:r>
        <w:rPr>
          <w:b/>
          <w:spacing w:val="-149"/>
          <w:w w:val="100"/>
          <w:sz w:val="21"/>
        </w:rPr>
        <w:t>年</w:t>
      </w:r>
      <w:r>
        <w:rPr>
          <w:spacing w:val="-63"/>
          <w:w w:val="100"/>
          <w:position w:val="-7"/>
          <w:sz w:val="21"/>
        </w:rPr>
        <w:t>．</w:t>
      </w:r>
      <w:r>
        <w:rPr>
          <w:b/>
          <w:spacing w:val="-149"/>
          <w:w w:val="100"/>
          <w:sz w:val="21"/>
        </w:rPr>
        <w:t>期</w:t>
      </w:r>
      <w:r>
        <w:rPr>
          <w:spacing w:val="-63"/>
          <w:w w:val="100"/>
          <w:position w:val="-7"/>
          <w:sz w:val="21"/>
        </w:rPr>
        <w:t>．</w:t>
      </w:r>
      <w:r>
        <w:rPr>
          <w:b/>
          <w:spacing w:val="-152"/>
          <w:w w:val="100"/>
          <w:sz w:val="21"/>
        </w:rPr>
        <w:t>重</w:t>
      </w:r>
      <w:r>
        <w:rPr>
          <w:spacing w:val="-63"/>
          <w:w w:val="100"/>
          <w:position w:val="-7"/>
          <w:sz w:val="21"/>
        </w:rPr>
        <w:t>．</w:t>
      </w:r>
      <w:r>
        <w:rPr>
          <w:b/>
          <w:spacing w:val="-149"/>
          <w:w w:val="100"/>
          <w:sz w:val="21"/>
        </w:rPr>
        <w:t>大</w:t>
      </w:r>
      <w:r>
        <w:rPr>
          <w:spacing w:val="-63"/>
          <w:w w:val="100"/>
          <w:position w:val="-7"/>
          <w:sz w:val="21"/>
        </w:rPr>
        <w:t>．</w:t>
      </w:r>
      <w:r>
        <w:rPr>
          <w:b/>
          <w:spacing w:val="-149"/>
          <w:w w:val="100"/>
          <w:sz w:val="21"/>
        </w:rPr>
        <w:t>疾</w:t>
      </w:r>
      <w:r>
        <w:rPr>
          <w:spacing w:val="-63"/>
          <w:w w:val="100"/>
          <w:position w:val="-7"/>
          <w:sz w:val="21"/>
        </w:rPr>
        <w:t>．</w:t>
      </w:r>
      <w:r>
        <w:rPr>
          <w:b/>
          <w:spacing w:val="-149"/>
          <w:w w:val="100"/>
          <w:sz w:val="21"/>
        </w:rPr>
        <w:t>病</w:t>
      </w:r>
      <w:r>
        <w:rPr>
          <w:spacing w:val="-63"/>
          <w:w w:val="100"/>
          <w:position w:val="-7"/>
          <w:sz w:val="21"/>
        </w:rPr>
        <w:t>．</w:t>
      </w:r>
      <w:r>
        <w:rPr>
          <w:b/>
          <w:spacing w:val="-149"/>
          <w:w w:val="100"/>
          <w:sz w:val="21"/>
        </w:rPr>
        <w:t>保</w:t>
      </w:r>
      <w:r>
        <w:rPr>
          <w:spacing w:val="-63"/>
          <w:w w:val="100"/>
          <w:position w:val="-7"/>
          <w:sz w:val="21"/>
        </w:rPr>
        <w:t>．</w:t>
      </w:r>
      <w:r>
        <w:rPr>
          <w:b/>
          <w:spacing w:val="-149"/>
          <w:w w:val="100"/>
          <w:sz w:val="21"/>
        </w:rPr>
        <w:t>险</w:t>
      </w:r>
      <w:r>
        <w:rPr>
          <w:spacing w:val="-63"/>
          <w:w w:val="100"/>
          <w:position w:val="-7"/>
          <w:sz w:val="21"/>
        </w:rPr>
        <w:t>．</w:t>
      </w:r>
      <w:r>
        <w:rPr>
          <w:b/>
          <w:spacing w:val="-149"/>
          <w:w w:val="100"/>
          <w:sz w:val="21"/>
        </w:rPr>
        <w:t>合</w:t>
      </w:r>
      <w:r>
        <w:rPr>
          <w:spacing w:val="-63"/>
          <w:w w:val="100"/>
          <w:position w:val="-7"/>
          <w:sz w:val="21"/>
        </w:rPr>
        <w:t>．</w:t>
      </w:r>
      <w:r>
        <w:rPr>
          <w:b/>
          <w:spacing w:val="-149"/>
          <w:w w:val="100"/>
          <w:sz w:val="21"/>
        </w:rPr>
        <w:t>同</w:t>
      </w:r>
      <w:r>
        <w:rPr>
          <w:spacing w:val="-63"/>
          <w:w w:val="100"/>
          <w:position w:val="-7"/>
          <w:sz w:val="21"/>
        </w:rPr>
        <w:t>．</w:t>
      </w:r>
      <w:r>
        <w:rPr>
          <w:spacing w:val="-152"/>
          <w:w w:val="100"/>
          <w:sz w:val="21"/>
        </w:rPr>
        <w:t>”</w:t>
      </w:r>
      <w:r>
        <w:rPr>
          <w:spacing w:val="-63"/>
          <w:w w:val="100"/>
          <w:position w:val="-7"/>
          <w:sz w:val="21"/>
        </w:rPr>
        <w:t>．</w:t>
      </w:r>
      <w:r>
        <w:rPr>
          <w:spacing w:val="-152"/>
          <w:w w:val="100"/>
          <w:sz w:val="21"/>
        </w:rPr>
        <w:t>内</w:t>
      </w:r>
      <w:r>
        <w:rPr>
          <w:spacing w:val="-63"/>
          <w:w w:val="100"/>
          <w:position w:val="-7"/>
          <w:sz w:val="21"/>
        </w:rPr>
        <w:t>．</w:t>
      </w:r>
      <w:r>
        <w:rPr>
          <w:spacing w:val="-149"/>
          <w:w w:val="100"/>
          <w:sz w:val="21"/>
        </w:rPr>
        <w:t>容</w:t>
      </w:r>
      <w:r>
        <w:rPr>
          <w:spacing w:val="-63"/>
          <w:w w:val="100"/>
          <w:position w:val="-7"/>
          <w:sz w:val="21"/>
        </w:rPr>
        <w:t>．</w:t>
      </w:r>
      <w:r>
        <w:rPr>
          <w:spacing w:val="-152"/>
          <w:w w:val="100"/>
          <w:sz w:val="21"/>
        </w:rPr>
        <w:t>的</w:t>
      </w:r>
      <w:r>
        <w:rPr>
          <w:spacing w:val="-63"/>
          <w:w w:val="100"/>
          <w:position w:val="-7"/>
          <w:sz w:val="21"/>
        </w:rPr>
        <w:t>．</w:t>
      </w:r>
      <w:r>
        <w:rPr>
          <w:spacing w:val="-150"/>
          <w:w w:val="100"/>
          <w:sz w:val="21"/>
        </w:rPr>
        <w:t>解</w:t>
      </w:r>
      <w:r>
        <w:rPr>
          <w:spacing w:val="-63"/>
          <w:w w:val="100"/>
          <w:position w:val="-7"/>
          <w:sz w:val="21"/>
        </w:rPr>
        <w:t>．</w:t>
      </w:r>
      <w:r>
        <w:rPr>
          <w:spacing w:val="-150"/>
          <w:w w:val="100"/>
          <w:sz w:val="21"/>
        </w:rPr>
        <w:t>释</w:t>
      </w:r>
      <w:r>
        <w:rPr>
          <w:spacing w:val="-63"/>
          <w:w w:val="100"/>
          <w:position w:val="-7"/>
          <w:sz w:val="21"/>
        </w:rPr>
        <w:t>．</w:t>
      </w:r>
      <w:r>
        <w:rPr>
          <w:spacing w:val="-151"/>
          <w:w w:val="100"/>
          <w:sz w:val="21"/>
        </w:rPr>
        <w:t>以</w:t>
      </w:r>
      <w:r>
        <w:rPr>
          <w:spacing w:val="-63"/>
          <w:w w:val="100"/>
          <w:position w:val="-7"/>
          <w:sz w:val="21"/>
        </w:rPr>
        <w:t>．</w:t>
      </w:r>
      <w:r>
        <w:rPr>
          <w:spacing w:val="-149"/>
          <w:w w:val="100"/>
          <w:sz w:val="21"/>
        </w:rPr>
        <w:t>条</w:t>
      </w:r>
      <w:r>
        <w:rPr>
          <w:spacing w:val="-63"/>
          <w:w w:val="100"/>
          <w:position w:val="-7"/>
          <w:sz w:val="21"/>
        </w:rPr>
        <w:t>．</w:t>
      </w:r>
      <w:r>
        <w:rPr>
          <w:spacing w:val="-151"/>
          <w:w w:val="100"/>
          <w:sz w:val="21"/>
        </w:rPr>
        <w:t>款</w:t>
      </w:r>
      <w:r>
        <w:rPr>
          <w:spacing w:val="-63"/>
          <w:w w:val="100"/>
          <w:position w:val="-7"/>
          <w:sz w:val="21"/>
        </w:rPr>
        <w:t>．</w:t>
      </w:r>
      <w:r>
        <w:rPr>
          <w:spacing w:val="-149"/>
          <w:w w:val="100"/>
          <w:sz w:val="21"/>
        </w:rPr>
        <w:t>为</w:t>
      </w:r>
      <w:r>
        <w:rPr>
          <w:spacing w:val="-63"/>
          <w:w w:val="100"/>
          <w:position w:val="-7"/>
          <w:sz w:val="21"/>
        </w:rPr>
        <w:t>．</w:t>
      </w:r>
      <w:r>
        <w:rPr>
          <w:spacing w:val="-151"/>
          <w:w w:val="100"/>
          <w:sz w:val="21"/>
        </w:rPr>
        <w:t>准</w:t>
      </w:r>
      <w:r>
        <w:rPr>
          <w:spacing w:val="-63"/>
          <w:w w:val="100"/>
          <w:position w:val="-7"/>
          <w:sz w:val="21"/>
        </w:rPr>
        <w:t>．</w:t>
      </w:r>
      <w:r>
        <w:rPr>
          <w:w w:val="100"/>
          <w:sz w:val="21"/>
        </w:rPr>
        <w:t>。</w:t>
      </w:r>
      <w:r>
        <w:rPr>
          <w:b/>
          <w:spacing w:val="-1"/>
          <w:sz w:val="21"/>
        </w:rPr>
        <w:t>您拥有的重要权益</w:t>
      </w:r>
    </w:p>
    <w:p>
      <w:pPr>
        <w:pStyle w:val="ListParagraph"/>
        <w:numPr>
          <w:ilvl w:val="0"/>
          <w:numId w:val="1"/>
        </w:numPr>
        <w:tabs>
          <w:tab w:pos="1633" w:val="left" w:leader="none"/>
          <w:tab w:pos="1634" w:val="left" w:leader="none"/>
        </w:tabs>
        <w:spacing w:line="245" w:lineRule="exact" w:before="0" w:after="0"/>
        <w:ind w:left="1633" w:right="0" w:hanging="420"/>
        <w:jc w:val="left"/>
        <w:rPr>
          <w:sz w:val="21"/>
        </w:rPr>
      </w:pPr>
      <w:r>
        <w:rPr>
          <w:spacing w:val="-3"/>
          <w:w w:val="110"/>
          <w:sz w:val="21"/>
        </w:rPr>
        <w:t>签收本主险合同后</w:t>
      </w:r>
      <w:r>
        <w:rPr>
          <w:w w:val="110"/>
          <w:sz w:val="21"/>
        </w:rPr>
        <w:t>10</w:t>
      </w:r>
      <w:r>
        <w:rPr>
          <w:spacing w:val="-8"/>
          <w:w w:val="110"/>
          <w:sz w:val="21"/>
        </w:rPr>
        <w:t>日内您可以要求全额退还保险费 </w:t>
      </w:r>
      <w:r>
        <w:rPr>
          <w:w w:val="160"/>
          <w:sz w:val="21"/>
        </w:rPr>
        <w:t>„„„„„„„„„„„„„„1.4</w:t>
      </w:r>
    </w:p>
    <w:p>
      <w:pPr>
        <w:pStyle w:val="ListParagraph"/>
        <w:numPr>
          <w:ilvl w:val="0"/>
          <w:numId w:val="1"/>
        </w:numPr>
        <w:tabs>
          <w:tab w:pos="1633" w:val="left" w:leader="none"/>
          <w:tab w:pos="1634" w:val="left" w:leader="none"/>
        </w:tabs>
        <w:spacing w:line="240" w:lineRule="auto" w:before="10" w:after="0"/>
        <w:ind w:left="1633" w:right="0" w:hanging="420"/>
        <w:jc w:val="left"/>
        <w:rPr>
          <w:sz w:val="21"/>
        </w:rPr>
      </w:pPr>
      <w:r>
        <w:rPr>
          <w:spacing w:val="-3"/>
          <w:w w:val="110"/>
          <w:sz w:val="21"/>
        </w:rPr>
        <w:t>被保险人可以享受本主险合同提供的保障 </w:t>
      </w:r>
      <w:r>
        <w:rPr>
          <w:w w:val="170"/>
          <w:sz w:val="21"/>
        </w:rPr>
        <w:t>„„„„„„„„„„„„„„„„„„„2.2</w:t>
      </w:r>
    </w:p>
    <w:p>
      <w:pPr>
        <w:pStyle w:val="ListParagraph"/>
        <w:numPr>
          <w:ilvl w:val="0"/>
          <w:numId w:val="1"/>
        </w:numPr>
        <w:tabs>
          <w:tab w:pos="1633" w:val="left" w:leader="none"/>
          <w:tab w:pos="1634" w:val="left" w:leader="none"/>
        </w:tabs>
        <w:spacing w:line="240" w:lineRule="auto" w:before="10" w:after="0"/>
        <w:ind w:left="1633" w:right="0" w:hanging="420"/>
        <w:jc w:val="left"/>
        <w:rPr>
          <w:sz w:val="21"/>
        </w:rPr>
      </w:pPr>
      <w:r>
        <w:rPr/>
        <w:pict>
          <v:shape style="position:absolute;margin-left:56.040001pt;margin-top:11.805118pt;width:24.55pt;height:27.5pt;mso-position-horizontal-relative:page;mso-position-vertical-relative:paragraph;z-index:1096"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spacing w:val="10"/>
          <w:w w:val="120"/>
          <w:sz w:val="21"/>
        </w:rPr>
        <w:t>您有退保的权利  </w:t>
      </w:r>
      <w:r>
        <w:rPr>
          <w:w w:val="175"/>
          <w:sz w:val="21"/>
        </w:rPr>
        <w:t>„„„„„„„„„„„„„„„„„„„„„„„„„„„„„„5.1</w:t>
      </w:r>
    </w:p>
    <w:p>
      <w:pPr>
        <w:pStyle w:val="Heading3"/>
        <w:spacing w:before="10"/>
        <w:ind w:left="1251"/>
      </w:pPr>
      <w:r>
        <w:rPr/>
        <w:t>您应当特别注意的事项</w:t>
      </w:r>
    </w:p>
    <w:p>
      <w:pPr>
        <w:pStyle w:val="ListParagraph"/>
        <w:numPr>
          <w:ilvl w:val="0"/>
          <w:numId w:val="1"/>
        </w:numPr>
        <w:tabs>
          <w:tab w:pos="1633" w:val="left" w:leader="none"/>
          <w:tab w:pos="1634" w:val="left" w:leader="none"/>
        </w:tabs>
        <w:spacing w:line="240" w:lineRule="auto" w:before="25" w:after="0"/>
        <w:ind w:left="1633" w:right="0" w:hanging="420"/>
        <w:jc w:val="left"/>
        <w:rPr>
          <w:sz w:val="21"/>
        </w:rPr>
      </w:pPr>
      <w:r>
        <w:rPr>
          <w:spacing w:val="-3"/>
          <w:sz w:val="21"/>
        </w:rPr>
        <w:t>我们对免除保险人责任的条款作了特别提示，详见条款正文中背景突出显示的内容</w:t>
      </w:r>
    </w:p>
    <w:p>
      <w:pPr>
        <w:pStyle w:val="BodyText"/>
        <w:spacing w:before="10"/>
        <w:ind w:left="1633"/>
      </w:pPr>
      <w:r>
        <w:rPr>
          <w:w w:val="185"/>
        </w:rPr>
        <w:t>„„„„„„„„„„„„„„„„„„„„„„„ </w:t>
      </w:r>
      <w:r>
        <w:rPr>
          <w:w w:val="110"/>
        </w:rPr>
        <w:t>1.4、2.2、2.3、3.2、6.1、6.2、7</w:t>
      </w:r>
    </w:p>
    <w:p>
      <w:pPr>
        <w:pStyle w:val="ListParagraph"/>
        <w:numPr>
          <w:ilvl w:val="0"/>
          <w:numId w:val="1"/>
        </w:numPr>
        <w:tabs>
          <w:tab w:pos="1633" w:val="left" w:leader="none"/>
          <w:tab w:pos="1634" w:val="left" w:leader="none"/>
        </w:tabs>
        <w:spacing w:line="240" w:lineRule="auto" w:before="24" w:after="0"/>
        <w:ind w:left="1633" w:right="0" w:hanging="420"/>
        <w:jc w:val="left"/>
        <w:rPr>
          <w:sz w:val="21"/>
        </w:rPr>
      </w:pPr>
      <w:r>
        <w:rPr>
          <w:spacing w:val="-6"/>
          <w:w w:val="110"/>
          <w:sz w:val="21"/>
        </w:rPr>
        <w:t>退保会给您造成一定的损失，请您慎重决策 </w:t>
      </w:r>
      <w:r>
        <w:rPr>
          <w:w w:val="170"/>
          <w:sz w:val="21"/>
        </w:rPr>
        <w:t>„„„„„„„„„„„„„„„„„„5.1</w:t>
      </w:r>
    </w:p>
    <w:p>
      <w:pPr>
        <w:pStyle w:val="ListParagraph"/>
        <w:numPr>
          <w:ilvl w:val="0"/>
          <w:numId w:val="1"/>
        </w:numPr>
        <w:tabs>
          <w:tab w:pos="1633" w:val="left" w:leader="none"/>
          <w:tab w:pos="1634" w:val="left" w:leader="none"/>
        </w:tabs>
        <w:spacing w:line="240" w:lineRule="auto" w:before="9" w:after="0"/>
        <w:ind w:left="1633" w:right="0" w:hanging="420"/>
        <w:jc w:val="left"/>
        <w:rPr>
          <w:sz w:val="21"/>
        </w:rPr>
      </w:pPr>
      <w:r>
        <w:rPr>
          <w:spacing w:val="-1"/>
          <w:w w:val="115"/>
          <w:sz w:val="21"/>
        </w:rPr>
        <w:t>您应当按时支付保险费  </w:t>
      </w:r>
      <w:r>
        <w:rPr>
          <w:w w:val="175"/>
          <w:sz w:val="21"/>
        </w:rPr>
        <w:t>„„„„„„„„„„„„„„„„„„„„„„„„„„„4.1</w:t>
      </w:r>
    </w:p>
    <w:p>
      <w:pPr>
        <w:pStyle w:val="ListParagraph"/>
        <w:numPr>
          <w:ilvl w:val="0"/>
          <w:numId w:val="1"/>
        </w:numPr>
        <w:tabs>
          <w:tab w:pos="1633" w:val="left" w:leader="none"/>
          <w:tab w:pos="1634" w:val="left" w:leader="none"/>
        </w:tabs>
        <w:spacing w:line="240" w:lineRule="auto" w:before="10" w:after="0"/>
        <w:ind w:left="1633" w:right="0" w:hanging="420"/>
        <w:jc w:val="left"/>
        <w:rPr>
          <w:sz w:val="21"/>
        </w:rPr>
      </w:pPr>
      <w:r>
        <w:rPr>
          <w:spacing w:val="3"/>
          <w:w w:val="115"/>
          <w:sz w:val="21"/>
        </w:rPr>
        <w:t>您有如实告知的义务  </w:t>
      </w:r>
      <w:r>
        <w:rPr>
          <w:w w:val="175"/>
          <w:sz w:val="21"/>
        </w:rPr>
        <w:t>„„„„„„„„„„„„„„„„„„„„„„„„„„„„6.1</w:t>
      </w:r>
    </w:p>
    <w:p>
      <w:pPr>
        <w:pStyle w:val="ListParagraph"/>
        <w:numPr>
          <w:ilvl w:val="0"/>
          <w:numId w:val="1"/>
        </w:numPr>
        <w:tabs>
          <w:tab w:pos="1633" w:val="left" w:leader="none"/>
          <w:tab w:pos="1634" w:val="left" w:leader="none"/>
        </w:tabs>
        <w:spacing w:line="240" w:lineRule="auto" w:before="10" w:after="0"/>
        <w:ind w:left="1633" w:right="0" w:hanging="420"/>
        <w:jc w:val="left"/>
        <w:rPr>
          <w:sz w:val="21"/>
        </w:rPr>
      </w:pPr>
      <w:r>
        <w:rPr>
          <w:spacing w:val="2"/>
          <w:w w:val="110"/>
          <w:sz w:val="21"/>
        </w:rPr>
        <w:t>您有及时向我们通知保险事故的责任 </w:t>
      </w:r>
      <w:r>
        <w:rPr>
          <w:w w:val="170"/>
          <w:sz w:val="21"/>
        </w:rPr>
        <w:t>„„„„„„„„„„„„„„„„„„„„„3.2</w:t>
      </w:r>
    </w:p>
    <w:p>
      <w:pPr>
        <w:pStyle w:val="ListParagraph"/>
        <w:numPr>
          <w:ilvl w:val="0"/>
          <w:numId w:val="1"/>
        </w:numPr>
        <w:tabs>
          <w:tab w:pos="1633" w:val="left" w:leader="none"/>
          <w:tab w:pos="1634" w:val="left" w:leader="none"/>
        </w:tabs>
        <w:spacing w:line="240" w:lineRule="auto" w:before="10" w:after="0"/>
        <w:ind w:left="1633" w:right="0" w:hanging="420"/>
        <w:jc w:val="left"/>
        <w:rPr>
          <w:sz w:val="21"/>
        </w:rPr>
      </w:pPr>
      <w:r>
        <w:rPr>
          <w:spacing w:val="1"/>
          <w:w w:val="110"/>
          <w:sz w:val="21"/>
        </w:rPr>
        <w:t>请留意条款所称医院的特定含义  </w:t>
      </w:r>
      <w:r>
        <w:rPr>
          <w:w w:val="170"/>
          <w:sz w:val="21"/>
        </w:rPr>
        <w:t>„„„„„„„„„„„„„„„„„„„„„„„7.4</w:t>
      </w:r>
    </w:p>
    <w:p>
      <w:pPr>
        <w:pStyle w:val="ListParagraph"/>
        <w:numPr>
          <w:ilvl w:val="0"/>
          <w:numId w:val="1"/>
        </w:numPr>
        <w:tabs>
          <w:tab w:pos="1633" w:val="left" w:leader="none"/>
          <w:tab w:pos="1634" w:val="left" w:leader="none"/>
        </w:tabs>
        <w:spacing w:line="240" w:lineRule="auto" w:before="10" w:after="0"/>
        <w:ind w:left="1633" w:right="0" w:hanging="420"/>
        <w:jc w:val="left"/>
        <w:rPr>
          <w:sz w:val="21"/>
        </w:rPr>
      </w:pPr>
      <w:r>
        <w:rPr>
          <w:spacing w:val="-6"/>
          <w:w w:val="110"/>
          <w:sz w:val="21"/>
        </w:rPr>
        <w:t>我们对一些重要术语进行了解释，并作了显著标识，请您注意 </w:t>
      </w:r>
      <w:r>
        <w:rPr>
          <w:w w:val="150"/>
          <w:sz w:val="21"/>
        </w:rPr>
        <w:t>„„„„„„„„„„7</w:t>
      </w:r>
    </w:p>
    <w:p>
      <w:pPr>
        <w:pStyle w:val="ListParagraph"/>
        <w:numPr>
          <w:ilvl w:val="0"/>
          <w:numId w:val="1"/>
        </w:numPr>
        <w:tabs>
          <w:tab w:pos="1633" w:val="left" w:leader="none"/>
          <w:tab w:pos="1634" w:val="left" w:leader="none"/>
        </w:tabs>
        <w:spacing w:line="240" w:lineRule="auto" w:before="10" w:after="0"/>
        <w:ind w:left="1633" w:right="0" w:hanging="420"/>
        <w:jc w:val="left"/>
        <w:rPr>
          <w:sz w:val="21"/>
        </w:rPr>
      </w:pPr>
      <w:r>
        <w:rPr>
          <w:spacing w:val="-6"/>
          <w:w w:val="110"/>
          <w:sz w:val="21"/>
        </w:rPr>
        <w:t>保险条款有关于重大疾病、轻症疾病的释义，请您留意 </w:t>
      </w:r>
      <w:r>
        <w:rPr>
          <w:w w:val="140"/>
          <w:sz w:val="21"/>
        </w:rPr>
        <w:t>„„„„„„„„„„7.5</w:t>
      </w:r>
      <w:r>
        <w:rPr>
          <w:w w:val="110"/>
          <w:sz w:val="21"/>
        </w:rPr>
        <w:t>、7.12</w:t>
      </w:r>
    </w:p>
    <w:p>
      <w:pPr>
        <w:pStyle w:val="ListParagraph"/>
        <w:numPr>
          <w:ilvl w:val="0"/>
          <w:numId w:val="1"/>
        </w:numPr>
        <w:tabs>
          <w:tab w:pos="1633" w:val="left" w:leader="none"/>
          <w:tab w:pos="1634" w:val="left" w:leader="none"/>
        </w:tabs>
        <w:spacing w:line="234" w:lineRule="exact" w:before="10" w:after="0"/>
        <w:ind w:left="1633" w:right="0" w:hanging="420"/>
        <w:jc w:val="left"/>
        <w:rPr>
          <w:sz w:val="21"/>
        </w:rPr>
      </w:pPr>
      <w:r>
        <w:rPr>
          <w:spacing w:val="-3"/>
          <w:sz w:val="21"/>
        </w:rPr>
        <w:t>本主险合同的有效期为1年，若保险期满时续保成功，本主险合同将延续有效</w:t>
      </w:r>
      <w:r>
        <w:rPr>
          <w:w w:val="140"/>
          <w:sz w:val="21"/>
        </w:rPr>
        <w:t>„„„„1.5</w:t>
      </w:r>
    </w:p>
    <w:p>
      <w:pPr>
        <w:pStyle w:val="Heading3"/>
        <w:tabs>
          <w:tab w:pos="1251" w:val="left" w:leader="none"/>
        </w:tabs>
        <w:spacing w:line="393" w:lineRule="exact"/>
        <w:ind w:left="240"/>
      </w:pPr>
      <w:r>
        <w:rPr>
          <w:rFonts w:ascii="Arial" w:hAnsi="Arial" w:eastAsia="Arial"/>
          <w:w w:val="105"/>
          <w:position w:val="-11"/>
          <w:sz w:val="52"/>
        </w:rPr>
        <w:t></w:t>
        <w:tab/>
      </w:r>
      <w:r>
        <w:rPr>
          <w:spacing w:val="-3"/>
        </w:rPr>
        <w:t>条款是保险合同的重要内容，为充分保障您的权益，请您仔细阅读本条款。</w:t>
      </w:r>
    </w:p>
    <w:p>
      <w:pPr>
        <w:tabs>
          <w:tab w:pos="1251" w:val="left" w:leader="none"/>
        </w:tabs>
        <w:spacing w:line="449" w:lineRule="exact" w:before="0"/>
        <w:ind w:left="240" w:right="0" w:firstLine="0"/>
        <w:jc w:val="left"/>
        <w:rPr>
          <w:b/>
          <w:sz w:val="21"/>
        </w:rPr>
      </w:pPr>
      <w:r>
        <w:rPr>
          <w:rFonts w:ascii="Arial" w:hAnsi="Arial" w:eastAsia="Arial"/>
          <w:b/>
          <w:w w:val="110"/>
          <w:position w:val="-11"/>
          <w:sz w:val="52"/>
        </w:rPr>
        <w:t></w:t>
        <w:tab/>
      </w:r>
      <w:r>
        <w:rPr>
          <w:b/>
          <w:sz w:val="21"/>
        </w:rPr>
        <w:t>条款目录</w:t>
      </w:r>
    </w:p>
    <w:p>
      <w:pPr>
        <w:spacing w:after="0" w:line="449" w:lineRule="exact"/>
        <w:jc w:val="left"/>
        <w:rPr>
          <w:sz w:val="21"/>
        </w:rPr>
        <w:sectPr>
          <w:type w:val="continuous"/>
          <w:pgSz w:w="11910" w:h="16840"/>
          <w:pgMar w:top="520" w:bottom="1060" w:left="880" w:right="780"/>
        </w:sectPr>
      </w:pPr>
    </w:p>
    <w:p>
      <w:pPr>
        <w:pStyle w:val="Heading3"/>
        <w:spacing w:line="339" w:lineRule="exact"/>
        <w:rPr>
          <w:rFonts w:ascii="Microsoft JhengHei" w:eastAsia="Microsoft JhengHei" w:hint="eastAsia"/>
        </w:rPr>
      </w:pPr>
      <w:r>
        <w:rPr/>
        <w:t>1.</w:t>
      </w:r>
      <w:r>
        <w:rPr>
          <w:rFonts w:ascii="Microsoft JhengHei" w:eastAsia="Microsoft JhengHei" w:hint="eastAsia"/>
        </w:rPr>
        <w:t>您与我们的合同</w:t>
      </w:r>
    </w:p>
    <w:p>
      <w:pPr>
        <w:pStyle w:val="BodyText"/>
        <w:spacing w:before="40"/>
        <w:ind w:left="754"/>
      </w:pPr>
      <w:r>
        <w:rPr/>
        <w:br w:type="column"/>
      </w:r>
      <w:r>
        <w:rPr/>
        <w:t>5.1 您解除合同的手续及</w:t>
      </w:r>
    </w:p>
    <w:p>
      <w:pPr>
        <w:pStyle w:val="BodyText"/>
        <w:spacing w:before="42"/>
        <w:ind w:left="279"/>
      </w:pPr>
      <w:r>
        <w:rPr/>
        <w:br w:type="column"/>
      </w:r>
      <w:r>
        <w:rPr/>
        <w:t>7.10 永久不可逆</w:t>
      </w:r>
    </w:p>
    <w:p>
      <w:pPr>
        <w:spacing w:after="0"/>
        <w:sectPr>
          <w:type w:val="continuous"/>
          <w:pgSz w:w="11910" w:h="16840"/>
          <w:pgMar w:top="520" w:bottom="1060" w:left="880" w:right="780"/>
          <w:cols w:num="3" w:equalWidth="0">
            <w:col w:w="2445" w:space="587"/>
            <w:col w:w="3069" w:space="39"/>
            <w:col w:w="4110"/>
          </w:cols>
        </w:sectPr>
      </w:pPr>
    </w:p>
    <w:p>
      <w:pPr>
        <w:pStyle w:val="BodyText"/>
        <w:spacing w:before="4"/>
        <w:rPr>
          <w:sz w:val="3"/>
        </w:rPr>
      </w:pPr>
    </w:p>
    <w:tbl>
      <w:tblPr>
        <w:tblW w:w="0" w:type="auto"/>
        <w:jc w:val="left"/>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1"/>
        <w:gridCol w:w="1886"/>
        <w:gridCol w:w="988"/>
        <w:gridCol w:w="2051"/>
        <w:gridCol w:w="607"/>
        <w:gridCol w:w="2651"/>
      </w:tblGrid>
      <w:tr>
        <w:trPr>
          <w:trHeight w:val="248" w:hRule="atLeast"/>
        </w:trPr>
        <w:tc>
          <w:tcPr>
            <w:tcW w:w="631" w:type="dxa"/>
          </w:tcPr>
          <w:p>
            <w:pPr>
              <w:pStyle w:val="TableParagraph"/>
              <w:spacing w:line="211" w:lineRule="exact"/>
              <w:ind w:left="0" w:right="51"/>
              <w:jc w:val="right"/>
              <w:rPr>
                <w:sz w:val="21"/>
              </w:rPr>
            </w:pPr>
            <w:r>
              <w:rPr>
                <w:sz w:val="21"/>
              </w:rPr>
              <w:t>1.1</w:t>
            </w:r>
          </w:p>
        </w:tc>
        <w:tc>
          <w:tcPr>
            <w:tcW w:w="1886" w:type="dxa"/>
          </w:tcPr>
          <w:p>
            <w:pPr>
              <w:pStyle w:val="TableParagraph"/>
              <w:spacing w:line="211" w:lineRule="exact"/>
              <w:ind w:left="52"/>
              <w:rPr>
                <w:sz w:val="21"/>
              </w:rPr>
            </w:pPr>
            <w:r>
              <w:rPr>
                <w:sz w:val="21"/>
              </w:rPr>
              <w:t>合同构成</w:t>
            </w:r>
          </w:p>
        </w:tc>
        <w:tc>
          <w:tcPr>
            <w:tcW w:w="3039" w:type="dxa"/>
            <w:gridSpan w:val="2"/>
          </w:tcPr>
          <w:p>
            <w:pPr>
              <w:pStyle w:val="TableParagraph"/>
              <w:spacing w:line="211" w:lineRule="exact"/>
              <w:ind w:left="353"/>
              <w:rPr>
                <w:sz w:val="21"/>
              </w:rPr>
            </w:pPr>
            <w:r>
              <w:rPr>
                <w:sz w:val="21"/>
              </w:rPr>
              <w:t>风险</w:t>
            </w:r>
          </w:p>
        </w:tc>
        <w:tc>
          <w:tcPr>
            <w:tcW w:w="607" w:type="dxa"/>
          </w:tcPr>
          <w:p>
            <w:pPr>
              <w:pStyle w:val="TableParagraph"/>
              <w:spacing w:line="216" w:lineRule="exact"/>
              <w:ind w:left="0" w:right="23"/>
              <w:jc w:val="right"/>
              <w:rPr>
                <w:sz w:val="21"/>
              </w:rPr>
            </w:pPr>
            <w:r>
              <w:rPr>
                <w:sz w:val="21"/>
              </w:rPr>
              <w:t>7.11</w:t>
            </w:r>
          </w:p>
        </w:tc>
        <w:tc>
          <w:tcPr>
            <w:tcW w:w="2651" w:type="dxa"/>
          </w:tcPr>
          <w:p>
            <w:pPr>
              <w:pStyle w:val="TableParagraph"/>
              <w:spacing w:line="216" w:lineRule="exact"/>
              <w:ind w:left="77"/>
              <w:rPr>
                <w:sz w:val="21"/>
              </w:rPr>
            </w:pPr>
            <w:r>
              <w:rPr>
                <w:sz w:val="21"/>
              </w:rPr>
              <w:t>心功能状态分级</w:t>
            </w:r>
          </w:p>
        </w:tc>
      </w:tr>
      <w:tr>
        <w:trPr>
          <w:trHeight w:val="279" w:hRule="atLeast"/>
        </w:trPr>
        <w:tc>
          <w:tcPr>
            <w:tcW w:w="631" w:type="dxa"/>
          </w:tcPr>
          <w:p>
            <w:pPr>
              <w:pStyle w:val="TableParagraph"/>
              <w:spacing w:line="243" w:lineRule="exact"/>
              <w:ind w:left="0" w:right="51"/>
              <w:jc w:val="right"/>
              <w:rPr>
                <w:sz w:val="21"/>
              </w:rPr>
            </w:pPr>
            <w:r>
              <w:rPr>
                <w:sz w:val="21"/>
              </w:rPr>
              <w:t>1.2</w:t>
            </w:r>
          </w:p>
        </w:tc>
        <w:tc>
          <w:tcPr>
            <w:tcW w:w="1886" w:type="dxa"/>
          </w:tcPr>
          <w:p>
            <w:pPr>
              <w:pStyle w:val="TableParagraph"/>
              <w:spacing w:line="243" w:lineRule="exact"/>
              <w:ind w:left="52"/>
              <w:rPr>
                <w:sz w:val="21"/>
              </w:rPr>
            </w:pPr>
            <w:r>
              <w:rPr>
                <w:sz w:val="21"/>
              </w:rPr>
              <w:t>合同成立与生效</w:t>
            </w:r>
          </w:p>
        </w:tc>
        <w:tc>
          <w:tcPr>
            <w:tcW w:w="3039" w:type="dxa"/>
            <w:gridSpan w:val="2"/>
          </w:tcPr>
          <w:p>
            <w:pPr>
              <w:pStyle w:val="TableParagraph"/>
              <w:spacing w:line="260" w:lineRule="exact"/>
              <w:ind w:left="353"/>
              <w:rPr>
                <w:rFonts w:ascii="Microsoft JhengHei" w:eastAsia="Microsoft JhengHei" w:hint="eastAsia"/>
                <w:b/>
                <w:sz w:val="21"/>
              </w:rPr>
            </w:pPr>
            <w:r>
              <w:rPr>
                <w:b/>
                <w:sz w:val="21"/>
              </w:rPr>
              <w:t>6.</w:t>
            </w:r>
            <w:r>
              <w:rPr>
                <w:rFonts w:ascii="Microsoft JhengHei" w:eastAsia="Microsoft JhengHei" w:hint="eastAsia"/>
                <w:b/>
                <w:sz w:val="21"/>
              </w:rPr>
              <w:t>其他需要关注的事项</w:t>
            </w:r>
          </w:p>
        </w:tc>
        <w:tc>
          <w:tcPr>
            <w:tcW w:w="607" w:type="dxa"/>
          </w:tcPr>
          <w:p>
            <w:pPr>
              <w:pStyle w:val="TableParagraph"/>
              <w:spacing w:line="246" w:lineRule="exact"/>
              <w:ind w:left="0" w:right="23"/>
              <w:jc w:val="right"/>
              <w:rPr>
                <w:sz w:val="21"/>
              </w:rPr>
            </w:pPr>
            <w:r>
              <w:rPr>
                <w:sz w:val="21"/>
              </w:rPr>
              <w:t>7.12</w:t>
            </w:r>
          </w:p>
        </w:tc>
        <w:tc>
          <w:tcPr>
            <w:tcW w:w="2651" w:type="dxa"/>
          </w:tcPr>
          <w:p>
            <w:pPr>
              <w:pStyle w:val="TableParagraph"/>
              <w:spacing w:line="246" w:lineRule="exact"/>
              <w:ind w:left="77"/>
              <w:rPr>
                <w:sz w:val="21"/>
              </w:rPr>
            </w:pPr>
            <w:r>
              <w:rPr>
                <w:sz w:val="21"/>
              </w:rPr>
              <w:t>轻症疾病</w:t>
            </w:r>
          </w:p>
        </w:tc>
      </w:tr>
      <w:tr>
        <w:trPr>
          <w:trHeight w:val="279" w:hRule="atLeast"/>
        </w:trPr>
        <w:tc>
          <w:tcPr>
            <w:tcW w:w="631" w:type="dxa"/>
          </w:tcPr>
          <w:p>
            <w:pPr>
              <w:pStyle w:val="TableParagraph"/>
              <w:spacing w:line="245" w:lineRule="exact"/>
              <w:ind w:left="0" w:right="52"/>
              <w:jc w:val="right"/>
              <w:rPr>
                <w:sz w:val="21"/>
              </w:rPr>
            </w:pPr>
            <w:r>
              <w:rPr>
                <w:sz w:val="21"/>
              </w:rPr>
              <w:t>1.3</w:t>
            </w:r>
          </w:p>
        </w:tc>
        <w:tc>
          <w:tcPr>
            <w:tcW w:w="1886" w:type="dxa"/>
          </w:tcPr>
          <w:p>
            <w:pPr>
              <w:pStyle w:val="TableParagraph"/>
              <w:spacing w:line="245" w:lineRule="exact"/>
              <w:ind w:left="52"/>
              <w:rPr>
                <w:sz w:val="21"/>
              </w:rPr>
            </w:pPr>
            <w:r>
              <w:rPr>
                <w:sz w:val="21"/>
              </w:rPr>
              <w:t>投保年龄</w:t>
            </w:r>
          </w:p>
        </w:tc>
        <w:tc>
          <w:tcPr>
            <w:tcW w:w="3039" w:type="dxa"/>
            <w:gridSpan w:val="2"/>
          </w:tcPr>
          <w:p>
            <w:pPr>
              <w:pStyle w:val="TableParagraph"/>
              <w:spacing w:line="245" w:lineRule="exact"/>
              <w:ind w:left="564"/>
              <w:rPr>
                <w:sz w:val="21"/>
              </w:rPr>
            </w:pPr>
            <w:r>
              <w:rPr>
                <w:sz w:val="21"/>
              </w:rPr>
              <w:t>6.1 明确说明与如实告知</w:t>
            </w:r>
          </w:p>
        </w:tc>
        <w:tc>
          <w:tcPr>
            <w:tcW w:w="607" w:type="dxa"/>
          </w:tcPr>
          <w:p>
            <w:pPr>
              <w:pStyle w:val="TableParagraph"/>
              <w:spacing w:line="247" w:lineRule="exact"/>
              <w:ind w:left="0" w:right="23"/>
              <w:jc w:val="right"/>
              <w:rPr>
                <w:sz w:val="21"/>
              </w:rPr>
            </w:pPr>
            <w:r>
              <w:rPr>
                <w:sz w:val="21"/>
              </w:rPr>
              <w:t>7.13</w:t>
            </w:r>
          </w:p>
        </w:tc>
        <w:tc>
          <w:tcPr>
            <w:tcW w:w="2651" w:type="dxa"/>
          </w:tcPr>
          <w:p>
            <w:pPr>
              <w:pStyle w:val="TableParagraph"/>
              <w:spacing w:line="247" w:lineRule="exact"/>
              <w:ind w:left="77"/>
              <w:rPr>
                <w:sz w:val="21"/>
              </w:rPr>
            </w:pPr>
            <w:r>
              <w:rPr>
                <w:sz w:val="21"/>
              </w:rPr>
              <w:t>保险事故</w:t>
            </w:r>
          </w:p>
        </w:tc>
      </w:tr>
      <w:tr>
        <w:trPr>
          <w:trHeight w:val="280" w:hRule="atLeast"/>
        </w:trPr>
        <w:tc>
          <w:tcPr>
            <w:tcW w:w="631" w:type="dxa"/>
          </w:tcPr>
          <w:p>
            <w:pPr>
              <w:pStyle w:val="TableParagraph"/>
              <w:spacing w:line="244" w:lineRule="exact"/>
              <w:ind w:left="0" w:right="51"/>
              <w:jc w:val="right"/>
              <w:rPr>
                <w:sz w:val="21"/>
              </w:rPr>
            </w:pPr>
            <w:r>
              <w:rPr>
                <w:sz w:val="21"/>
              </w:rPr>
              <w:t>1.4</w:t>
            </w:r>
          </w:p>
        </w:tc>
        <w:tc>
          <w:tcPr>
            <w:tcW w:w="1886" w:type="dxa"/>
          </w:tcPr>
          <w:p>
            <w:pPr>
              <w:pStyle w:val="TableParagraph"/>
              <w:spacing w:line="244" w:lineRule="exact"/>
              <w:ind w:left="52"/>
              <w:rPr>
                <w:sz w:val="21"/>
              </w:rPr>
            </w:pPr>
            <w:r>
              <w:rPr>
                <w:sz w:val="21"/>
              </w:rPr>
              <w:t>犹豫期</w:t>
            </w:r>
          </w:p>
        </w:tc>
        <w:tc>
          <w:tcPr>
            <w:tcW w:w="3039" w:type="dxa"/>
            <w:gridSpan w:val="2"/>
          </w:tcPr>
          <w:p>
            <w:pPr>
              <w:pStyle w:val="TableParagraph"/>
              <w:spacing w:line="244" w:lineRule="exact"/>
              <w:ind w:left="564"/>
              <w:rPr>
                <w:sz w:val="21"/>
              </w:rPr>
            </w:pPr>
            <w:r>
              <w:rPr>
                <w:sz w:val="21"/>
              </w:rPr>
              <w:t>6.2 年龄错误</w:t>
            </w:r>
          </w:p>
        </w:tc>
        <w:tc>
          <w:tcPr>
            <w:tcW w:w="607" w:type="dxa"/>
          </w:tcPr>
          <w:p>
            <w:pPr>
              <w:pStyle w:val="TableParagraph"/>
              <w:spacing w:line="248" w:lineRule="exact"/>
              <w:ind w:left="0" w:right="23"/>
              <w:jc w:val="right"/>
              <w:rPr>
                <w:sz w:val="21"/>
              </w:rPr>
            </w:pPr>
            <w:r>
              <w:rPr>
                <w:sz w:val="21"/>
              </w:rPr>
              <w:t>7.14</w:t>
            </w:r>
          </w:p>
        </w:tc>
        <w:tc>
          <w:tcPr>
            <w:tcW w:w="2651" w:type="dxa"/>
          </w:tcPr>
          <w:p>
            <w:pPr>
              <w:pStyle w:val="TableParagraph"/>
              <w:spacing w:line="248" w:lineRule="exact"/>
              <w:ind w:left="77"/>
              <w:rPr>
                <w:sz w:val="21"/>
              </w:rPr>
            </w:pPr>
            <w:r>
              <w:rPr>
                <w:sz w:val="21"/>
              </w:rPr>
              <w:t>毒品</w:t>
            </w:r>
          </w:p>
        </w:tc>
      </w:tr>
      <w:tr>
        <w:trPr>
          <w:trHeight w:val="279" w:hRule="atLeast"/>
        </w:trPr>
        <w:tc>
          <w:tcPr>
            <w:tcW w:w="631" w:type="dxa"/>
          </w:tcPr>
          <w:p>
            <w:pPr>
              <w:pStyle w:val="TableParagraph"/>
              <w:spacing w:line="243" w:lineRule="exact"/>
              <w:ind w:left="0" w:right="51"/>
              <w:jc w:val="right"/>
              <w:rPr>
                <w:sz w:val="21"/>
              </w:rPr>
            </w:pPr>
            <w:r>
              <w:rPr>
                <w:sz w:val="21"/>
              </w:rPr>
              <w:t>1.5</w:t>
            </w:r>
          </w:p>
        </w:tc>
        <w:tc>
          <w:tcPr>
            <w:tcW w:w="1886" w:type="dxa"/>
          </w:tcPr>
          <w:p>
            <w:pPr>
              <w:pStyle w:val="TableParagraph"/>
              <w:spacing w:line="243" w:lineRule="exact"/>
              <w:ind w:left="52"/>
              <w:rPr>
                <w:sz w:val="21"/>
              </w:rPr>
            </w:pPr>
            <w:r>
              <w:rPr>
                <w:sz w:val="21"/>
              </w:rPr>
              <w:t>保险期间和续保</w:t>
            </w:r>
          </w:p>
        </w:tc>
        <w:tc>
          <w:tcPr>
            <w:tcW w:w="3039" w:type="dxa"/>
            <w:gridSpan w:val="2"/>
          </w:tcPr>
          <w:p>
            <w:pPr>
              <w:pStyle w:val="TableParagraph"/>
              <w:spacing w:line="243" w:lineRule="exact"/>
              <w:ind w:left="564"/>
              <w:rPr>
                <w:sz w:val="21"/>
              </w:rPr>
            </w:pPr>
            <w:r>
              <w:rPr>
                <w:sz w:val="21"/>
              </w:rPr>
              <w:t>6.3 合同内容变更</w:t>
            </w:r>
          </w:p>
        </w:tc>
        <w:tc>
          <w:tcPr>
            <w:tcW w:w="607" w:type="dxa"/>
          </w:tcPr>
          <w:p>
            <w:pPr>
              <w:pStyle w:val="TableParagraph"/>
              <w:spacing w:line="246" w:lineRule="exact"/>
              <w:ind w:left="0" w:right="23"/>
              <w:jc w:val="right"/>
              <w:rPr>
                <w:sz w:val="21"/>
              </w:rPr>
            </w:pPr>
            <w:r>
              <w:rPr>
                <w:sz w:val="21"/>
              </w:rPr>
              <w:t>7.15</w:t>
            </w:r>
          </w:p>
        </w:tc>
        <w:tc>
          <w:tcPr>
            <w:tcW w:w="2651" w:type="dxa"/>
          </w:tcPr>
          <w:p>
            <w:pPr>
              <w:pStyle w:val="TableParagraph"/>
              <w:spacing w:line="246" w:lineRule="exact"/>
              <w:ind w:left="24"/>
              <w:rPr>
                <w:sz w:val="21"/>
              </w:rPr>
            </w:pPr>
            <w:r>
              <w:rPr>
                <w:sz w:val="21"/>
              </w:rPr>
              <w:t>酒后驾驶</w:t>
            </w:r>
          </w:p>
        </w:tc>
      </w:tr>
      <w:tr>
        <w:trPr>
          <w:trHeight w:val="279" w:hRule="atLeast"/>
        </w:trPr>
        <w:tc>
          <w:tcPr>
            <w:tcW w:w="2517" w:type="dxa"/>
            <w:gridSpan w:val="2"/>
          </w:tcPr>
          <w:p>
            <w:pPr>
              <w:pStyle w:val="TableParagraph"/>
              <w:spacing w:line="260" w:lineRule="exact"/>
              <w:ind w:left="50"/>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988" w:type="dxa"/>
          </w:tcPr>
          <w:p>
            <w:pPr>
              <w:pStyle w:val="TableParagraph"/>
              <w:spacing w:line="245" w:lineRule="exact"/>
              <w:ind w:left="0" w:right="104"/>
              <w:jc w:val="right"/>
              <w:rPr>
                <w:sz w:val="21"/>
              </w:rPr>
            </w:pPr>
            <w:r>
              <w:rPr>
                <w:sz w:val="21"/>
              </w:rPr>
              <w:t>6.4</w:t>
            </w:r>
          </w:p>
        </w:tc>
        <w:tc>
          <w:tcPr>
            <w:tcW w:w="2051" w:type="dxa"/>
          </w:tcPr>
          <w:p>
            <w:pPr>
              <w:pStyle w:val="TableParagraph"/>
              <w:spacing w:line="245" w:lineRule="exact"/>
              <w:ind w:left="-1"/>
              <w:rPr>
                <w:sz w:val="21"/>
              </w:rPr>
            </w:pPr>
            <w:r>
              <w:rPr>
                <w:sz w:val="21"/>
              </w:rPr>
              <w:t>联系方式变更</w:t>
            </w:r>
          </w:p>
        </w:tc>
        <w:tc>
          <w:tcPr>
            <w:tcW w:w="3258" w:type="dxa"/>
            <w:gridSpan w:val="2"/>
          </w:tcPr>
          <w:p>
            <w:pPr>
              <w:pStyle w:val="TableParagraph"/>
              <w:spacing w:line="247" w:lineRule="exact"/>
              <w:ind w:left="158"/>
              <w:rPr>
                <w:sz w:val="21"/>
              </w:rPr>
            </w:pPr>
            <w:r>
              <w:rPr>
                <w:sz w:val="21"/>
              </w:rPr>
              <w:t>7.16 无合法有效驾驶证驾驶</w:t>
            </w:r>
          </w:p>
        </w:tc>
      </w:tr>
      <w:tr>
        <w:trPr>
          <w:trHeight w:val="280" w:hRule="atLeast"/>
        </w:trPr>
        <w:tc>
          <w:tcPr>
            <w:tcW w:w="2517" w:type="dxa"/>
            <w:gridSpan w:val="2"/>
          </w:tcPr>
          <w:p>
            <w:pPr>
              <w:pStyle w:val="TableParagraph"/>
              <w:spacing w:line="243" w:lineRule="exact"/>
              <w:ind w:left="261"/>
              <w:rPr>
                <w:sz w:val="21"/>
              </w:rPr>
            </w:pPr>
            <w:r>
              <w:rPr>
                <w:sz w:val="21"/>
              </w:rPr>
              <w:t>2.1 保险金额</w:t>
            </w:r>
          </w:p>
        </w:tc>
        <w:tc>
          <w:tcPr>
            <w:tcW w:w="988" w:type="dxa"/>
          </w:tcPr>
          <w:p>
            <w:pPr>
              <w:pStyle w:val="TableParagraph"/>
              <w:spacing w:line="243" w:lineRule="exact"/>
              <w:ind w:left="0" w:right="104"/>
              <w:jc w:val="right"/>
              <w:rPr>
                <w:sz w:val="21"/>
              </w:rPr>
            </w:pPr>
            <w:r>
              <w:rPr>
                <w:sz w:val="21"/>
              </w:rPr>
              <w:t>6.5</w:t>
            </w:r>
          </w:p>
        </w:tc>
        <w:tc>
          <w:tcPr>
            <w:tcW w:w="2051" w:type="dxa"/>
          </w:tcPr>
          <w:p>
            <w:pPr>
              <w:pStyle w:val="TableParagraph"/>
              <w:spacing w:line="243" w:lineRule="exact"/>
              <w:ind w:left="-1"/>
              <w:rPr>
                <w:sz w:val="21"/>
              </w:rPr>
            </w:pPr>
            <w:r>
              <w:rPr>
                <w:sz w:val="21"/>
              </w:rPr>
              <w:t>效力终止</w:t>
            </w:r>
          </w:p>
        </w:tc>
        <w:tc>
          <w:tcPr>
            <w:tcW w:w="3258" w:type="dxa"/>
            <w:gridSpan w:val="2"/>
          </w:tcPr>
          <w:p>
            <w:pPr>
              <w:pStyle w:val="TableParagraph"/>
              <w:spacing w:line="248" w:lineRule="exact"/>
              <w:ind w:left="158"/>
              <w:rPr>
                <w:sz w:val="21"/>
              </w:rPr>
            </w:pPr>
            <w:r>
              <w:rPr>
                <w:sz w:val="21"/>
              </w:rPr>
              <w:t>7.17 无有效行驶证</w:t>
            </w:r>
          </w:p>
        </w:tc>
      </w:tr>
      <w:tr>
        <w:trPr>
          <w:trHeight w:val="279" w:hRule="atLeast"/>
        </w:trPr>
        <w:tc>
          <w:tcPr>
            <w:tcW w:w="2517" w:type="dxa"/>
            <w:gridSpan w:val="2"/>
          </w:tcPr>
          <w:p>
            <w:pPr>
              <w:pStyle w:val="TableParagraph"/>
              <w:spacing w:line="243" w:lineRule="exact"/>
              <w:ind w:left="261"/>
              <w:rPr>
                <w:sz w:val="21"/>
              </w:rPr>
            </w:pPr>
            <w:r>
              <w:rPr>
                <w:sz w:val="21"/>
              </w:rPr>
              <w:t>2.2 保险责任</w:t>
            </w:r>
          </w:p>
        </w:tc>
        <w:tc>
          <w:tcPr>
            <w:tcW w:w="988" w:type="dxa"/>
          </w:tcPr>
          <w:p>
            <w:pPr>
              <w:pStyle w:val="TableParagraph"/>
              <w:spacing w:line="243" w:lineRule="exact"/>
              <w:ind w:left="0" w:right="104"/>
              <w:jc w:val="right"/>
              <w:rPr>
                <w:sz w:val="21"/>
              </w:rPr>
            </w:pPr>
            <w:r>
              <w:rPr>
                <w:sz w:val="21"/>
              </w:rPr>
              <w:t>6.6</w:t>
            </w:r>
          </w:p>
        </w:tc>
        <w:tc>
          <w:tcPr>
            <w:tcW w:w="2051" w:type="dxa"/>
          </w:tcPr>
          <w:p>
            <w:pPr>
              <w:pStyle w:val="TableParagraph"/>
              <w:spacing w:line="243" w:lineRule="exact"/>
              <w:ind w:left="-1"/>
              <w:rPr>
                <w:sz w:val="21"/>
              </w:rPr>
            </w:pPr>
            <w:r>
              <w:rPr>
                <w:sz w:val="21"/>
              </w:rPr>
              <w:t>争议处理</w:t>
            </w:r>
          </w:p>
        </w:tc>
        <w:tc>
          <w:tcPr>
            <w:tcW w:w="3258" w:type="dxa"/>
            <w:gridSpan w:val="2"/>
          </w:tcPr>
          <w:p>
            <w:pPr>
              <w:pStyle w:val="TableParagraph"/>
              <w:spacing w:line="246" w:lineRule="exact"/>
              <w:ind w:left="158"/>
              <w:rPr>
                <w:sz w:val="21"/>
              </w:rPr>
            </w:pPr>
            <w:r>
              <w:rPr>
                <w:sz w:val="21"/>
              </w:rPr>
              <w:t>7.18 机动车</w:t>
            </w:r>
          </w:p>
        </w:tc>
      </w:tr>
      <w:tr>
        <w:trPr>
          <w:trHeight w:val="560" w:hRule="atLeast"/>
        </w:trPr>
        <w:tc>
          <w:tcPr>
            <w:tcW w:w="2517" w:type="dxa"/>
            <w:gridSpan w:val="2"/>
          </w:tcPr>
          <w:p>
            <w:pPr>
              <w:pStyle w:val="TableParagraph"/>
              <w:spacing w:line="213" w:lineRule="exact"/>
              <w:ind w:left="261"/>
              <w:rPr>
                <w:sz w:val="21"/>
              </w:rPr>
            </w:pPr>
            <w:r>
              <w:rPr>
                <w:sz w:val="21"/>
              </w:rPr>
              <w:t>2.3 责任免除</w:t>
            </w:r>
          </w:p>
          <w:p>
            <w:pPr>
              <w:pStyle w:val="TableParagraph"/>
              <w:spacing w:line="327" w:lineRule="exact"/>
              <w:ind w:left="50"/>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988" w:type="dxa"/>
          </w:tcPr>
          <w:p>
            <w:pPr>
              <w:pStyle w:val="TableParagraph"/>
              <w:spacing w:line="258" w:lineRule="exact"/>
              <w:ind w:left="352"/>
              <w:jc w:val="center"/>
              <w:rPr>
                <w:rFonts w:ascii="Microsoft JhengHei" w:eastAsia="Microsoft JhengHei" w:hint="eastAsia"/>
                <w:b/>
                <w:sz w:val="21"/>
              </w:rPr>
            </w:pPr>
            <w:r>
              <w:rPr>
                <w:b/>
                <w:spacing w:val="-7"/>
                <w:w w:val="110"/>
                <w:sz w:val="21"/>
              </w:rPr>
              <w:t>7</w:t>
            </w:r>
            <w:r>
              <w:rPr>
                <w:rFonts w:ascii="Microsoft JhengHei" w:eastAsia="Microsoft JhengHei" w:hint="eastAsia"/>
                <w:b/>
                <w:spacing w:val="-7"/>
                <w:w w:val="110"/>
                <w:sz w:val="21"/>
              </w:rPr>
              <w:t>.释义</w:t>
            </w:r>
          </w:p>
          <w:p>
            <w:pPr>
              <w:pStyle w:val="TableParagraph"/>
              <w:spacing w:line="265" w:lineRule="exact"/>
              <w:ind w:left="458"/>
              <w:jc w:val="center"/>
              <w:rPr>
                <w:sz w:val="21"/>
              </w:rPr>
            </w:pPr>
            <w:r>
              <w:rPr>
                <w:sz w:val="21"/>
              </w:rPr>
              <w:t>7.1</w:t>
            </w:r>
          </w:p>
        </w:tc>
        <w:tc>
          <w:tcPr>
            <w:tcW w:w="2051" w:type="dxa"/>
          </w:tcPr>
          <w:p>
            <w:pPr>
              <w:pStyle w:val="TableParagraph"/>
              <w:spacing w:before="12"/>
              <w:ind w:left="0"/>
              <w:rPr>
                <w:sz w:val="18"/>
              </w:rPr>
            </w:pPr>
          </w:p>
          <w:p>
            <w:pPr>
              <w:pStyle w:val="TableParagraph"/>
              <w:ind w:left="-1"/>
              <w:rPr>
                <w:sz w:val="21"/>
              </w:rPr>
            </w:pPr>
            <w:r>
              <w:rPr>
                <w:sz w:val="21"/>
              </w:rPr>
              <w:t>周岁</w:t>
            </w:r>
          </w:p>
        </w:tc>
        <w:tc>
          <w:tcPr>
            <w:tcW w:w="3258" w:type="dxa"/>
            <w:gridSpan w:val="2"/>
          </w:tcPr>
          <w:p>
            <w:pPr>
              <w:pStyle w:val="TableParagraph"/>
              <w:numPr>
                <w:ilvl w:val="1"/>
                <w:numId w:val="2"/>
              </w:numPr>
              <w:tabs>
                <w:tab w:pos="685" w:val="left" w:leader="none"/>
              </w:tabs>
              <w:spacing w:line="247" w:lineRule="exact" w:before="0" w:after="0"/>
              <w:ind w:left="684" w:right="0" w:hanging="526"/>
              <w:jc w:val="left"/>
              <w:rPr>
                <w:sz w:val="21"/>
              </w:rPr>
            </w:pPr>
            <w:r>
              <w:rPr>
                <w:spacing w:val="-3"/>
                <w:sz w:val="21"/>
              </w:rPr>
              <w:t>感染艾滋病病毒或患艾滋病</w:t>
            </w:r>
          </w:p>
          <w:p>
            <w:pPr>
              <w:pStyle w:val="TableParagraph"/>
              <w:numPr>
                <w:ilvl w:val="1"/>
                <w:numId w:val="2"/>
              </w:numPr>
              <w:tabs>
                <w:tab w:pos="685" w:val="left" w:leader="none"/>
              </w:tabs>
              <w:spacing w:line="240" w:lineRule="auto" w:before="6" w:after="0"/>
              <w:ind w:left="684" w:right="0" w:hanging="526"/>
              <w:jc w:val="left"/>
              <w:rPr>
                <w:sz w:val="21"/>
              </w:rPr>
            </w:pPr>
            <w:r>
              <w:rPr>
                <w:spacing w:val="-3"/>
                <w:sz w:val="21"/>
              </w:rPr>
              <w:t>遗传性疾病</w:t>
            </w:r>
          </w:p>
        </w:tc>
      </w:tr>
      <w:tr>
        <w:trPr>
          <w:trHeight w:val="279" w:hRule="atLeast"/>
        </w:trPr>
        <w:tc>
          <w:tcPr>
            <w:tcW w:w="2517" w:type="dxa"/>
            <w:gridSpan w:val="2"/>
          </w:tcPr>
          <w:p>
            <w:pPr>
              <w:pStyle w:val="TableParagraph"/>
              <w:spacing w:line="243" w:lineRule="exact"/>
              <w:ind w:left="261"/>
              <w:rPr>
                <w:sz w:val="21"/>
              </w:rPr>
            </w:pPr>
            <w:r>
              <w:rPr>
                <w:sz w:val="21"/>
              </w:rPr>
              <w:t>3.1 受益人</w:t>
            </w:r>
          </w:p>
        </w:tc>
        <w:tc>
          <w:tcPr>
            <w:tcW w:w="988" w:type="dxa"/>
          </w:tcPr>
          <w:p>
            <w:pPr>
              <w:pStyle w:val="TableParagraph"/>
              <w:spacing w:line="243" w:lineRule="exact"/>
              <w:ind w:left="0" w:right="104"/>
              <w:jc w:val="right"/>
              <w:rPr>
                <w:sz w:val="21"/>
              </w:rPr>
            </w:pPr>
            <w:r>
              <w:rPr>
                <w:sz w:val="21"/>
              </w:rPr>
              <w:t>7.2</w:t>
            </w:r>
          </w:p>
        </w:tc>
        <w:tc>
          <w:tcPr>
            <w:tcW w:w="2051" w:type="dxa"/>
          </w:tcPr>
          <w:p>
            <w:pPr>
              <w:pStyle w:val="TableParagraph"/>
              <w:spacing w:line="243" w:lineRule="exact"/>
              <w:ind w:left="-1"/>
              <w:rPr>
                <w:sz w:val="21"/>
              </w:rPr>
            </w:pPr>
            <w:r>
              <w:rPr>
                <w:sz w:val="21"/>
              </w:rPr>
              <w:t>有效身份证件</w:t>
            </w:r>
          </w:p>
        </w:tc>
        <w:tc>
          <w:tcPr>
            <w:tcW w:w="3258" w:type="dxa"/>
            <w:gridSpan w:val="2"/>
          </w:tcPr>
          <w:p>
            <w:pPr>
              <w:pStyle w:val="TableParagraph"/>
              <w:spacing w:line="246" w:lineRule="exact"/>
              <w:ind w:left="158"/>
              <w:rPr>
                <w:sz w:val="21"/>
              </w:rPr>
            </w:pPr>
            <w:r>
              <w:rPr>
                <w:sz w:val="21"/>
              </w:rPr>
              <w:t>7.21 先天性畸形、变形或染色体</w:t>
            </w:r>
          </w:p>
        </w:tc>
      </w:tr>
      <w:tr>
        <w:trPr>
          <w:trHeight w:val="279" w:hRule="atLeast"/>
        </w:trPr>
        <w:tc>
          <w:tcPr>
            <w:tcW w:w="2517" w:type="dxa"/>
            <w:gridSpan w:val="2"/>
          </w:tcPr>
          <w:p>
            <w:pPr>
              <w:pStyle w:val="TableParagraph"/>
              <w:spacing w:line="245" w:lineRule="exact"/>
              <w:ind w:left="261"/>
              <w:rPr>
                <w:sz w:val="21"/>
              </w:rPr>
            </w:pPr>
            <w:r>
              <w:rPr>
                <w:sz w:val="21"/>
              </w:rPr>
              <w:t>3.2 保险事故通知</w:t>
            </w:r>
          </w:p>
        </w:tc>
        <w:tc>
          <w:tcPr>
            <w:tcW w:w="988" w:type="dxa"/>
          </w:tcPr>
          <w:p>
            <w:pPr>
              <w:pStyle w:val="TableParagraph"/>
              <w:spacing w:line="245" w:lineRule="exact"/>
              <w:ind w:left="0" w:right="104"/>
              <w:jc w:val="right"/>
              <w:rPr>
                <w:sz w:val="21"/>
              </w:rPr>
            </w:pPr>
            <w:r>
              <w:rPr>
                <w:sz w:val="21"/>
              </w:rPr>
              <w:t>7.3</w:t>
            </w:r>
          </w:p>
        </w:tc>
        <w:tc>
          <w:tcPr>
            <w:tcW w:w="2051" w:type="dxa"/>
          </w:tcPr>
          <w:p>
            <w:pPr>
              <w:pStyle w:val="TableParagraph"/>
              <w:spacing w:line="245" w:lineRule="exact"/>
              <w:ind w:left="-1"/>
              <w:rPr>
                <w:sz w:val="21"/>
              </w:rPr>
            </w:pPr>
            <w:r>
              <w:rPr>
                <w:sz w:val="21"/>
              </w:rPr>
              <w:t>基本保险金额</w:t>
            </w:r>
          </w:p>
        </w:tc>
        <w:tc>
          <w:tcPr>
            <w:tcW w:w="3258" w:type="dxa"/>
            <w:gridSpan w:val="2"/>
          </w:tcPr>
          <w:p>
            <w:pPr>
              <w:pStyle w:val="TableParagraph"/>
              <w:spacing w:line="247" w:lineRule="exact"/>
              <w:ind w:left="578"/>
              <w:rPr>
                <w:sz w:val="21"/>
              </w:rPr>
            </w:pPr>
            <w:r>
              <w:rPr>
                <w:sz w:val="21"/>
              </w:rPr>
              <w:t>异常</w:t>
            </w:r>
          </w:p>
        </w:tc>
      </w:tr>
      <w:tr>
        <w:trPr>
          <w:trHeight w:val="280" w:hRule="atLeast"/>
        </w:trPr>
        <w:tc>
          <w:tcPr>
            <w:tcW w:w="2517" w:type="dxa"/>
            <w:gridSpan w:val="2"/>
          </w:tcPr>
          <w:p>
            <w:pPr>
              <w:pStyle w:val="TableParagraph"/>
              <w:spacing w:line="243" w:lineRule="exact"/>
              <w:ind w:left="261"/>
              <w:rPr>
                <w:sz w:val="21"/>
              </w:rPr>
            </w:pPr>
            <w:r>
              <w:rPr>
                <w:sz w:val="21"/>
              </w:rPr>
              <w:t>3.3 保险金申请</w:t>
            </w:r>
          </w:p>
        </w:tc>
        <w:tc>
          <w:tcPr>
            <w:tcW w:w="988" w:type="dxa"/>
          </w:tcPr>
          <w:p>
            <w:pPr>
              <w:pStyle w:val="TableParagraph"/>
              <w:spacing w:line="243" w:lineRule="exact"/>
              <w:ind w:left="0" w:right="104"/>
              <w:jc w:val="right"/>
              <w:rPr>
                <w:sz w:val="21"/>
              </w:rPr>
            </w:pPr>
            <w:r>
              <w:rPr>
                <w:sz w:val="21"/>
              </w:rPr>
              <w:t>7.4</w:t>
            </w:r>
          </w:p>
        </w:tc>
        <w:tc>
          <w:tcPr>
            <w:tcW w:w="2051" w:type="dxa"/>
          </w:tcPr>
          <w:p>
            <w:pPr>
              <w:pStyle w:val="TableParagraph"/>
              <w:spacing w:line="243" w:lineRule="exact"/>
              <w:ind w:left="-1"/>
              <w:rPr>
                <w:sz w:val="21"/>
              </w:rPr>
            </w:pPr>
            <w:r>
              <w:rPr>
                <w:sz w:val="21"/>
              </w:rPr>
              <w:t>医院</w:t>
            </w:r>
          </w:p>
        </w:tc>
        <w:tc>
          <w:tcPr>
            <w:tcW w:w="3258" w:type="dxa"/>
            <w:gridSpan w:val="2"/>
          </w:tcPr>
          <w:p>
            <w:pPr>
              <w:pStyle w:val="TableParagraph"/>
              <w:spacing w:line="248" w:lineRule="exact"/>
              <w:ind w:left="158"/>
              <w:rPr>
                <w:sz w:val="21"/>
              </w:rPr>
            </w:pPr>
            <w:r>
              <w:rPr>
                <w:sz w:val="21"/>
              </w:rPr>
              <w:t>7.22 净保险费</w:t>
            </w:r>
          </w:p>
        </w:tc>
      </w:tr>
      <w:tr>
        <w:trPr>
          <w:trHeight w:val="278" w:hRule="atLeast"/>
        </w:trPr>
        <w:tc>
          <w:tcPr>
            <w:tcW w:w="2517" w:type="dxa"/>
            <w:gridSpan w:val="2"/>
          </w:tcPr>
          <w:p>
            <w:pPr>
              <w:pStyle w:val="TableParagraph"/>
              <w:spacing w:line="243" w:lineRule="exact"/>
              <w:ind w:left="261"/>
              <w:rPr>
                <w:sz w:val="21"/>
              </w:rPr>
            </w:pPr>
            <w:r>
              <w:rPr>
                <w:sz w:val="21"/>
              </w:rPr>
              <w:t>3.4 保险金的给付</w:t>
            </w:r>
          </w:p>
        </w:tc>
        <w:tc>
          <w:tcPr>
            <w:tcW w:w="988" w:type="dxa"/>
          </w:tcPr>
          <w:p>
            <w:pPr>
              <w:pStyle w:val="TableParagraph"/>
              <w:spacing w:line="243" w:lineRule="exact"/>
              <w:ind w:left="0" w:right="104"/>
              <w:jc w:val="right"/>
              <w:rPr>
                <w:sz w:val="21"/>
              </w:rPr>
            </w:pPr>
            <w:r>
              <w:rPr>
                <w:sz w:val="21"/>
              </w:rPr>
              <w:t>7.5</w:t>
            </w:r>
          </w:p>
        </w:tc>
        <w:tc>
          <w:tcPr>
            <w:tcW w:w="2051" w:type="dxa"/>
          </w:tcPr>
          <w:p>
            <w:pPr>
              <w:pStyle w:val="TableParagraph"/>
              <w:spacing w:line="243" w:lineRule="exact"/>
              <w:ind w:left="-1"/>
              <w:rPr>
                <w:sz w:val="21"/>
              </w:rPr>
            </w:pPr>
            <w:r>
              <w:rPr>
                <w:sz w:val="21"/>
              </w:rPr>
              <w:t>重大疾病</w:t>
            </w:r>
          </w:p>
        </w:tc>
        <w:tc>
          <w:tcPr>
            <w:tcW w:w="3258" w:type="dxa"/>
            <w:gridSpan w:val="2"/>
          </w:tcPr>
          <w:p>
            <w:pPr>
              <w:pStyle w:val="TableParagraph"/>
              <w:ind w:left="0"/>
              <w:rPr>
                <w:rFonts w:ascii="Times New Roman"/>
                <w:sz w:val="20"/>
              </w:rPr>
            </w:pPr>
          </w:p>
        </w:tc>
      </w:tr>
      <w:tr>
        <w:trPr>
          <w:trHeight w:val="279" w:hRule="atLeast"/>
        </w:trPr>
        <w:tc>
          <w:tcPr>
            <w:tcW w:w="2517" w:type="dxa"/>
            <w:gridSpan w:val="2"/>
          </w:tcPr>
          <w:p>
            <w:pPr>
              <w:pStyle w:val="TableParagraph"/>
              <w:spacing w:line="246" w:lineRule="exact"/>
              <w:ind w:left="261"/>
              <w:rPr>
                <w:sz w:val="21"/>
              </w:rPr>
            </w:pPr>
            <w:r>
              <w:rPr>
                <w:sz w:val="21"/>
              </w:rPr>
              <w:t>3.5 诉讼时效</w:t>
            </w:r>
          </w:p>
        </w:tc>
        <w:tc>
          <w:tcPr>
            <w:tcW w:w="988" w:type="dxa"/>
          </w:tcPr>
          <w:p>
            <w:pPr>
              <w:pStyle w:val="TableParagraph"/>
              <w:spacing w:line="246" w:lineRule="exact"/>
              <w:ind w:left="0" w:right="104"/>
              <w:jc w:val="right"/>
              <w:rPr>
                <w:sz w:val="21"/>
              </w:rPr>
            </w:pPr>
            <w:r>
              <w:rPr>
                <w:sz w:val="21"/>
              </w:rPr>
              <w:t>7.6</w:t>
            </w:r>
          </w:p>
        </w:tc>
        <w:tc>
          <w:tcPr>
            <w:tcW w:w="2051" w:type="dxa"/>
          </w:tcPr>
          <w:p>
            <w:pPr>
              <w:pStyle w:val="TableParagraph"/>
              <w:spacing w:line="246" w:lineRule="exact"/>
              <w:ind w:left="-1"/>
              <w:rPr>
                <w:sz w:val="21"/>
              </w:rPr>
            </w:pPr>
            <w:r>
              <w:rPr>
                <w:sz w:val="21"/>
              </w:rPr>
              <w:t>专科医生</w:t>
            </w:r>
          </w:p>
        </w:tc>
        <w:tc>
          <w:tcPr>
            <w:tcW w:w="3258" w:type="dxa"/>
            <w:gridSpan w:val="2"/>
          </w:tcPr>
          <w:p>
            <w:pPr>
              <w:pStyle w:val="TableParagraph"/>
              <w:ind w:left="0"/>
              <w:rPr>
                <w:rFonts w:ascii="Times New Roman"/>
                <w:sz w:val="20"/>
              </w:rPr>
            </w:pPr>
          </w:p>
        </w:tc>
      </w:tr>
      <w:tr>
        <w:trPr>
          <w:trHeight w:val="279" w:hRule="atLeast"/>
        </w:trPr>
        <w:tc>
          <w:tcPr>
            <w:tcW w:w="2517" w:type="dxa"/>
            <w:gridSpan w:val="2"/>
          </w:tcPr>
          <w:p>
            <w:pPr>
              <w:pStyle w:val="TableParagraph"/>
              <w:spacing w:line="260" w:lineRule="exact"/>
              <w:ind w:left="50"/>
              <w:rPr>
                <w:rFonts w:ascii="Microsoft JhengHei" w:eastAsia="Microsoft JhengHei" w:hint="eastAsia"/>
                <w:b/>
                <w:sz w:val="21"/>
              </w:rPr>
            </w:pPr>
            <w:r>
              <w:rPr>
                <w:b/>
                <w:sz w:val="21"/>
              </w:rPr>
              <w:t>4.</w:t>
            </w:r>
            <w:r>
              <w:rPr>
                <w:rFonts w:ascii="Microsoft JhengHei" w:eastAsia="Microsoft JhengHei" w:hint="eastAsia"/>
                <w:b/>
                <w:sz w:val="21"/>
              </w:rPr>
              <w:t>如何支付保险费</w:t>
            </w:r>
          </w:p>
        </w:tc>
        <w:tc>
          <w:tcPr>
            <w:tcW w:w="988" w:type="dxa"/>
          </w:tcPr>
          <w:p>
            <w:pPr>
              <w:pStyle w:val="TableParagraph"/>
              <w:spacing w:line="245" w:lineRule="exact"/>
              <w:ind w:left="0" w:right="104"/>
              <w:jc w:val="right"/>
              <w:rPr>
                <w:sz w:val="21"/>
              </w:rPr>
            </w:pPr>
            <w:r>
              <w:rPr>
                <w:sz w:val="21"/>
              </w:rPr>
              <w:t>7.7</w:t>
            </w:r>
          </w:p>
        </w:tc>
        <w:tc>
          <w:tcPr>
            <w:tcW w:w="2051" w:type="dxa"/>
          </w:tcPr>
          <w:p>
            <w:pPr>
              <w:pStyle w:val="TableParagraph"/>
              <w:spacing w:line="245" w:lineRule="exact"/>
              <w:ind w:left="-1"/>
              <w:rPr>
                <w:sz w:val="21"/>
              </w:rPr>
            </w:pPr>
            <w:r>
              <w:rPr>
                <w:sz w:val="21"/>
              </w:rPr>
              <w:t>肢体机能完全丧失</w:t>
            </w:r>
          </w:p>
        </w:tc>
        <w:tc>
          <w:tcPr>
            <w:tcW w:w="3258" w:type="dxa"/>
            <w:gridSpan w:val="2"/>
          </w:tcPr>
          <w:p>
            <w:pPr>
              <w:pStyle w:val="TableParagraph"/>
              <w:ind w:left="0"/>
              <w:rPr>
                <w:rFonts w:ascii="Times New Roman"/>
                <w:sz w:val="20"/>
              </w:rPr>
            </w:pPr>
          </w:p>
        </w:tc>
      </w:tr>
      <w:tr>
        <w:trPr>
          <w:trHeight w:val="246" w:hRule="atLeast"/>
        </w:trPr>
        <w:tc>
          <w:tcPr>
            <w:tcW w:w="2517" w:type="dxa"/>
            <w:gridSpan w:val="2"/>
          </w:tcPr>
          <w:p>
            <w:pPr>
              <w:pStyle w:val="TableParagraph"/>
              <w:spacing w:line="226" w:lineRule="exact"/>
              <w:ind w:left="261"/>
              <w:rPr>
                <w:sz w:val="21"/>
              </w:rPr>
            </w:pPr>
            <w:r>
              <w:rPr>
                <w:sz w:val="21"/>
              </w:rPr>
              <w:t>4.1 保险费的支付</w:t>
            </w:r>
          </w:p>
        </w:tc>
        <w:tc>
          <w:tcPr>
            <w:tcW w:w="988" w:type="dxa"/>
          </w:tcPr>
          <w:p>
            <w:pPr>
              <w:pStyle w:val="TableParagraph"/>
              <w:spacing w:line="226" w:lineRule="exact"/>
              <w:ind w:left="0" w:right="104"/>
              <w:jc w:val="right"/>
              <w:rPr>
                <w:sz w:val="21"/>
              </w:rPr>
            </w:pPr>
            <w:r>
              <w:rPr>
                <w:sz w:val="21"/>
              </w:rPr>
              <w:t>7.8</w:t>
            </w:r>
          </w:p>
        </w:tc>
        <w:tc>
          <w:tcPr>
            <w:tcW w:w="2051" w:type="dxa"/>
          </w:tcPr>
          <w:p>
            <w:pPr>
              <w:pStyle w:val="TableParagraph"/>
              <w:spacing w:line="226" w:lineRule="exact"/>
              <w:ind w:left="-1"/>
              <w:rPr>
                <w:sz w:val="21"/>
              </w:rPr>
            </w:pPr>
            <w:r>
              <w:rPr>
                <w:sz w:val="21"/>
              </w:rPr>
              <w:t>语言能力或咀嚼吞咽</w:t>
            </w:r>
          </w:p>
        </w:tc>
        <w:tc>
          <w:tcPr>
            <w:tcW w:w="3258" w:type="dxa"/>
            <w:gridSpan w:val="2"/>
          </w:tcPr>
          <w:p>
            <w:pPr>
              <w:pStyle w:val="TableParagraph"/>
              <w:ind w:left="0"/>
              <w:rPr>
                <w:rFonts w:ascii="Times New Roman"/>
                <w:sz w:val="16"/>
              </w:rPr>
            </w:pPr>
          </w:p>
        </w:tc>
      </w:tr>
    </w:tbl>
    <w:p>
      <w:pPr>
        <w:spacing w:after="0"/>
        <w:rPr>
          <w:rFonts w:ascii="Times New Roman"/>
          <w:sz w:val="16"/>
        </w:rPr>
        <w:sectPr>
          <w:type w:val="continuous"/>
          <w:pgSz w:w="11910" w:h="16840"/>
          <w:pgMar w:top="520" w:bottom="1060" w:left="880" w:right="780"/>
        </w:sectPr>
      </w:pPr>
    </w:p>
    <w:p>
      <w:pPr>
        <w:pStyle w:val="ListParagraph"/>
        <w:numPr>
          <w:ilvl w:val="1"/>
          <w:numId w:val="3"/>
        </w:numPr>
        <w:tabs>
          <w:tab w:pos="1389" w:val="left" w:leader="none"/>
        </w:tabs>
        <w:spacing w:line="240" w:lineRule="auto" w:before="15" w:after="0"/>
        <w:ind w:left="1388" w:right="0" w:hanging="422"/>
        <w:jc w:val="left"/>
        <w:rPr>
          <w:sz w:val="21"/>
        </w:rPr>
      </w:pPr>
      <w:r>
        <w:rPr>
          <w:spacing w:val="-2"/>
          <w:sz w:val="21"/>
        </w:rPr>
        <w:t>宽限期</w:t>
      </w:r>
    </w:p>
    <w:p>
      <w:pPr>
        <w:pStyle w:val="ListParagraph"/>
        <w:numPr>
          <w:ilvl w:val="1"/>
          <w:numId w:val="3"/>
        </w:numPr>
        <w:tabs>
          <w:tab w:pos="1389" w:val="left" w:leader="none"/>
        </w:tabs>
        <w:spacing w:line="255" w:lineRule="exact" w:before="34" w:after="0"/>
        <w:ind w:left="1388" w:right="0" w:hanging="422"/>
        <w:jc w:val="left"/>
        <w:rPr>
          <w:sz w:val="21"/>
        </w:rPr>
      </w:pPr>
      <w:r>
        <w:rPr>
          <w:spacing w:val="-3"/>
          <w:sz w:val="21"/>
        </w:rPr>
        <w:t>保险费率调整</w:t>
      </w:r>
    </w:p>
    <w:p>
      <w:pPr>
        <w:pStyle w:val="Heading3"/>
        <w:spacing w:line="346" w:lineRule="exact"/>
        <w:rPr>
          <w:rFonts w:ascii="Microsoft JhengHei" w:eastAsia="Microsoft JhengHei" w:hint="eastAsia"/>
        </w:rPr>
      </w:pPr>
      <w:r>
        <w:rPr/>
        <w:t>5.</w:t>
      </w:r>
      <w:r>
        <w:rPr>
          <w:rFonts w:ascii="Microsoft JhengHei" w:eastAsia="Microsoft JhengHei" w:hint="eastAsia"/>
        </w:rPr>
        <w:t>如何解除保险合同</w:t>
      </w:r>
    </w:p>
    <w:p>
      <w:pPr>
        <w:pStyle w:val="BodyText"/>
        <w:spacing w:before="6"/>
        <w:ind w:left="1069"/>
      </w:pPr>
      <w:r>
        <w:rPr/>
        <w:br w:type="column"/>
      </w:r>
      <w:r>
        <w:rPr/>
        <w:t>能力完全丧失</w:t>
      </w:r>
    </w:p>
    <w:p>
      <w:pPr>
        <w:pStyle w:val="BodyText"/>
        <w:spacing w:line="244" w:lineRule="auto" w:before="3"/>
        <w:ind w:left="1069" w:right="4143" w:hanging="315"/>
      </w:pPr>
      <w:r>
        <w:rPr/>
        <w:t>7.9 六项基本日常生活活动</w:t>
      </w:r>
    </w:p>
    <w:p>
      <w:pPr>
        <w:spacing w:after="0" w:line="244" w:lineRule="auto"/>
        <w:sectPr>
          <w:type w:val="continuous"/>
          <w:pgSz w:w="11910" w:h="16840"/>
          <w:pgMar w:top="520" w:bottom="1060" w:left="880" w:right="780"/>
          <w:cols w:num="2" w:equalWidth="0">
            <w:col w:w="2656" w:space="376"/>
            <w:col w:w="7218"/>
          </w:cols>
        </w:sect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8"/>
        <w:rPr>
          <w:sz w:val="26"/>
        </w:rPr>
      </w:pPr>
    </w:p>
    <w:p>
      <w:pPr>
        <w:pStyle w:val="BodyText"/>
        <w:spacing w:before="36"/>
        <w:ind w:left="6724"/>
      </w:pPr>
      <w:r>
        <w:rPr/>
        <w:t>险种简称：一年期重疾</w:t>
      </w:r>
    </w:p>
    <w:p>
      <w:pPr>
        <w:spacing w:after="0"/>
        <w:sectPr>
          <w:type w:val="continuous"/>
          <w:pgSz w:w="11910" w:h="16840"/>
          <w:pgMar w:top="520" w:bottom="1060" w:left="880" w:right="780"/>
        </w:sectPr>
      </w:pPr>
    </w:p>
    <w:p>
      <w:pPr>
        <w:pStyle w:val="Heading1"/>
        <w:spacing w:line="478" w:lineRule="exact"/>
        <w:ind w:left="2949"/>
      </w:pPr>
      <w:r>
        <w:rPr/>
        <w:t>平安一年期重大疾病保险条款</w:t>
      </w:r>
    </w:p>
    <w:p>
      <w:pPr>
        <w:pStyle w:val="BodyText"/>
        <w:spacing w:before="5"/>
        <w:rPr>
          <w:rFonts w:ascii="微软雅黑"/>
          <w:b/>
          <w:sz w:val="24"/>
        </w:rPr>
      </w:pPr>
    </w:p>
    <w:p>
      <w:pPr>
        <w:pStyle w:val="BodyText"/>
        <w:spacing w:before="0"/>
        <w:ind w:left="100"/>
      </w:pPr>
      <w:r>
        <w:rPr/>
        <w:t>在本条款中，“您”指投保人，“我们”、“本公司”均指平安健康保险股份有限公司。</w:t>
      </w:r>
    </w:p>
    <w:p>
      <w:pPr>
        <w:pStyle w:val="BodyText"/>
        <w:spacing w:before="0"/>
        <w:rPr>
          <w:sz w:val="20"/>
        </w:rPr>
      </w:pPr>
    </w:p>
    <w:p>
      <w:pPr>
        <w:pStyle w:val="BodyText"/>
        <w:spacing w:before="4"/>
        <w:rPr>
          <w:sz w:val="15"/>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1"/>
        <w:gridCol w:w="2031"/>
        <w:gridCol w:w="6940"/>
      </w:tblGrid>
      <w:tr>
        <w:trPr>
          <w:trHeight w:val="522" w:hRule="atLeast"/>
        </w:trPr>
        <w:tc>
          <w:tcPr>
            <w:tcW w:w="811"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2031" w:type="dxa"/>
            <w:tcBorders>
              <w:bottom w:val="single" w:sz="8" w:space="0" w:color="000000"/>
            </w:tcBorders>
          </w:tcPr>
          <w:p>
            <w:pPr>
              <w:pStyle w:val="TableParagraph"/>
              <w:spacing w:before="14"/>
              <w:ind w:left="346" w:right="-15"/>
              <w:rPr>
                <w:b/>
                <w:sz w:val="24"/>
              </w:rPr>
            </w:pPr>
            <w:r>
              <w:rPr>
                <w:b/>
                <w:w w:val="95"/>
                <w:sz w:val="24"/>
              </w:rPr>
              <w:t>您与我们的合同</w:t>
            </w:r>
          </w:p>
        </w:tc>
        <w:tc>
          <w:tcPr>
            <w:tcW w:w="6940" w:type="dxa"/>
            <w:tcBorders>
              <w:bottom w:val="single" w:sz="8" w:space="0" w:color="000000"/>
            </w:tcBorders>
          </w:tcPr>
          <w:p>
            <w:pPr>
              <w:pStyle w:val="TableParagraph"/>
              <w:ind w:left="0"/>
              <w:rPr>
                <w:rFonts w:ascii="Times New Roman"/>
                <w:sz w:val="20"/>
              </w:rPr>
            </w:pPr>
          </w:p>
        </w:tc>
      </w:tr>
      <w:tr>
        <w:trPr>
          <w:trHeight w:val="1718" w:hRule="atLeast"/>
        </w:trPr>
        <w:tc>
          <w:tcPr>
            <w:tcW w:w="811" w:type="dxa"/>
            <w:tcBorders>
              <w:top w:val="single" w:sz="8" w:space="0" w:color="000000"/>
            </w:tcBorders>
          </w:tcPr>
          <w:p>
            <w:pPr>
              <w:pStyle w:val="TableParagraph"/>
              <w:ind w:left="0"/>
              <w:rPr>
                <w:sz w:val="23"/>
              </w:rPr>
            </w:pPr>
          </w:p>
          <w:p>
            <w:pPr>
              <w:pStyle w:val="TableParagraph"/>
              <w:ind w:left="107"/>
              <w:rPr>
                <w:b/>
                <w:sz w:val="21"/>
              </w:rPr>
            </w:pPr>
            <w:r>
              <w:rPr>
                <w:b/>
                <w:sz w:val="21"/>
              </w:rPr>
              <w:t>1.1</w:t>
            </w:r>
          </w:p>
        </w:tc>
        <w:tc>
          <w:tcPr>
            <w:tcW w:w="2031" w:type="dxa"/>
            <w:tcBorders>
              <w:top w:val="single" w:sz="8" w:space="0" w:color="000000"/>
            </w:tcBorders>
          </w:tcPr>
          <w:p>
            <w:pPr>
              <w:pStyle w:val="TableParagraph"/>
              <w:ind w:left="0"/>
              <w:rPr>
                <w:sz w:val="23"/>
              </w:rPr>
            </w:pPr>
          </w:p>
          <w:p>
            <w:pPr>
              <w:pStyle w:val="TableParagraph"/>
              <w:ind w:left="346"/>
              <w:rPr>
                <w:b/>
                <w:sz w:val="21"/>
              </w:rPr>
            </w:pPr>
            <w:r>
              <w:rPr>
                <w:b/>
                <w:sz w:val="21"/>
              </w:rPr>
              <w:t>合同构成</w:t>
            </w:r>
          </w:p>
        </w:tc>
        <w:tc>
          <w:tcPr>
            <w:tcW w:w="6940" w:type="dxa"/>
            <w:tcBorders>
              <w:top w:val="single" w:sz="8" w:space="0" w:color="000000"/>
            </w:tcBorders>
          </w:tcPr>
          <w:p>
            <w:pPr>
              <w:pStyle w:val="TableParagraph"/>
              <w:ind w:left="0"/>
              <w:rPr>
                <w:sz w:val="23"/>
              </w:rPr>
            </w:pPr>
          </w:p>
          <w:p>
            <w:pPr>
              <w:pStyle w:val="TableParagraph"/>
              <w:spacing w:line="273" w:lineRule="auto"/>
              <w:ind w:right="99"/>
              <w:jc w:val="both"/>
              <w:rPr>
                <w:sz w:val="21"/>
              </w:rPr>
            </w:pPr>
            <w:r>
              <w:rPr>
                <w:spacing w:val="-11"/>
                <w:sz w:val="21"/>
              </w:rPr>
              <w:t>本保险条款、保险单或其他保险凭证、投保书、与保险合同有关的投保文</w:t>
            </w:r>
            <w:r>
              <w:rPr>
                <w:spacing w:val="-12"/>
                <w:sz w:val="21"/>
              </w:rPr>
              <w:t>件、合法有效的声明、批注、批单、附加险合同、其他书面或电子协议都</w:t>
            </w:r>
            <w:r>
              <w:rPr>
                <w:spacing w:val="-6"/>
                <w:sz w:val="21"/>
              </w:rPr>
              <w:t>是您与我们之间订立的保险合同的构成部分。</w:t>
            </w:r>
          </w:p>
          <w:p>
            <w:pPr>
              <w:pStyle w:val="TableParagraph"/>
              <w:spacing w:before="7"/>
              <w:jc w:val="both"/>
              <w:rPr>
                <w:sz w:val="21"/>
              </w:rPr>
            </w:pPr>
            <w:r>
              <w:rPr>
                <w:sz w:val="21"/>
              </w:rPr>
              <w:t>“平安一年期重大疾病保险合同”以下简称为“本主险合同”。</w:t>
            </w:r>
          </w:p>
        </w:tc>
      </w:tr>
      <w:tr>
        <w:trPr>
          <w:trHeight w:val="1872" w:hRule="atLeast"/>
        </w:trPr>
        <w:tc>
          <w:tcPr>
            <w:tcW w:w="811" w:type="dxa"/>
          </w:tcPr>
          <w:p>
            <w:pPr>
              <w:pStyle w:val="TableParagraph"/>
              <w:spacing w:before="142"/>
              <w:ind w:left="107"/>
              <w:rPr>
                <w:b/>
                <w:sz w:val="21"/>
              </w:rPr>
            </w:pPr>
            <w:r>
              <w:rPr>
                <w:b/>
                <w:sz w:val="21"/>
              </w:rPr>
              <w:t>1.2</w:t>
            </w:r>
          </w:p>
        </w:tc>
        <w:tc>
          <w:tcPr>
            <w:tcW w:w="2031" w:type="dxa"/>
          </w:tcPr>
          <w:p>
            <w:pPr>
              <w:pStyle w:val="TableParagraph"/>
              <w:spacing w:before="142"/>
              <w:ind w:left="346"/>
              <w:rPr>
                <w:b/>
                <w:sz w:val="21"/>
              </w:rPr>
            </w:pPr>
            <w:r>
              <w:rPr>
                <w:b/>
                <w:sz w:val="21"/>
              </w:rPr>
              <w:t>合同成立与生效</w:t>
            </w:r>
          </w:p>
        </w:tc>
        <w:tc>
          <w:tcPr>
            <w:tcW w:w="6940" w:type="dxa"/>
          </w:tcPr>
          <w:p>
            <w:pPr>
              <w:pStyle w:val="TableParagraph"/>
              <w:spacing w:before="142"/>
              <w:rPr>
                <w:sz w:val="21"/>
              </w:rPr>
            </w:pPr>
            <w:r>
              <w:rPr>
                <w:sz w:val="21"/>
              </w:rPr>
              <w:t>您提出保险申请、我们同意承保，本主险合同成立。</w:t>
            </w:r>
          </w:p>
          <w:p>
            <w:pPr>
              <w:pStyle w:val="TableParagraph"/>
              <w:spacing w:line="273" w:lineRule="auto" w:before="37"/>
              <w:ind w:right="98"/>
              <w:rPr>
                <w:sz w:val="21"/>
              </w:rPr>
            </w:pPr>
            <w:r>
              <w:rPr>
                <w:spacing w:val="-9"/>
                <w:sz w:val="21"/>
              </w:rPr>
              <w:t>本主险合同自我们同意承保、收取首期保险费并签发保险单开始生效，具</w:t>
            </w:r>
            <w:r>
              <w:rPr>
                <w:spacing w:val="-5"/>
                <w:sz w:val="21"/>
              </w:rPr>
              <w:t>体生效日以保险单所载的日期为准。</w:t>
            </w:r>
          </w:p>
          <w:p>
            <w:pPr>
              <w:pStyle w:val="TableParagraph"/>
              <w:spacing w:line="273" w:lineRule="auto" w:before="7"/>
              <w:ind w:right="98"/>
              <w:rPr>
                <w:sz w:val="21"/>
              </w:rPr>
            </w:pPr>
            <w:r>
              <w:rPr>
                <w:spacing w:val="-8"/>
                <w:sz w:val="21"/>
              </w:rPr>
              <w:t>本主险合同生效日以后每年的对应日是保单周年日。如果当月无对应的同</w:t>
            </w:r>
            <w:r>
              <w:rPr>
                <w:spacing w:val="-5"/>
                <w:sz w:val="21"/>
              </w:rPr>
              <w:t>一日，则以该月最后一日作为对应日。</w:t>
            </w:r>
          </w:p>
        </w:tc>
      </w:tr>
      <w:tr>
        <w:trPr>
          <w:trHeight w:val="1244" w:hRule="atLeast"/>
        </w:trPr>
        <w:tc>
          <w:tcPr>
            <w:tcW w:w="811" w:type="dxa"/>
          </w:tcPr>
          <w:p>
            <w:pPr>
              <w:pStyle w:val="TableParagraph"/>
              <w:spacing w:before="142"/>
              <w:ind w:left="107"/>
              <w:rPr>
                <w:b/>
                <w:sz w:val="21"/>
              </w:rPr>
            </w:pPr>
            <w:r>
              <w:rPr>
                <w:b/>
                <w:sz w:val="21"/>
              </w:rPr>
              <w:t>1.3</w:t>
            </w:r>
          </w:p>
        </w:tc>
        <w:tc>
          <w:tcPr>
            <w:tcW w:w="2031" w:type="dxa"/>
          </w:tcPr>
          <w:p>
            <w:pPr>
              <w:pStyle w:val="TableParagraph"/>
              <w:spacing w:before="142"/>
              <w:ind w:left="346"/>
              <w:rPr>
                <w:b/>
                <w:sz w:val="21"/>
              </w:rPr>
            </w:pPr>
            <w:r>
              <w:rPr>
                <w:b/>
                <w:sz w:val="21"/>
              </w:rPr>
              <w:t>投保年龄</w:t>
            </w:r>
          </w:p>
        </w:tc>
        <w:tc>
          <w:tcPr>
            <w:tcW w:w="6940" w:type="dxa"/>
          </w:tcPr>
          <w:p>
            <w:pPr>
              <w:pStyle w:val="TableParagraph"/>
              <w:spacing w:line="273" w:lineRule="auto" w:before="142"/>
              <w:ind w:right="98"/>
              <w:rPr>
                <w:sz w:val="21"/>
              </w:rPr>
            </w:pPr>
            <w:r>
              <w:rPr>
                <w:spacing w:val="-4"/>
                <w:sz w:val="21"/>
              </w:rPr>
              <w:t>指投保时被保险人的年龄，投保年龄以</w:t>
            </w:r>
            <w:r>
              <w:rPr>
                <w:rFonts w:ascii="黑体" w:eastAsia="黑体" w:hint="eastAsia"/>
                <w:b/>
                <w:spacing w:val="-5"/>
                <w:sz w:val="21"/>
              </w:rPr>
              <w:t>周岁</w:t>
            </w:r>
            <w:r>
              <w:rPr>
                <w:spacing w:val="-3"/>
                <w:sz w:val="21"/>
              </w:rPr>
              <w:t>（</w:t>
            </w:r>
            <w:r>
              <w:rPr>
                <w:spacing w:val="-13"/>
                <w:sz w:val="21"/>
              </w:rPr>
              <w:t>见 </w:t>
            </w:r>
            <w:r>
              <w:rPr>
                <w:spacing w:val="-4"/>
                <w:sz w:val="21"/>
              </w:rPr>
              <w:t>7.1）</w:t>
            </w:r>
            <w:r>
              <w:rPr>
                <w:spacing w:val="-5"/>
                <w:sz w:val="21"/>
              </w:rPr>
              <w:t>计算，本主险合同</w:t>
            </w:r>
            <w:r>
              <w:rPr>
                <w:spacing w:val="-9"/>
                <w:sz w:val="21"/>
              </w:rPr>
              <w:t>接受的投保年龄为 </w:t>
            </w:r>
            <w:r>
              <w:rPr>
                <w:sz w:val="21"/>
              </w:rPr>
              <w:t>0</w:t>
            </w:r>
            <w:r>
              <w:rPr>
                <w:spacing w:val="-21"/>
                <w:sz w:val="21"/>
              </w:rPr>
              <w:t> 周岁至 </w:t>
            </w:r>
            <w:r>
              <w:rPr>
                <w:sz w:val="21"/>
              </w:rPr>
              <w:t>75</w:t>
            </w:r>
            <w:r>
              <w:rPr>
                <w:spacing w:val="-17"/>
                <w:sz w:val="21"/>
              </w:rPr>
              <w:t> 周岁，最高可续保至 </w:t>
            </w:r>
            <w:r>
              <w:rPr>
                <w:sz w:val="21"/>
              </w:rPr>
              <w:t>75</w:t>
            </w:r>
            <w:r>
              <w:rPr>
                <w:spacing w:val="-14"/>
                <w:sz w:val="21"/>
              </w:rPr>
              <w:t> 周岁，投保时被保</w:t>
            </w:r>
          </w:p>
          <w:p>
            <w:pPr>
              <w:pStyle w:val="TableParagraph"/>
              <w:spacing w:before="7"/>
              <w:rPr>
                <w:sz w:val="21"/>
              </w:rPr>
            </w:pPr>
            <w:r>
              <w:rPr>
                <w:sz w:val="21"/>
              </w:rPr>
              <w:t>险人为 0 周岁的，应当为出生满 28 日且已健康出院的婴儿。</w:t>
            </w:r>
          </w:p>
        </w:tc>
      </w:tr>
      <w:tr>
        <w:trPr>
          <w:trHeight w:val="2187" w:hRule="atLeast"/>
        </w:trPr>
        <w:tc>
          <w:tcPr>
            <w:tcW w:w="811" w:type="dxa"/>
          </w:tcPr>
          <w:p>
            <w:pPr>
              <w:pStyle w:val="TableParagraph"/>
              <w:spacing w:before="146"/>
              <w:ind w:left="107"/>
              <w:rPr>
                <w:b/>
                <w:sz w:val="21"/>
              </w:rPr>
            </w:pPr>
            <w:r>
              <w:rPr>
                <w:b/>
                <w:sz w:val="21"/>
              </w:rPr>
              <w:t>1.4</w:t>
            </w:r>
          </w:p>
        </w:tc>
        <w:tc>
          <w:tcPr>
            <w:tcW w:w="2031" w:type="dxa"/>
          </w:tcPr>
          <w:p>
            <w:pPr>
              <w:pStyle w:val="TableParagraph"/>
              <w:spacing w:before="146"/>
              <w:ind w:left="346"/>
              <w:rPr>
                <w:b/>
                <w:sz w:val="21"/>
              </w:rPr>
            </w:pPr>
            <w:r>
              <w:rPr>
                <w:b/>
                <w:sz w:val="21"/>
              </w:rPr>
              <w:t>犹豫期</w:t>
            </w:r>
          </w:p>
        </w:tc>
        <w:tc>
          <w:tcPr>
            <w:tcW w:w="6940" w:type="dxa"/>
          </w:tcPr>
          <w:p>
            <w:pPr>
              <w:pStyle w:val="TableParagraph"/>
              <w:spacing w:line="264" w:lineRule="auto" w:before="146"/>
              <w:ind w:right="98"/>
              <w:jc w:val="both"/>
              <w:rPr>
                <w:sz w:val="21"/>
              </w:rPr>
            </w:pPr>
            <w:r>
              <w:rPr>
                <w:spacing w:val="-7"/>
                <w:sz w:val="21"/>
              </w:rPr>
              <w:t>自您签收本主险合同次日起，有</w:t>
            </w:r>
            <w:r>
              <w:rPr>
                <w:rFonts w:ascii="Times New Roman" w:eastAsia="Times New Roman"/>
                <w:sz w:val="21"/>
              </w:rPr>
              <w:t>10</w:t>
            </w:r>
            <w:r>
              <w:rPr>
                <w:spacing w:val="-9"/>
                <w:sz w:val="21"/>
              </w:rPr>
              <w:t>日的犹豫期。在此期间请您认真审视本</w:t>
            </w:r>
            <w:r>
              <w:rPr>
                <w:spacing w:val="-12"/>
                <w:sz w:val="21"/>
              </w:rPr>
              <w:t>主险合同，如果您认为本主险合同与您的需求不相符，您可以在此期间提</w:t>
            </w:r>
            <w:r>
              <w:rPr>
                <w:spacing w:val="-6"/>
                <w:sz w:val="21"/>
              </w:rPr>
              <w:t>出解除本主险合同，我们将无息退还您所支付的全部保险费。</w:t>
            </w:r>
          </w:p>
          <w:p>
            <w:pPr>
              <w:pStyle w:val="TableParagraph"/>
              <w:spacing w:line="264" w:lineRule="auto" w:before="16"/>
              <w:ind w:right="98"/>
              <w:jc w:val="both"/>
              <w:rPr>
                <w:sz w:val="21"/>
              </w:rPr>
            </w:pPr>
            <w:r>
              <w:rPr>
                <w:spacing w:val="-12"/>
                <w:sz w:val="21"/>
              </w:rPr>
              <w:t>解除本主险合同时，您需要填写申请书，并提供您的保险合同及</w:t>
            </w:r>
            <w:r>
              <w:rPr>
                <w:rFonts w:ascii="黑体" w:eastAsia="黑体" w:hint="eastAsia"/>
                <w:b/>
                <w:sz w:val="21"/>
              </w:rPr>
              <w:t>有效身份</w:t>
            </w:r>
            <w:r>
              <w:rPr>
                <w:rFonts w:ascii="黑体" w:eastAsia="黑体" w:hint="eastAsia"/>
                <w:b/>
                <w:spacing w:val="-12"/>
                <w:w w:val="100"/>
                <w:sz w:val="21"/>
              </w:rPr>
              <w:t>证件</w:t>
            </w:r>
            <w:r>
              <w:rPr>
                <w:w w:val="100"/>
                <w:sz w:val="21"/>
              </w:rPr>
              <w:t>（见</w:t>
            </w:r>
            <w:r>
              <w:rPr>
                <w:spacing w:val="-55"/>
                <w:sz w:val="21"/>
              </w:rPr>
              <w:t> </w:t>
            </w:r>
            <w:r>
              <w:rPr>
                <w:rFonts w:ascii="Times New Roman" w:eastAsia="Times New Roman"/>
                <w:w w:val="100"/>
                <w:sz w:val="21"/>
              </w:rPr>
              <w:t>7.2</w:t>
            </w:r>
            <w:r>
              <w:rPr>
                <w:spacing w:val="-106"/>
                <w:w w:val="100"/>
                <w:sz w:val="21"/>
              </w:rPr>
              <w:t>）</w:t>
            </w:r>
            <w:r>
              <w:rPr>
                <w:spacing w:val="-27"/>
                <w:w w:val="100"/>
                <w:sz w:val="21"/>
              </w:rPr>
              <w:t>。</w:t>
            </w:r>
            <w:r>
              <w:rPr>
                <w:spacing w:val="-6"/>
                <w:w w:val="100"/>
                <w:sz w:val="21"/>
                <w:shd w:fill="D9D9D9" w:color="auto" w:val="clear"/>
              </w:rPr>
              <w:t>自我们收齐上述资料时起，本主险合同即被解除，合同解</w:t>
            </w:r>
            <w:r>
              <w:rPr>
                <w:spacing w:val="-4"/>
                <w:sz w:val="21"/>
                <w:shd w:fill="D9D9D9" w:color="auto" w:val="clear"/>
              </w:rPr>
              <w:t>除前发生的保险事故我们不承担保险责任。</w:t>
            </w:r>
          </w:p>
        </w:tc>
      </w:tr>
      <w:tr>
        <w:trPr>
          <w:trHeight w:val="2208" w:hRule="atLeast"/>
        </w:trPr>
        <w:tc>
          <w:tcPr>
            <w:tcW w:w="811" w:type="dxa"/>
          </w:tcPr>
          <w:p>
            <w:pPr>
              <w:pStyle w:val="TableParagraph"/>
              <w:spacing w:before="142"/>
              <w:ind w:left="107"/>
              <w:rPr>
                <w:b/>
                <w:sz w:val="21"/>
              </w:rPr>
            </w:pPr>
            <w:r>
              <w:rPr>
                <w:b/>
                <w:sz w:val="21"/>
              </w:rPr>
              <w:t>1.5</w:t>
            </w:r>
          </w:p>
        </w:tc>
        <w:tc>
          <w:tcPr>
            <w:tcW w:w="2031" w:type="dxa"/>
          </w:tcPr>
          <w:p>
            <w:pPr>
              <w:pStyle w:val="TableParagraph"/>
              <w:spacing w:before="142"/>
              <w:ind w:left="346"/>
              <w:rPr>
                <w:b/>
                <w:sz w:val="21"/>
              </w:rPr>
            </w:pPr>
            <w:r>
              <w:rPr>
                <w:b/>
                <w:sz w:val="21"/>
              </w:rPr>
              <w:t>保险期间和续保</w:t>
            </w:r>
          </w:p>
        </w:tc>
        <w:tc>
          <w:tcPr>
            <w:tcW w:w="6940" w:type="dxa"/>
          </w:tcPr>
          <w:p>
            <w:pPr>
              <w:pStyle w:val="TableParagraph"/>
              <w:spacing w:before="142"/>
              <w:rPr>
                <w:sz w:val="21"/>
              </w:rPr>
            </w:pPr>
            <w:r>
              <w:rPr>
                <w:sz w:val="21"/>
              </w:rPr>
              <w:t>本主险合同的保险期间为 1 年。</w:t>
            </w:r>
          </w:p>
          <w:p>
            <w:pPr>
              <w:pStyle w:val="TableParagraph"/>
              <w:spacing w:line="273" w:lineRule="auto" w:before="36"/>
              <w:ind w:right="98"/>
              <w:jc w:val="both"/>
              <w:rPr>
                <w:sz w:val="21"/>
              </w:rPr>
            </w:pPr>
            <w:r>
              <w:rPr>
                <w:spacing w:val="-9"/>
                <w:sz w:val="21"/>
              </w:rPr>
              <w:t>若您选择了自动续保方式，每一保险期间届满之前，若我们未收到您不再</w:t>
            </w:r>
            <w:r>
              <w:rPr>
                <w:spacing w:val="-13"/>
                <w:sz w:val="21"/>
              </w:rPr>
              <w:t>继续投保的申请，经我们审核同意并按续保时对应的费率收取保险费后本</w:t>
            </w:r>
            <w:r>
              <w:rPr>
                <w:spacing w:val="-6"/>
                <w:sz w:val="21"/>
              </w:rPr>
              <w:t>主险合同将延续有效。新续保的合同自期满日起生效，保险期间为</w:t>
            </w:r>
            <w:r>
              <w:rPr>
                <w:sz w:val="21"/>
              </w:rPr>
              <w:t>1</w:t>
            </w:r>
            <w:r>
              <w:rPr>
                <w:spacing w:val="-3"/>
                <w:sz w:val="21"/>
              </w:rPr>
              <w:t>年。</w:t>
            </w:r>
            <w:r>
              <w:rPr>
                <w:spacing w:val="-11"/>
                <w:sz w:val="21"/>
              </w:rPr>
              <w:t>经审核后，若我们不接受续保的，我们会在本主险合同保险期间届满之前</w:t>
            </w:r>
            <w:r>
              <w:rPr>
                <w:spacing w:val="-7"/>
                <w:sz w:val="21"/>
              </w:rPr>
              <w:t>通知您。</w:t>
            </w:r>
          </w:p>
        </w:tc>
      </w:tr>
      <w:tr>
        <w:trPr>
          <w:trHeight w:val="754" w:hRule="atLeast"/>
        </w:trPr>
        <w:tc>
          <w:tcPr>
            <w:tcW w:w="811"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2031" w:type="dxa"/>
            <w:tcBorders>
              <w:bottom w:val="single" w:sz="8" w:space="0" w:color="000000"/>
            </w:tcBorders>
          </w:tcPr>
          <w:p>
            <w:pPr>
              <w:pStyle w:val="TableParagraph"/>
              <w:spacing w:before="10"/>
              <w:ind w:left="0"/>
              <w:rPr>
                <w:sz w:val="18"/>
              </w:rPr>
            </w:pPr>
          </w:p>
          <w:p>
            <w:pPr>
              <w:pStyle w:val="TableParagraph"/>
              <w:ind w:left="346" w:right="-15"/>
              <w:rPr>
                <w:b/>
                <w:sz w:val="24"/>
              </w:rPr>
            </w:pPr>
            <w:r>
              <w:rPr>
                <w:b/>
                <w:w w:val="95"/>
                <w:sz w:val="24"/>
              </w:rPr>
              <w:t>我们提供的保障</w:t>
            </w:r>
          </w:p>
        </w:tc>
        <w:tc>
          <w:tcPr>
            <w:tcW w:w="6940" w:type="dxa"/>
            <w:tcBorders>
              <w:bottom w:val="single" w:sz="8" w:space="0" w:color="000000"/>
            </w:tcBorders>
          </w:tcPr>
          <w:p>
            <w:pPr>
              <w:pStyle w:val="TableParagraph"/>
              <w:ind w:left="0"/>
              <w:rPr>
                <w:rFonts w:ascii="Times New Roman"/>
                <w:sz w:val="20"/>
              </w:rPr>
            </w:pPr>
          </w:p>
        </w:tc>
      </w:tr>
      <w:tr>
        <w:trPr>
          <w:trHeight w:val="1087" w:hRule="atLeast"/>
        </w:trPr>
        <w:tc>
          <w:tcPr>
            <w:tcW w:w="811"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2.1</w:t>
            </w:r>
          </w:p>
        </w:tc>
        <w:tc>
          <w:tcPr>
            <w:tcW w:w="2031" w:type="dxa"/>
            <w:tcBorders>
              <w:top w:val="single" w:sz="8" w:space="0" w:color="000000"/>
            </w:tcBorders>
          </w:tcPr>
          <w:p>
            <w:pPr>
              <w:pStyle w:val="TableParagraph"/>
              <w:spacing w:before="11"/>
              <w:ind w:left="0"/>
              <w:rPr>
                <w:sz w:val="22"/>
              </w:rPr>
            </w:pPr>
          </w:p>
          <w:p>
            <w:pPr>
              <w:pStyle w:val="TableParagraph"/>
              <w:ind w:left="346"/>
              <w:rPr>
                <w:b/>
                <w:sz w:val="21"/>
              </w:rPr>
            </w:pPr>
            <w:r>
              <w:rPr>
                <w:b/>
                <w:sz w:val="21"/>
              </w:rPr>
              <w:t>保险金额</w:t>
            </w:r>
          </w:p>
        </w:tc>
        <w:tc>
          <w:tcPr>
            <w:tcW w:w="6940" w:type="dxa"/>
            <w:tcBorders>
              <w:top w:val="single" w:sz="8" w:space="0" w:color="000000"/>
            </w:tcBorders>
          </w:tcPr>
          <w:p>
            <w:pPr>
              <w:pStyle w:val="TableParagraph"/>
              <w:spacing w:before="11"/>
              <w:ind w:left="0"/>
              <w:rPr>
                <w:sz w:val="22"/>
              </w:rPr>
            </w:pPr>
          </w:p>
          <w:p>
            <w:pPr>
              <w:pStyle w:val="TableParagraph"/>
              <w:spacing w:line="273" w:lineRule="auto"/>
              <w:ind w:right="101"/>
              <w:rPr>
                <w:sz w:val="21"/>
              </w:rPr>
            </w:pPr>
            <w:r>
              <w:rPr>
                <w:sz w:val="21"/>
              </w:rPr>
              <w:t>本主险合同的</w:t>
            </w:r>
            <w:r>
              <w:rPr>
                <w:rFonts w:ascii="黑体" w:eastAsia="黑体" w:hint="eastAsia"/>
                <w:b/>
                <w:sz w:val="21"/>
              </w:rPr>
              <w:t>基本保险金额</w:t>
            </w:r>
            <w:r>
              <w:rPr>
                <w:sz w:val="21"/>
              </w:rPr>
              <w:t>（见7.3）由您在投保时与我们约定，并在保险单上载明。</w:t>
            </w:r>
          </w:p>
        </w:tc>
      </w:tr>
      <w:tr>
        <w:trPr>
          <w:trHeight w:val="1015" w:hRule="atLeast"/>
        </w:trPr>
        <w:tc>
          <w:tcPr>
            <w:tcW w:w="811" w:type="dxa"/>
          </w:tcPr>
          <w:p>
            <w:pPr>
              <w:pStyle w:val="TableParagraph"/>
              <w:spacing w:before="147"/>
              <w:ind w:left="107"/>
              <w:rPr>
                <w:b/>
                <w:sz w:val="21"/>
              </w:rPr>
            </w:pPr>
            <w:r>
              <w:rPr>
                <w:b/>
                <w:sz w:val="21"/>
              </w:rPr>
              <w:t>2.2</w:t>
            </w:r>
          </w:p>
        </w:tc>
        <w:tc>
          <w:tcPr>
            <w:tcW w:w="2031" w:type="dxa"/>
          </w:tcPr>
          <w:p>
            <w:pPr>
              <w:pStyle w:val="TableParagraph"/>
              <w:spacing w:before="147"/>
              <w:ind w:left="346"/>
              <w:rPr>
                <w:b/>
                <w:sz w:val="21"/>
              </w:rPr>
            </w:pPr>
            <w:r>
              <w:rPr>
                <w:b/>
                <w:sz w:val="21"/>
              </w:rPr>
              <w:t>保险责任</w:t>
            </w:r>
          </w:p>
        </w:tc>
        <w:tc>
          <w:tcPr>
            <w:tcW w:w="6940" w:type="dxa"/>
          </w:tcPr>
          <w:p>
            <w:pPr>
              <w:pStyle w:val="TableParagraph"/>
              <w:spacing w:before="138"/>
              <w:rPr>
                <w:sz w:val="21"/>
              </w:rPr>
            </w:pPr>
            <w:r>
              <w:rPr>
                <w:sz w:val="21"/>
              </w:rPr>
              <w:t>本主险合同的保险责任分为基本责任和可选责任。</w:t>
            </w:r>
          </w:p>
          <w:p>
            <w:pPr>
              <w:pStyle w:val="TableParagraph"/>
              <w:spacing w:line="312" w:lineRule="exact" w:before="11"/>
              <w:ind w:right="7"/>
              <w:rPr>
                <w:sz w:val="21"/>
              </w:rPr>
            </w:pPr>
            <w:r>
              <w:rPr>
                <w:spacing w:val="-3"/>
                <w:sz w:val="21"/>
              </w:rPr>
              <w:t>您可以单独投保基本责任，也可以在投保基本责任的基础上增加可选责 任，但不能单独投保可选责任。一经选定，在该保单年度内将不能变更。</w:t>
            </w:r>
          </w:p>
        </w:tc>
      </w:tr>
    </w:tbl>
    <w:p>
      <w:pPr>
        <w:spacing w:after="0" w:line="312" w:lineRule="exact"/>
        <w:rPr>
          <w:sz w:val="21"/>
        </w:rPr>
        <w:sectPr>
          <w:pgSz w:w="11910" w:h="16840"/>
          <w:pgMar w:header="0" w:footer="862" w:top="1140" w:bottom="1120" w:left="920" w:right="1000"/>
        </w:sectPr>
      </w:pPr>
    </w:p>
    <w:p>
      <w:pPr>
        <w:pStyle w:val="BodyText"/>
        <w:spacing w:before="22"/>
        <w:ind w:left="3149"/>
      </w:pPr>
      <w:r>
        <w:rPr/>
        <w:t>在本主险合同有效期内，我们承担如下保险责任：</w:t>
      </w:r>
    </w:p>
    <w:p>
      <w:pPr>
        <w:pStyle w:val="BodyText"/>
        <w:spacing w:before="9"/>
        <w:rPr>
          <w:sz w:val="19"/>
        </w:rPr>
      </w:pPr>
    </w:p>
    <w:p>
      <w:pPr>
        <w:pStyle w:val="BodyText"/>
        <w:tabs>
          <w:tab w:pos="3148" w:val="left" w:leader="none"/>
        </w:tabs>
        <w:spacing w:line="411" w:lineRule="exact" w:before="0"/>
        <w:ind w:left="1257"/>
      </w:pPr>
      <w:r>
        <w:rPr>
          <w:rFonts w:ascii="Microsoft JhengHei" w:eastAsia="Microsoft JhengHei" w:hint="eastAsia"/>
          <w:b/>
          <w:position w:val="-1"/>
          <w:sz w:val="24"/>
        </w:rPr>
        <w:t>等待期</w:t>
        <w:tab/>
      </w:r>
      <w:r>
        <w:rPr>
          <w:shd w:fill="D9D9D9" w:color="auto" w:val="clear"/>
        </w:rPr>
        <w:t>您为</w:t>
      </w:r>
      <w:r>
        <w:rPr>
          <w:spacing w:val="2"/>
          <w:shd w:fill="D9D9D9" w:color="auto" w:val="clear"/>
        </w:rPr>
        <w:t>被</w:t>
      </w:r>
      <w:r>
        <w:rPr>
          <w:shd w:fill="D9D9D9" w:color="auto" w:val="clear"/>
        </w:rPr>
        <w:t>保险人首次投保或非连</w:t>
      </w:r>
      <w:r>
        <w:rPr>
          <w:spacing w:val="2"/>
          <w:shd w:fill="D9D9D9" w:color="auto" w:val="clear"/>
        </w:rPr>
        <w:t>续</w:t>
      </w:r>
      <w:r>
        <w:rPr>
          <w:shd w:fill="D9D9D9" w:color="auto" w:val="clear"/>
        </w:rPr>
        <w:t>投保本保险时，自本主</w:t>
      </w:r>
      <w:r>
        <w:rPr>
          <w:spacing w:val="2"/>
          <w:shd w:fill="D9D9D9" w:color="auto" w:val="clear"/>
        </w:rPr>
        <w:t>险</w:t>
      </w:r>
      <w:r>
        <w:rPr>
          <w:shd w:fill="D9D9D9" w:color="auto" w:val="clear"/>
        </w:rPr>
        <w:t>合同生效</w:t>
      </w:r>
      <w:r>
        <w:rPr>
          <w:spacing w:val="2"/>
          <w:shd w:fill="D9D9D9" w:color="auto" w:val="clear"/>
        </w:rPr>
        <w:t>日</w:t>
      </w:r>
      <w:r>
        <w:rPr>
          <w:shd w:fill="D9D9D9" w:color="auto" w:val="clear"/>
        </w:rPr>
        <w:t>起</w:t>
      </w:r>
    </w:p>
    <w:p>
      <w:pPr>
        <w:pStyle w:val="BodyText"/>
        <w:spacing w:line="268" w:lineRule="exact" w:before="0"/>
        <w:ind w:left="3149"/>
      </w:pPr>
      <w:r>
        <w:rPr>
          <w:shd w:fill="D9D9D9" w:color="auto" w:val="clear"/>
        </w:rPr>
        <w:t>90 日为等待期。</w:t>
      </w:r>
    </w:p>
    <w:p>
      <w:pPr>
        <w:pStyle w:val="BodyText"/>
        <w:spacing w:line="273" w:lineRule="auto" w:before="38"/>
        <w:ind w:left="3149" w:right="100"/>
      </w:pPr>
      <w:r>
        <w:rPr>
          <w:spacing w:val="-5"/>
          <w:shd w:fill="D9D9D9" w:color="auto" w:val="clear"/>
        </w:rPr>
        <w:t>在等待期内，被保险人经</w:t>
      </w:r>
      <w:r>
        <w:rPr>
          <w:rFonts w:ascii="黑体" w:eastAsia="黑体" w:hint="eastAsia"/>
          <w:b/>
          <w:spacing w:val="-8"/>
          <w:shd w:fill="D9D9D9" w:color="auto" w:val="clear"/>
        </w:rPr>
        <w:t>医院</w:t>
      </w:r>
      <w:r>
        <w:rPr>
          <w:shd w:fill="D9D9D9" w:color="auto" w:val="clear"/>
        </w:rPr>
        <w:t>（</w:t>
      </w:r>
      <w:r>
        <w:rPr>
          <w:spacing w:val="-23"/>
          <w:shd w:fill="D9D9D9" w:color="auto" w:val="clear"/>
        </w:rPr>
        <w:t>见 </w:t>
      </w:r>
      <w:r>
        <w:rPr>
          <w:spacing w:val="-5"/>
          <w:shd w:fill="D9D9D9" w:color="auto" w:val="clear"/>
        </w:rPr>
        <w:t>7.4）</w:t>
      </w:r>
      <w:r>
        <w:rPr>
          <w:spacing w:val="-3"/>
          <w:shd w:fill="D9D9D9" w:color="auto" w:val="clear"/>
        </w:rPr>
        <w:t>确诊发生本主险合同列明的</w:t>
      </w:r>
      <w:r>
        <w:rPr>
          <w:rFonts w:ascii="黑体" w:eastAsia="黑体" w:hint="eastAsia"/>
          <w:b/>
          <w:shd w:fill="D9D9D9" w:color="auto" w:val="clear"/>
        </w:rPr>
        <w:t>重大</w:t>
      </w:r>
      <w:r>
        <w:rPr>
          <w:rFonts w:ascii="黑体" w:eastAsia="黑体" w:hint="eastAsia"/>
          <w:b/>
          <w:spacing w:val="-21"/>
          <w:shd w:fill="D9D9D9" w:color="auto" w:val="clear"/>
        </w:rPr>
        <w:t>疾病</w:t>
      </w:r>
      <w:r>
        <w:rPr>
          <w:shd w:fill="D9D9D9" w:color="auto" w:val="clear"/>
        </w:rPr>
        <w:t>（</w:t>
      </w:r>
      <w:r>
        <w:rPr>
          <w:spacing w:val="-20"/>
          <w:shd w:fill="D9D9D9" w:color="auto" w:val="clear"/>
        </w:rPr>
        <w:t>见 </w:t>
      </w:r>
      <w:r>
        <w:rPr>
          <w:spacing w:val="-11"/>
          <w:shd w:fill="D9D9D9" w:color="auto" w:val="clear"/>
        </w:rPr>
        <w:t>7.5）</w:t>
      </w:r>
      <w:r>
        <w:rPr>
          <w:spacing w:val="-3"/>
          <w:shd w:fill="D9D9D9" w:color="auto" w:val="clear"/>
        </w:rPr>
        <w:t>或</w:t>
      </w:r>
      <w:r>
        <w:rPr>
          <w:rFonts w:ascii="黑体" w:eastAsia="黑体" w:hint="eastAsia"/>
          <w:b/>
          <w:spacing w:val="-11"/>
          <w:shd w:fill="D9D9D9" w:color="auto" w:val="clear"/>
        </w:rPr>
        <w:t>轻症疾病</w:t>
      </w:r>
      <w:r>
        <w:rPr>
          <w:shd w:fill="D9D9D9" w:color="auto" w:val="clear"/>
        </w:rPr>
        <w:t>（</w:t>
      </w:r>
      <w:r>
        <w:rPr>
          <w:spacing w:val="-18"/>
          <w:shd w:fill="D9D9D9" w:color="auto" w:val="clear"/>
        </w:rPr>
        <w:t>见 </w:t>
      </w:r>
      <w:r>
        <w:rPr>
          <w:spacing w:val="-10"/>
          <w:shd w:fill="D9D9D9" w:color="auto" w:val="clear"/>
        </w:rPr>
        <w:t>7.12）</w:t>
      </w:r>
      <w:r>
        <w:rPr>
          <w:spacing w:val="-8"/>
          <w:shd w:fill="D9D9D9" w:color="auto" w:val="clear"/>
        </w:rPr>
        <w:t>的，我们不承担给付保险金的责任，</w:t>
      </w:r>
      <w:r>
        <w:rPr>
          <w:spacing w:val="-210"/>
          <w:shd w:fill="D9D9D9" w:color="auto" w:val="clear"/>
        </w:rPr>
        <w:t>并</w:t>
      </w:r>
      <w:r>
        <w:rPr>
          <w:spacing w:val="-3"/>
          <w:shd w:fill="D9D9D9" w:color="auto" w:val="clear"/>
        </w:rPr>
        <w:t>向您返还所交保险费，本主险合同终止。</w:t>
      </w:r>
    </w:p>
    <w:p>
      <w:pPr>
        <w:pStyle w:val="BodyText"/>
        <w:spacing w:line="273" w:lineRule="auto" w:before="8"/>
        <w:ind w:left="3149" w:right="203"/>
      </w:pPr>
      <w:r>
        <w:rPr>
          <w:spacing w:val="-10"/>
        </w:rPr>
        <w:t>您为被保险人连续投保本保险的，或者被保险人因遭受意外伤害事故导致</w:t>
      </w:r>
      <w:r>
        <w:rPr>
          <w:spacing w:val="-3"/>
        </w:rPr>
        <w:t>初次发生重大疾病或轻症疾病的，无等待期。</w:t>
      </w:r>
    </w:p>
    <w:p>
      <w:pPr>
        <w:pStyle w:val="BodyText"/>
        <w:spacing w:before="2"/>
        <w:rPr>
          <w:sz w:val="25"/>
        </w:rPr>
      </w:pPr>
    </w:p>
    <w:p>
      <w:pPr>
        <w:pStyle w:val="BodyText"/>
        <w:spacing w:before="0"/>
        <w:ind w:left="3149"/>
      </w:pPr>
      <w:r>
        <w:rPr>
          <w:spacing w:val="-3"/>
          <w:w w:val="100"/>
        </w:rPr>
        <w:t>如果在等待期后发生</w:t>
      </w:r>
      <w:r>
        <w:rPr>
          <w:rFonts w:ascii="黑体" w:eastAsia="黑体" w:hint="eastAsia"/>
          <w:b/>
          <w:spacing w:val="-2"/>
          <w:w w:val="100"/>
        </w:rPr>
        <w:t>保险事故</w:t>
      </w:r>
      <w:r>
        <w:rPr>
          <w:w w:val="100"/>
        </w:rPr>
        <w:t>（见</w:t>
      </w:r>
      <w:r>
        <w:rPr>
          <w:spacing w:val="-55"/>
        </w:rPr>
        <w:t> </w:t>
      </w:r>
      <w:r>
        <w:rPr>
          <w:w w:val="100"/>
        </w:rPr>
        <w:t>7.1</w:t>
      </w:r>
      <w:r>
        <w:rPr>
          <w:spacing w:val="-3"/>
          <w:w w:val="100"/>
        </w:rPr>
        <w:t>3</w:t>
      </w:r>
      <w:r>
        <w:rPr>
          <w:spacing w:val="-106"/>
          <w:w w:val="100"/>
        </w:rPr>
        <w:t>）</w:t>
      </w:r>
      <w:r>
        <w:rPr>
          <w:spacing w:val="-3"/>
          <w:w w:val="100"/>
        </w:rPr>
        <w:t>，我们承担下列保险责任：</w:t>
      </w:r>
    </w:p>
    <w:p>
      <w:pPr>
        <w:pStyle w:val="BodyText"/>
        <w:spacing w:before="13"/>
        <w:rPr>
          <w:sz w:val="24"/>
        </w:rPr>
      </w:pPr>
    </w:p>
    <w:p>
      <w:pPr>
        <w:spacing w:after="0"/>
        <w:rPr>
          <w:sz w:val="24"/>
        </w:rPr>
        <w:sectPr>
          <w:pgSz w:w="11910" w:h="16840"/>
          <w:pgMar w:header="0" w:footer="926" w:top="1080" w:bottom="1120" w:left="920" w:right="1000"/>
        </w:sectPr>
      </w:pPr>
    </w:p>
    <w:p>
      <w:pPr>
        <w:pStyle w:val="Heading2"/>
        <w:spacing w:line="184" w:lineRule="auto"/>
        <w:ind w:left="1257"/>
      </w:pPr>
      <w:r>
        <w:rPr/>
        <w:t>基 本 责 任 ： 重大疾病保险金</w:t>
      </w:r>
    </w:p>
    <w:p>
      <w:pPr>
        <w:pStyle w:val="BodyText"/>
        <w:spacing w:line="273" w:lineRule="auto" w:before="36"/>
        <w:ind w:left="409" w:right="202"/>
      </w:pPr>
      <w:r>
        <w:rPr/>
        <w:br w:type="column"/>
      </w:r>
      <w:r>
        <w:rPr>
          <w:spacing w:val="-7"/>
        </w:rPr>
        <w:t>被保险人经医院确诊初次发生本主险合同列明的重大疾病</w:t>
      </w:r>
      <w:r>
        <w:rPr/>
        <w:t>（</w:t>
      </w:r>
      <w:r>
        <w:rPr>
          <w:spacing w:val="-3"/>
        </w:rPr>
        <w:t>无论一种或多</w:t>
      </w:r>
      <w:r>
        <w:rPr>
          <w:spacing w:val="-3"/>
          <w:w w:val="100"/>
        </w:rPr>
        <w:t>种</w:t>
      </w:r>
      <w:r>
        <w:rPr>
          <w:spacing w:val="-106"/>
          <w:w w:val="100"/>
        </w:rPr>
        <w:t>）</w:t>
      </w:r>
      <w:r>
        <w:rPr>
          <w:spacing w:val="-3"/>
          <w:w w:val="100"/>
        </w:rPr>
        <w:t>，我们按基本保险金额给付重大疾病保险金，本主险合同终止。</w:t>
      </w:r>
    </w:p>
    <w:p>
      <w:pPr>
        <w:spacing w:after="0" w:line="273" w:lineRule="auto"/>
        <w:sectPr>
          <w:type w:val="continuous"/>
          <w:pgSz w:w="11910" w:h="16840"/>
          <w:pgMar w:top="520" w:bottom="1060" w:left="920" w:right="1000"/>
          <w:cols w:num="2" w:equalWidth="0">
            <w:col w:w="2700" w:space="40"/>
            <w:col w:w="7250"/>
          </w:cols>
        </w:sectPr>
      </w:pPr>
    </w:p>
    <w:p>
      <w:pPr>
        <w:pStyle w:val="BodyText"/>
        <w:spacing w:before="12"/>
        <w:rPr>
          <w:sz w:val="20"/>
        </w:rPr>
      </w:pPr>
    </w:p>
    <w:p>
      <w:pPr>
        <w:spacing w:after="0"/>
        <w:rPr>
          <w:sz w:val="20"/>
        </w:rPr>
        <w:sectPr>
          <w:type w:val="continuous"/>
          <w:pgSz w:w="11910" w:h="16840"/>
          <w:pgMar w:top="520" w:bottom="1060" w:left="920" w:right="1000"/>
        </w:sectPr>
      </w:pPr>
    </w:p>
    <w:p>
      <w:pPr>
        <w:pStyle w:val="Heading2"/>
        <w:spacing w:line="182" w:lineRule="auto" w:before="49"/>
        <w:ind w:left="1257"/>
      </w:pPr>
      <w:r>
        <w:rPr/>
        <w:t>可 选 责 任 ： 轻症疾病保险金</w:t>
      </w:r>
    </w:p>
    <w:p>
      <w:pPr>
        <w:pStyle w:val="BodyText"/>
        <w:spacing w:line="264" w:lineRule="auto"/>
        <w:ind w:left="409" w:right="202"/>
        <w:jc w:val="both"/>
      </w:pPr>
      <w:r>
        <w:rPr/>
        <w:br w:type="column"/>
      </w:r>
      <w:r>
        <w:rPr>
          <w:spacing w:val="-7"/>
        </w:rPr>
        <w:t>被保险人经医院确诊初次发生本主险合同列明的轻症疾病</w:t>
      </w:r>
      <w:r>
        <w:rPr/>
        <w:t>（</w:t>
      </w:r>
      <w:r>
        <w:rPr>
          <w:spacing w:val="-3"/>
        </w:rPr>
        <w:t>无论一种或多</w:t>
      </w:r>
      <w:r>
        <w:rPr>
          <w:spacing w:val="-3"/>
          <w:w w:val="100"/>
        </w:rPr>
        <w:t>种</w:t>
      </w:r>
      <w:r>
        <w:rPr>
          <w:spacing w:val="-106"/>
          <w:w w:val="100"/>
        </w:rPr>
        <w:t>）</w:t>
      </w:r>
      <w:r>
        <w:rPr>
          <w:spacing w:val="-5"/>
          <w:w w:val="100"/>
        </w:rPr>
        <w:t>，</w:t>
      </w:r>
      <w:r>
        <w:rPr>
          <w:spacing w:val="-3"/>
          <w:w w:val="100"/>
          <w:shd w:fill="D9D9D9" w:color="auto" w:val="clear"/>
        </w:rPr>
        <w:t>我们按基本保险金额的</w:t>
      </w:r>
      <w:r>
        <w:rPr>
          <w:spacing w:val="-3"/>
          <w:shd w:fill="D9D9D9" w:color="auto" w:val="clear"/>
        </w:rPr>
        <w:t> </w:t>
      </w:r>
      <w:r>
        <w:rPr>
          <w:rFonts w:ascii="Times New Roman" w:eastAsia="Times New Roman"/>
          <w:w w:val="100"/>
          <w:shd w:fill="D9D9D9" w:color="auto" w:val="clear"/>
        </w:rPr>
        <w:t>20</w:t>
      </w:r>
      <w:r>
        <w:rPr>
          <w:rFonts w:ascii="Times New Roman" w:eastAsia="Times New Roman"/>
          <w:spacing w:val="-4"/>
          <w:w w:val="100"/>
          <w:shd w:fill="D9D9D9" w:color="auto" w:val="clear"/>
        </w:rPr>
        <w:t>%</w:t>
      </w:r>
      <w:r>
        <w:rPr>
          <w:spacing w:val="-4"/>
          <w:w w:val="100"/>
          <w:shd w:fill="D9D9D9" w:color="auto" w:val="clear"/>
        </w:rPr>
        <w:t>给付轻症疾病保险金，</w:t>
      </w:r>
      <w:r>
        <w:rPr>
          <w:spacing w:val="-3"/>
          <w:w w:val="100"/>
        </w:rPr>
        <w:t>本项保险责任终</w:t>
      </w:r>
      <w:r>
        <w:rPr>
          <w:spacing w:val="-3"/>
        </w:rPr>
        <w:t>止，本主险合同继续有效。</w:t>
      </w:r>
    </w:p>
    <w:p>
      <w:pPr>
        <w:spacing w:after="0" w:line="264" w:lineRule="auto"/>
        <w:jc w:val="both"/>
        <w:sectPr>
          <w:type w:val="continuous"/>
          <w:pgSz w:w="11910" w:h="16840"/>
          <w:pgMar w:top="520" w:bottom="1060" w:left="920" w:right="1000"/>
          <w:cols w:num="2" w:equalWidth="0">
            <w:col w:w="2700" w:space="40"/>
            <w:col w:w="7250"/>
          </w:cols>
        </w:sectPr>
      </w:pPr>
    </w:p>
    <w:p>
      <w:pPr>
        <w:pStyle w:val="BodyText"/>
        <w:spacing w:before="6"/>
        <w:rPr>
          <w:sz w:val="18"/>
        </w:rPr>
      </w:pPr>
    </w:p>
    <w:p>
      <w:pPr>
        <w:pStyle w:val="BodyText"/>
        <w:spacing w:line="273" w:lineRule="auto"/>
        <w:ind w:left="3149" w:right="203"/>
        <w:jc w:val="both"/>
      </w:pPr>
      <w:r>
        <w:rPr>
          <w:spacing w:val="-7"/>
          <w:shd w:fill="D9D9D9" w:color="auto" w:val="clear"/>
        </w:rPr>
        <w:t>轻症疾病保险金仅针对符合本主险合同所列明的轻症疾病进行给付，对于</w:t>
      </w:r>
      <w:r>
        <w:rPr>
          <w:spacing w:val="-6"/>
          <w:shd w:fill="D9D9D9" w:color="auto" w:val="clear"/>
        </w:rPr>
        <w:t>已经符</w:t>
      </w:r>
      <w:r>
        <w:rPr>
          <w:spacing w:val="-21"/>
          <w:shd w:fill="D9D9D9" w:color="auto" w:val="clear"/>
        </w:rPr>
        <w:t>合重大疾病保险金给付条件的，仅给付重大疾病保险金，不再给付轻</w:t>
      </w:r>
      <w:r>
        <w:rPr>
          <w:spacing w:val="-6"/>
          <w:shd w:fill="D9D9D9" w:color="auto" w:val="clear"/>
        </w:rPr>
        <w:t>症疾病保险金。</w:t>
      </w:r>
    </w:p>
    <w:p>
      <w:pPr>
        <w:pStyle w:val="BodyText"/>
        <w:spacing w:before="12"/>
        <w:rPr>
          <w:sz w:val="24"/>
        </w:rPr>
      </w:pPr>
    </w:p>
    <w:p>
      <w:pPr>
        <w:tabs>
          <w:tab w:pos="1257" w:val="left" w:leader="none"/>
          <w:tab w:pos="3148" w:val="left" w:leader="none"/>
        </w:tabs>
        <w:spacing w:before="1"/>
        <w:ind w:left="207" w:right="0" w:firstLine="0"/>
        <w:jc w:val="left"/>
        <w:rPr>
          <w:sz w:val="21"/>
        </w:rPr>
      </w:pPr>
      <w:r>
        <w:rPr>
          <w:b/>
          <w:sz w:val="21"/>
        </w:rPr>
        <w:t>2.3</w:t>
        <w:tab/>
        <w:t>责任免除</w:t>
        <w:tab/>
      </w:r>
      <w:r>
        <w:rPr>
          <w:sz w:val="21"/>
          <w:shd w:fill="D9D9D9" w:color="auto" w:val="clear"/>
        </w:rPr>
        <w:t>因下</w:t>
      </w:r>
      <w:r>
        <w:rPr>
          <w:spacing w:val="-3"/>
          <w:sz w:val="21"/>
          <w:shd w:fill="D9D9D9" w:color="auto" w:val="clear"/>
        </w:rPr>
        <w:t>列</w:t>
      </w:r>
      <w:r>
        <w:rPr>
          <w:sz w:val="21"/>
          <w:shd w:fill="D9D9D9" w:color="auto" w:val="clear"/>
        </w:rPr>
        <w:t>情</w:t>
      </w:r>
      <w:r>
        <w:rPr>
          <w:spacing w:val="-3"/>
          <w:sz w:val="21"/>
          <w:shd w:fill="D9D9D9" w:color="auto" w:val="clear"/>
        </w:rPr>
        <w:t>形</w:t>
      </w:r>
      <w:r>
        <w:rPr>
          <w:sz w:val="21"/>
          <w:shd w:fill="D9D9D9" w:color="auto" w:val="clear"/>
        </w:rPr>
        <w:t>之</w:t>
      </w:r>
      <w:r>
        <w:rPr>
          <w:spacing w:val="-3"/>
          <w:sz w:val="21"/>
          <w:shd w:fill="D9D9D9" w:color="auto" w:val="clear"/>
        </w:rPr>
        <w:t>一</w:t>
      </w:r>
      <w:r>
        <w:rPr>
          <w:sz w:val="21"/>
          <w:shd w:fill="D9D9D9" w:color="auto" w:val="clear"/>
        </w:rPr>
        <w:t>导</w:t>
      </w:r>
      <w:r>
        <w:rPr>
          <w:spacing w:val="-3"/>
          <w:sz w:val="21"/>
          <w:shd w:fill="D9D9D9" w:color="auto" w:val="clear"/>
        </w:rPr>
        <w:t>致</w:t>
      </w:r>
      <w:r>
        <w:rPr>
          <w:sz w:val="21"/>
          <w:shd w:fill="D9D9D9" w:color="auto" w:val="clear"/>
        </w:rPr>
        <w:t>被</w:t>
      </w:r>
      <w:r>
        <w:rPr>
          <w:spacing w:val="-3"/>
          <w:sz w:val="21"/>
          <w:shd w:fill="D9D9D9" w:color="auto" w:val="clear"/>
        </w:rPr>
        <w:t>保</w:t>
      </w:r>
      <w:r>
        <w:rPr>
          <w:sz w:val="21"/>
          <w:shd w:fill="D9D9D9" w:color="auto" w:val="clear"/>
        </w:rPr>
        <w:t>险人</w:t>
      </w:r>
      <w:r>
        <w:rPr>
          <w:spacing w:val="-3"/>
          <w:sz w:val="21"/>
          <w:shd w:fill="D9D9D9" w:color="auto" w:val="clear"/>
        </w:rPr>
        <w:t>初</w:t>
      </w:r>
      <w:r>
        <w:rPr>
          <w:sz w:val="21"/>
          <w:shd w:fill="D9D9D9" w:color="auto" w:val="clear"/>
        </w:rPr>
        <w:t>次</w:t>
      </w:r>
      <w:r>
        <w:rPr>
          <w:spacing w:val="-3"/>
          <w:sz w:val="21"/>
          <w:shd w:fill="D9D9D9" w:color="auto" w:val="clear"/>
        </w:rPr>
        <w:t>发</w:t>
      </w:r>
      <w:r>
        <w:rPr>
          <w:sz w:val="21"/>
          <w:shd w:fill="D9D9D9" w:color="auto" w:val="clear"/>
        </w:rPr>
        <w:t>生</w:t>
      </w:r>
      <w:r>
        <w:rPr>
          <w:spacing w:val="-3"/>
          <w:sz w:val="21"/>
          <w:shd w:fill="D9D9D9" w:color="auto" w:val="clear"/>
        </w:rPr>
        <w:t>重</w:t>
      </w:r>
      <w:r>
        <w:rPr>
          <w:sz w:val="21"/>
          <w:shd w:fill="D9D9D9" w:color="auto" w:val="clear"/>
        </w:rPr>
        <w:t>大</w:t>
      </w:r>
      <w:r>
        <w:rPr>
          <w:spacing w:val="-3"/>
          <w:sz w:val="21"/>
          <w:shd w:fill="D9D9D9" w:color="auto" w:val="clear"/>
        </w:rPr>
        <w:t>疾</w:t>
      </w:r>
      <w:r>
        <w:rPr>
          <w:sz w:val="21"/>
          <w:shd w:fill="D9D9D9" w:color="auto" w:val="clear"/>
        </w:rPr>
        <w:t>病</w:t>
      </w:r>
      <w:r>
        <w:rPr>
          <w:spacing w:val="-3"/>
          <w:sz w:val="21"/>
          <w:shd w:fill="D9D9D9" w:color="auto" w:val="clear"/>
        </w:rPr>
        <w:t>或</w:t>
      </w:r>
      <w:r>
        <w:rPr>
          <w:sz w:val="21"/>
          <w:shd w:fill="D9D9D9" w:color="auto" w:val="clear"/>
        </w:rPr>
        <w:t>轻症</w:t>
      </w:r>
      <w:r>
        <w:rPr>
          <w:spacing w:val="-3"/>
          <w:sz w:val="21"/>
          <w:shd w:fill="D9D9D9" w:color="auto" w:val="clear"/>
        </w:rPr>
        <w:t>疾</w:t>
      </w:r>
      <w:r>
        <w:rPr>
          <w:sz w:val="21"/>
          <w:shd w:fill="D9D9D9" w:color="auto" w:val="clear"/>
        </w:rPr>
        <w:t>病</w:t>
      </w:r>
      <w:r>
        <w:rPr>
          <w:spacing w:val="-3"/>
          <w:sz w:val="21"/>
          <w:shd w:fill="D9D9D9" w:color="auto" w:val="clear"/>
        </w:rPr>
        <w:t>的</w:t>
      </w:r>
      <w:r>
        <w:rPr>
          <w:spacing w:val="-94"/>
          <w:sz w:val="21"/>
          <w:shd w:fill="D9D9D9" w:color="auto" w:val="clear"/>
        </w:rPr>
        <w:t>，</w:t>
      </w:r>
      <w:r>
        <w:rPr>
          <w:spacing w:val="-3"/>
          <w:sz w:val="21"/>
          <w:shd w:fill="D9D9D9" w:color="auto" w:val="clear"/>
        </w:rPr>
        <w:t>我</w:t>
      </w:r>
      <w:r>
        <w:rPr>
          <w:sz w:val="21"/>
          <w:shd w:fill="D9D9D9" w:color="auto" w:val="clear"/>
        </w:rPr>
        <w:t>们</w:t>
      </w:r>
      <w:r>
        <w:rPr>
          <w:spacing w:val="-3"/>
          <w:sz w:val="21"/>
          <w:shd w:fill="D9D9D9" w:color="auto" w:val="clear"/>
        </w:rPr>
        <w:t>不</w:t>
      </w:r>
      <w:r>
        <w:rPr>
          <w:sz w:val="21"/>
          <w:shd w:fill="D9D9D9" w:color="auto" w:val="clear"/>
        </w:rPr>
        <w:t>承</w:t>
      </w:r>
    </w:p>
    <w:p>
      <w:pPr>
        <w:pStyle w:val="BodyText"/>
        <w:ind w:left="3149"/>
      </w:pPr>
      <w:r>
        <w:rPr>
          <w:shd w:fill="D9D9D9" w:color="auto" w:val="clear"/>
        </w:rPr>
        <w:t>担给付保险金的责任：</w:t>
      </w:r>
    </w:p>
    <w:p>
      <w:pPr>
        <w:pStyle w:val="BodyText"/>
        <w:ind w:left="3149"/>
      </w:pPr>
      <w:r>
        <w:rPr>
          <w:shd w:fill="D9D9D9" w:color="auto" w:val="clear"/>
        </w:rPr>
        <w:t>（1）投保人对被保险人的故意杀害、故意伤害；</w:t>
      </w:r>
    </w:p>
    <w:p>
      <w:pPr>
        <w:pStyle w:val="BodyText"/>
        <w:ind w:left="3149"/>
      </w:pPr>
      <w:r>
        <w:rPr>
          <w:shd w:fill="D9D9D9" w:color="auto" w:val="clear"/>
        </w:rPr>
        <w:t>（2）被保险人故意自伤、故意犯罪或者抗拒依法采取的刑事强制措施；</w:t>
      </w:r>
    </w:p>
    <w:p>
      <w:pPr>
        <w:pStyle w:val="BodyText"/>
        <w:ind w:left="3149"/>
      </w:pPr>
      <w:r>
        <w:rPr>
          <w:shd w:fill="D9D9D9" w:color="auto" w:val="clear"/>
        </w:rPr>
        <w:t>（3）被保险人主动吸食或注射</w:t>
      </w:r>
      <w:r>
        <w:rPr>
          <w:rFonts w:ascii="黑体" w:eastAsia="黑体" w:hint="eastAsia"/>
          <w:b/>
          <w:shd w:fill="D9D9D9" w:color="auto" w:val="clear"/>
        </w:rPr>
        <w:t>毒品</w:t>
      </w:r>
      <w:r>
        <w:rPr>
          <w:shd w:fill="D9D9D9" w:color="auto" w:val="clear"/>
        </w:rPr>
        <w:t>（见7.14）；</w:t>
      </w:r>
    </w:p>
    <w:p>
      <w:pPr>
        <w:spacing w:line="273" w:lineRule="auto" w:before="37"/>
        <w:ind w:left="3149" w:right="100" w:firstLine="0"/>
        <w:jc w:val="left"/>
        <w:rPr>
          <w:sz w:val="21"/>
        </w:rPr>
      </w:pPr>
      <w:r>
        <w:rPr>
          <w:spacing w:val="-7"/>
          <w:sz w:val="21"/>
          <w:shd w:fill="D9D9D9" w:color="auto" w:val="clear"/>
        </w:rPr>
        <w:t>（4）</w:t>
      </w:r>
      <w:r>
        <w:rPr>
          <w:spacing w:val="-3"/>
          <w:sz w:val="21"/>
          <w:shd w:fill="D9D9D9" w:color="auto" w:val="clear"/>
        </w:rPr>
        <w:t>被保险人</w:t>
      </w:r>
      <w:r>
        <w:rPr>
          <w:rFonts w:ascii="黑体" w:eastAsia="黑体" w:hint="eastAsia"/>
          <w:b/>
          <w:spacing w:val="-5"/>
          <w:sz w:val="21"/>
          <w:shd w:fill="D9D9D9" w:color="auto" w:val="clear"/>
        </w:rPr>
        <w:t>酒后驾驶</w:t>
      </w:r>
      <w:r>
        <w:rPr>
          <w:spacing w:val="-5"/>
          <w:sz w:val="21"/>
          <w:shd w:fill="D9D9D9" w:color="auto" w:val="clear"/>
        </w:rPr>
        <w:t>（</w:t>
      </w:r>
      <w:r>
        <w:rPr>
          <w:sz w:val="21"/>
          <w:shd w:fill="D9D9D9" w:color="auto" w:val="clear"/>
        </w:rPr>
        <w:t>见</w:t>
      </w:r>
      <w:r>
        <w:rPr>
          <w:spacing w:val="-5"/>
          <w:sz w:val="21"/>
          <w:shd w:fill="D9D9D9" w:color="auto" w:val="clear"/>
        </w:rPr>
        <w:t>7.15）</w:t>
      </w:r>
      <w:r>
        <w:rPr>
          <w:spacing w:val="-20"/>
          <w:sz w:val="21"/>
          <w:shd w:fill="D9D9D9" w:color="auto" w:val="clear"/>
        </w:rPr>
        <w:t>、</w:t>
      </w:r>
      <w:r>
        <w:rPr>
          <w:rFonts w:ascii="黑体" w:eastAsia="黑体" w:hint="eastAsia"/>
          <w:b/>
          <w:spacing w:val="-3"/>
          <w:sz w:val="21"/>
          <w:shd w:fill="D9D9D9" w:color="auto" w:val="clear"/>
        </w:rPr>
        <w:t>无合法有效驾驶证驾驶</w:t>
      </w:r>
      <w:r>
        <w:rPr>
          <w:spacing w:val="-3"/>
          <w:sz w:val="21"/>
          <w:shd w:fill="D9D9D9" w:color="auto" w:val="clear"/>
        </w:rPr>
        <w:t>（</w:t>
      </w:r>
      <w:r>
        <w:rPr>
          <w:sz w:val="21"/>
          <w:shd w:fill="D9D9D9" w:color="auto" w:val="clear"/>
        </w:rPr>
        <w:t>见</w:t>
      </w:r>
      <w:r>
        <w:rPr>
          <w:spacing w:val="-4"/>
          <w:sz w:val="21"/>
          <w:shd w:fill="D9D9D9" w:color="auto" w:val="clear"/>
        </w:rPr>
        <w:t>7.16）， </w:t>
      </w:r>
      <w:r>
        <w:rPr>
          <w:spacing w:val="-1"/>
          <w:sz w:val="21"/>
          <w:shd w:fill="D9D9D9" w:color="auto" w:val="clear"/>
        </w:rPr>
        <w:t>或驾</w:t>
      </w:r>
      <w:r>
        <w:rPr>
          <w:spacing w:val="-211"/>
          <w:sz w:val="21"/>
          <w:shd w:fill="D9D9D9" w:color="auto" w:val="clear"/>
        </w:rPr>
        <w:t>驶</w:t>
      </w:r>
      <w:r>
        <w:rPr>
          <w:rFonts w:ascii="黑体" w:eastAsia="黑体" w:hint="eastAsia"/>
          <w:b/>
          <w:spacing w:val="-1"/>
          <w:sz w:val="21"/>
          <w:shd w:fill="D9D9D9" w:color="auto" w:val="clear"/>
        </w:rPr>
        <w:t>无有效行驶证</w:t>
      </w:r>
      <w:r>
        <w:rPr>
          <w:spacing w:val="-3"/>
          <w:sz w:val="21"/>
          <w:shd w:fill="D9D9D9" w:color="auto" w:val="clear"/>
        </w:rPr>
        <w:t>（</w:t>
      </w:r>
      <w:r>
        <w:rPr>
          <w:spacing w:val="-1"/>
          <w:sz w:val="21"/>
          <w:shd w:fill="D9D9D9" w:color="auto" w:val="clear"/>
        </w:rPr>
        <w:t>见7.17）</w:t>
      </w:r>
      <w:r>
        <w:rPr>
          <w:spacing w:val="-3"/>
          <w:sz w:val="21"/>
          <w:shd w:fill="D9D9D9" w:color="auto" w:val="clear"/>
        </w:rPr>
        <w:t>的</w:t>
      </w:r>
      <w:r>
        <w:rPr>
          <w:rFonts w:ascii="黑体" w:eastAsia="黑体" w:hint="eastAsia"/>
          <w:b/>
          <w:spacing w:val="-1"/>
          <w:sz w:val="21"/>
          <w:shd w:fill="D9D9D9" w:color="auto" w:val="clear"/>
        </w:rPr>
        <w:t>机动车</w:t>
      </w:r>
      <w:r>
        <w:rPr>
          <w:sz w:val="21"/>
          <w:shd w:fill="D9D9D9" w:color="auto" w:val="clear"/>
        </w:rPr>
        <w:t>（见7.18）；</w:t>
      </w:r>
    </w:p>
    <w:p>
      <w:pPr>
        <w:spacing w:before="8"/>
        <w:ind w:left="3149" w:right="0" w:firstLine="0"/>
        <w:jc w:val="left"/>
        <w:rPr>
          <w:sz w:val="21"/>
        </w:rPr>
      </w:pPr>
      <w:r>
        <w:rPr>
          <w:sz w:val="21"/>
          <w:shd w:fill="D9D9D9" w:color="auto" w:val="clear"/>
        </w:rPr>
        <w:t>（5）被保险人</w:t>
      </w:r>
      <w:r>
        <w:rPr>
          <w:rFonts w:ascii="黑体" w:eastAsia="黑体" w:hint="eastAsia"/>
          <w:b/>
          <w:sz w:val="21"/>
          <w:shd w:fill="D9D9D9" w:color="auto" w:val="clear"/>
        </w:rPr>
        <w:t>感染艾滋病病毒或患艾滋病</w:t>
      </w:r>
      <w:r>
        <w:rPr>
          <w:sz w:val="21"/>
          <w:shd w:fill="D9D9D9" w:color="auto" w:val="clear"/>
        </w:rPr>
        <w:t>（见7.19）；</w:t>
      </w:r>
    </w:p>
    <w:p>
      <w:pPr>
        <w:pStyle w:val="BodyText"/>
        <w:ind w:left="3149"/>
      </w:pPr>
      <w:r>
        <w:rPr>
          <w:shd w:fill="D9D9D9" w:color="auto" w:val="clear"/>
        </w:rPr>
        <w:t>（6）战争、军事冲突、暴乱或武装叛乱；</w:t>
      </w:r>
    </w:p>
    <w:p>
      <w:pPr>
        <w:pStyle w:val="BodyText"/>
        <w:ind w:left="3149"/>
      </w:pPr>
      <w:r>
        <w:rPr>
          <w:shd w:fill="D9D9D9" w:color="auto" w:val="clear"/>
        </w:rPr>
        <w:t>（7）核爆炸、核辐射或核污染；</w:t>
      </w:r>
    </w:p>
    <w:p>
      <w:pPr>
        <w:spacing w:line="273" w:lineRule="auto" w:before="37"/>
        <w:ind w:left="3149" w:right="100" w:firstLine="0"/>
        <w:jc w:val="left"/>
        <w:rPr>
          <w:sz w:val="21"/>
        </w:rPr>
      </w:pPr>
      <w:r>
        <w:rPr>
          <w:spacing w:val="-16"/>
          <w:sz w:val="21"/>
          <w:shd w:fill="D9D9D9" w:color="auto" w:val="clear"/>
        </w:rPr>
        <w:t>（8）</w:t>
      </w:r>
      <w:r>
        <w:rPr>
          <w:rFonts w:ascii="黑体" w:eastAsia="黑体" w:hint="eastAsia"/>
          <w:b/>
          <w:spacing w:val="-10"/>
          <w:sz w:val="21"/>
          <w:shd w:fill="D9D9D9" w:color="auto" w:val="clear"/>
        </w:rPr>
        <w:t>遗传性疾病</w:t>
      </w:r>
      <w:r>
        <w:rPr>
          <w:spacing w:val="-3"/>
          <w:sz w:val="21"/>
          <w:shd w:fill="D9D9D9" w:color="auto" w:val="clear"/>
        </w:rPr>
        <w:t>（</w:t>
      </w:r>
      <w:r>
        <w:rPr>
          <w:sz w:val="21"/>
          <w:shd w:fill="D9D9D9" w:color="auto" w:val="clear"/>
        </w:rPr>
        <w:t>见</w:t>
      </w:r>
      <w:r>
        <w:rPr>
          <w:spacing w:val="-17"/>
          <w:sz w:val="21"/>
          <w:shd w:fill="D9D9D9" w:color="auto" w:val="clear"/>
        </w:rPr>
        <w:t>7.20），</w:t>
      </w:r>
      <w:r>
        <w:rPr>
          <w:rFonts w:ascii="黑体" w:eastAsia="黑体" w:hint="eastAsia"/>
          <w:b/>
          <w:spacing w:val="-10"/>
          <w:sz w:val="21"/>
          <w:shd w:fill="D9D9D9" w:color="auto" w:val="clear"/>
        </w:rPr>
        <w:t>先天性畸形、变形或染色体异常</w:t>
      </w:r>
      <w:r>
        <w:rPr>
          <w:spacing w:val="-3"/>
          <w:sz w:val="21"/>
          <w:shd w:fill="D9D9D9" w:color="auto" w:val="clear"/>
        </w:rPr>
        <w:t>（</w:t>
      </w:r>
      <w:r>
        <w:rPr>
          <w:sz w:val="21"/>
          <w:shd w:fill="D9D9D9" w:color="auto" w:val="clear"/>
        </w:rPr>
        <w:t>见</w:t>
      </w:r>
      <w:r>
        <w:rPr>
          <w:spacing w:val="-11"/>
          <w:sz w:val="21"/>
          <w:shd w:fill="D9D9D9" w:color="auto" w:val="clear"/>
        </w:rPr>
        <w:t>7.21）</w:t>
      </w:r>
      <w:r>
        <w:rPr>
          <w:sz w:val="21"/>
          <w:shd w:fill="D9D9D9" w:color="auto" w:val="clear"/>
        </w:rPr>
        <w:t>。发生上</w:t>
      </w:r>
      <w:r>
        <w:rPr>
          <w:spacing w:val="-212"/>
          <w:sz w:val="21"/>
          <w:shd w:fill="D9D9D9" w:color="auto" w:val="clear"/>
        </w:rPr>
        <w:t>述</w:t>
      </w:r>
      <w:r>
        <w:rPr>
          <w:sz w:val="21"/>
          <w:shd w:fill="D9D9D9" w:color="auto" w:val="clear"/>
        </w:rPr>
        <w:t>第（1）</w:t>
      </w:r>
      <w:r>
        <w:rPr>
          <w:spacing w:val="-3"/>
          <w:sz w:val="21"/>
          <w:shd w:fill="D9D9D9" w:color="auto" w:val="clear"/>
        </w:rPr>
        <w:t>项情形导致被保险人初次发生重大疾病的，本主险合同终止，我们向受益人退还本主险合同的未满期</w:t>
      </w:r>
      <w:r>
        <w:rPr>
          <w:rFonts w:ascii="黑体" w:eastAsia="黑体" w:hint="eastAsia"/>
          <w:b/>
          <w:spacing w:val="-2"/>
          <w:sz w:val="21"/>
          <w:shd w:fill="D9D9D9" w:color="auto" w:val="clear"/>
        </w:rPr>
        <w:t>净保险费</w:t>
      </w:r>
      <w:r>
        <w:rPr>
          <w:sz w:val="21"/>
          <w:shd w:fill="D9D9D9" w:color="auto" w:val="clear"/>
        </w:rPr>
        <w:t>（</w:t>
      </w:r>
      <w:r>
        <w:rPr>
          <w:spacing w:val="-3"/>
          <w:sz w:val="21"/>
          <w:shd w:fill="D9D9D9" w:color="auto" w:val="clear"/>
        </w:rPr>
        <w:t>见</w:t>
      </w:r>
      <w:r>
        <w:rPr>
          <w:sz w:val="21"/>
          <w:shd w:fill="D9D9D9" w:color="auto" w:val="clear"/>
        </w:rPr>
        <w:t>7.22）。</w:t>
      </w:r>
    </w:p>
    <w:p>
      <w:pPr>
        <w:pStyle w:val="BodyText"/>
        <w:spacing w:line="273" w:lineRule="auto" w:before="7"/>
        <w:ind w:left="3149" w:right="205"/>
      </w:pPr>
      <w:r>
        <w:rPr>
          <w:spacing w:val="-1"/>
          <w:shd w:fill="D9D9D9" w:color="auto" w:val="clear"/>
        </w:rPr>
        <w:t>发生上述第</w:t>
      </w:r>
      <w:r>
        <w:rPr>
          <w:shd w:fill="D9D9D9" w:color="auto" w:val="clear"/>
        </w:rPr>
        <w:t>（2）至（7）</w:t>
      </w:r>
      <w:r>
        <w:rPr>
          <w:spacing w:val="-3"/>
          <w:shd w:fill="D9D9D9" w:color="auto" w:val="clear"/>
        </w:rPr>
        <w:t> 项情形导致被保险人初次发生重大疾病的，本</w:t>
      </w:r>
      <w:r>
        <w:rPr>
          <w:spacing w:val="-210"/>
          <w:shd w:fill="D9D9D9" w:color="auto" w:val="clear"/>
        </w:rPr>
        <w:t>主</w:t>
      </w:r>
      <w:r>
        <w:rPr>
          <w:spacing w:val="-3"/>
          <w:shd w:fill="D9D9D9" w:color="auto" w:val="clear"/>
        </w:rPr>
        <w:t>险合同终止，我们向您退还本主险合同的未满期净保险费。</w:t>
      </w:r>
    </w:p>
    <w:p>
      <w:pPr>
        <w:pStyle w:val="BodyText"/>
        <w:spacing w:before="0"/>
        <w:rPr>
          <w:sz w:val="20"/>
        </w:rPr>
      </w:pPr>
    </w:p>
    <w:p>
      <w:pPr>
        <w:pStyle w:val="Heading2"/>
        <w:tabs>
          <w:tab w:pos="1257" w:val="left" w:leader="none"/>
        </w:tabs>
        <w:spacing w:before="131"/>
        <w:rPr>
          <w:rFonts w:ascii="宋体" w:hAnsi="宋体" w:eastAsia="宋体" w:hint="eastAsia"/>
        </w:rPr>
      </w:pPr>
      <w:r>
        <w:rPr/>
        <w:pict>
          <v:group style="position:absolute;margin-left:51pt;margin-top:34.709805pt;width:489.1pt;height:1pt;mso-position-horizontal-relative:page;mso-position-vertical-relative:paragraph;z-index:1120;mso-wrap-distance-left:0;mso-wrap-distance-right:0" coordorigin="1020,694" coordsize="9782,20">
            <v:line style="position:absolute" from="1020,704" to="2067,704" stroked="true" strokeweight=".95996pt" strokecolor="#000000">
              <v:stroke dashstyle="solid"/>
            </v:line>
            <v:rect style="position:absolute;left:2066;top:694;width:20;height:20" filled="true" fillcolor="#000000" stroked="false">
              <v:fill type="solid"/>
            </v:rect>
            <v:line style="position:absolute" from="2086,704" to="3958,704" stroked="true" strokeweight=".95996pt" strokecolor="#000000">
              <v:stroke dashstyle="solid"/>
            </v:line>
            <v:rect style="position:absolute;left:3958;top:694;width:20;height:20" filled="true" fillcolor="#000000" stroked="false">
              <v:fill type="solid"/>
            </v:rect>
            <v:line style="position:absolute" from="3978,704" to="10802,704" stroked="true" strokeweight=".959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如何申请领取保险金</w:t>
      </w:r>
    </w:p>
    <w:p>
      <w:pPr>
        <w:pStyle w:val="BodyText"/>
        <w:spacing w:before="11"/>
        <w:rPr>
          <w:b/>
          <w:sz w:val="17"/>
        </w:rPr>
      </w:pPr>
    </w:p>
    <w:p>
      <w:pPr>
        <w:pStyle w:val="ListParagraph"/>
        <w:numPr>
          <w:ilvl w:val="1"/>
          <w:numId w:val="4"/>
        </w:numPr>
        <w:tabs>
          <w:tab w:pos="1257" w:val="left" w:leader="none"/>
          <w:tab w:pos="1258" w:val="left" w:leader="none"/>
          <w:tab w:pos="3148" w:val="left" w:leader="none"/>
        </w:tabs>
        <w:spacing w:line="240" w:lineRule="auto" w:before="36" w:after="0"/>
        <w:ind w:left="3149" w:right="0" w:hanging="2941"/>
        <w:jc w:val="left"/>
        <w:rPr>
          <w:sz w:val="21"/>
        </w:rPr>
      </w:pPr>
      <w:r>
        <w:rPr>
          <w:b/>
          <w:sz w:val="21"/>
        </w:rPr>
        <w:t>受益人</w:t>
        <w:tab/>
      </w:r>
      <w:r>
        <w:rPr>
          <w:spacing w:val="-1"/>
          <w:sz w:val="21"/>
        </w:rPr>
        <w:t>除另</w:t>
      </w:r>
      <w:r>
        <w:rPr>
          <w:spacing w:val="-3"/>
          <w:sz w:val="21"/>
        </w:rPr>
        <w:t>有</w:t>
      </w:r>
      <w:r>
        <w:rPr>
          <w:spacing w:val="-1"/>
          <w:sz w:val="21"/>
        </w:rPr>
        <w:t>约</w:t>
      </w:r>
      <w:r>
        <w:rPr>
          <w:spacing w:val="-3"/>
          <w:sz w:val="21"/>
        </w:rPr>
        <w:t>定</w:t>
      </w:r>
      <w:r>
        <w:rPr>
          <w:sz w:val="21"/>
        </w:rPr>
        <w:t>外</w:t>
      </w:r>
      <w:r>
        <w:rPr>
          <w:spacing w:val="-97"/>
          <w:sz w:val="21"/>
        </w:rPr>
        <w:t>，</w:t>
      </w:r>
      <w:r>
        <w:rPr>
          <w:sz w:val="21"/>
        </w:rPr>
        <w:t>本</w:t>
      </w:r>
      <w:r>
        <w:rPr>
          <w:spacing w:val="-3"/>
          <w:sz w:val="21"/>
        </w:rPr>
        <w:t>主</w:t>
      </w:r>
      <w:r>
        <w:rPr>
          <w:sz w:val="21"/>
        </w:rPr>
        <w:t>险</w:t>
      </w:r>
      <w:r>
        <w:rPr>
          <w:spacing w:val="-3"/>
          <w:sz w:val="21"/>
        </w:rPr>
        <w:t>合同</w:t>
      </w:r>
      <w:r>
        <w:rPr>
          <w:sz w:val="21"/>
        </w:rPr>
        <w:t>的重</w:t>
      </w:r>
      <w:r>
        <w:rPr>
          <w:spacing w:val="-3"/>
          <w:sz w:val="21"/>
        </w:rPr>
        <w:t>大</w:t>
      </w:r>
      <w:r>
        <w:rPr>
          <w:sz w:val="21"/>
        </w:rPr>
        <w:t>疾</w:t>
      </w:r>
      <w:r>
        <w:rPr>
          <w:spacing w:val="-3"/>
          <w:sz w:val="21"/>
        </w:rPr>
        <w:t>病</w:t>
      </w:r>
      <w:r>
        <w:rPr>
          <w:sz w:val="21"/>
        </w:rPr>
        <w:t>保</w:t>
      </w:r>
      <w:r>
        <w:rPr>
          <w:spacing w:val="-3"/>
          <w:sz w:val="21"/>
        </w:rPr>
        <w:t>险</w:t>
      </w:r>
      <w:r>
        <w:rPr>
          <w:sz w:val="21"/>
        </w:rPr>
        <w:t>金</w:t>
      </w:r>
      <w:r>
        <w:rPr>
          <w:spacing w:val="-3"/>
          <w:sz w:val="21"/>
        </w:rPr>
        <w:t>和</w:t>
      </w:r>
      <w:r>
        <w:rPr>
          <w:sz w:val="21"/>
        </w:rPr>
        <w:t>轻</w:t>
      </w:r>
      <w:r>
        <w:rPr>
          <w:spacing w:val="-3"/>
          <w:sz w:val="21"/>
        </w:rPr>
        <w:t>症</w:t>
      </w:r>
      <w:r>
        <w:rPr>
          <w:sz w:val="21"/>
        </w:rPr>
        <w:t>疾病</w:t>
      </w:r>
      <w:r>
        <w:rPr>
          <w:spacing w:val="-3"/>
          <w:sz w:val="21"/>
        </w:rPr>
        <w:t>保</w:t>
      </w:r>
      <w:r>
        <w:rPr>
          <w:sz w:val="21"/>
        </w:rPr>
        <w:t>险金受</w:t>
      </w:r>
      <w:r>
        <w:rPr>
          <w:spacing w:val="-3"/>
          <w:sz w:val="21"/>
        </w:rPr>
        <w:t>益</w:t>
      </w:r>
      <w:r>
        <w:rPr>
          <w:sz w:val="21"/>
        </w:rPr>
        <w:t>人均</w:t>
      </w:r>
    </w:p>
    <w:p>
      <w:pPr>
        <w:pStyle w:val="BodyText"/>
        <w:spacing w:before="36"/>
        <w:ind w:left="3149"/>
      </w:pPr>
      <w:r>
        <w:rPr/>
        <w:t>为被保险人本人。</w:t>
      </w:r>
    </w:p>
    <w:p>
      <w:pPr>
        <w:spacing w:after="0"/>
        <w:sectPr>
          <w:type w:val="continuous"/>
          <w:pgSz w:w="11910" w:h="16840"/>
          <w:pgMar w:top="520" w:bottom="1060" w:left="920" w:right="1000"/>
        </w:sectPr>
      </w:pPr>
    </w:p>
    <w:p>
      <w:pPr>
        <w:pStyle w:val="ListParagraph"/>
        <w:numPr>
          <w:ilvl w:val="1"/>
          <w:numId w:val="4"/>
        </w:numPr>
        <w:tabs>
          <w:tab w:pos="1257" w:val="left" w:leader="none"/>
          <w:tab w:pos="1258" w:val="left" w:leader="none"/>
          <w:tab w:pos="3148" w:val="left" w:leader="none"/>
        </w:tabs>
        <w:spacing w:line="240" w:lineRule="auto" w:before="22" w:after="0"/>
        <w:ind w:left="3149" w:right="0" w:hanging="2941"/>
        <w:jc w:val="left"/>
        <w:rPr>
          <w:sz w:val="21"/>
        </w:rPr>
      </w:pPr>
      <w:r>
        <w:rPr>
          <w:b/>
          <w:sz w:val="21"/>
        </w:rPr>
        <w:t>保险事故通知</w:t>
        <w:tab/>
      </w:r>
      <w:r>
        <w:rPr>
          <w:sz w:val="21"/>
        </w:rPr>
        <w:t>请您</w:t>
      </w:r>
      <w:r>
        <w:rPr>
          <w:spacing w:val="-3"/>
          <w:sz w:val="21"/>
        </w:rPr>
        <w:t>、</w:t>
      </w:r>
      <w:r>
        <w:rPr>
          <w:sz w:val="21"/>
        </w:rPr>
        <w:t>被</w:t>
      </w:r>
      <w:r>
        <w:rPr>
          <w:spacing w:val="-3"/>
          <w:sz w:val="21"/>
        </w:rPr>
        <w:t>保</w:t>
      </w:r>
      <w:r>
        <w:rPr>
          <w:sz w:val="21"/>
        </w:rPr>
        <w:t>险</w:t>
      </w:r>
      <w:r>
        <w:rPr>
          <w:spacing w:val="-3"/>
          <w:sz w:val="21"/>
        </w:rPr>
        <w:t>人</w:t>
      </w:r>
      <w:r>
        <w:rPr>
          <w:sz w:val="21"/>
        </w:rPr>
        <w:t>或</w:t>
      </w:r>
      <w:r>
        <w:rPr>
          <w:spacing w:val="-3"/>
          <w:sz w:val="21"/>
        </w:rPr>
        <w:t>受</w:t>
      </w:r>
      <w:r>
        <w:rPr>
          <w:sz w:val="21"/>
        </w:rPr>
        <w:t>益</w:t>
      </w:r>
      <w:r>
        <w:rPr>
          <w:spacing w:val="-3"/>
          <w:sz w:val="21"/>
        </w:rPr>
        <w:t>人</w:t>
      </w:r>
      <w:r>
        <w:rPr>
          <w:sz w:val="21"/>
        </w:rPr>
        <w:t>在知</w:t>
      </w:r>
      <w:r>
        <w:rPr>
          <w:spacing w:val="-3"/>
          <w:sz w:val="21"/>
        </w:rPr>
        <w:t>道</w:t>
      </w:r>
      <w:r>
        <w:rPr>
          <w:sz w:val="21"/>
        </w:rPr>
        <w:t>保</w:t>
      </w:r>
      <w:r>
        <w:rPr>
          <w:spacing w:val="-3"/>
          <w:sz w:val="21"/>
        </w:rPr>
        <w:t>险</w:t>
      </w:r>
      <w:r>
        <w:rPr>
          <w:sz w:val="21"/>
        </w:rPr>
        <w:t>事</w:t>
      </w:r>
      <w:r>
        <w:rPr>
          <w:spacing w:val="-3"/>
          <w:sz w:val="21"/>
        </w:rPr>
        <w:t>故</w:t>
      </w:r>
      <w:r>
        <w:rPr>
          <w:sz w:val="21"/>
        </w:rPr>
        <w:t>发</w:t>
      </w:r>
      <w:r>
        <w:rPr>
          <w:spacing w:val="-3"/>
          <w:sz w:val="21"/>
        </w:rPr>
        <w:t>生</w:t>
      </w:r>
      <w:r>
        <w:rPr>
          <w:sz w:val="21"/>
        </w:rPr>
        <w:t>后</w:t>
      </w:r>
      <w:r>
        <w:rPr>
          <w:spacing w:val="-37"/>
          <w:sz w:val="21"/>
        </w:rPr>
        <w:t> </w:t>
      </w:r>
      <w:r>
        <w:rPr>
          <w:sz w:val="21"/>
        </w:rPr>
        <w:t>10</w:t>
      </w:r>
      <w:r>
        <w:rPr>
          <w:spacing w:val="-40"/>
          <w:sz w:val="21"/>
        </w:rPr>
        <w:t> </w:t>
      </w:r>
      <w:r>
        <w:rPr>
          <w:sz w:val="21"/>
        </w:rPr>
        <w:t>日内</w:t>
      </w:r>
      <w:r>
        <w:rPr>
          <w:spacing w:val="-3"/>
          <w:sz w:val="21"/>
        </w:rPr>
        <w:t>通</w:t>
      </w:r>
      <w:r>
        <w:rPr>
          <w:sz w:val="21"/>
        </w:rPr>
        <w:t>知</w:t>
      </w:r>
      <w:r>
        <w:rPr>
          <w:spacing w:val="-3"/>
          <w:sz w:val="21"/>
        </w:rPr>
        <w:t>我</w:t>
      </w:r>
      <w:r>
        <w:rPr>
          <w:sz w:val="21"/>
        </w:rPr>
        <w:t>们。</w:t>
      </w:r>
    </w:p>
    <w:p>
      <w:pPr>
        <w:pStyle w:val="BodyText"/>
        <w:spacing w:line="273" w:lineRule="auto"/>
        <w:ind w:left="3149" w:right="203"/>
        <w:jc w:val="both"/>
      </w:pPr>
      <w:r>
        <w:rPr>
          <w:spacing w:val="-10"/>
          <w:shd w:fill="D9D9D9" w:color="auto" w:val="clear"/>
        </w:rPr>
        <w:t>如果您、被保险人或受益人故意或者因重大过失未及时通知，致使保险事</w:t>
      </w:r>
      <w:r>
        <w:rPr>
          <w:spacing w:val="-13"/>
          <w:shd w:fill="D9D9D9" w:color="auto" w:val="clear"/>
        </w:rPr>
        <w:t>故的性质、原因、损失程度等难以确定的，我们对无法确定的部分，不承</w:t>
      </w:r>
      <w:r>
        <w:rPr>
          <w:spacing w:val="-205"/>
          <w:shd w:fill="D9D9D9" w:color="auto" w:val="clear"/>
        </w:rPr>
        <w:t>担</w:t>
      </w:r>
      <w:r>
        <w:rPr>
          <w:spacing w:val="-3"/>
          <w:shd w:fill="D9D9D9" w:color="auto" w:val="clear"/>
        </w:rPr>
        <w:t>给付保险金的责任</w:t>
      </w:r>
      <w:r>
        <w:rPr>
          <w:spacing w:val="-12"/>
        </w:rPr>
        <w:t>，但我们通过其他途径已经及时知道或者应当及时知道</w:t>
      </w:r>
      <w:r>
        <w:rPr>
          <w:spacing w:val="-9"/>
        </w:rPr>
        <w:t>保险事故发生或者虽未及时通知但不影响我们确定保险事故的性质、原因</w:t>
      </w:r>
      <w:r>
        <w:rPr>
          <w:spacing w:val="-4"/>
        </w:rPr>
        <w:t>、损失程度的除外。</w:t>
      </w:r>
    </w:p>
    <w:p>
      <w:pPr>
        <w:pStyle w:val="BodyText"/>
        <w:spacing w:before="5"/>
        <w:rPr>
          <w:sz w:val="24"/>
        </w:rPr>
      </w:pPr>
    </w:p>
    <w:p>
      <w:pPr>
        <w:pStyle w:val="ListParagraph"/>
        <w:numPr>
          <w:ilvl w:val="1"/>
          <w:numId w:val="4"/>
        </w:numPr>
        <w:tabs>
          <w:tab w:pos="1257" w:val="left" w:leader="none"/>
          <w:tab w:pos="1258" w:val="left" w:leader="none"/>
          <w:tab w:pos="3148" w:val="left" w:leader="none"/>
        </w:tabs>
        <w:spacing w:line="240" w:lineRule="auto" w:before="0" w:after="0"/>
        <w:ind w:left="3149" w:right="0" w:hanging="2941"/>
        <w:jc w:val="left"/>
        <w:rPr>
          <w:sz w:val="21"/>
        </w:rPr>
      </w:pPr>
      <w:r>
        <w:rPr>
          <w:b/>
          <w:sz w:val="21"/>
        </w:rPr>
        <w:t>保险金申请</w:t>
        <w:tab/>
      </w:r>
      <w:r>
        <w:rPr>
          <w:sz w:val="21"/>
        </w:rPr>
        <w:t>在申</w:t>
      </w:r>
      <w:r>
        <w:rPr>
          <w:spacing w:val="-3"/>
          <w:sz w:val="21"/>
        </w:rPr>
        <w:t>请</w:t>
      </w:r>
      <w:r>
        <w:rPr>
          <w:sz w:val="21"/>
        </w:rPr>
        <w:t>保</w:t>
      </w:r>
      <w:r>
        <w:rPr>
          <w:spacing w:val="-3"/>
          <w:sz w:val="21"/>
        </w:rPr>
        <w:t>险</w:t>
      </w:r>
      <w:r>
        <w:rPr>
          <w:sz w:val="21"/>
        </w:rPr>
        <w:t>金</w:t>
      </w:r>
      <w:r>
        <w:rPr>
          <w:spacing w:val="-3"/>
          <w:sz w:val="21"/>
        </w:rPr>
        <w:t>时</w:t>
      </w:r>
      <w:r>
        <w:rPr>
          <w:sz w:val="21"/>
        </w:rPr>
        <w:t>，</w:t>
      </w:r>
      <w:r>
        <w:rPr>
          <w:spacing w:val="-3"/>
          <w:sz w:val="21"/>
        </w:rPr>
        <w:t>请</w:t>
      </w:r>
      <w:r>
        <w:rPr>
          <w:sz w:val="21"/>
        </w:rPr>
        <w:t>按</w:t>
      </w:r>
      <w:r>
        <w:rPr>
          <w:spacing w:val="-3"/>
          <w:sz w:val="21"/>
        </w:rPr>
        <w:t>照</w:t>
      </w:r>
      <w:r>
        <w:rPr>
          <w:sz w:val="21"/>
        </w:rPr>
        <w:t>下列</w:t>
      </w:r>
      <w:r>
        <w:rPr>
          <w:spacing w:val="-3"/>
          <w:sz w:val="21"/>
        </w:rPr>
        <w:t>方</w:t>
      </w:r>
      <w:r>
        <w:rPr>
          <w:sz w:val="21"/>
        </w:rPr>
        <w:t>式</w:t>
      </w:r>
      <w:r>
        <w:rPr>
          <w:spacing w:val="-3"/>
          <w:sz w:val="21"/>
        </w:rPr>
        <w:t>办</w:t>
      </w:r>
      <w:r>
        <w:rPr>
          <w:sz w:val="21"/>
        </w:rPr>
        <w:t>理：</w:t>
      </w:r>
    </w:p>
    <w:p>
      <w:pPr>
        <w:pStyle w:val="BodyText"/>
        <w:spacing w:before="11"/>
        <w:rPr>
          <w:sz w:val="23"/>
        </w:rPr>
      </w:pPr>
    </w:p>
    <w:p>
      <w:pPr>
        <w:spacing w:after="0"/>
        <w:rPr>
          <w:sz w:val="23"/>
        </w:rPr>
        <w:sectPr>
          <w:pgSz w:w="11910" w:h="16840"/>
          <w:pgMar w:header="0" w:footer="862" w:top="1080" w:bottom="1120" w:left="920" w:right="1000"/>
        </w:sectPr>
      </w:pPr>
    </w:p>
    <w:p>
      <w:pPr>
        <w:pStyle w:val="Heading2"/>
        <w:spacing w:line="184" w:lineRule="auto"/>
        <w:ind w:left="1257"/>
        <w:jc w:val="both"/>
      </w:pPr>
      <w:r>
        <w:rPr/>
        <w:t>重大疾病保险金或轻症疾病保险金申请所需材料</w:t>
      </w:r>
    </w:p>
    <w:p>
      <w:pPr>
        <w:pStyle w:val="BodyText"/>
        <w:spacing w:before="36"/>
        <w:ind w:left="409"/>
      </w:pPr>
      <w:r>
        <w:rPr/>
        <w:br w:type="column"/>
      </w:r>
      <w:r>
        <w:rPr/>
        <w:t>由受益人填写保险金给付申请书，并提供下列证明和资料：</w:t>
      </w:r>
    </w:p>
    <w:p>
      <w:pPr>
        <w:pStyle w:val="BodyText"/>
        <w:spacing w:before="36"/>
        <w:ind w:left="409"/>
      </w:pPr>
      <w:r>
        <w:rPr/>
        <w:t>（1）保险合同；</w:t>
      </w:r>
    </w:p>
    <w:p>
      <w:pPr>
        <w:pStyle w:val="BodyText"/>
        <w:spacing w:before="36"/>
        <w:ind w:left="409"/>
      </w:pPr>
      <w:r>
        <w:rPr/>
        <w:t>（2）受益人的有效身份证件；</w:t>
      </w:r>
    </w:p>
    <w:p>
      <w:pPr>
        <w:pStyle w:val="BodyText"/>
        <w:spacing w:line="273" w:lineRule="auto" w:before="36"/>
        <w:ind w:left="409" w:right="205"/>
      </w:pPr>
      <w:r>
        <w:rPr/>
        <w:t>（3）医院出具的附有病理显微镜检查、血液检验及其它科学方法检验报告的疾病诊断证明书；</w:t>
      </w:r>
    </w:p>
    <w:p>
      <w:pPr>
        <w:pStyle w:val="BodyText"/>
        <w:spacing w:line="273" w:lineRule="auto" w:before="8"/>
        <w:ind w:left="409" w:right="100"/>
      </w:pPr>
      <w:r>
        <w:rPr>
          <w:spacing w:val="-17"/>
        </w:rPr>
        <w:t>（4）</w:t>
      </w:r>
      <w:r>
        <w:rPr>
          <w:spacing w:val="-6"/>
        </w:rPr>
        <w:t>所能提供的与确认保险事故的性质、原因等有关的其他证明和资料。</w:t>
      </w:r>
      <w:r>
        <w:rPr>
          <w:spacing w:val="-12"/>
        </w:rPr>
        <w:t>以上证明和资料不完整的，我们将及时一次性通知受益人补充提供有关证</w:t>
      </w:r>
      <w:r>
        <w:rPr>
          <w:spacing w:val="-6"/>
        </w:rPr>
        <w:t>明和资料。</w:t>
      </w:r>
    </w:p>
    <w:p>
      <w:pPr>
        <w:spacing w:after="0" w:line="273" w:lineRule="auto"/>
        <w:sectPr>
          <w:type w:val="continuous"/>
          <w:pgSz w:w="11910" w:h="16840"/>
          <w:pgMar w:top="520" w:bottom="1060" w:left="920" w:right="1000"/>
          <w:cols w:num="2" w:equalWidth="0">
            <w:col w:w="2700" w:space="40"/>
            <w:col w:w="7250"/>
          </w:cols>
        </w:sectPr>
      </w:pPr>
    </w:p>
    <w:p>
      <w:pPr>
        <w:pStyle w:val="BodyText"/>
        <w:spacing w:before="8"/>
      </w:pPr>
    </w:p>
    <w:p>
      <w:pPr>
        <w:pStyle w:val="ListParagraph"/>
        <w:numPr>
          <w:ilvl w:val="1"/>
          <w:numId w:val="4"/>
        </w:numPr>
        <w:tabs>
          <w:tab w:pos="1257" w:val="left" w:leader="none"/>
          <w:tab w:pos="1258" w:val="left" w:leader="none"/>
          <w:tab w:pos="3148" w:val="left" w:leader="none"/>
        </w:tabs>
        <w:spacing w:line="273" w:lineRule="auto" w:before="37" w:after="0"/>
        <w:ind w:left="3149" w:right="203" w:hanging="2941"/>
        <w:jc w:val="left"/>
        <w:rPr>
          <w:sz w:val="21"/>
        </w:rPr>
      </w:pPr>
      <w:r>
        <w:rPr>
          <w:b/>
          <w:sz w:val="21"/>
        </w:rPr>
        <w:t>保险金的给付</w:t>
        <w:tab/>
      </w:r>
      <w:r>
        <w:rPr>
          <w:sz w:val="21"/>
        </w:rPr>
        <w:t>我们</w:t>
      </w:r>
      <w:r>
        <w:rPr>
          <w:spacing w:val="-3"/>
          <w:sz w:val="21"/>
        </w:rPr>
        <w:t>在</w:t>
      </w:r>
      <w:r>
        <w:rPr>
          <w:sz w:val="21"/>
        </w:rPr>
        <w:t>收</w:t>
      </w:r>
      <w:r>
        <w:rPr>
          <w:spacing w:val="-3"/>
          <w:sz w:val="21"/>
        </w:rPr>
        <w:t>到</w:t>
      </w:r>
      <w:r>
        <w:rPr>
          <w:sz w:val="21"/>
        </w:rPr>
        <w:t>保</w:t>
      </w:r>
      <w:r>
        <w:rPr>
          <w:spacing w:val="-3"/>
          <w:sz w:val="21"/>
        </w:rPr>
        <w:t>险</w:t>
      </w:r>
      <w:r>
        <w:rPr>
          <w:sz w:val="21"/>
        </w:rPr>
        <w:t>金</w:t>
      </w:r>
      <w:r>
        <w:rPr>
          <w:spacing w:val="-3"/>
          <w:sz w:val="21"/>
        </w:rPr>
        <w:t>给</w:t>
      </w:r>
      <w:r>
        <w:rPr>
          <w:sz w:val="21"/>
        </w:rPr>
        <w:t>付</w:t>
      </w:r>
      <w:r>
        <w:rPr>
          <w:spacing w:val="-3"/>
          <w:sz w:val="21"/>
        </w:rPr>
        <w:t>申</w:t>
      </w:r>
      <w:r>
        <w:rPr>
          <w:sz w:val="21"/>
        </w:rPr>
        <w:t>请书</w:t>
      </w:r>
      <w:r>
        <w:rPr>
          <w:spacing w:val="-3"/>
          <w:sz w:val="21"/>
        </w:rPr>
        <w:t>及</w:t>
      </w:r>
      <w:r>
        <w:rPr>
          <w:sz w:val="21"/>
        </w:rPr>
        <w:t>上</w:t>
      </w:r>
      <w:r>
        <w:rPr>
          <w:spacing w:val="-3"/>
          <w:sz w:val="21"/>
        </w:rPr>
        <w:t>述</w:t>
      </w:r>
      <w:r>
        <w:rPr>
          <w:sz w:val="21"/>
        </w:rPr>
        <w:t>有</w:t>
      </w:r>
      <w:r>
        <w:rPr>
          <w:spacing w:val="-3"/>
          <w:sz w:val="21"/>
        </w:rPr>
        <w:t>关</w:t>
      </w:r>
      <w:r>
        <w:rPr>
          <w:sz w:val="21"/>
        </w:rPr>
        <w:t>证</w:t>
      </w:r>
      <w:r>
        <w:rPr>
          <w:spacing w:val="-3"/>
          <w:sz w:val="21"/>
        </w:rPr>
        <w:t>明</w:t>
      </w:r>
      <w:r>
        <w:rPr>
          <w:sz w:val="21"/>
        </w:rPr>
        <w:t>和</w:t>
      </w:r>
      <w:r>
        <w:rPr>
          <w:spacing w:val="-3"/>
          <w:sz w:val="21"/>
        </w:rPr>
        <w:t>资</w:t>
      </w:r>
      <w:r>
        <w:rPr>
          <w:sz w:val="21"/>
        </w:rPr>
        <w:t>料后</w:t>
      </w:r>
      <w:r>
        <w:rPr>
          <w:spacing w:val="-97"/>
          <w:sz w:val="21"/>
        </w:rPr>
        <w:t>，</w:t>
      </w:r>
      <w:r>
        <w:rPr>
          <w:sz w:val="21"/>
        </w:rPr>
        <w:t>将在</w:t>
      </w:r>
      <w:r>
        <w:rPr>
          <w:spacing w:val="-37"/>
          <w:sz w:val="21"/>
        </w:rPr>
        <w:t> </w:t>
      </w:r>
      <w:r>
        <w:rPr>
          <w:sz w:val="21"/>
        </w:rPr>
        <w:t>5</w:t>
      </w:r>
      <w:r>
        <w:rPr>
          <w:spacing w:val="-34"/>
          <w:sz w:val="21"/>
        </w:rPr>
        <w:t> </w:t>
      </w:r>
      <w:r>
        <w:rPr>
          <w:spacing w:val="-3"/>
          <w:sz w:val="21"/>
        </w:rPr>
        <w:t>日</w:t>
      </w:r>
      <w:r>
        <w:rPr>
          <w:sz w:val="21"/>
        </w:rPr>
        <w:t>内</w:t>
      </w:r>
      <w:r>
        <w:rPr>
          <w:spacing w:val="-3"/>
          <w:sz w:val="21"/>
        </w:rPr>
        <w:t>作</w:t>
      </w:r>
      <w:r>
        <w:rPr>
          <w:sz w:val="21"/>
        </w:rPr>
        <w:t>出核定</w:t>
      </w:r>
      <w:r>
        <w:rPr>
          <w:spacing w:val="-3"/>
          <w:sz w:val="21"/>
        </w:rPr>
        <w:t>；</w:t>
      </w:r>
      <w:r>
        <w:rPr>
          <w:sz w:val="21"/>
        </w:rPr>
        <w:t>情</w:t>
      </w:r>
      <w:r>
        <w:rPr>
          <w:spacing w:val="-3"/>
          <w:sz w:val="21"/>
        </w:rPr>
        <w:t>形</w:t>
      </w:r>
      <w:r>
        <w:rPr>
          <w:sz w:val="21"/>
        </w:rPr>
        <w:t>复</w:t>
      </w:r>
      <w:r>
        <w:rPr>
          <w:spacing w:val="-3"/>
          <w:sz w:val="21"/>
        </w:rPr>
        <w:t>杂</w:t>
      </w:r>
      <w:r>
        <w:rPr>
          <w:sz w:val="21"/>
        </w:rPr>
        <w:t>的</w:t>
      </w:r>
      <w:r>
        <w:rPr>
          <w:spacing w:val="-3"/>
          <w:sz w:val="21"/>
        </w:rPr>
        <w:t>，</w:t>
      </w:r>
      <w:r>
        <w:rPr>
          <w:sz w:val="21"/>
        </w:rPr>
        <w:t>在</w:t>
      </w:r>
      <w:r>
        <w:rPr>
          <w:spacing w:val="-44"/>
          <w:sz w:val="21"/>
        </w:rPr>
        <w:t> </w:t>
      </w:r>
      <w:r>
        <w:rPr>
          <w:sz w:val="21"/>
        </w:rPr>
        <w:t>30</w:t>
      </w:r>
      <w:r>
        <w:rPr>
          <w:spacing w:val="-46"/>
          <w:sz w:val="21"/>
        </w:rPr>
        <w:t> </w:t>
      </w:r>
      <w:r>
        <w:rPr>
          <w:sz w:val="21"/>
        </w:rPr>
        <w:t>日内</w:t>
      </w:r>
      <w:r>
        <w:rPr>
          <w:spacing w:val="-3"/>
          <w:sz w:val="21"/>
        </w:rPr>
        <w:t>作</w:t>
      </w:r>
      <w:r>
        <w:rPr>
          <w:sz w:val="21"/>
        </w:rPr>
        <w:t>出</w:t>
      </w:r>
      <w:r>
        <w:rPr>
          <w:spacing w:val="-3"/>
          <w:sz w:val="21"/>
        </w:rPr>
        <w:t>核</w:t>
      </w:r>
      <w:r>
        <w:rPr>
          <w:sz w:val="21"/>
        </w:rPr>
        <w:t>定。</w:t>
      </w:r>
    </w:p>
    <w:p>
      <w:pPr>
        <w:pStyle w:val="BodyText"/>
        <w:spacing w:line="273" w:lineRule="auto" w:before="7"/>
        <w:ind w:left="3149" w:right="203"/>
        <w:jc w:val="both"/>
      </w:pPr>
      <w:r>
        <w:rPr>
          <w:spacing w:val="-5"/>
        </w:rPr>
        <w:t>对属于保险责任的，我们在与受益人达成给付保险金的协议后 </w:t>
      </w:r>
      <w:r>
        <w:rPr/>
        <w:t>10</w:t>
      </w:r>
      <w:r>
        <w:rPr>
          <w:spacing w:val="-11"/>
        </w:rPr>
        <w:t> 日内， </w:t>
      </w:r>
      <w:r>
        <w:rPr>
          <w:spacing w:val="-12"/>
        </w:rPr>
        <w:t>履行给付保险金义务；若我们在收到保险金给付申请书及上述有关证明和</w:t>
      </w:r>
      <w:r>
        <w:rPr>
          <w:spacing w:val="-15"/>
        </w:rPr>
        <w:t>资料后第 </w:t>
      </w:r>
      <w:r>
        <w:rPr/>
        <w:t>30</w:t>
      </w:r>
      <w:r>
        <w:rPr>
          <w:spacing w:val="-16"/>
        </w:rPr>
        <w:t> 日仍未作出核定，除支付保险金外，我们将从第 </w:t>
      </w:r>
      <w:r>
        <w:rPr/>
        <w:t>31</w:t>
      </w:r>
      <w:r>
        <w:rPr>
          <w:spacing w:val="-11"/>
        </w:rPr>
        <w:t> 日起按超过天数赔偿受益人因此受到的利息损失。如我们要求投保人、被保险人或</w:t>
      </w:r>
      <w:r>
        <w:rPr>
          <w:spacing w:val="-8"/>
        </w:rPr>
        <w:t>者受益人补充提供有关证明和资料的，上述 </w:t>
      </w:r>
      <w:r>
        <w:rPr/>
        <w:t>30</w:t>
      </w:r>
      <w:r>
        <w:rPr>
          <w:spacing w:val="-7"/>
        </w:rPr>
        <w:t> 日期间会扣除投保人、被</w:t>
      </w:r>
      <w:r>
        <w:rPr>
          <w:spacing w:val="-10"/>
        </w:rPr>
        <w:t>保险人或者受益人补充提供有关证明和资料期间，扣除期间自我们作出的</w:t>
      </w:r>
      <w:r>
        <w:rPr>
          <w:spacing w:val="-12"/>
        </w:rPr>
        <w:t>通知到达投保人、被保险人或者受益人之日起，至投保人、被保险人或者</w:t>
      </w:r>
      <w:r>
        <w:rPr>
          <w:spacing w:val="-9"/>
        </w:rPr>
        <w:t>受益人按照通知要求补充提供的有关证明和资料到达保险人之日止。利息</w:t>
      </w:r>
      <w:r>
        <w:rPr>
          <w:spacing w:val="-11"/>
        </w:rPr>
        <w:t>按照我们公示的利率按单利计算，且保证该利率不低于中国人民银行公布</w:t>
      </w:r>
      <w:r>
        <w:rPr>
          <w:spacing w:val="-6"/>
        </w:rPr>
        <w:t>的同期金融机构人民币活期存款基准利率。</w:t>
      </w:r>
    </w:p>
    <w:p>
      <w:pPr>
        <w:pStyle w:val="BodyText"/>
        <w:spacing w:line="273" w:lineRule="auto" w:before="7"/>
        <w:ind w:left="3149" w:right="203"/>
        <w:jc w:val="both"/>
      </w:pPr>
      <w:r>
        <w:rPr>
          <w:spacing w:val="-14"/>
        </w:rPr>
        <w:t>对不属于保险责任的，我们自作出核定之日起 </w:t>
      </w:r>
      <w:r>
        <w:rPr/>
        <w:t>3</w:t>
      </w:r>
      <w:r>
        <w:rPr>
          <w:spacing w:val="-8"/>
        </w:rPr>
        <w:t> 日内向受益人发出拒绝给</w:t>
      </w:r>
      <w:r>
        <w:rPr>
          <w:spacing w:val="-5"/>
        </w:rPr>
        <w:t>付保险金通知书并说明理由。</w:t>
      </w:r>
    </w:p>
    <w:p>
      <w:pPr>
        <w:pStyle w:val="BodyText"/>
        <w:spacing w:line="273" w:lineRule="auto" w:before="7"/>
        <w:ind w:left="3149" w:right="205"/>
        <w:jc w:val="both"/>
      </w:pPr>
      <w:r>
        <w:rPr>
          <w:spacing w:val="0"/>
        </w:rPr>
        <w:t>我们在收到受益人的保险金给付申请书及有关证明和资料之日起 </w:t>
      </w:r>
      <w:r>
        <w:rPr/>
        <w:t>60</w:t>
      </w:r>
      <w:r>
        <w:rPr>
          <w:spacing w:val="17"/>
        </w:rPr>
        <w:t> 日</w:t>
      </w:r>
      <w:r>
        <w:rPr>
          <w:spacing w:val="-10"/>
        </w:rPr>
        <w:t>内，对给付保险金的数额不能确定的，根据已有证明和资料可以确定的数</w:t>
      </w:r>
      <w:r>
        <w:rPr>
          <w:spacing w:val="-5"/>
        </w:rPr>
        <w:t>额先予支付；我们最终确定给付保险金的数额后，将支付相应的差额。</w:t>
      </w:r>
    </w:p>
    <w:p>
      <w:pPr>
        <w:pStyle w:val="BodyText"/>
        <w:spacing w:before="4"/>
        <w:rPr>
          <w:sz w:val="24"/>
        </w:rPr>
      </w:pPr>
    </w:p>
    <w:p>
      <w:pPr>
        <w:pStyle w:val="ListParagraph"/>
        <w:numPr>
          <w:ilvl w:val="1"/>
          <w:numId w:val="4"/>
        </w:numPr>
        <w:tabs>
          <w:tab w:pos="1257" w:val="left" w:leader="none"/>
          <w:tab w:pos="1258" w:val="left" w:leader="none"/>
          <w:tab w:pos="3148" w:val="left" w:leader="none"/>
        </w:tabs>
        <w:spacing w:line="240" w:lineRule="auto" w:before="1" w:after="0"/>
        <w:ind w:left="3149" w:right="0" w:hanging="2941"/>
        <w:jc w:val="left"/>
        <w:rPr>
          <w:sz w:val="21"/>
        </w:rPr>
      </w:pPr>
      <w:r>
        <w:rPr>
          <w:b/>
          <w:sz w:val="21"/>
        </w:rPr>
        <w:t>诉讼时效</w:t>
        <w:tab/>
      </w:r>
      <w:r>
        <w:rPr>
          <w:sz w:val="21"/>
        </w:rPr>
        <w:t>受益</w:t>
      </w:r>
      <w:r>
        <w:rPr>
          <w:spacing w:val="-3"/>
          <w:sz w:val="21"/>
        </w:rPr>
        <w:t>人</w:t>
      </w:r>
      <w:r>
        <w:rPr>
          <w:sz w:val="21"/>
        </w:rPr>
        <w:t>向</w:t>
      </w:r>
      <w:r>
        <w:rPr>
          <w:spacing w:val="-3"/>
          <w:sz w:val="21"/>
        </w:rPr>
        <w:t>我</w:t>
      </w:r>
      <w:r>
        <w:rPr>
          <w:sz w:val="21"/>
        </w:rPr>
        <w:t>们</w:t>
      </w:r>
      <w:r>
        <w:rPr>
          <w:spacing w:val="-3"/>
          <w:sz w:val="21"/>
        </w:rPr>
        <w:t>请</w:t>
      </w:r>
      <w:r>
        <w:rPr>
          <w:sz w:val="21"/>
        </w:rPr>
        <w:t>求</w:t>
      </w:r>
      <w:r>
        <w:rPr>
          <w:spacing w:val="-3"/>
          <w:sz w:val="21"/>
        </w:rPr>
        <w:t>给</w:t>
      </w:r>
      <w:r>
        <w:rPr>
          <w:sz w:val="21"/>
        </w:rPr>
        <w:t>付</w:t>
      </w:r>
      <w:r>
        <w:rPr>
          <w:spacing w:val="-3"/>
          <w:sz w:val="21"/>
        </w:rPr>
        <w:t>保</w:t>
      </w:r>
      <w:r>
        <w:rPr>
          <w:sz w:val="21"/>
        </w:rPr>
        <w:t>险金</w:t>
      </w:r>
      <w:r>
        <w:rPr>
          <w:spacing w:val="-3"/>
          <w:sz w:val="21"/>
        </w:rPr>
        <w:t>的</w:t>
      </w:r>
      <w:r>
        <w:rPr>
          <w:sz w:val="21"/>
        </w:rPr>
        <w:t>诉</w:t>
      </w:r>
      <w:r>
        <w:rPr>
          <w:spacing w:val="-3"/>
          <w:sz w:val="21"/>
        </w:rPr>
        <w:t>讼</w:t>
      </w:r>
      <w:r>
        <w:rPr>
          <w:sz w:val="21"/>
        </w:rPr>
        <w:t>时</w:t>
      </w:r>
      <w:r>
        <w:rPr>
          <w:spacing w:val="-3"/>
          <w:sz w:val="21"/>
        </w:rPr>
        <w:t>效</w:t>
      </w:r>
      <w:r>
        <w:rPr>
          <w:sz w:val="21"/>
        </w:rPr>
        <w:t>期</w:t>
      </w:r>
      <w:r>
        <w:rPr>
          <w:spacing w:val="-3"/>
          <w:sz w:val="21"/>
        </w:rPr>
        <w:t>间</w:t>
      </w:r>
      <w:r>
        <w:rPr>
          <w:sz w:val="21"/>
        </w:rPr>
        <w:t>为</w:t>
      </w:r>
      <w:r>
        <w:rPr>
          <w:spacing w:val="-34"/>
          <w:sz w:val="21"/>
        </w:rPr>
        <w:t> </w:t>
      </w:r>
      <w:r>
        <w:rPr>
          <w:sz w:val="21"/>
        </w:rPr>
        <w:t>2</w:t>
      </w:r>
      <w:r>
        <w:rPr>
          <w:spacing w:val="-37"/>
          <w:sz w:val="21"/>
        </w:rPr>
        <w:t> </w:t>
      </w:r>
      <w:r>
        <w:rPr>
          <w:sz w:val="21"/>
        </w:rPr>
        <w:t>年</w:t>
      </w:r>
      <w:r>
        <w:rPr>
          <w:spacing w:val="-94"/>
          <w:sz w:val="21"/>
        </w:rPr>
        <w:t>，</w:t>
      </w:r>
      <w:r>
        <w:rPr>
          <w:spacing w:val="-3"/>
          <w:sz w:val="21"/>
        </w:rPr>
        <w:t>自</w:t>
      </w:r>
      <w:r>
        <w:rPr>
          <w:sz w:val="21"/>
        </w:rPr>
        <w:t>其</w:t>
      </w:r>
      <w:r>
        <w:rPr>
          <w:spacing w:val="-3"/>
          <w:sz w:val="21"/>
        </w:rPr>
        <w:t>知</w:t>
      </w:r>
      <w:r>
        <w:rPr>
          <w:sz w:val="21"/>
        </w:rPr>
        <w:t>道</w:t>
      </w:r>
      <w:r>
        <w:rPr>
          <w:spacing w:val="-3"/>
          <w:sz w:val="21"/>
        </w:rPr>
        <w:t>或</w:t>
      </w:r>
      <w:r>
        <w:rPr>
          <w:sz w:val="21"/>
        </w:rPr>
        <w:t>者</w:t>
      </w:r>
      <w:r>
        <w:rPr>
          <w:spacing w:val="-3"/>
          <w:sz w:val="21"/>
        </w:rPr>
        <w:t>应</w:t>
      </w:r>
      <w:r>
        <w:rPr>
          <w:sz w:val="21"/>
        </w:rPr>
        <w:t>当</w:t>
      </w:r>
    </w:p>
    <w:p>
      <w:pPr>
        <w:pStyle w:val="BodyText"/>
        <w:ind w:left="3149"/>
        <w:jc w:val="both"/>
      </w:pPr>
      <w:r>
        <w:rPr/>
        <w:t>知道保险事故发生之日起计算。</w:t>
      </w:r>
    </w:p>
    <w:p>
      <w:pPr>
        <w:pStyle w:val="BodyText"/>
        <w:spacing w:before="0"/>
        <w:rPr>
          <w:sz w:val="20"/>
        </w:rPr>
      </w:pPr>
    </w:p>
    <w:p>
      <w:pPr>
        <w:tabs>
          <w:tab w:pos="1257" w:val="left" w:leader="none"/>
        </w:tabs>
        <w:spacing w:before="161"/>
        <w:ind w:left="207" w:right="0" w:firstLine="0"/>
        <w:jc w:val="left"/>
        <w:rPr>
          <w:b/>
          <w:sz w:val="24"/>
        </w:rPr>
      </w:pPr>
      <w:r>
        <w:rPr/>
        <w:pict>
          <v:group style="position:absolute;margin-left:51pt;margin-top:36.209740pt;width:489.1pt;height:1pt;mso-position-horizontal-relative:page;mso-position-vertical-relative:paragraph;z-index:1144;mso-wrap-distance-left:0;mso-wrap-distance-right:0" coordorigin="1020,724" coordsize="9782,20">
            <v:line style="position:absolute" from="1020,734" to="2067,734" stroked="true" strokeweight=".96002pt" strokecolor="#000000">
              <v:stroke dashstyle="solid"/>
            </v:line>
            <v:rect style="position:absolute;left:2066;top:724;width:20;height:20" filled="true" fillcolor="#000000" stroked="false">
              <v:fill type="solid"/>
            </v:rect>
            <v:line style="position:absolute" from="2086,734" to="3958,734" stroked="true" strokeweight=".96002pt" strokecolor="#000000">
              <v:stroke dashstyle="solid"/>
            </v:line>
            <v:rect style="position:absolute;left:3958;top:724;width:20;height:20" filled="true" fillcolor="#000000" stroked="false">
              <v:fill type="solid"/>
            </v:rect>
            <v:line style="position:absolute" from="3978,734" to="10802,734" stroked="true" strokeweight=".96002pt" strokecolor="#000000">
              <v:stroke dashstyle="solid"/>
            </v:line>
            <w10:wrap type="topAndBottom"/>
          </v:group>
        </w:pict>
      </w:r>
      <w:r>
        <w:rPr>
          <w:rFonts w:ascii="Arial" w:hAnsi="Arial" w:eastAsia="Arial"/>
          <w:b/>
          <w:position w:val="-3"/>
          <w:sz w:val="40"/>
        </w:rPr>
        <w:t></w:t>
        <w:tab/>
      </w:r>
      <w:r>
        <w:rPr>
          <w:b/>
          <w:w w:val="95"/>
          <w:sz w:val="24"/>
        </w:rPr>
        <w:t>如何支付保险费</w:t>
      </w:r>
    </w:p>
    <w:p>
      <w:pPr>
        <w:pStyle w:val="BodyText"/>
        <w:spacing w:before="0"/>
        <w:rPr>
          <w:b/>
          <w:sz w:val="18"/>
        </w:rPr>
      </w:pPr>
    </w:p>
    <w:p>
      <w:pPr>
        <w:pStyle w:val="ListParagraph"/>
        <w:numPr>
          <w:ilvl w:val="1"/>
          <w:numId w:val="5"/>
        </w:numPr>
        <w:tabs>
          <w:tab w:pos="1257" w:val="left" w:leader="none"/>
          <w:tab w:pos="1258" w:val="left" w:leader="none"/>
          <w:tab w:pos="3148" w:val="left" w:leader="none"/>
        </w:tabs>
        <w:spacing w:line="240" w:lineRule="auto" w:before="37" w:after="0"/>
        <w:ind w:left="1257" w:right="0" w:hanging="1049"/>
        <w:jc w:val="left"/>
        <w:rPr>
          <w:sz w:val="21"/>
        </w:rPr>
      </w:pPr>
      <w:r>
        <w:rPr>
          <w:b/>
          <w:sz w:val="21"/>
        </w:rPr>
        <w:t>保险费的支付</w:t>
        <w:tab/>
      </w:r>
      <w:r>
        <w:rPr>
          <w:spacing w:val="-1"/>
          <w:sz w:val="21"/>
        </w:rPr>
        <w:t>本</w:t>
      </w:r>
      <w:r>
        <w:rPr>
          <w:sz w:val="21"/>
        </w:rPr>
        <w:t>主</w:t>
      </w:r>
      <w:r>
        <w:rPr>
          <w:spacing w:val="-3"/>
          <w:sz w:val="21"/>
        </w:rPr>
        <w:t>险</w:t>
      </w:r>
      <w:r>
        <w:rPr>
          <w:sz w:val="21"/>
        </w:rPr>
        <w:t>合</w:t>
      </w:r>
      <w:r>
        <w:rPr>
          <w:spacing w:val="-3"/>
          <w:sz w:val="21"/>
        </w:rPr>
        <w:t>同</w:t>
      </w:r>
      <w:r>
        <w:rPr>
          <w:sz w:val="21"/>
        </w:rPr>
        <w:t>的</w:t>
      </w:r>
      <w:r>
        <w:rPr>
          <w:spacing w:val="-3"/>
          <w:sz w:val="21"/>
        </w:rPr>
        <w:t>费</w:t>
      </w:r>
      <w:r>
        <w:rPr>
          <w:sz w:val="21"/>
        </w:rPr>
        <w:t>率</w:t>
      </w:r>
      <w:r>
        <w:rPr>
          <w:spacing w:val="-3"/>
          <w:sz w:val="21"/>
        </w:rPr>
        <w:t>按</w:t>
      </w:r>
      <w:r>
        <w:rPr>
          <w:sz w:val="21"/>
        </w:rPr>
        <w:t>照</w:t>
      </w:r>
      <w:r>
        <w:rPr>
          <w:spacing w:val="-3"/>
          <w:sz w:val="21"/>
        </w:rPr>
        <w:t>被</w:t>
      </w:r>
      <w:r>
        <w:rPr>
          <w:sz w:val="21"/>
        </w:rPr>
        <w:t>保险</w:t>
      </w:r>
      <w:r>
        <w:rPr>
          <w:spacing w:val="-3"/>
          <w:sz w:val="21"/>
        </w:rPr>
        <w:t>人</w:t>
      </w:r>
      <w:r>
        <w:rPr>
          <w:sz w:val="21"/>
        </w:rPr>
        <w:t>年</w:t>
      </w:r>
      <w:r>
        <w:rPr>
          <w:spacing w:val="-3"/>
          <w:sz w:val="21"/>
        </w:rPr>
        <w:t>龄</w:t>
      </w:r>
      <w:r>
        <w:rPr>
          <w:sz w:val="21"/>
        </w:rPr>
        <w:t>、</w:t>
      </w:r>
      <w:r>
        <w:rPr>
          <w:spacing w:val="-3"/>
          <w:sz w:val="21"/>
        </w:rPr>
        <w:t>保</w:t>
      </w:r>
      <w:r>
        <w:rPr>
          <w:sz w:val="21"/>
        </w:rPr>
        <w:t>险</w:t>
      </w:r>
      <w:r>
        <w:rPr>
          <w:spacing w:val="-3"/>
          <w:sz w:val="21"/>
        </w:rPr>
        <w:t>责</w:t>
      </w:r>
      <w:r>
        <w:rPr>
          <w:sz w:val="21"/>
        </w:rPr>
        <w:t>任</w:t>
      </w:r>
      <w:r>
        <w:rPr>
          <w:spacing w:val="-3"/>
          <w:sz w:val="21"/>
        </w:rPr>
        <w:t>及</w:t>
      </w:r>
      <w:r>
        <w:rPr>
          <w:sz w:val="21"/>
        </w:rPr>
        <w:t>投保</w:t>
      </w:r>
      <w:r>
        <w:rPr>
          <w:spacing w:val="-3"/>
          <w:sz w:val="21"/>
        </w:rPr>
        <w:t>份</w:t>
      </w:r>
      <w:r>
        <w:rPr>
          <w:sz w:val="21"/>
        </w:rPr>
        <w:t>数</w:t>
      </w:r>
      <w:r>
        <w:rPr>
          <w:spacing w:val="-3"/>
          <w:sz w:val="21"/>
        </w:rPr>
        <w:t>确</w:t>
      </w:r>
      <w:r>
        <w:rPr>
          <w:sz w:val="21"/>
        </w:rPr>
        <w:t>定。</w:t>
      </w:r>
    </w:p>
    <w:p>
      <w:pPr>
        <w:pStyle w:val="BodyText"/>
        <w:spacing w:before="8"/>
        <w:rPr>
          <w:sz w:val="26"/>
        </w:rPr>
      </w:pPr>
    </w:p>
    <w:p>
      <w:pPr>
        <w:pStyle w:val="ListParagraph"/>
        <w:numPr>
          <w:ilvl w:val="1"/>
          <w:numId w:val="5"/>
        </w:numPr>
        <w:tabs>
          <w:tab w:pos="1257" w:val="left" w:leader="none"/>
          <w:tab w:pos="1258" w:val="left" w:leader="none"/>
          <w:tab w:pos="3148" w:val="left" w:leader="none"/>
        </w:tabs>
        <w:spacing w:line="240" w:lineRule="auto" w:before="1" w:after="0"/>
        <w:ind w:left="1257" w:right="0" w:hanging="1049"/>
        <w:jc w:val="left"/>
        <w:rPr>
          <w:sz w:val="21"/>
        </w:rPr>
      </w:pPr>
      <w:r>
        <w:rPr>
          <w:b/>
          <w:sz w:val="21"/>
        </w:rPr>
        <w:t>宽限期</w:t>
        <w:tab/>
      </w:r>
      <w:r>
        <w:rPr>
          <w:sz w:val="21"/>
        </w:rPr>
        <w:t>本主</w:t>
      </w:r>
      <w:r>
        <w:rPr>
          <w:spacing w:val="-3"/>
          <w:sz w:val="21"/>
        </w:rPr>
        <w:t>险</w:t>
      </w:r>
      <w:r>
        <w:rPr>
          <w:sz w:val="21"/>
        </w:rPr>
        <w:t>合</w:t>
      </w:r>
      <w:r>
        <w:rPr>
          <w:spacing w:val="-3"/>
          <w:sz w:val="21"/>
        </w:rPr>
        <w:t>同</w:t>
      </w:r>
      <w:r>
        <w:rPr>
          <w:sz w:val="21"/>
        </w:rPr>
        <w:t>一</w:t>
      </w:r>
      <w:r>
        <w:rPr>
          <w:spacing w:val="-3"/>
          <w:sz w:val="21"/>
        </w:rPr>
        <w:t>年</w:t>
      </w:r>
      <w:r>
        <w:rPr>
          <w:sz w:val="21"/>
        </w:rPr>
        <w:t>期</w:t>
      </w:r>
      <w:r>
        <w:rPr>
          <w:spacing w:val="-3"/>
          <w:sz w:val="21"/>
        </w:rPr>
        <w:t>满时</w:t>
      </w:r>
      <w:r>
        <w:rPr>
          <w:spacing w:val="-48"/>
          <w:sz w:val="21"/>
        </w:rPr>
        <w:t>，</w:t>
      </w:r>
      <w:r>
        <w:rPr>
          <w:sz w:val="21"/>
        </w:rPr>
        <w:t>若我</w:t>
      </w:r>
      <w:r>
        <w:rPr>
          <w:spacing w:val="-3"/>
          <w:sz w:val="21"/>
        </w:rPr>
        <w:t>们</w:t>
      </w:r>
      <w:r>
        <w:rPr>
          <w:sz w:val="21"/>
        </w:rPr>
        <w:t>同</w:t>
      </w:r>
      <w:r>
        <w:rPr>
          <w:spacing w:val="-3"/>
          <w:sz w:val="21"/>
        </w:rPr>
        <w:t>意</w:t>
      </w:r>
      <w:r>
        <w:rPr>
          <w:sz w:val="21"/>
        </w:rPr>
        <w:t>续</w:t>
      </w:r>
      <w:r>
        <w:rPr>
          <w:spacing w:val="-3"/>
          <w:sz w:val="21"/>
        </w:rPr>
        <w:t>保</w:t>
      </w:r>
      <w:r>
        <w:rPr>
          <w:spacing w:val="-48"/>
          <w:sz w:val="21"/>
        </w:rPr>
        <w:t>，</w:t>
      </w:r>
      <w:r>
        <w:rPr>
          <w:sz w:val="21"/>
        </w:rPr>
        <w:t>则</w:t>
      </w:r>
      <w:r>
        <w:rPr>
          <w:spacing w:val="-3"/>
          <w:sz w:val="21"/>
        </w:rPr>
        <w:t>自期</w:t>
      </w:r>
      <w:r>
        <w:rPr>
          <w:sz w:val="21"/>
        </w:rPr>
        <w:t>满</w:t>
      </w:r>
      <w:r>
        <w:rPr>
          <w:spacing w:val="-3"/>
          <w:sz w:val="21"/>
        </w:rPr>
        <w:t>日</w:t>
      </w:r>
      <w:r>
        <w:rPr>
          <w:sz w:val="21"/>
        </w:rPr>
        <w:t>起</w:t>
      </w:r>
      <w:r>
        <w:rPr>
          <w:spacing w:val="-34"/>
          <w:sz w:val="21"/>
        </w:rPr>
        <w:t> </w:t>
      </w:r>
      <w:r>
        <w:rPr>
          <w:sz w:val="21"/>
        </w:rPr>
        <w:t>60</w:t>
      </w:r>
      <w:r>
        <w:rPr>
          <w:spacing w:val="-37"/>
          <w:sz w:val="21"/>
        </w:rPr>
        <w:t> </w:t>
      </w:r>
      <w:r>
        <w:rPr>
          <w:sz w:val="21"/>
        </w:rPr>
        <w:t>日</w:t>
      </w:r>
      <w:r>
        <w:rPr>
          <w:spacing w:val="-3"/>
          <w:sz w:val="21"/>
        </w:rPr>
        <w:t>为</w:t>
      </w:r>
      <w:r>
        <w:rPr>
          <w:sz w:val="21"/>
        </w:rPr>
        <w:t>宽</w:t>
      </w:r>
      <w:r>
        <w:rPr>
          <w:spacing w:val="-3"/>
          <w:sz w:val="21"/>
        </w:rPr>
        <w:t>限</w:t>
      </w:r>
      <w:r>
        <w:rPr>
          <w:sz w:val="21"/>
        </w:rPr>
        <w:t>期。</w:t>
      </w:r>
    </w:p>
    <w:p>
      <w:pPr>
        <w:pStyle w:val="BodyText"/>
        <w:ind w:left="3149"/>
      </w:pPr>
      <w:r>
        <w:rPr/>
        <w:t>宽限期内发生保险事故的，我们仍承担保险责任，但在给付保险金时会扣</w:t>
      </w:r>
    </w:p>
    <w:p>
      <w:pPr>
        <w:spacing w:after="0"/>
        <w:sectPr>
          <w:type w:val="continuous"/>
          <w:pgSz w:w="11910" w:h="16840"/>
          <w:pgMar w:top="520" w:bottom="1060" w:left="920" w:right="1000"/>
        </w:sectPr>
      </w:pPr>
    </w:p>
    <w:p>
      <w:pPr>
        <w:pStyle w:val="BodyText"/>
        <w:spacing w:before="22"/>
        <w:ind w:left="3149"/>
      </w:pPr>
      <w:r>
        <w:rPr/>
        <w:t>减您欠交的保险费。</w:t>
      </w:r>
    </w:p>
    <w:p>
      <w:pPr>
        <w:pStyle w:val="BodyText"/>
        <w:spacing w:line="273" w:lineRule="auto"/>
        <w:ind w:left="3149" w:right="203"/>
        <w:jc w:val="both"/>
      </w:pPr>
      <w:r>
        <w:rPr>
          <w:spacing w:val="-9"/>
        </w:rPr>
        <w:t>如果您宽限期结束之后仍未支付保险费，则我们自宽限期满的次日零时起</w:t>
      </w:r>
      <w:r>
        <w:rPr>
          <w:spacing w:val="-5"/>
        </w:rPr>
        <w:t>不再承担保险责任。</w:t>
      </w:r>
    </w:p>
    <w:p>
      <w:pPr>
        <w:pStyle w:val="BodyText"/>
        <w:spacing w:before="5"/>
        <w:rPr>
          <w:sz w:val="24"/>
        </w:rPr>
      </w:pPr>
    </w:p>
    <w:p>
      <w:pPr>
        <w:pStyle w:val="ListParagraph"/>
        <w:numPr>
          <w:ilvl w:val="1"/>
          <w:numId w:val="5"/>
        </w:numPr>
        <w:tabs>
          <w:tab w:pos="1257" w:val="left" w:leader="none"/>
          <w:tab w:pos="1258" w:val="left" w:leader="none"/>
          <w:tab w:pos="3148" w:val="left" w:leader="none"/>
        </w:tabs>
        <w:spacing w:line="240" w:lineRule="auto" w:before="0" w:after="0"/>
        <w:ind w:left="1257" w:right="0" w:hanging="1049"/>
        <w:jc w:val="left"/>
        <w:rPr>
          <w:sz w:val="21"/>
        </w:rPr>
      </w:pPr>
      <w:r>
        <w:rPr>
          <w:b/>
          <w:sz w:val="21"/>
        </w:rPr>
        <w:t>保险费率调整</w:t>
        <w:tab/>
      </w:r>
      <w:r>
        <w:rPr>
          <w:sz w:val="21"/>
        </w:rPr>
        <w:t>您的</w:t>
      </w:r>
      <w:r>
        <w:rPr>
          <w:spacing w:val="-3"/>
          <w:sz w:val="21"/>
        </w:rPr>
        <w:t>保</w:t>
      </w:r>
      <w:r>
        <w:rPr>
          <w:sz w:val="21"/>
        </w:rPr>
        <w:t>费</w:t>
      </w:r>
      <w:r>
        <w:rPr>
          <w:spacing w:val="-3"/>
          <w:sz w:val="21"/>
        </w:rPr>
        <w:t>会</w:t>
      </w:r>
      <w:r>
        <w:rPr>
          <w:sz w:val="21"/>
        </w:rPr>
        <w:t>随</w:t>
      </w:r>
      <w:r>
        <w:rPr>
          <w:spacing w:val="-3"/>
          <w:sz w:val="21"/>
        </w:rPr>
        <w:t>着</w:t>
      </w:r>
      <w:r>
        <w:rPr>
          <w:sz w:val="21"/>
        </w:rPr>
        <w:t>您</w:t>
      </w:r>
      <w:r>
        <w:rPr>
          <w:spacing w:val="-3"/>
          <w:sz w:val="21"/>
        </w:rPr>
        <w:t>的</w:t>
      </w:r>
      <w:r>
        <w:rPr>
          <w:sz w:val="21"/>
        </w:rPr>
        <w:t>年</w:t>
      </w:r>
      <w:r>
        <w:rPr>
          <w:spacing w:val="-3"/>
          <w:sz w:val="21"/>
        </w:rPr>
        <w:t>龄</w:t>
      </w:r>
      <w:r>
        <w:rPr>
          <w:sz w:val="21"/>
        </w:rPr>
        <w:t>增长</w:t>
      </w:r>
      <w:r>
        <w:rPr>
          <w:spacing w:val="-3"/>
          <w:sz w:val="21"/>
        </w:rPr>
        <w:t>而</w:t>
      </w:r>
      <w:r>
        <w:rPr>
          <w:sz w:val="21"/>
        </w:rPr>
        <w:t>上</w:t>
      </w:r>
      <w:r>
        <w:rPr>
          <w:spacing w:val="-3"/>
          <w:sz w:val="21"/>
        </w:rPr>
        <w:t>升</w:t>
      </w:r>
      <w:r>
        <w:rPr>
          <w:spacing w:val="-32"/>
          <w:sz w:val="21"/>
        </w:rPr>
        <w:t>。</w:t>
      </w:r>
      <w:r>
        <w:rPr>
          <w:spacing w:val="-3"/>
          <w:sz w:val="21"/>
        </w:rPr>
        <w:t>同</w:t>
      </w:r>
      <w:r>
        <w:rPr>
          <w:sz w:val="21"/>
        </w:rPr>
        <w:t>时</w:t>
      </w:r>
      <w:r>
        <w:rPr>
          <w:spacing w:val="-34"/>
          <w:sz w:val="21"/>
        </w:rPr>
        <w:t>，</w:t>
      </w:r>
      <w:r>
        <w:rPr>
          <w:sz w:val="21"/>
        </w:rPr>
        <w:t>我</w:t>
      </w:r>
      <w:r>
        <w:rPr>
          <w:spacing w:val="-3"/>
          <w:sz w:val="21"/>
        </w:rPr>
        <w:t>们</w:t>
      </w:r>
      <w:r>
        <w:rPr>
          <w:sz w:val="21"/>
        </w:rPr>
        <w:t>每年</w:t>
      </w:r>
      <w:r>
        <w:rPr>
          <w:spacing w:val="-3"/>
          <w:sz w:val="21"/>
        </w:rPr>
        <w:t>都</w:t>
      </w:r>
      <w:r>
        <w:rPr>
          <w:sz w:val="21"/>
        </w:rPr>
        <w:t>会</w:t>
      </w:r>
      <w:r>
        <w:rPr>
          <w:spacing w:val="-3"/>
          <w:sz w:val="21"/>
        </w:rPr>
        <w:t>检</w:t>
      </w:r>
      <w:r>
        <w:rPr>
          <w:sz w:val="21"/>
        </w:rPr>
        <w:t>视</w:t>
      </w:r>
      <w:r>
        <w:rPr>
          <w:spacing w:val="-3"/>
          <w:sz w:val="21"/>
        </w:rPr>
        <w:t>费</w:t>
      </w:r>
      <w:r>
        <w:rPr>
          <w:sz w:val="21"/>
        </w:rPr>
        <w:t>率</w:t>
      </w:r>
      <w:r>
        <w:rPr>
          <w:spacing w:val="-34"/>
          <w:sz w:val="21"/>
        </w:rPr>
        <w:t>，</w:t>
      </w:r>
      <w:r>
        <w:rPr>
          <w:sz w:val="21"/>
        </w:rPr>
        <w:t>使</w:t>
      </w:r>
    </w:p>
    <w:p>
      <w:pPr>
        <w:pStyle w:val="BodyText"/>
        <w:spacing w:line="273" w:lineRule="auto" w:before="36"/>
        <w:ind w:left="3149" w:right="203"/>
        <w:jc w:val="both"/>
      </w:pPr>
      <w:r>
        <w:rPr>
          <w:spacing w:val="-7"/>
        </w:rPr>
        <w:t>其反映我们的整体理赔经验和医疗通胀等在内的一系列因素。我们将根据</w:t>
      </w:r>
      <w:r>
        <w:rPr>
          <w:spacing w:val="-9"/>
        </w:rPr>
        <w:t>本主险合同计算费率所用的计算基础与实际情况的偏差程度，决定保险费</w:t>
      </w:r>
      <w:r>
        <w:rPr>
          <w:spacing w:val="-11"/>
        </w:rPr>
        <w:t>率是否调整及调整幅度。本保险的费率调整针对所有被保险人，或同一投</w:t>
      </w:r>
      <w:r>
        <w:rPr>
          <w:spacing w:val="-6"/>
        </w:rPr>
        <w:t>保年龄、同一投保区域等某一类人群的被保险人。</w:t>
      </w:r>
    </w:p>
    <w:p>
      <w:pPr>
        <w:pStyle w:val="BodyText"/>
        <w:spacing w:line="273" w:lineRule="auto" w:before="7"/>
        <w:ind w:left="3149" w:right="203"/>
        <w:jc w:val="both"/>
      </w:pPr>
      <w:r>
        <w:rPr>
          <w:spacing w:val="-11"/>
        </w:rPr>
        <w:t>我们进行保险费率调整后，您须按调整后续保当时的保险费率支付续期保</w:t>
      </w:r>
      <w:r>
        <w:rPr>
          <w:spacing w:val="-6"/>
        </w:rPr>
        <w:t>险费，保险费率调整前您已经支付的保险费不受影响。</w:t>
      </w:r>
    </w:p>
    <w:p>
      <w:pPr>
        <w:pStyle w:val="BodyText"/>
        <w:spacing w:before="7"/>
        <w:ind w:left="3149"/>
        <w:jc w:val="both"/>
      </w:pPr>
      <w:r>
        <w:rPr/>
        <w:t>如果您不同意费率调整的，我们将不再为您续保本保险。</w:t>
      </w:r>
    </w:p>
    <w:p>
      <w:pPr>
        <w:pStyle w:val="BodyText"/>
        <w:spacing w:before="0"/>
        <w:rPr>
          <w:sz w:val="20"/>
        </w:rPr>
      </w:pPr>
    </w:p>
    <w:p>
      <w:pPr>
        <w:pStyle w:val="Heading2"/>
        <w:tabs>
          <w:tab w:pos="1257" w:val="left" w:leader="none"/>
        </w:tabs>
        <w:spacing w:before="160"/>
        <w:rPr>
          <w:rFonts w:ascii="宋体" w:hAnsi="宋体" w:eastAsia="宋体" w:hint="eastAsia"/>
        </w:rPr>
      </w:pPr>
      <w:r>
        <w:rPr/>
        <w:pict>
          <v:group style="position:absolute;margin-left:51pt;margin-top:36.18972pt;width:489.1pt;height:1pt;mso-position-horizontal-relative:page;mso-position-vertical-relative:paragraph;z-index:1168;mso-wrap-distance-left:0;mso-wrap-distance-right:0" coordorigin="1020,724" coordsize="9782,20">
            <v:line style="position:absolute" from="1020,733" to="2067,733" stroked="true" strokeweight=".96002pt" strokecolor="#000000">
              <v:stroke dashstyle="solid"/>
            </v:line>
            <v:rect style="position:absolute;left:2066;top:723;width:20;height:20" filled="true" fillcolor="#000000" stroked="false">
              <v:fill type="solid"/>
            </v:rect>
            <v:line style="position:absolute" from="2086,733" to="3958,733" stroked="true" strokeweight=".96002pt" strokecolor="#000000">
              <v:stroke dashstyle="solid"/>
            </v:line>
            <v:rect style="position:absolute;left:3958;top:723;width:20;height:20" filled="true" fillcolor="#000000" stroked="false">
              <v:fill type="solid"/>
            </v:rect>
            <v:line style="position:absolute" from="3978,733" to="10802,733" stroked="true" strokeweight=".96002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如何解除保险合同</w:t>
      </w:r>
    </w:p>
    <w:p>
      <w:pPr>
        <w:pStyle w:val="BodyText"/>
        <w:spacing w:before="0"/>
        <w:rPr>
          <w:b/>
          <w:sz w:val="18"/>
        </w:rPr>
      </w:pPr>
    </w:p>
    <w:p>
      <w:pPr>
        <w:spacing w:after="0"/>
        <w:rPr>
          <w:sz w:val="18"/>
        </w:rPr>
        <w:sectPr>
          <w:pgSz w:w="11910" w:h="16840"/>
          <w:pgMar w:header="0" w:footer="926" w:top="1080" w:bottom="1120" w:left="920" w:right="1000"/>
        </w:sectPr>
      </w:pPr>
    </w:p>
    <w:p>
      <w:pPr>
        <w:pStyle w:val="Heading3"/>
        <w:tabs>
          <w:tab w:pos="1257" w:val="left" w:leader="none"/>
        </w:tabs>
        <w:spacing w:line="273" w:lineRule="auto" w:before="37"/>
        <w:ind w:left="1257" w:hanging="1050"/>
      </w:pPr>
      <w:r>
        <w:rPr/>
        <w:t>5.1</w:t>
        <w:tab/>
        <w:t>您解除合同的手 续及风险</w:t>
      </w:r>
    </w:p>
    <w:p>
      <w:pPr>
        <w:pStyle w:val="BodyText"/>
        <w:spacing w:line="273" w:lineRule="auto"/>
        <w:ind w:left="208" w:right="203"/>
      </w:pPr>
      <w:r>
        <w:rPr/>
        <w:br w:type="column"/>
      </w:r>
      <w:r>
        <w:rPr>
          <w:spacing w:val="-10"/>
        </w:rPr>
        <w:t>您可以申请解除本主险合同，请填写解除合同申请书并向我们提供下列资料：</w:t>
      </w:r>
    </w:p>
    <w:p>
      <w:pPr>
        <w:pStyle w:val="BodyText"/>
        <w:spacing w:before="8"/>
        <w:ind w:left="208"/>
      </w:pPr>
      <w:r>
        <w:rPr/>
        <w:t>（1）保险合同；</w:t>
      </w:r>
    </w:p>
    <w:p>
      <w:pPr>
        <w:pStyle w:val="BodyText"/>
        <w:ind w:left="208"/>
      </w:pPr>
      <w:r>
        <w:rPr/>
        <w:t>（2）您的有效身份证件。</w:t>
      </w:r>
    </w:p>
    <w:p>
      <w:pPr>
        <w:pStyle w:val="BodyText"/>
        <w:spacing w:line="273" w:lineRule="auto"/>
        <w:ind w:left="208" w:right="203"/>
      </w:pPr>
      <w:r>
        <w:rPr>
          <w:spacing w:val="-8"/>
        </w:rPr>
        <w:t>自我们收到解除合同申请书时起，本主险合同终止。我们自收到解除合同</w:t>
      </w:r>
      <w:r>
        <w:rPr>
          <w:spacing w:val="-10"/>
        </w:rPr>
        <w:t>申请书之日起 </w:t>
      </w:r>
      <w:r>
        <w:rPr/>
        <w:t>30</w:t>
      </w:r>
      <w:r>
        <w:rPr>
          <w:spacing w:val="-8"/>
        </w:rPr>
        <w:t> 日内向您退还本主险合同的未满期净保险费。</w:t>
      </w:r>
    </w:p>
    <w:p>
      <w:pPr>
        <w:pStyle w:val="BodyText"/>
        <w:spacing w:before="8"/>
        <w:ind w:left="208"/>
      </w:pPr>
      <w:r>
        <w:rPr/>
        <w:t>您在犹豫期后解除合同会遭受一定损失。</w:t>
      </w:r>
    </w:p>
    <w:p>
      <w:pPr>
        <w:spacing w:after="0"/>
        <w:sectPr>
          <w:type w:val="continuous"/>
          <w:pgSz w:w="11910" w:h="16840"/>
          <w:pgMar w:top="520" w:bottom="1060" w:left="920" w:right="1000"/>
          <w:cols w:num="2" w:equalWidth="0">
            <w:col w:w="2736" w:space="205"/>
            <w:col w:w="7049"/>
          </w:cols>
        </w:sectPr>
      </w:pPr>
    </w:p>
    <w:p>
      <w:pPr>
        <w:pStyle w:val="BodyText"/>
        <w:spacing w:before="9"/>
        <w:rPr>
          <w:sz w:val="27"/>
        </w:rPr>
      </w:pPr>
    </w:p>
    <w:p>
      <w:pPr>
        <w:pStyle w:val="Heading2"/>
        <w:tabs>
          <w:tab w:pos="1257" w:val="left" w:leader="none"/>
        </w:tabs>
        <w:spacing w:before="60"/>
        <w:rPr>
          <w:rFonts w:ascii="宋体" w:hAnsi="宋体" w:eastAsia="宋体" w:hint="eastAsia"/>
        </w:rPr>
      </w:pPr>
      <w:r>
        <w:rPr/>
        <w:pict>
          <v:group style="position:absolute;margin-left:51pt;margin-top:31.159788pt;width:489.1pt;height:1pt;mso-position-horizontal-relative:page;mso-position-vertical-relative:paragraph;z-index:1192;mso-wrap-distance-left:0;mso-wrap-distance-right:0" coordorigin="1020,623" coordsize="9782,20">
            <v:line style="position:absolute" from="1020,633" to="2067,633" stroked="true" strokeweight=".95999pt" strokecolor="#000000">
              <v:stroke dashstyle="solid"/>
            </v:line>
            <v:rect style="position:absolute;left:2066;top:623;width:20;height:20" filled="true" fillcolor="#000000" stroked="false">
              <v:fill type="solid"/>
            </v:rect>
            <v:line style="position:absolute" from="2086,633" to="3958,633" stroked="true" strokeweight=".95999pt" strokecolor="#000000">
              <v:stroke dashstyle="solid"/>
            </v:line>
            <v:rect style="position:absolute;left:3958;top:623;width:20;height:20" filled="true" fillcolor="#000000" stroked="false">
              <v:fill type="solid"/>
            </v:rect>
            <v:line style="position:absolute" from="3978,633" to="10802,633" stroked="true" strokeweight=".95999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其他需要关注的事项</w:t>
      </w:r>
    </w:p>
    <w:p>
      <w:pPr>
        <w:pStyle w:val="BodyText"/>
        <w:spacing w:before="11"/>
        <w:rPr>
          <w:b/>
          <w:sz w:val="17"/>
        </w:rPr>
      </w:pPr>
    </w:p>
    <w:p>
      <w:pPr>
        <w:spacing w:after="0"/>
        <w:rPr>
          <w:sz w:val="17"/>
        </w:rPr>
        <w:sectPr>
          <w:type w:val="continuous"/>
          <w:pgSz w:w="11910" w:h="16840"/>
          <w:pgMar w:top="520" w:bottom="1060" w:left="920" w:right="1000"/>
        </w:sectPr>
      </w:pPr>
    </w:p>
    <w:p>
      <w:pPr>
        <w:pStyle w:val="Heading3"/>
        <w:numPr>
          <w:ilvl w:val="1"/>
          <w:numId w:val="6"/>
        </w:numPr>
        <w:tabs>
          <w:tab w:pos="1257" w:val="left" w:leader="none"/>
          <w:tab w:pos="1258" w:val="left" w:leader="none"/>
        </w:tabs>
        <w:spacing w:line="273" w:lineRule="auto" w:before="37" w:after="0"/>
        <w:ind w:left="1257" w:right="0" w:hanging="1049"/>
        <w:jc w:val="left"/>
      </w:pPr>
      <w:r>
        <w:rPr/>
        <w:t>明确说明与如实告知</w:t>
      </w:r>
    </w:p>
    <w:p>
      <w:pPr>
        <w:pStyle w:val="BodyText"/>
        <w:spacing w:line="273" w:lineRule="auto"/>
        <w:ind w:left="208" w:right="203"/>
        <w:jc w:val="both"/>
      </w:pPr>
      <w:r>
        <w:rPr/>
        <w:br w:type="column"/>
      </w:r>
      <w:r>
        <w:rPr>
          <w:spacing w:val="-10"/>
        </w:rPr>
        <w:t>订立本主险合同时，我们会向您说明本主险合同的内容，对本主险合同中</w:t>
      </w:r>
      <w:r>
        <w:rPr>
          <w:spacing w:val="-12"/>
        </w:rPr>
        <w:t>免除我们责任的条款，我们在订立合同时会在投保书、保险单或其他保险凭证上作出足以引起您注意的提示，并对该条款的内容以书面或口头形式</w:t>
      </w:r>
      <w:r>
        <w:rPr>
          <w:spacing w:val="-6"/>
        </w:rPr>
        <w:t>向您作出明确说明，未作提示或者明确说明的，该条款不产生效力。</w:t>
      </w:r>
    </w:p>
    <w:p>
      <w:pPr>
        <w:pStyle w:val="BodyText"/>
        <w:spacing w:before="7"/>
        <w:ind w:left="208"/>
      </w:pPr>
      <w:r>
        <w:rPr/>
        <w:t>我们会就您和被保险人的有关情况提出询问，您应当如实告知。</w:t>
      </w:r>
    </w:p>
    <w:p>
      <w:pPr>
        <w:pStyle w:val="BodyText"/>
        <w:spacing w:line="273" w:lineRule="auto" w:before="36"/>
        <w:ind w:left="208" w:right="203"/>
      </w:pPr>
      <w:r>
        <w:rPr>
          <w:spacing w:val="-7"/>
        </w:rPr>
        <w:t>如果您故意或者因重大过失未履行前款规定的如实告知义务，足以影响我</w:t>
      </w:r>
      <w:r>
        <w:rPr>
          <w:spacing w:val="-5"/>
        </w:rPr>
        <w:t>们决定是否同意承保或者提高保险费率的，我们有权解除本主险合同。</w:t>
      </w:r>
      <w:r>
        <w:rPr>
          <w:spacing w:val="-3"/>
          <w:shd w:fill="D9D9D9" w:color="auto" w:val="clear"/>
        </w:rPr>
        <w:t>如果您故意不履行如实告知义务，对于本主险合同解除前发生的保险事故，</w:t>
      </w:r>
      <w:r>
        <w:rPr>
          <w:spacing w:val="-17"/>
          <w:shd w:fill="D9D9D9" w:color="auto" w:val="clear"/>
        </w:rPr>
        <w:t>我们不承担给付保险金的责任，并不退还保险费。</w:t>
      </w:r>
    </w:p>
    <w:p>
      <w:pPr>
        <w:pStyle w:val="BodyText"/>
        <w:spacing w:line="273" w:lineRule="auto" w:before="7"/>
        <w:ind w:left="208" w:right="205"/>
        <w:jc w:val="both"/>
      </w:pPr>
      <w:r>
        <w:rPr>
          <w:shd w:fill="D9D9D9" w:color="auto" w:val="clear"/>
        </w:rPr>
        <w:t>如果您因重大过失未履行如实告知义务，对保险事故的发生有严重影响</w:t>
      </w:r>
      <w:r>
        <w:rPr>
          <w:spacing w:val="-204"/>
          <w:shd w:fill="D9D9D9" w:color="auto" w:val="clear"/>
        </w:rPr>
        <w:t>的</w:t>
      </w:r>
      <w:r>
        <w:rPr>
          <w:spacing w:val="-10"/>
          <w:shd w:fill="D9D9D9" w:color="auto" w:val="clear"/>
        </w:rPr>
        <w:t>，对于本主险合同解除前发生的保险事故，我们不承担给付保险金的责 </w:t>
      </w:r>
      <w:r>
        <w:rPr>
          <w:spacing w:val="-5"/>
          <w:shd w:fill="D9D9D9" w:color="auto" w:val="clear"/>
        </w:rPr>
        <w:t>任，但会退还保险费。</w:t>
      </w:r>
    </w:p>
    <w:p>
      <w:pPr>
        <w:pStyle w:val="BodyText"/>
        <w:spacing w:line="273" w:lineRule="auto" w:before="7"/>
        <w:ind w:left="208" w:right="109"/>
        <w:jc w:val="both"/>
      </w:pPr>
      <w:r>
        <w:rPr/>
        <w:t>我们在合同订立时已经知道您未如实告知的情况的，我们不得解除合同； 发生保险事故的，我们承担给付保险金的责任。</w:t>
      </w:r>
    </w:p>
    <w:p>
      <w:pPr>
        <w:spacing w:after="0" w:line="273" w:lineRule="auto"/>
        <w:jc w:val="both"/>
        <w:sectPr>
          <w:type w:val="continuous"/>
          <w:pgSz w:w="11910" w:h="16840"/>
          <w:pgMar w:top="520" w:bottom="1060" w:left="920" w:right="1000"/>
          <w:cols w:num="2" w:equalWidth="0">
            <w:col w:w="2736" w:space="205"/>
            <w:col w:w="7049"/>
          </w:cols>
        </w:sectPr>
      </w:pPr>
    </w:p>
    <w:p>
      <w:pPr>
        <w:pStyle w:val="BodyText"/>
        <w:spacing w:before="8"/>
      </w:pPr>
    </w:p>
    <w:p>
      <w:pPr>
        <w:pStyle w:val="ListParagraph"/>
        <w:numPr>
          <w:ilvl w:val="1"/>
          <w:numId w:val="6"/>
        </w:numPr>
        <w:tabs>
          <w:tab w:pos="1257" w:val="left" w:leader="none"/>
          <w:tab w:pos="1258" w:val="left" w:leader="none"/>
          <w:tab w:pos="3151" w:val="left" w:leader="none"/>
        </w:tabs>
        <w:spacing w:line="240" w:lineRule="auto" w:before="36" w:after="0"/>
        <w:ind w:left="1257" w:right="0" w:hanging="1049"/>
        <w:jc w:val="left"/>
        <w:rPr>
          <w:sz w:val="21"/>
        </w:rPr>
      </w:pPr>
      <w:r>
        <w:rPr>
          <w:b/>
          <w:sz w:val="21"/>
        </w:rPr>
        <w:t>年龄错误</w:t>
        <w:tab/>
      </w:r>
      <w:r>
        <w:rPr>
          <w:spacing w:val="-1"/>
          <w:sz w:val="21"/>
        </w:rPr>
        <w:t>您</w:t>
      </w:r>
      <w:r>
        <w:rPr>
          <w:sz w:val="21"/>
        </w:rPr>
        <w:t>在</w:t>
      </w:r>
      <w:r>
        <w:rPr>
          <w:spacing w:val="-3"/>
          <w:sz w:val="21"/>
        </w:rPr>
        <w:t>申</w:t>
      </w:r>
      <w:r>
        <w:rPr>
          <w:sz w:val="21"/>
        </w:rPr>
        <w:t>请</w:t>
      </w:r>
      <w:r>
        <w:rPr>
          <w:spacing w:val="-3"/>
          <w:sz w:val="21"/>
        </w:rPr>
        <w:t>投</w:t>
      </w:r>
      <w:r>
        <w:rPr>
          <w:sz w:val="21"/>
        </w:rPr>
        <w:t>保</w:t>
      </w:r>
      <w:r>
        <w:rPr>
          <w:spacing w:val="-3"/>
          <w:sz w:val="21"/>
        </w:rPr>
        <w:t>时</w:t>
      </w:r>
      <w:r>
        <w:rPr>
          <w:spacing w:val="-97"/>
          <w:sz w:val="21"/>
        </w:rPr>
        <w:t>，</w:t>
      </w:r>
      <w:r>
        <w:rPr>
          <w:spacing w:val="-3"/>
          <w:sz w:val="21"/>
        </w:rPr>
        <w:t>应</w:t>
      </w:r>
      <w:r>
        <w:rPr>
          <w:sz w:val="21"/>
        </w:rPr>
        <w:t>将</w:t>
      </w:r>
      <w:r>
        <w:rPr>
          <w:spacing w:val="-3"/>
          <w:sz w:val="21"/>
        </w:rPr>
        <w:t>与有</w:t>
      </w:r>
      <w:r>
        <w:rPr>
          <w:sz w:val="21"/>
        </w:rPr>
        <w:t>效身</w:t>
      </w:r>
      <w:r>
        <w:rPr>
          <w:spacing w:val="-3"/>
          <w:sz w:val="21"/>
        </w:rPr>
        <w:t>份</w:t>
      </w:r>
      <w:r>
        <w:rPr>
          <w:sz w:val="21"/>
        </w:rPr>
        <w:t>证</w:t>
      </w:r>
      <w:r>
        <w:rPr>
          <w:spacing w:val="-3"/>
          <w:sz w:val="21"/>
        </w:rPr>
        <w:t>件</w:t>
      </w:r>
      <w:r>
        <w:rPr>
          <w:sz w:val="21"/>
        </w:rPr>
        <w:t>相</w:t>
      </w:r>
      <w:r>
        <w:rPr>
          <w:spacing w:val="-3"/>
          <w:sz w:val="21"/>
        </w:rPr>
        <w:t>符</w:t>
      </w:r>
      <w:r>
        <w:rPr>
          <w:sz w:val="21"/>
        </w:rPr>
        <w:t>的</w:t>
      </w:r>
      <w:r>
        <w:rPr>
          <w:spacing w:val="-3"/>
          <w:sz w:val="21"/>
        </w:rPr>
        <w:t>被</w:t>
      </w:r>
      <w:r>
        <w:rPr>
          <w:sz w:val="21"/>
        </w:rPr>
        <w:t>保</w:t>
      </w:r>
      <w:r>
        <w:rPr>
          <w:spacing w:val="-3"/>
          <w:sz w:val="21"/>
        </w:rPr>
        <w:t>险</w:t>
      </w:r>
      <w:r>
        <w:rPr>
          <w:sz w:val="21"/>
        </w:rPr>
        <w:t>人的</w:t>
      </w:r>
      <w:r>
        <w:rPr>
          <w:spacing w:val="-3"/>
          <w:sz w:val="21"/>
        </w:rPr>
        <w:t>出</w:t>
      </w:r>
      <w:r>
        <w:rPr>
          <w:sz w:val="21"/>
        </w:rPr>
        <w:t>生</w:t>
      </w:r>
      <w:r>
        <w:rPr>
          <w:spacing w:val="-3"/>
          <w:sz w:val="21"/>
        </w:rPr>
        <w:t>日</w:t>
      </w:r>
      <w:r>
        <w:rPr>
          <w:sz w:val="21"/>
        </w:rPr>
        <w:t>期</w:t>
      </w:r>
      <w:r>
        <w:rPr>
          <w:spacing w:val="-3"/>
          <w:sz w:val="21"/>
        </w:rPr>
        <w:t>在</w:t>
      </w:r>
      <w:r>
        <w:rPr>
          <w:sz w:val="21"/>
        </w:rPr>
        <w:t>投保</w:t>
      </w:r>
    </w:p>
    <w:p>
      <w:pPr>
        <w:pStyle w:val="BodyText"/>
        <w:spacing w:before="36"/>
        <w:ind w:left="3151"/>
      </w:pPr>
      <w:r>
        <w:rPr/>
        <w:t>单上填明，如果发生错误按照下列方式办理：</w:t>
      </w:r>
    </w:p>
    <w:p>
      <w:pPr>
        <w:pStyle w:val="BodyText"/>
        <w:spacing w:line="273" w:lineRule="auto" w:before="36"/>
        <w:ind w:left="3132" w:right="130"/>
      </w:pPr>
      <w:r>
        <w:rPr/>
        <w:t>（1）您申报的被保险人年龄不真实，并且其真实年龄不符合本主险合同约定投保年龄限制的，我们有权解除合同，并向您退还本主险合同的未满</w:t>
      </w:r>
    </w:p>
    <w:p>
      <w:pPr>
        <w:spacing w:after="0" w:line="273" w:lineRule="auto"/>
        <w:sectPr>
          <w:type w:val="continuous"/>
          <w:pgSz w:w="11910" w:h="16840"/>
          <w:pgMar w:top="520" w:bottom="1060" w:left="920" w:right="1000"/>
        </w:sectPr>
      </w:pPr>
    </w:p>
    <w:tbl>
      <w:tblPr>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1"/>
        <w:gridCol w:w="1925"/>
        <w:gridCol w:w="8149"/>
      </w:tblGrid>
      <w:tr>
        <w:trPr>
          <w:trHeight w:val="1977" w:hRule="atLeast"/>
        </w:trPr>
        <w:tc>
          <w:tcPr>
            <w:tcW w:w="811" w:type="dxa"/>
          </w:tcPr>
          <w:p>
            <w:pPr>
              <w:pStyle w:val="TableParagraph"/>
              <w:ind w:left="0"/>
              <w:rPr>
                <w:rFonts w:ascii="Times New Roman"/>
                <w:sz w:val="20"/>
              </w:rPr>
            </w:pPr>
          </w:p>
        </w:tc>
        <w:tc>
          <w:tcPr>
            <w:tcW w:w="1925" w:type="dxa"/>
          </w:tcPr>
          <w:p>
            <w:pPr>
              <w:pStyle w:val="TableParagraph"/>
              <w:ind w:left="0"/>
              <w:rPr>
                <w:rFonts w:ascii="Times New Roman"/>
                <w:sz w:val="20"/>
              </w:rPr>
            </w:pPr>
          </w:p>
        </w:tc>
        <w:tc>
          <w:tcPr>
            <w:tcW w:w="8149" w:type="dxa"/>
          </w:tcPr>
          <w:p>
            <w:pPr>
              <w:pStyle w:val="TableParagraph"/>
              <w:spacing w:line="211" w:lineRule="exact"/>
              <w:ind w:left="296"/>
              <w:rPr>
                <w:sz w:val="21"/>
              </w:rPr>
            </w:pPr>
            <w:r>
              <w:rPr>
                <w:sz w:val="21"/>
              </w:rPr>
              <w:t>期净保险费。</w:t>
            </w:r>
          </w:p>
          <w:p>
            <w:pPr>
              <w:pStyle w:val="TableParagraph"/>
              <w:spacing w:line="273" w:lineRule="auto" w:before="37"/>
              <w:ind w:left="296" w:right="1202"/>
              <w:jc w:val="both"/>
              <w:rPr>
                <w:sz w:val="21"/>
              </w:rPr>
            </w:pPr>
            <w:r>
              <w:rPr>
                <w:sz w:val="21"/>
              </w:rPr>
              <w:t>（2）</w:t>
            </w:r>
            <w:r>
              <w:rPr>
                <w:spacing w:val="-2"/>
                <w:sz w:val="21"/>
              </w:rPr>
              <w:t>您申报的被保险人年龄不真实，致使您实付保险费少于应付保险费</w:t>
            </w:r>
            <w:r>
              <w:rPr>
                <w:spacing w:val="-9"/>
                <w:sz w:val="21"/>
              </w:rPr>
              <w:t>的，我们有权更正并要求您补交保险费。</w:t>
            </w:r>
            <w:r>
              <w:rPr>
                <w:spacing w:val="-6"/>
                <w:sz w:val="21"/>
                <w:shd w:fill="D9D9D9" w:color="auto" w:val="clear"/>
              </w:rPr>
              <w:t>若已经发生保险事故，在给付保</w:t>
            </w:r>
            <w:r>
              <w:rPr>
                <w:spacing w:val="-4"/>
                <w:sz w:val="21"/>
                <w:shd w:fill="D9D9D9" w:color="auto" w:val="clear"/>
              </w:rPr>
              <w:t>险金时按实</w:t>
            </w:r>
            <w:r>
              <w:rPr>
                <w:spacing w:val="-18"/>
                <w:sz w:val="21"/>
                <w:shd w:fill="D9D9D9" w:color="auto" w:val="clear"/>
              </w:rPr>
              <w:t>付保险费和应付保险费的比例给付。</w:t>
            </w:r>
          </w:p>
          <w:p>
            <w:pPr>
              <w:pStyle w:val="TableParagraph"/>
              <w:spacing w:line="273" w:lineRule="auto" w:before="7"/>
              <w:ind w:left="296" w:right="1202"/>
              <w:jc w:val="both"/>
              <w:rPr>
                <w:sz w:val="21"/>
              </w:rPr>
            </w:pPr>
            <w:r>
              <w:rPr>
                <w:sz w:val="21"/>
              </w:rPr>
              <w:t>（3）您申报的被保险人年龄不真实，致使您实付保险费多于应付保险费的，我们会将多收的保险费退还给您。</w:t>
            </w:r>
          </w:p>
        </w:tc>
      </w:tr>
      <w:tr>
        <w:trPr>
          <w:trHeight w:val="2184" w:hRule="atLeast"/>
        </w:trPr>
        <w:tc>
          <w:tcPr>
            <w:tcW w:w="811" w:type="dxa"/>
          </w:tcPr>
          <w:p>
            <w:pPr>
              <w:pStyle w:val="TableParagraph"/>
              <w:spacing w:before="142"/>
              <w:ind w:left="107"/>
              <w:rPr>
                <w:b/>
                <w:sz w:val="21"/>
              </w:rPr>
            </w:pPr>
            <w:r>
              <w:rPr>
                <w:b/>
                <w:sz w:val="21"/>
              </w:rPr>
              <w:t>6.3</w:t>
            </w:r>
          </w:p>
        </w:tc>
        <w:tc>
          <w:tcPr>
            <w:tcW w:w="1925" w:type="dxa"/>
          </w:tcPr>
          <w:p>
            <w:pPr>
              <w:pStyle w:val="TableParagraph"/>
              <w:spacing w:before="142"/>
              <w:ind w:left="346"/>
              <w:rPr>
                <w:b/>
                <w:sz w:val="21"/>
              </w:rPr>
            </w:pPr>
            <w:r>
              <w:rPr>
                <w:b/>
                <w:sz w:val="21"/>
              </w:rPr>
              <w:t>合同内容变更</w:t>
            </w:r>
          </w:p>
        </w:tc>
        <w:tc>
          <w:tcPr>
            <w:tcW w:w="8149" w:type="dxa"/>
          </w:tcPr>
          <w:p>
            <w:pPr>
              <w:pStyle w:val="TableParagraph"/>
              <w:spacing w:line="273" w:lineRule="auto" w:before="142"/>
              <w:ind w:left="312" w:right="1201"/>
              <w:jc w:val="both"/>
              <w:rPr>
                <w:sz w:val="21"/>
              </w:rPr>
            </w:pPr>
            <w:r>
              <w:rPr>
                <w:spacing w:val="-10"/>
                <w:sz w:val="21"/>
              </w:rPr>
              <w:t>本主险合同有效期内，经您与我们协商一致，可以变更本主险合同的有关</w:t>
            </w:r>
            <w:r>
              <w:rPr>
                <w:spacing w:val="-12"/>
                <w:sz w:val="21"/>
              </w:rPr>
              <w:t>内容，变更本主险合同的，应当由我们在保险单或者其他保险凭证上批注</w:t>
            </w:r>
            <w:r>
              <w:rPr>
                <w:spacing w:val="-6"/>
                <w:sz w:val="21"/>
              </w:rPr>
              <w:t>或者附贴批单，或者由您与我们订立变更的书面协议。</w:t>
            </w:r>
          </w:p>
          <w:p>
            <w:pPr>
              <w:pStyle w:val="TableParagraph"/>
              <w:spacing w:line="273" w:lineRule="auto" w:before="7"/>
              <w:ind w:left="312" w:right="1201"/>
              <w:jc w:val="both"/>
              <w:rPr>
                <w:sz w:val="21"/>
              </w:rPr>
            </w:pPr>
            <w:r>
              <w:rPr>
                <w:sz w:val="21"/>
              </w:rPr>
              <w:t>您通过我们同意或者认可的网站等互联网渠道提出对本主险合同进行变</w:t>
            </w:r>
            <w:r>
              <w:rPr>
                <w:spacing w:val="-12"/>
                <w:sz w:val="21"/>
              </w:rPr>
              <w:t>更，视为您的书面申请，您向我们在线提交的电子信息与您向我们提交的</w:t>
            </w:r>
            <w:r>
              <w:rPr>
                <w:spacing w:val="-6"/>
                <w:sz w:val="21"/>
              </w:rPr>
              <w:t>书面文件具有相同的法律效力。</w:t>
            </w:r>
          </w:p>
        </w:tc>
      </w:tr>
      <w:tr>
        <w:trPr>
          <w:trHeight w:val="1560" w:hRule="atLeast"/>
        </w:trPr>
        <w:tc>
          <w:tcPr>
            <w:tcW w:w="811" w:type="dxa"/>
          </w:tcPr>
          <w:p>
            <w:pPr>
              <w:pStyle w:val="TableParagraph"/>
              <w:spacing w:before="143"/>
              <w:ind w:left="107"/>
              <w:rPr>
                <w:b/>
                <w:sz w:val="21"/>
              </w:rPr>
            </w:pPr>
            <w:r>
              <w:rPr>
                <w:b/>
                <w:sz w:val="21"/>
              </w:rPr>
              <w:t>6.4</w:t>
            </w:r>
          </w:p>
        </w:tc>
        <w:tc>
          <w:tcPr>
            <w:tcW w:w="1925" w:type="dxa"/>
          </w:tcPr>
          <w:p>
            <w:pPr>
              <w:pStyle w:val="TableParagraph"/>
              <w:spacing w:before="143"/>
              <w:ind w:left="346"/>
              <w:rPr>
                <w:b/>
                <w:sz w:val="21"/>
              </w:rPr>
            </w:pPr>
            <w:r>
              <w:rPr>
                <w:b/>
                <w:sz w:val="21"/>
              </w:rPr>
              <w:t>联系方式变更</w:t>
            </w:r>
          </w:p>
        </w:tc>
        <w:tc>
          <w:tcPr>
            <w:tcW w:w="8149" w:type="dxa"/>
          </w:tcPr>
          <w:p>
            <w:pPr>
              <w:pStyle w:val="TableParagraph"/>
              <w:spacing w:line="273" w:lineRule="auto" w:before="143"/>
              <w:ind w:left="312" w:right="1201"/>
              <w:jc w:val="both"/>
              <w:rPr>
                <w:sz w:val="21"/>
              </w:rPr>
            </w:pPr>
            <w:r>
              <w:rPr>
                <w:spacing w:val="-10"/>
                <w:sz w:val="21"/>
              </w:rPr>
              <w:t>为了保障您的合法权益，您的住所、通讯地址、电话或电子邮箱等联系方</w:t>
            </w:r>
            <w:r>
              <w:rPr>
                <w:spacing w:val="-12"/>
                <w:sz w:val="21"/>
              </w:rPr>
              <w:t>式变更时，请及时以书面形式或双方认可的其他形式通知我们。若您未以</w:t>
            </w:r>
            <w:r>
              <w:rPr>
                <w:spacing w:val="-11"/>
                <w:sz w:val="21"/>
              </w:rPr>
              <w:t>书面形式或双方认可的其他形式通知我们，我们按本主险合同载明的最后</w:t>
            </w:r>
            <w:r>
              <w:rPr>
                <w:spacing w:val="-6"/>
                <w:sz w:val="21"/>
              </w:rPr>
              <w:t>电话或电子邮箱发送的有关通知，均视为已送达给您。</w:t>
            </w:r>
          </w:p>
        </w:tc>
      </w:tr>
      <w:tr>
        <w:trPr>
          <w:trHeight w:val="1871" w:hRule="atLeast"/>
        </w:trPr>
        <w:tc>
          <w:tcPr>
            <w:tcW w:w="811" w:type="dxa"/>
          </w:tcPr>
          <w:p>
            <w:pPr>
              <w:pStyle w:val="TableParagraph"/>
              <w:spacing w:before="142"/>
              <w:ind w:left="107"/>
              <w:rPr>
                <w:b/>
                <w:sz w:val="21"/>
              </w:rPr>
            </w:pPr>
            <w:r>
              <w:rPr>
                <w:b/>
                <w:sz w:val="21"/>
              </w:rPr>
              <w:t>6.5</w:t>
            </w:r>
          </w:p>
        </w:tc>
        <w:tc>
          <w:tcPr>
            <w:tcW w:w="1925" w:type="dxa"/>
          </w:tcPr>
          <w:p>
            <w:pPr>
              <w:pStyle w:val="TableParagraph"/>
              <w:spacing w:before="142"/>
              <w:ind w:left="346"/>
              <w:rPr>
                <w:b/>
                <w:sz w:val="21"/>
              </w:rPr>
            </w:pPr>
            <w:r>
              <w:rPr>
                <w:b/>
                <w:sz w:val="21"/>
              </w:rPr>
              <w:t>效力终止</w:t>
            </w:r>
          </w:p>
        </w:tc>
        <w:tc>
          <w:tcPr>
            <w:tcW w:w="8149" w:type="dxa"/>
          </w:tcPr>
          <w:p>
            <w:pPr>
              <w:pStyle w:val="TableParagraph"/>
              <w:spacing w:before="142"/>
              <w:ind w:left="312"/>
              <w:rPr>
                <w:sz w:val="21"/>
              </w:rPr>
            </w:pPr>
            <w:r>
              <w:rPr>
                <w:sz w:val="21"/>
              </w:rPr>
              <w:t>当发生下列情形之一时，本主险合同效力终止：</w:t>
            </w:r>
          </w:p>
          <w:p>
            <w:pPr>
              <w:pStyle w:val="TableParagraph"/>
              <w:spacing w:before="36"/>
              <w:ind w:left="312"/>
              <w:rPr>
                <w:sz w:val="21"/>
              </w:rPr>
            </w:pPr>
            <w:r>
              <w:rPr>
                <w:sz w:val="21"/>
              </w:rPr>
              <w:t>（1）被保险人身故；</w:t>
            </w:r>
          </w:p>
          <w:p>
            <w:pPr>
              <w:pStyle w:val="TableParagraph"/>
              <w:spacing w:before="36"/>
              <w:ind w:left="312"/>
              <w:rPr>
                <w:sz w:val="21"/>
              </w:rPr>
            </w:pPr>
            <w:r>
              <w:rPr>
                <w:sz w:val="21"/>
              </w:rPr>
              <w:t>（2）续保时被保险人年满 76 周岁；</w:t>
            </w:r>
          </w:p>
          <w:p>
            <w:pPr>
              <w:pStyle w:val="TableParagraph"/>
              <w:spacing w:before="36"/>
              <w:ind w:left="312"/>
              <w:rPr>
                <w:sz w:val="21"/>
              </w:rPr>
            </w:pPr>
            <w:r>
              <w:rPr>
                <w:sz w:val="21"/>
              </w:rPr>
              <w:t>（3）续保时您无意续保或者我们不接受续保；</w:t>
            </w:r>
          </w:p>
          <w:p>
            <w:pPr>
              <w:pStyle w:val="TableParagraph"/>
              <w:spacing w:before="36"/>
              <w:ind w:left="312"/>
              <w:rPr>
                <w:sz w:val="21"/>
              </w:rPr>
            </w:pPr>
            <w:r>
              <w:rPr>
                <w:sz w:val="21"/>
              </w:rPr>
              <w:t>（4）本主险合同中列明的其他合同解除的情形。</w:t>
            </w:r>
          </w:p>
        </w:tc>
      </w:tr>
      <w:tr>
        <w:trPr>
          <w:trHeight w:val="961" w:hRule="atLeast"/>
        </w:trPr>
        <w:tc>
          <w:tcPr>
            <w:tcW w:w="811" w:type="dxa"/>
          </w:tcPr>
          <w:p>
            <w:pPr>
              <w:pStyle w:val="TableParagraph"/>
              <w:spacing w:before="142"/>
              <w:ind w:left="107"/>
              <w:rPr>
                <w:b/>
                <w:sz w:val="21"/>
              </w:rPr>
            </w:pPr>
            <w:r>
              <w:rPr>
                <w:b/>
                <w:sz w:val="21"/>
              </w:rPr>
              <w:t>6.6</w:t>
            </w:r>
          </w:p>
        </w:tc>
        <w:tc>
          <w:tcPr>
            <w:tcW w:w="1925" w:type="dxa"/>
          </w:tcPr>
          <w:p>
            <w:pPr>
              <w:pStyle w:val="TableParagraph"/>
              <w:spacing w:before="142"/>
              <w:ind w:left="346"/>
              <w:rPr>
                <w:b/>
                <w:sz w:val="21"/>
              </w:rPr>
            </w:pPr>
            <w:r>
              <w:rPr>
                <w:b/>
                <w:sz w:val="21"/>
              </w:rPr>
              <w:t>争议处理</w:t>
            </w:r>
          </w:p>
        </w:tc>
        <w:tc>
          <w:tcPr>
            <w:tcW w:w="8149" w:type="dxa"/>
          </w:tcPr>
          <w:p>
            <w:pPr>
              <w:pStyle w:val="TableParagraph"/>
              <w:spacing w:line="273" w:lineRule="auto" w:before="142"/>
              <w:ind w:left="312" w:right="1201"/>
              <w:rPr>
                <w:sz w:val="21"/>
              </w:rPr>
            </w:pPr>
            <w:r>
              <w:rPr>
                <w:spacing w:val="-10"/>
                <w:sz w:val="21"/>
              </w:rPr>
              <w:t>本主险合同履行过程中，双方发生争议不能协商解决的，可以达成仲裁协</w:t>
            </w:r>
            <w:r>
              <w:rPr>
                <w:spacing w:val="-5"/>
                <w:sz w:val="21"/>
              </w:rPr>
              <w:t>议通过仲裁解决，也可依法直接向有管辖权的法院提出诉讼。</w:t>
            </w:r>
          </w:p>
        </w:tc>
      </w:tr>
      <w:tr>
        <w:trPr>
          <w:trHeight w:val="753" w:hRule="atLeast"/>
        </w:trPr>
        <w:tc>
          <w:tcPr>
            <w:tcW w:w="811" w:type="dxa"/>
            <w:tcBorders>
              <w:bottom w:val="single" w:sz="4" w:space="0" w:color="000000"/>
            </w:tcBorders>
          </w:tcPr>
          <w:p>
            <w:pPr>
              <w:pStyle w:val="TableParagraph"/>
              <w:spacing w:before="194"/>
              <w:ind w:left="107"/>
              <w:rPr>
                <w:rFonts w:ascii="Arial" w:hAnsi="Arial"/>
                <w:b/>
                <w:sz w:val="40"/>
              </w:rPr>
            </w:pPr>
            <w:r>
              <w:rPr>
                <w:rFonts w:ascii="Arial" w:hAnsi="Arial"/>
                <w:b/>
                <w:w w:val="119"/>
                <w:sz w:val="40"/>
              </w:rPr>
              <w:t></w:t>
            </w:r>
          </w:p>
        </w:tc>
        <w:tc>
          <w:tcPr>
            <w:tcW w:w="1925" w:type="dxa"/>
            <w:tcBorders>
              <w:bottom w:val="single" w:sz="4" w:space="0" w:color="000000"/>
            </w:tcBorders>
          </w:tcPr>
          <w:p>
            <w:pPr>
              <w:pStyle w:val="TableParagraph"/>
              <w:spacing w:before="10"/>
              <w:ind w:left="0"/>
              <w:rPr>
                <w:sz w:val="18"/>
              </w:rPr>
            </w:pPr>
          </w:p>
          <w:p>
            <w:pPr>
              <w:pStyle w:val="TableParagraph"/>
              <w:ind w:left="346"/>
              <w:rPr>
                <w:b/>
                <w:sz w:val="24"/>
              </w:rPr>
            </w:pPr>
            <w:r>
              <w:rPr>
                <w:b/>
                <w:sz w:val="24"/>
              </w:rPr>
              <w:t>释义</w:t>
            </w:r>
          </w:p>
        </w:tc>
        <w:tc>
          <w:tcPr>
            <w:tcW w:w="8149" w:type="dxa"/>
            <w:tcBorders>
              <w:bottom w:val="single" w:sz="4" w:space="0" w:color="000000"/>
            </w:tcBorders>
          </w:tcPr>
          <w:p>
            <w:pPr>
              <w:pStyle w:val="TableParagraph"/>
              <w:ind w:left="0"/>
              <w:rPr>
                <w:rFonts w:ascii="Times New Roman"/>
                <w:sz w:val="20"/>
              </w:rPr>
            </w:pPr>
          </w:p>
        </w:tc>
      </w:tr>
      <w:tr>
        <w:trPr>
          <w:trHeight w:val="1095" w:hRule="atLeast"/>
        </w:trPr>
        <w:tc>
          <w:tcPr>
            <w:tcW w:w="811" w:type="dxa"/>
            <w:tcBorders>
              <w:top w:val="single" w:sz="4" w:space="0" w:color="000000"/>
            </w:tcBorders>
          </w:tcPr>
          <w:p>
            <w:pPr>
              <w:pStyle w:val="TableParagraph"/>
              <w:ind w:left="0"/>
              <w:rPr>
                <w:sz w:val="23"/>
              </w:rPr>
            </w:pPr>
          </w:p>
          <w:p>
            <w:pPr>
              <w:pStyle w:val="TableParagraph"/>
              <w:ind w:left="107"/>
              <w:rPr>
                <w:b/>
                <w:sz w:val="21"/>
              </w:rPr>
            </w:pPr>
            <w:r>
              <w:rPr>
                <w:b/>
                <w:sz w:val="21"/>
              </w:rPr>
              <w:t>7.1</w:t>
            </w:r>
          </w:p>
        </w:tc>
        <w:tc>
          <w:tcPr>
            <w:tcW w:w="1925" w:type="dxa"/>
            <w:tcBorders>
              <w:top w:val="single" w:sz="4" w:space="0" w:color="000000"/>
            </w:tcBorders>
          </w:tcPr>
          <w:p>
            <w:pPr>
              <w:pStyle w:val="TableParagraph"/>
              <w:ind w:left="0"/>
              <w:rPr>
                <w:sz w:val="23"/>
              </w:rPr>
            </w:pPr>
          </w:p>
          <w:p>
            <w:pPr>
              <w:pStyle w:val="TableParagraph"/>
              <w:ind w:left="346"/>
              <w:rPr>
                <w:b/>
                <w:sz w:val="21"/>
              </w:rPr>
            </w:pPr>
            <w:r>
              <w:rPr>
                <w:b/>
                <w:sz w:val="21"/>
              </w:rPr>
              <w:t>周岁</w:t>
            </w:r>
          </w:p>
        </w:tc>
        <w:tc>
          <w:tcPr>
            <w:tcW w:w="8149" w:type="dxa"/>
            <w:tcBorders>
              <w:top w:val="single" w:sz="4" w:space="0" w:color="000000"/>
            </w:tcBorders>
          </w:tcPr>
          <w:p>
            <w:pPr>
              <w:pStyle w:val="TableParagraph"/>
              <w:ind w:left="0"/>
              <w:rPr>
                <w:sz w:val="23"/>
              </w:rPr>
            </w:pPr>
          </w:p>
          <w:p>
            <w:pPr>
              <w:pStyle w:val="TableParagraph"/>
              <w:spacing w:line="273" w:lineRule="auto"/>
              <w:ind w:left="312" w:right="1213"/>
              <w:rPr>
                <w:sz w:val="21"/>
              </w:rPr>
            </w:pPr>
            <w:r>
              <w:rPr>
                <w:sz w:val="21"/>
              </w:rPr>
              <w:t>指按有效身份证件中记载的出生日期计算的年龄，自出生之日起为零周岁，每经过一年增加一岁，不足一年的不计。</w:t>
            </w:r>
          </w:p>
        </w:tc>
      </w:tr>
      <w:tr>
        <w:trPr>
          <w:trHeight w:val="935" w:hRule="atLeast"/>
        </w:trPr>
        <w:tc>
          <w:tcPr>
            <w:tcW w:w="811" w:type="dxa"/>
          </w:tcPr>
          <w:p>
            <w:pPr>
              <w:pStyle w:val="TableParagraph"/>
              <w:spacing w:before="142"/>
              <w:ind w:left="107"/>
              <w:rPr>
                <w:b/>
                <w:sz w:val="21"/>
              </w:rPr>
            </w:pPr>
            <w:r>
              <w:rPr>
                <w:b/>
                <w:sz w:val="21"/>
              </w:rPr>
              <w:t>7.2</w:t>
            </w:r>
          </w:p>
        </w:tc>
        <w:tc>
          <w:tcPr>
            <w:tcW w:w="1925" w:type="dxa"/>
          </w:tcPr>
          <w:p>
            <w:pPr>
              <w:pStyle w:val="TableParagraph"/>
              <w:spacing w:before="142"/>
              <w:ind w:left="346"/>
              <w:rPr>
                <w:b/>
                <w:sz w:val="21"/>
              </w:rPr>
            </w:pPr>
            <w:r>
              <w:rPr>
                <w:b/>
                <w:sz w:val="21"/>
              </w:rPr>
              <w:t>有效身份证件</w:t>
            </w:r>
          </w:p>
        </w:tc>
        <w:tc>
          <w:tcPr>
            <w:tcW w:w="8149" w:type="dxa"/>
          </w:tcPr>
          <w:p>
            <w:pPr>
              <w:pStyle w:val="TableParagraph"/>
              <w:spacing w:line="273" w:lineRule="auto" w:before="142"/>
              <w:ind w:left="312" w:right="1201"/>
              <w:rPr>
                <w:sz w:val="21"/>
              </w:rPr>
            </w:pPr>
            <w:r>
              <w:rPr>
                <w:spacing w:val="-8"/>
                <w:sz w:val="21"/>
              </w:rPr>
              <w:t>指由政府主管部门规定的证明其身份的证件，如：居民身份证、按规定可</w:t>
            </w:r>
            <w:r>
              <w:rPr>
                <w:spacing w:val="-5"/>
                <w:sz w:val="21"/>
              </w:rPr>
              <w:t>使用的有效护照、军官证、警官证、士兵证等证件。</w:t>
            </w:r>
          </w:p>
        </w:tc>
      </w:tr>
      <w:tr>
        <w:trPr>
          <w:trHeight w:val="936" w:hRule="atLeast"/>
        </w:trPr>
        <w:tc>
          <w:tcPr>
            <w:tcW w:w="811" w:type="dxa"/>
          </w:tcPr>
          <w:p>
            <w:pPr>
              <w:pStyle w:val="TableParagraph"/>
              <w:spacing w:before="142"/>
              <w:ind w:left="107"/>
              <w:rPr>
                <w:b/>
                <w:sz w:val="21"/>
              </w:rPr>
            </w:pPr>
            <w:r>
              <w:rPr>
                <w:b/>
                <w:sz w:val="21"/>
              </w:rPr>
              <w:t>7.3</w:t>
            </w:r>
          </w:p>
        </w:tc>
        <w:tc>
          <w:tcPr>
            <w:tcW w:w="1925" w:type="dxa"/>
          </w:tcPr>
          <w:p>
            <w:pPr>
              <w:pStyle w:val="TableParagraph"/>
              <w:spacing w:before="142"/>
              <w:ind w:left="346"/>
              <w:rPr>
                <w:b/>
                <w:sz w:val="21"/>
              </w:rPr>
            </w:pPr>
            <w:r>
              <w:rPr>
                <w:b/>
                <w:sz w:val="21"/>
              </w:rPr>
              <w:t>基本保险金额</w:t>
            </w:r>
          </w:p>
        </w:tc>
        <w:tc>
          <w:tcPr>
            <w:tcW w:w="8149" w:type="dxa"/>
          </w:tcPr>
          <w:p>
            <w:pPr>
              <w:pStyle w:val="TableParagraph"/>
              <w:spacing w:line="273" w:lineRule="auto" w:before="142"/>
              <w:ind w:left="312" w:right="1201"/>
              <w:rPr>
                <w:sz w:val="21"/>
              </w:rPr>
            </w:pPr>
            <w:r>
              <w:rPr>
                <w:spacing w:val="-10"/>
                <w:sz w:val="21"/>
              </w:rPr>
              <w:t>指投保时您购买的金额，会在投保书以及保险单上载明。若该金额发生变</w:t>
            </w:r>
            <w:r>
              <w:rPr>
                <w:spacing w:val="-5"/>
                <w:sz w:val="21"/>
              </w:rPr>
              <w:t>更，则以变更后的金额为基本保险金额。</w:t>
            </w:r>
          </w:p>
        </w:tc>
      </w:tr>
      <w:tr>
        <w:trPr>
          <w:trHeight w:val="1977" w:hRule="atLeast"/>
        </w:trPr>
        <w:tc>
          <w:tcPr>
            <w:tcW w:w="811" w:type="dxa"/>
          </w:tcPr>
          <w:p>
            <w:pPr>
              <w:pStyle w:val="TableParagraph"/>
              <w:spacing w:before="142"/>
              <w:ind w:left="107"/>
              <w:rPr>
                <w:b/>
                <w:sz w:val="21"/>
              </w:rPr>
            </w:pPr>
            <w:r>
              <w:rPr>
                <w:b/>
                <w:sz w:val="21"/>
              </w:rPr>
              <w:t>7.4</w:t>
            </w:r>
          </w:p>
        </w:tc>
        <w:tc>
          <w:tcPr>
            <w:tcW w:w="1925" w:type="dxa"/>
          </w:tcPr>
          <w:p>
            <w:pPr>
              <w:pStyle w:val="TableParagraph"/>
              <w:spacing w:before="142"/>
              <w:ind w:left="346"/>
              <w:rPr>
                <w:b/>
                <w:sz w:val="21"/>
              </w:rPr>
            </w:pPr>
            <w:r>
              <w:rPr>
                <w:b/>
                <w:sz w:val="21"/>
              </w:rPr>
              <w:t>医院</w:t>
            </w:r>
          </w:p>
        </w:tc>
        <w:tc>
          <w:tcPr>
            <w:tcW w:w="8149" w:type="dxa"/>
          </w:tcPr>
          <w:p>
            <w:pPr>
              <w:pStyle w:val="TableParagraph"/>
              <w:spacing w:line="273" w:lineRule="auto" w:before="142"/>
              <w:ind w:left="312" w:right="1201"/>
              <w:jc w:val="both"/>
              <w:rPr>
                <w:sz w:val="21"/>
              </w:rPr>
            </w:pPr>
            <w:r>
              <w:rPr>
                <w:spacing w:val="-12"/>
                <w:sz w:val="21"/>
              </w:rPr>
              <w:t>如无特别约定，医院指经中华人民共和国卫生部门评审确定的二级及二级</w:t>
            </w:r>
            <w:r>
              <w:rPr>
                <w:spacing w:val="-8"/>
                <w:sz w:val="21"/>
              </w:rPr>
              <w:t>以上的公立医院，</w:t>
            </w:r>
            <w:r>
              <w:rPr>
                <w:spacing w:val="-8"/>
                <w:sz w:val="21"/>
                <w:shd w:fill="D9D9D9" w:color="auto" w:val="clear"/>
              </w:rPr>
              <w:t>但不包括精神病院及专供康复、修养、戒毒、戒酒、护</w:t>
            </w:r>
            <w:r>
              <w:rPr>
                <w:spacing w:val="-28"/>
                <w:sz w:val="21"/>
                <w:shd w:fill="D9D9D9" w:color="auto" w:val="clear"/>
              </w:rPr>
              <w:t>理、</w:t>
            </w:r>
            <w:r>
              <w:rPr>
                <w:spacing w:val="-19"/>
                <w:sz w:val="21"/>
                <w:shd w:fill="D9D9D9" w:color="auto" w:val="clear"/>
              </w:rPr>
              <w:t>养老等非以直接诊治病人为目的的医疗机构。</w:t>
            </w:r>
            <w:r>
              <w:rPr>
                <w:spacing w:val="-3"/>
                <w:sz w:val="21"/>
              </w:rPr>
              <w:t>该医院必须具有符合国家</w:t>
            </w:r>
            <w:r>
              <w:rPr>
                <w:spacing w:val="-9"/>
                <w:sz w:val="21"/>
              </w:rPr>
              <w:t>有关医院管理规则设置标准的医疗设备，且全天二十四小时有合格医师及</w:t>
            </w:r>
            <w:r>
              <w:rPr>
                <w:spacing w:val="-4"/>
                <w:sz w:val="21"/>
              </w:rPr>
              <w:t>护士驻院提供医疗及护理服务。</w:t>
            </w:r>
          </w:p>
          <w:p>
            <w:pPr>
              <w:pStyle w:val="TableParagraph"/>
              <w:spacing w:line="255" w:lineRule="exact" w:before="7"/>
              <w:ind w:left="312"/>
              <w:jc w:val="both"/>
              <w:rPr>
                <w:sz w:val="21"/>
              </w:rPr>
            </w:pPr>
            <w:r>
              <w:rPr>
                <w:sz w:val="21"/>
              </w:rPr>
              <w:t>另有约定的，按约定执行。</w:t>
            </w:r>
          </w:p>
        </w:tc>
      </w:tr>
    </w:tbl>
    <w:p>
      <w:pPr>
        <w:spacing w:after="0" w:line="255" w:lineRule="exact"/>
        <w:jc w:val="both"/>
        <w:rPr>
          <w:sz w:val="21"/>
        </w:rPr>
        <w:sectPr>
          <w:pgSz w:w="11910" w:h="16840"/>
          <w:pgMar w:header="0" w:footer="862" w:top="1160" w:bottom="1040" w:left="920" w:right="0"/>
        </w:sectPr>
      </w:pPr>
    </w:p>
    <w:p>
      <w:pPr>
        <w:tabs>
          <w:tab w:pos="1157" w:val="left" w:leader="none"/>
          <w:tab w:pos="3048" w:val="left" w:leader="none"/>
        </w:tabs>
        <w:spacing w:before="14"/>
        <w:ind w:left="107" w:right="0" w:firstLine="0"/>
        <w:jc w:val="left"/>
        <w:rPr>
          <w:sz w:val="21"/>
        </w:rPr>
      </w:pPr>
      <w:r>
        <w:rPr>
          <w:b/>
          <w:sz w:val="21"/>
        </w:rPr>
        <w:t>7.5</w:t>
        <w:tab/>
        <w:t>重大疾病</w:t>
        <w:tab/>
      </w:r>
      <w:r>
        <w:rPr>
          <w:sz w:val="21"/>
        </w:rPr>
        <w:t>指被</w:t>
      </w:r>
      <w:r>
        <w:rPr>
          <w:spacing w:val="-3"/>
          <w:sz w:val="21"/>
        </w:rPr>
        <w:t>保</w:t>
      </w:r>
      <w:r>
        <w:rPr>
          <w:sz w:val="21"/>
        </w:rPr>
        <w:t>险</w:t>
      </w:r>
      <w:r>
        <w:rPr>
          <w:spacing w:val="-3"/>
          <w:sz w:val="21"/>
        </w:rPr>
        <w:t>人</w:t>
      </w:r>
      <w:r>
        <w:rPr>
          <w:sz w:val="21"/>
        </w:rPr>
        <w:t>初</w:t>
      </w:r>
      <w:r>
        <w:rPr>
          <w:spacing w:val="-3"/>
          <w:sz w:val="21"/>
        </w:rPr>
        <w:t>次</w:t>
      </w:r>
      <w:r>
        <w:rPr>
          <w:sz w:val="21"/>
        </w:rPr>
        <w:t>发</w:t>
      </w:r>
      <w:r>
        <w:rPr>
          <w:spacing w:val="-3"/>
          <w:sz w:val="21"/>
        </w:rPr>
        <w:t>生</w:t>
      </w:r>
      <w:r>
        <w:rPr>
          <w:sz w:val="21"/>
        </w:rPr>
        <w:t>符</w:t>
      </w:r>
      <w:r>
        <w:rPr>
          <w:spacing w:val="-3"/>
          <w:sz w:val="21"/>
        </w:rPr>
        <w:t>合</w:t>
      </w:r>
      <w:r>
        <w:rPr>
          <w:sz w:val="21"/>
        </w:rPr>
        <w:t>下列</w:t>
      </w:r>
      <w:r>
        <w:rPr>
          <w:spacing w:val="-3"/>
          <w:sz w:val="21"/>
        </w:rPr>
        <w:t>定</w:t>
      </w:r>
      <w:r>
        <w:rPr>
          <w:sz w:val="21"/>
        </w:rPr>
        <w:t>义</w:t>
      </w:r>
      <w:r>
        <w:rPr>
          <w:spacing w:val="-3"/>
          <w:sz w:val="21"/>
        </w:rPr>
        <w:t>的</w:t>
      </w:r>
      <w:r>
        <w:rPr>
          <w:sz w:val="21"/>
        </w:rPr>
        <w:t>疾</w:t>
      </w:r>
      <w:r>
        <w:rPr>
          <w:spacing w:val="-3"/>
          <w:sz w:val="21"/>
        </w:rPr>
        <w:t>病</w:t>
      </w:r>
      <w:r>
        <w:rPr>
          <w:spacing w:val="-94"/>
          <w:sz w:val="21"/>
        </w:rPr>
        <w:t>，</w:t>
      </w:r>
      <w:r>
        <w:rPr>
          <w:spacing w:val="-3"/>
          <w:sz w:val="21"/>
        </w:rPr>
        <w:t>或</w:t>
      </w:r>
      <w:r>
        <w:rPr>
          <w:sz w:val="21"/>
        </w:rPr>
        <w:t>初</w:t>
      </w:r>
      <w:r>
        <w:rPr>
          <w:spacing w:val="-3"/>
          <w:sz w:val="21"/>
        </w:rPr>
        <w:t>次接</w:t>
      </w:r>
      <w:r>
        <w:rPr>
          <w:sz w:val="21"/>
        </w:rPr>
        <w:t>受符</w:t>
      </w:r>
      <w:r>
        <w:rPr>
          <w:spacing w:val="-3"/>
          <w:sz w:val="21"/>
        </w:rPr>
        <w:t>合</w:t>
      </w:r>
      <w:r>
        <w:rPr>
          <w:sz w:val="21"/>
        </w:rPr>
        <w:t>下</w:t>
      </w:r>
      <w:r>
        <w:rPr>
          <w:spacing w:val="-3"/>
          <w:sz w:val="21"/>
        </w:rPr>
        <w:t>列</w:t>
      </w:r>
      <w:r>
        <w:rPr>
          <w:sz w:val="21"/>
        </w:rPr>
        <w:t>定</w:t>
      </w:r>
      <w:r>
        <w:rPr>
          <w:spacing w:val="-3"/>
          <w:sz w:val="21"/>
        </w:rPr>
        <w:t>义</w:t>
      </w:r>
      <w:r>
        <w:rPr>
          <w:sz w:val="21"/>
        </w:rPr>
        <w:t>的手</w:t>
      </w:r>
    </w:p>
    <w:p>
      <w:pPr>
        <w:pStyle w:val="BodyText"/>
        <w:ind w:left="3049"/>
      </w:pPr>
      <w:r>
        <w:rPr/>
        <w:t>术。该疾病或手术应当由</w:t>
      </w:r>
      <w:r>
        <w:rPr>
          <w:rFonts w:ascii="黑体" w:eastAsia="黑体" w:hint="eastAsia"/>
          <w:b/>
        </w:rPr>
        <w:t>专科医Th</w:t>
      </w:r>
      <w:r>
        <w:rPr/>
        <w:t>（见7.6）明确诊断。</w:t>
      </w:r>
    </w:p>
    <w:p>
      <w:pPr>
        <w:pStyle w:val="BodyText"/>
        <w:spacing w:before="8"/>
        <w:rPr>
          <w:sz w:val="26"/>
        </w:rPr>
      </w:pPr>
    </w:p>
    <w:p>
      <w:pPr>
        <w:pStyle w:val="BodyText"/>
        <w:spacing w:line="273" w:lineRule="auto" w:before="0"/>
        <w:ind w:left="3049" w:right="229"/>
      </w:pPr>
      <w:r>
        <w:rPr/>
        <w:t>以下重大疾病是中国保险行业协会与中国医师协会制定了规范定义的疾病。</w:t>
      </w:r>
    </w:p>
    <w:p>
      <w:pPr>
        <w:pStyle w:val="BodyText"/>
        <w:spacing w:before="8"/>
        <w:rPr>
          <w:sz w:val="18"/>
        </w:rPr>
      </w:pPr>
    </w:p>
    <w:p>
      <w:pPr>
        <w:pStyle w:val="BodyText"/>
        <w:tabs>
          <w:tab w:pos="3048" w:val="left" w:leader="none"/>
        </w:tabs>
        <w:spacing w:line="230" w:lineRule="auto" w:before="0"/>
        <w:ind w:left="3049" w:right="223" w:hanging="1892"/>
      </w:pPr>
      <w:r>
        <w:rPr>
          <w:rFonts w:ascii="Microsoft JhengHei" w:eastAsia="Microsoft JhengHei" w:hint="eastAsia"/>
          <w:b/>
          <w:position w:val="-1"/>
          <w:sz w:val="24"/>
        </w:rPr>
        <w:t>恶性肿瘤</w:t>
        <w:tab/>
      </w:r>
      <w:r>
        <w:rPr/>
        <w:t>指恶</w:t>
      </w:r>
      <w:r>
        <w:rPr>
          <w:spacing w:val="-3"/>
        </w:rPr>
        <w:t>性</w:t>
      </w:r>
      <w:r>
        <w:rPr/>
        <w:t>细</w:t>
      </w:r>
      <w:r>
        <w:rPr>
          <w:spacing w:val="-3"/>
        </w:rPr>
        <w:t>胞</w:t>
      </w:r>
      <w:r>
        <w:rPr/>
        <w:t>不</w:t>
      </w:r>
      <w:r>
        <w:rPr>
          <w:spacing w:val="-3"/>
        </w:rPr>
        <w:t>受</w:t>
      </w:r>
      <w:r>
        <w:rPr/>
        <w:t>控</w:t>
      </w:r>
      <w:r>
        <w:rPr>
          <w:spacing w:val="-3"/>
        </w:rPr>
        <w:t>制</w:t>
      </w:r>
      <w:r>
        <w:rPr/>
        <w:t>的</w:t>
      </w:r>
      <w:r>
        <w:rPr>
          <w:spacing w:val="-3"/>
        </w:rPr>
        <w:t>进</w:t>
      </w:r>
      <w:r>
        <w:rPr/>
        <w:t>行性</w:t>
      </w:r>
      <w:r>
        <w:rPr>
          <w:spacing w:val="-3"/>
        </w:rPr>
        <w:t>增</w:t>
      </w:r>
      <w:r>
        <w:rPr/>
        <w:t>长</w:t>
      </w:r>
      <w:r>
        <w:rPr>
          <w:spacing w:val="-3"/>
        </w:rPr>
        <w:t>和</w:t>
      </w:r>
      <w:r>
        <w:rPr/>
        <w:t>扩</w:t>
      </w:r>
      <w:r>
        <w:rPr>
          <w:spacing w:val="-3"/>
        </w:rPr>
        <w:t>散</w:t>
      </w:r>
      <w:r>
        <w:rPr>
          <w:spacing w:val="-48"/>
        </w:rPr>
        <w:t>，</w:t>
      </w:r>
      <w:r>
        <w:rPr/>
        <w:t>浸</w:t>
      </w:r>
      <w:r>
        <w:rPr>
          <w:spacing w:val="-3"/>
        </w:rPr>
        <w:t>润和</w:t>
      </w:r>
      <w:r>
        <w:rPr/>
        <w:t>破坏</w:t>
      </w:r>
      <w:r>
        <w:rPr>
          <w:spacing w:val="-3"/>
        </w:rPr>
        <w:t>周</w:t>
      </w:r>
      <w:r>
        <w:rPr/>
        <w:t>围</w:t>
      </w:r>
      <w:r>
        <w:rPr>
          <w:spacing w:val="-3"/>
        </w:rPr>
        <w:t>正</w:t>
      </w:r>
      <w:r>
        <w:rPr/>
        <w:t>常</w:t>
      </w:r>
      <w:r>
        <w:rPr>
          <w:spacing w:val="-3"/>
        </w:rPr>
        <w:t>组织</w:t>
      </w:r>
      <w:r>
        <w:rPr>
          <w:spacing w:val="-46"/>
        </w:rPr>
        <w:t>，</w:t>
      </w:r>
      <w:r>
        <w:rPr/>
        <w:t>可 以经</w:t>
      </w:r>
      <w:r>
        <w:rPr>
          <w:spacing w:val="-3"/>
        </w:rPr>
        <w:t>血管</w:t>
      </w:r>
      <w:r>
        <w:rPr>
          <w:spacing w:val="-46"/>
        </w:rPr>
        <w:t>、</w:t>
      </w:r>
      <w:r>
        <w:rPr>
          <w:spacing w:val="-3"/>
        </w:rPr>
        <w:t>淋</w:t>
      </w:r>
      <w:r>
        <w:rPr/>
        <w:t>巴</w:t>
      </w:r>
      <w:r>
        <w:rPr>
          <w:spacing w:val="-3"/>
        </w:rPr>
        <w:t>管</w:t>
      </w:r>
      <w:r>
        <w:rPr/>
        <w:t>和</w:t>
      </w:r>
      <w:r>
        <w:rPr>
          <w:spacing w:val="-3"/>
        </w:rPr>
        <w:t>体腔</w:t>
      </w:r>
      <w:r>
        <w:rPr/>
        <w:t>扩散</w:t>
      </w:r>
      <w:r>
        <w:rPr>
          <w:spacing w:val="-3"/>
        </w:rPr>
        <w:t>转</w:t>
      </w:r>
      <w:r>
        <w:rPr/>
        <w:t>移</w:t>
      </w:r>
      <w:r>
        <w:rPr>
          <w:spacing w:val="-3"/>
        </w:rPr>
        <w:t>到</w:t>
      </w:r>
      <w:r>
        <w:rPr/>
        <w:t>身</w:t>
      </w:r>
      <w:r>
        <w:rPr>
          <w:spacing w:val="-3"/>
        </w:rPr>
        <w:t>体</w:t>
      </w:r>
      <w:r>
        <w:rPr/>
        <w:t>其</w:t>
      </w:r>
      <w:r>
        <w:rPr>
          <w:spacing w:val="-3"/>
        </w:rPr>
        <w:t>它</w:t>
      </w:r>
      <w:r>
        <w:rPr/>
        <w:t>部</w:t>
      </w:r>
      <w:r>
        <w:rPr>
          <w:spacing w:val="-3"/>
        </w:rPr>
        <w:t>位</w:t>
      </w:r>
      <w:r>
        <w:rPr/>
        <w:t>的疾</w:t>
      </w:r>
      <w:r>
        <w:rPr>
          <w:spacing w:val="-3"/>
        </w:rPr>
        <w:t>病</w:t>
      </w:r>
      <w:r>
        <w:rPr>
          <w:spacing w:val="-48"/>
        </w:rPr>
        <w:t>。</w:t>
      </w:r>
      <w:r>
        <w:rPr/>
        <w:t>经</w:t>
      </w:r>
      <w:r>
        <w:rPr>
          <w:spacing w:val="-3"/>
        </w:rPr>
        <w:t>病</w:t>
      </w:r>
      <w:r>
        <w:rPr/>
        <w:t>理</w:t>
      </w:r>
      <w:r>
        <w:rPr>
          <w:spacing w:val="-3"/>
        </w:rPr>
        <w:t>学</w:t>
      </w:r>
      <w:r>
        <w:rPr/>
        <w:t>检查</w:t>
      </w:r>
    </w:p>
    <w:p>
      <w:pPr>
        <w:pStyle w:val="BodyText"/>
        <w:spacing w:line="273" w:lineRule="auto" w:before="36"/>
        <w:ind w:left="3049" w:right="225"/>
      </w:pPr>
      <w:r>
        <w:rPr>
          <w:spacing w:val="-12"/>
        </w:rPr>
        <w:t>结果明确诊断，临床诊断属于世界卫生组织《疾病和有关健康问题的国际</w:t>
      </w:r>
      <w:r>
        <w:rPr>
          <w:spacing w:val="-3"/>
        </w:rPr>
        <w:t>统计分类》</w:t>
      </w:r>
      <w:r>
        <w:rPr>
          <w:spacing w:val="-1"/>
        </w:rPr>
        <w:t>（ICD-10）</w:t>
      </w:r>
      <w:r>
        <w:rPr>
          <w:spacing w:val="-3"/>
        </w:rPr>
        <w:t>的恶性肿瘤范畴</w:t>
      </w:r>
      <w:r>
        <w:rPr>
          <w:spacing w:val="-3"/>
          <w:shd w:fill="D9D9D9" w:color="auto" w:val="clear"/>
        </w:rPr>
        <w:t>。下列疾病不在保障范围内：</w:t>
      </w:r>
    </w:p>
    <w:p>
      <w:pPr>
        <w:pStyle w:val="BodyText"/>
        <w:spacing w:before="7"/>
        <w:ind w:left="3049"/>
      </w:pPr>
      <w:r>
        <w:rPr>
          <w:shd w:fill="D9D9D9" w:color="auto" w:val="clear"/>
        </w:rPr>
        <w:t>（1）原位癌；</w:t>
      </w:r>
    </w:p>
    <w:p>
      <w:pPr>
        <w:pStyle w:val="BodyText"/>
        <w:ind w:left="3049"/>
      </w:pPr>
      <w:r>
        <w:rPr>
          <w:shd w:fill="D9D9D9" w:color="auto" w:val="clear"/>
        </w:rPr>
        <w:t>（2）相当于Binet分期方案A期程度的慢性淋巴细胞白血病；</w:t>
      </w:r>
    </w:p>
    <w:p>
      <w:pPr>
        <w:pStyle w:val="BodyText"/>
        <w:ind w:left="3049"/>
      </w:pPr>
      <w:r>
        <w:rPr>
          <w:shd w:fill="D9D9D9" w:color="auto" w:val="clear"/>
        </w:rPr>
        <w:t>（3）相当于Ann Arbor分期方案I期程度的何杰金氏病；</w:t>
      </w:r>
    </w:p>
    <w:p>
      <w:pPr>
        <w:pStyle w:val="BodyText"/>
        <w:ind w:left="3049"/>
      </w:pPr>
      <w:r>
        <w:rPr>
          <w:shd w:fill="D9D9D9" w:color="auto" w:val="clear"/>
        </w:rPr>
        <w:t>（4）皮肤癌</w:t>
      </w:r>
      <w:r>
        <w:rPr/>
        <w:t>（不包括恶性黑色素瘤及已发生转移的皮肤癌）；</w:t>
      </w:r>
    </w:p>
    <w:p>
      <w:pPr>
        <w:pStyle w:val="BodyText"/>
        <w:spacing w:before="36"/>
        <w:ind w:left="3049"/>
      </w:pPr>
      <w:r>
        <w:rPr>
          <w:position w:val="1"/>
          <w:shd w:fill="D9D9D9" w:color="auto" w:val="clear"/>
        </w:rPr>
        <w:t>（5）TNM分期为T</w:t>
      </w:r>
      <w:r>
        <w:rPr>
          <w:sz w:val="11"/>
        </w:rPr>
        <w:t>1</w:t>
      </w:r>
      <w:r>
        <w:rPr>
          <w:position w:val="1"/>
          <w:shd w:fill="D9D9D9" w:color="auto" w:val="clear"/>
        </w:rPr>
        <w:t>N</w:t>
      </w:r>
      <w:r>
        <w:rPr>
          <w:sz w:val="11"/>
        </w:rPr>
        <w:t>0</w:t>
      </w:r>
      <w:r>
        <w:rPr>
          <w:position w:val="1"/>
          <w:shd w:fill="D9D9D9" w:color="auto" w:val="clear"/>
        </w:rPr>
        <w:t>M</w:t>
      </w:r>
      <w:r>
        <w:rPr>
          <w:sz w:val="11"/>
        </w:rPr>
        <w:t>0</w:t>
      </w:r>
      <w:r>
        <w:rPr>
          <w:position w:val="1"/>
          <w:shd w:fill="D9D9D9" w:color="auto" w:val="clear"/>
        </w:rPr>
        <w:t>期或更轻分期的前列腺癌；</w:t>
      </w:r>
    </w:p>
    <w:p>
      <w:pPr>
        <w:pStyle w:val="BodyText"/>
        <w:ind w:left="3049"/>
      </w:pPr>
      <w:r>
        <w:rPr>
          <w:shd w:fill="D9D9D9" w:color="auto" w:val="clear"/>
        </w:rPr>
        <w:t>（6）感染艾滋病病毒或患艾滋病期间所患恶性肿瘤。</w:t>
      </w:r>
    </w:p>
    <w:p>
      <w:pPr>
        <w:pStyle w:val="BodyText"/>
        <w:spacing w:before="11"/>
        <w:rPr>
          <w:sz w:val="20"/>
        </w:rPr>
      </w:pPr>
    </w:p>
    <w:p>
      <w:pPr>
        <w:pStyle w:val="BodyText"/>
        <w:tabs>
          <w:tab w:pos="3048" w:val="left" w:leader="none"/>
        </w:tabs>
        <w:spacing w:line="230" w:lineRule="auto" w:before="0"/>
        <w:ind w:left="3049" w:right="223" w:hanging="1892"/>
      </w:pPr>
      <w:r>
        <w:rPr>
          <w:rFonts w:ascii="Microsoft JhengHei" w:eastAsia="Microsoft JhengHei" w:hint="eastAsia"/>
          <w:b/>
          <w:position w:val="-1"/>
          <w:sz w:val="24"/>
        </w:rPr>
        <w:t>急性心ft梗塞</w:t>
        <w:tab/>
      </w:r>
      <w:r>
        <w:rPr/>
        <w:t>指因</w:t>
      </w:r>
      <w:r>
        <w:rPr>
          <w:spacing w:val="-3"/>
        </w:rPr>
        <w:t>冠</w:t>
      </w:r>
      <w:r>
        <w:rPr/>
        <w:t>状</w:t>
      </w:r>
      <w:r>
        <w:rPr>
          <w:spacing w:val="-3"/>
        </w:rPr>
        <w:t>动</w:t>
      </w:r>
      <w:r>
        <w:rPr/>
        <w:t>脉</w:t>
      </w:r>
      <w:r>
        <w:rPr>
          <w:spacing w:val="-3"/>
        </w:rPr>
        <w:t>阻</w:t>
      </w:r>
      <w:r>
        <w:rPr/>
        <w:t>塞</w:t>
      </w:r>
      <w:r>
        <w:rPr>
          <w:spacing w:val="-3"/>
        </w:rPr>
        <w:t>导</w:t>
      </w:r>
      <w:r>
        <w:rPr/>
        <w:t>致</w:t>
      </w:r>
      <w:r>
        <w:rPr>
          <w:spacing w:val="-3"/>
        </w:rPr>
        <w:t>的</w:t>
      </w:r>
      <w:r>
        <w:rPr/>
        <w:t>相应</w:t>
      </w:r>
      <w:r>
        <w:rPr>
          <w:spacing w:val="-3"/>
        </w:rPr>
        <w:t>区</w:t>
      </w:r>
      <w:r>
        <w:rPr/>
        <w:t>域</w:t>
      </w:r>
      <w:r>
        <w:rPr>
          <w:spacing w:val="-3"/>
        </w:rPr>
        <w:t>供</w:t>
      </w:r>
      <w:r>
        <w:rPr/>
        <w:t>血</w:t>
      </w:r>
      <w:r>
        <w:rPr>
          <w:spacing w:val="-3"/>
        </w:rPr>
        <w:t>不</w:t>
      </w:r>
      <w:r>
        <w:rPr/>
        <w:t>足</w:t>
      </w:r>
      <w:r>
        <w:rPr>
          <w:spacing w:val="-3"/>
        </w:rPr>
        <w:t>造</w:t>
      </w:r>
      <w:r>
        <w:rPr/>
        <w:t>成</w:t>
      </w:r>
      <w:r>
        <w:rPr>
          <w:spacing w:val="-3"/>
        </w:rPr>
        <w:t>部</w:t>
      </w:r>
      <w:r>
        <w:rPr/>
        <w:t>分心</w:t>
      </w:r>
      <w:r>
        <w:rPr>
          <w:spacing w:val="-3"/>
        </w:rPr>
        <w:t>肌</w:t>
      </w:r>
      <w:r>
        <w:rPr/>
        <w:t>坏</w:t>
      </w:r>
      <w:r>
        <w:rPr>
          <w:spacing w:val="-3"/>
        </w:rPr>
        <w:t>死</w:t>
      </w:r>
      <w:r>
        <w:rPr>
          <w:spacing w:val="-94"/>
        </w:rPr>
        <w:t>。</w:t>
      </w:r>
      <w:r>
        <w:rPr>
          <w:spacing w:val="-3"/>
        </w:rPr>
        <w:t>须</w:t>
      </w:r>
      <w:r>
        <w:rPr/>
        <w:t>满</w:t>
      </w:r>
      <w:r>
        <w:rPr>
          <w:spacing w:val="-3"/>
        </w:rPr>
        <w:t>足</w:t>
      </w:r>
      <w:r>
        <w:rPr/>
        <w:t>下 列至</w:t>
      </w:r>
      <w:r>
        <w:rPr>
          <w:spacing w:val="-3"/>
        </w:rPr>
        <w:t>少</w:t>
      </w:r>
      <w:r>
        <w:rPr/>
        <w:t>三</w:t>
      </w:r>
      <w:r>
        <w:rPr>
          <w:spacing w:val="-3"/>
        </w:rPr>
        <w:t>项</w:t>
      </w:r>
      <w:r>
        <w:rPr/>
        <w:t>条</w:t>
      </w:r>
      <w:r>
        <w:rPr>
          <w:spacing w:val="-3"/>
        </w:rPr>
        <w:t>件</w:t>
      </w:r>
      <w:r>
        <w:rPr/>
        <w:t>：</w:t>
      </w:r>
    </w:p>
    <w:p>
      <w:pPr>
        <w:pStyle w:val="BodyText"/>
        <w:spacing w:before="36"/>
        <w:ind w:left="3049"/>
      </w:pPr>
      <w:r>
        <w:rPr/>
        <w:t>（1）典型临床表现，例如急性胸痛等；</w:t>
      </w:r>
    </w:p>
    <w:p>
      <w:pPr>
        <w:pStyle w:val="BodyText"/>
        <w:spacing w:before="36"/>
        <w:ind w:left="3049"/>
      </w:pPr>
      <w:r>
        <w:rPr/>
        <w:t>（2）新近的心电图改变提示急性心肌梗塞；</w:t>
      </w:r>
    </w:p>
    <w:p>
      <w:pPr>
        <w:pStyle w:val="BodyText"/>
        <w:spacing w:line="273" w:lineRule="auto" w:before="36"/>
        <w:ind w:left="3049" w:right="225"/>
      </w:pPr>
      <w:r>
        <w:rPr/>
        <w:t>（3）心肌酶或肌钙蛋白有诊断意义的升高，或呈符合急性心肌梗塞的动态性变化；</w:t>
      </w:r>
    </w:p>
    <w:p>
      <w:pPr>
        <w:pStyle w:val="BodyText"/>
        <w:spacing w:before="7"/>
        <w:ind w:left="3049"/>
      </w:pPr>
      <w:r>
        <w:rPr/>
        <w:t>（4）发病90日后，经检查证实左心室功能降低，如左心室射血分数低于</w:t>
      </w:r>
    </w:p>
    <w:p>
      <w:pPr>
        <w:pStyle w:val="BodyText"/>
        <w:ind w:left="3049"/>
      </w:pPr>
      <w:r>
        <w:rPr/>
        <w:t>50%。</w:t>
      </w:r>
    </w:p>
    <w:p>
      <w:pPr>
        <w:pStyle w:val="BodyText"/>
        <w:spacing w:before="12"/>
        <w:rPr>
          <w:sz w:val="20"/>
        </w:rPr>
      </w:pPr>
    </w:p>
    <w:p>
      <w:pPr>
        <w:pStyle w:val="BodyText"/>
        <w:tabs>
          <w:tab w:pos="3048" w:val="left" w:leader="none"/>
        </w:tabs>
        <w:spacing w:line="230" w:lineRule="auto" w:before="0"/>
        <w:ind w:left="3049" w:right="223" w:hanging="1892"/>
      </w:pPr>
      <w:r>
        <w:rPr>
          <w:rFonts w:ascii="Microsoft JhengHei" w:eastAsia="Microsoft JhengHei" w:hint="eastAsia"/>
          <w:b/>
          <w:position w:val="-1"/>
          <w:sz w:val="24"/>
        </w:rPr>
        <w:t>脑中风后遗症</w:t>
        <w:tab/>
      </w:r>
      <w:r>
        <w:rPr/>
        <w:t>指因</w:t>
      </w:r>
      <w:r>
        <w:rPr>
          <w:spacing w:val="-3"/>
        </w:rPr>
        <w:t>脑</w:t>
      </w:r>
      <w:r>
        <w:rPr/>
        <w:t>血</w:t>
      </w:r>
      <w:r>
        <w:rPr>
          <w:spacing w:val="-3"/>
        </w:rPr>
        <w:t>管</w:t>
      </w:r>
      <w:r>
        <w:rPr/>
        <w:t>的</w:t>
      </w:r>
      <w:r>
        <w:rPr>
          <w:spacing w:val="-3"/>
        </w:rPr>
        <w:t>突</w:t>
      </w:r>
      <w:r>
        <w:rPr/>
        <w:t>发</w:t>
      </w:r>
      <w:r>
        <w:rPr>
          <w:spacing w:val="-3"/>
        </w:rPr>
        <w:t>病</w:t>
      </w:r>
      <w:r>
        <w:rPr/>
        <w:t>变</w:t>
      </w:r>
      <w:r>
        <w:rPr>
          <w:spacing w:val="-3"/>
        </w:rPr>
        <w:t>引</w:t>
      </w:r>
      <w:r>
        <w:rPr/>
        <w:t>起脑</w:t>
      </w:r>
      <w:r>
        <w:rPr>
          <w:spacing w:val="-3"/>
        </w:rPr>
        <w:t>血</w:t>
      </w:r>
      <w:r>
        <w:rPr/>
        <w:t>管</w:t>
      </w:r>
      <w:r>
        <w:rPr>
          <w:spacing w:val="-3"/>
        </w:rPr>
        <w:t>出血</w:t>
      </w:r>
      <w:r>
        <w:rPr>
          <w:spacing w:val="-46"/>
        </w:rPr>
        <w:t>、</w:t>
      </w:r>
      <w:r>
        <w:rPr>
          <w:spacing w:val="-3"/>
        </w:rPr>
        <w:t>栓</w:t>
      </w:r>
      <w:r>
        <w:rPr/>
        <w:t>塞</w:t>
      </w:r>
      <w:r>
        <w:rPr>
          <w:spacing w:val="-3"/>
        </w:rPr>
        <w:t>或梗</w:t>
      </w:r>
      <w:r>
        <w:rPr/>
        <w:t>塞</w:t>
      </w:r>
      <w:r>
        <w:rPr>
          <w:spacing w:val="-48"/>
        </w:rPr>
        <w:t>，</w:t>
      </w:r>
      <w:r>
        <w:rPr/>
        <w:t>并</w:t>
      </w:r>
      <w:r>
        <w:rPr>
          <w:spacing w:val="-3"/>
        </w:rPr>
        <w:t>导</w:t>
      </w:r>
      <w:r>
        <w:rPr/>
        <w:t>致</w:t>
      </w:r>
      <w:r>
        <w:rPr>
          <w:spacing w:val="-3"/>
        </w:rPr>
        <w:t>神</w:t>
      </w:r>
      <w:r>
        <w:rPr/>
        <w:t>经</w:t>
      </w:r>
      <w:r>
        <w:rPr>
          <w:spacing w:val="-3"/>
        </w:rPr>
        <w:t>系</w:t>
      </w:r>
      <w:r>
        <w:rPr/>
        <w:t>统永 久性</w:t>
      </w:r>
      <w:r>
        <w:rPr>
          <w:spacing w:val="-3"/>
        </w:rPr>
        <w:t>的</w:t>
      </w:r>
      <w:r>
        <w:rPr/>
        <w:t>功</w:t>
      </w:r>
      <w:r>
        <w:rPr>
          <w:spacing w:val="-3"/>
        </w:rPr>
        <w:t>能</w:t>
      </w:r>
      <w:r>
        <w:rPr/>
        <w:t>障</w:t>
      </w:r>
      <w:r>
        <w:rPr>
          <w:spacing w:val="-3"/>
        </w:rPr>
        <w:t>碍</w:t>
      </w:r>
      <w:r>
        <w:rPr/>
        <w:t>。</w:t>
      </w:r>
    </w:p>
    <w:p>
      <w:pPr>
        <w:pStyle w:val="BodyText"/>
        <w:spacing w:line="273" w:lineRule="auto"/>
        <w:ind w:left="3049" w:right="225"/>
      </w:pPr>
      <w:r>
        <w:rPr/>
        <w:t>神经系统永久性的功能障碍，指疾病确诊180日后，仍遗留下列一种或一种以上障碍：</w:t>
      </w:r>
    </w:p>
    <w:p>
      <w:pPr>
        <w:spacing w:before="8"/>
        <w:ind w:left="3049" w:right="0" w:firstLine="0"/>
        <w:jc w:val="left"/>
        <w:rPr>
          <w:sz w:val="21"/>
        </w:rPr>
      </w:pPr>
      <w:r>
        <w:rPr>
          <w:sz w:val="21"/>
        </w:rPr>
        <w:t>（1）一肢或一肢以上</w:t>
      </w:r>
      <w:r>
        <w:rPr>
          <w:rFonts w:ascii="黑体" w:eastAsia="黑体" w:hint="eastAsia"/>
          <w:b/>
          <w:sz w:val="21"/>
        </w:rPr>
        <w:t>肢体机能完全丧失</w:t>
      </w:r>
      <w:r>
        <w:rPr>
          <w:sz w:val="21"/>
        </w:rPr>
        <w:t>（见7.7）；</w:t>
      </w:r>
    </w:p>
    <w:p>
      <w:pPr>
        <w:spacing w:before="37"/>
        <w:ind w:left="3049" w:right="0" w:firstLine="0"/>
        <w:jc w:val="left"/>
        <w:rPr>
          <w:sz w:val="21"/>
        </w:rPr>
      </w:pPr>
      <w:r>
        <w:rPr>
          <w:sz w:val="21"/>
        </w:rPr>
        <w:t>（2）</w:t>
      </w:r>
      <w:r>
        <w:rPr>
          <w:rFonts w:ascii="黑体" w:eastAsia="黑体" w:hint="eastAsia"/>
          <w:b/>
          <w:sz w:val="21"/>
        </w:rPr>
        <w:t>语言能力或咀嚼吞咽能力完全丧失</w:t>
      </w:r>
      <w:r>
        <w:rPr>
          <w:sz w:val="21"/>
        </w:rPr>
        <w:t>（见7.8）；</w:t>
      </w:r>
    </w:p>
    <w:p>
      <w:pPr>
        <w:spacing w:before="37"/>
        <w:ind w:left="3049" w:right="0" w:firstLine="0"/>
        <w:jc w:val="left"/>
        <w:rPr>
          <w:sz w:val="21"/>
        </w:rPr>
      </w:pPr>
      <w:r>
        <w:rPr>
          <w:sz w:val="21"/>
        </w:rPr>
        <w:t>（3）自主生活能力完全丧失，无法独立完成</w:t>
      </w:r>
      <w:r>
        <w:rPr>
          <w:rFonts w:ascii="黑体" w:eastAsia="黑体" w:hint="eastAsia"/>
          <w:b/>
          <w:sz w:val="21"/>
        </w:rPr>
        <w:t>六项基本日常Th活活动</w:t>
      </w:r>
      <w:r>
        <w:rPr>
          <w:sz w:val="21"/>
        </w:rPr>
        <w:t>（见</w:t>
      </w:r>
    </w:p>
    <w:p>
      <w:pPr>
        <w:pStyle w:val="BodyText"/>
        <w:ind w:left="3049"/>
      </w:pPr>
      <w:r>
        <w:rPr/>
        <w:t>7.9）中的三项或三项以上。</w:t>
      </w:r>
    </w:p>
    <w:p>
      <w:pPr>
        <w:pStyle w:val="BodyText"/>
        <w:spacing w:before="11"/>
        <w:rPr>
          <w:sz w:val="23"/>
        </w:rPr>
      </w:pPr>
    </w:p>
    <w:p>
      <w:pPr>
        <w:spacing w:after="0"/>
        <w:rPr>
          <w:sz w:val="23"/>
        </w:rPr>
        <w:sectPr>
          <w:pgSz w:w="11910" w:h="16840"/>
          <w:pgMar w:header="0" w:footer="926" w:top="1400" w:bottom="1120" w:left="1020" w:right="980"/>
        </w:sectPr>
      </w:pPr>
    </w:p>
    <w:p>
      <w:pPr>
        <w:pStyle w:val="Heading2"/>
        <w:spacing w:line="184" w:lineRule="auto"/>
        <w:ind w:left="1157"/>
        <w:jc w:val="both"/>
      </w:pPr>
      <w:r>
        <w:rPr/>
        <w:t>重大器官移植术或造血干细胞移植术</w:t>
      </w:r>
    </w:p>
    <w:p>
      <w:pPr>
        <w:pStyle w:val="BodyText"/>
        <w:spacing w:line="273" w:lineRule="auto"/>
        <w:ind w:left="409" w:right="223"/>
      </w:pPr>
      <w:r>
        <w:rPr/>
        <w:br w:type="column"/>
      </w:r>
      <w:r>
        <w:rPr>
          <w:spacing w:val="-9"/>
        </w:rPr>
        <w:t>重大器官移植术，指因相应器官功能衰竭，已经实施了肾脏、肝脏、心脏</w:t>
      </w:r>
      <w:r>
        <w:rPr>
          <w:spacing w:val="-5"/>
        </w:rPr>
        <w:t>或肺脏的异体移植手术。</w:t>
      </w:r>
    </w:p>
    <w:p>
      <w:pPr>
        <w:pStyle w:val="BodyText"/>
        <w:spacing w:line="273" w:lineRule="auto" w:before="8"/>
        <w:ind w:left="409" w:right="117"/>
      </w:pPr>
      <w:r>
        <w:rPr>
          <w:spacing w:val="-10"/>
        </w:rPr>
        <w:t>造血干细胞移植术，指因造血功能损害或造血系统恶性肿瘤，已经实施了</w:t>
      </w:r>
      <w:r>
        <w:rPr>
          <w:spacing w:val="-25"/>
        </w:rPr>
        <w:t>造血干细胞</w:t>
      </w:r>
      <w:r>
        <w:rPr>
          <w:spacing w:val="-3"/>
        </w:rPr>
        <w:t>（</w:t>
      </w:r>
      <w:r>
        <w:rPr>
          <w:spacing w:val="-12"/>
        </w:rPr>
        <w:t>包括骨髓造血干细胞、外周血造血干细胞和脐血造血干细胞</w:t>
      </w:r>
      <w:r>
        <w:rPr/>
        <w:t>） </w:t>
      </w:r>
      <w:r>
        <w:rPr>
          <w:spacing w:val="-3"/>
        </w:rPr>
        <w:t>的异体移植手术。</w:t>
      </w:r>
    </w:p>
    <w:p>
      <w:pPr>
        <w:spacing w:after="0" w:line="273" w:lineRule="auto"/>
        <w:sectPr>
          <w:type w:val="continuous"/>
          <w:pgSz w:w="11910" w:h="16840"/>
          <w:pgMar w:top="520" w:bottom="1060" w:left="1020" w:right="980"/>
          <w:cols w:num="2" w:equalWidth="0">
            <w:col w:w="2600" w:space="40"/>
            <w:col w:w="7270"/>
          </w:cols>
        </w:sectPr>
      </w:pPr>
    </w:p>
    <w:p>
      <w:pPr>
        <w:pStyle w:val="BodyText"/>
        <w:spacing w:before="8"/>
      </w:pPr>
    </w:p>
    <w:p>
      <w:pPr>
        <w:spacing w:after="0"/>
        <w:sectPr>
          <w:type w:val="continuous"/>
          <w:pgSz w:w="11910" w:h="16840"/>
          <w:pgMar w:top="520" w:bottom="1060" w:left="1020" w:right="980"/>
        </w:sectPr>
      </w:pPr>
    </w:p>
    <w:p>
      <w:pPr>
        <w:pStyle w:val="Heading2"/>
        <w:spacing w:line="184" w:lineRule="auto"/>
        <w:ind w:left="1157"/>
      </w:pPr>
      <w:r>
        <w:rPr/>
        <w:t>冠状动脉搭桥 </w:t>
      </w:r>
      <w:r>
        <w:rPr>
          <w:spacing w:val="-8"/>
        </w:rPr>
        <w:t>术</w:t>
      </w:r>
      <w:r>
        <w:rPr/>
        <w:t>（或称冠状动脉旁路移植术）</w:t>
      </w:r>
    </w:p>
    <w:p>
      <w:pPr>
        <w:pStyle w:val="BodyText"/>
        <w:spacing w:line="273" w:lineRule="auto" w:before="36"/>
        <w:ind w:left="169" w:right="223"/>
      </w:pPr>
      <w:r>
        <w:rPr/>
        <w:br w:type="column"/>
      </w:r>
      <w:r>
        <w:rPr>
          <w:spacing w:val="-12"/>
        </w:rPr>
        <w:t>指为治疗严重的冠心病，实际实施了开胸进行的冠状动脉血管旁路移植的手术。</w:t>
      </w:r>
    </w:p>
    <w:p>
      <w:pPr>
        <w:pStyle w:val="BodyText"/>
        <w:spacing w:line="273" w:lineRule="auto" w:before="7"/>
        <w:ind w:left="169" w:right="225"/>
      </w:pPr>
      <w:r>
        <w:rPr>
          <w:spacing w:val="-11"/>
          <w:shd w:fill="D9D9D9" w:color="auto" w:val="clear"/>
        </w:rPr>
        <w:t>冠状动脉支架植入术、心导管球囊扩张术、激光射频技术及其它非开胸的</w:t>
      </w:r>
      <w:r>
        <w:rPr>
          <w:spacing w:val="-6"/>
          <w:shd w:fill="D9D9D9" w:color="auto" w:val="clear"/>
        </w:rPr>
        <w:t>介入手术、腔镜手术不在保障范</w:t>
      </w:r>
      <w:r>
        <w:rPr>
          <w:spacing w:val="-71"/>
          <w:shd w:fill="D9D9D9" w:color="auto" w:val="clear"/>
        </w:rPr>
        <w:t>围内。</w:t>
      </w:r>
    </w:p>
    <w:p>
      <w:pPr>
        <w:spacing w:after="0" w:line="273" w:lineRule="auto"/>
        <w:sectPr>
          <w:type w:val="continuous"/>
          <w:pgSz w:w="11910" w:h="16840"/>
          <w:pgMar w:top="520" w:bottom="1060" w:left="1020" w:right="980"/>
          <w:cols w:num="2" w:equalWidth="0">
            <w:col w:w="2840" w:space="40"/>
            <w:col w:w="7030"/>
          </w:cols>
        </w:sect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7"/>
        <w:gridCol w:w="7028"/>
      </w:tblGrid>
      <w:tr>
        <w:trPr>
          <w:trHeight w:val="1087" w:hRule="atLeast"/>
        </w:trPr>
        <w:tc>
          <w:tcPr>
            <w:tcW w:w="1987" w:type="dxa"/>
          </w:tcPr>
          <w:p>
            <w:pPr>
              <w:pStyle w:val="TableParagraph"/>
              <w:spacing w:line="216" w:lineRule="exact"/>
              <w:ind w:left="200"/>
              <w:rPr>
                <w:rFonts w:ascii="Microsoft JhengHei" w:eastAsia="Microsoft JhengHei" w:hint="eastAsia"/>
                <w:b/>
                <w:sz w:val="24"/>
              </w:rPr>
            </w:pPr>
            <w:r>
              <w:rPr>
                <w:rFonts w:ascii="Microsoft JhengHei" w:eastAsia="Microsoft JhengHei" w:hint="eastAsia"/>
                <w:b/>
                <w:sz w:val="24"/>
              </w:rPr>
              <w:t>终末期肾病（或</w:t>
            </w:r>
          </w:p>
          <w:p>
            <w:pPr>
              <w:pStyle w:val="TableParagraph"/>
              <w:spacing w:line="182" w:lineRule="auto" w:before="52"/>
              <w:ind w:left="200" w:right="102"/>
              <w:rPr>
                <w:rFonts w:ascii="Microsoft JhengHei" w:eastAsia="Microsoft JhengHei" w:hint="eastAsia"/>
                <w:b/>
                <w:sz w:val="24"/>
              </w:rPr>
            </w:pPr>
            <w:r>
              <w:rPr>
                <w:rFonts w:ascii="Microsoft JhengHei" w:eastAsia="Microsoft JhengHei" w:hint="eastAsia"/>
                <w:b/>
                <w:sz w:val="24"/>
              </w:rPr>
              <w:t>称慢性肾功能 衰竭尿毒症期）</w:t>
            </w:r>
          </w:p>
        </w:tc>
        <w:tc>
          <w:tcPr>
            <w:tcW w:w="7028" w:type="dxa"/>
          </w:tcPr>
          <w:p>
            <w:pPr>
              <w:pStyle w:val="TableParagraph"/>
              <w:spacing w:line="209" w:lineRule="exact"/>
              <w:ind w:left="104"/>
              <w:rPr>
                <w:sz w:val="21"/>
              </w:rPr>
            </w:pPr>
            <w:r>
              <w:rPr>
                <w:sz w:val="21"/>
              </w:rPr>
              <w:t>指双肾功能慢性不可逆性衰竭，达到尿毒症期，经诊断后已经进行了至少</w:t>
            </w:r>
          </w:p>
          <w:p>
            <w:pPr>
              <w:pStyle w:val="TableParagraph"/>
              <w:spacing w:before="37"/>
              <w:ind w:left="104"/>
              <w:rPr>
                <w:sz w:val="21"/>
              </w:rPr>
            </w:pPr>
            <w:r>
              <w:rPr>
                <w:sz w:val="21"/>
              </w:rPr>
              <w:t>90日的规律性透析治疗或实施了肾脏移植手术。</w:t>
            </w:r>
          </w:p>
        </w:tc>
      </w:tr>
      <w:tr>
        <w:trPr>
          <w:trHeight w:val="914" w:hRule="atLeast"/>
        </w:trPr>
        <w:tc>
          <w:tcPr>
            <w:tcW w:w="1987" w:type="dxa"/>
          </w:tcPr>
          <w:p>
            <w:pPr>
              <w:pStyle w:val="TableParagraph"/>
              <w:spacing w:before="31"/>
              <w:ind w:left="200"/>
              <w:rPr>
                <w:rFonts w:ascii="Microsoft JhengHei" w:eastAsia="Microsoft JhengHei" w:hint="eastAsia"/>
                <w:b/>
                <w:sz w:val="24"/>
              </w:rPr>
            </w:pPr>
            <w:r>
              <w:rPr>
                <w:rFonts w:ascii="Microsoft JhengHei" w:eastAsia="Microsoft JhengHei" w:hint="eastAsia"/>
                <w:b/>
                <w:sz w:val="24"/>
              </w:rPr>
              <w:t>多个肢体缺失</w:t>
            </w:r>
          </w:p>
        </w:tc>
        <w:tc>
          <w:tcPr>
            <w:tcW w:w="7028" w:type="dxa"/>
          </w:tcPr>
          <w:p>
            <w:pPr>
              <w:pStyle w:val="TableParagraph"/>
              <w:spacing w:line="273" w:lineRule="auto" w:before="118"/>
              <w:ind w:left="104" w:right="288"/>
              <w:rPr>
                <w:sz w:val="21"/>
              </w:rPr>
            </w:pPr>
            <w:r>
              <w:rPr>
                <w:spacing w:val="-7"/>
                <w:sz w:val="21"/>
              </w:rPr>
              <w:t>指因疾病或意外伤害导致两个或两个以上肢体自腕关节或踝关节近端</w:t>
            </w:r>
            <w:r>
              <w:rPr>
                <w:spacing w:val="-3"/>
                <w:sz w:val="21"/>
              </w:rPr>
              <w:t>（</w:t>
            </w:r>
            <w:r>
              <w:rPr>
                <w:sz w:val="21"/>
              </w:rPr>
              <w:t>靠</w:t>
            </w:r>
            <w:r>
              <w:rPr>
                <w:spacing w:val="-1"/>
                <w:sz w:val="21"/>
              </w:rPr>
              <w:t>近躯干端</w:t>
            </w:r>
            <w:r>
              <w:rPr>
                <w:spacing w:val="-3"/>
                <w:sz w:val="21"/>
              </w:rPr>
              <w:t>）以上完全性断离。</w:t>
            </w:r>
          </w:p>
        </w:tc>
      </w:tr>
      <w:tr>
        <w:trPr>
          <w:trHeight w:val="2184" w:hRule="atLeast"/>
        </w:trPr>
        <w:tc>
          <w:tcPr>
            <w:tcW w:w="1987" w:type="dxa"/>
          </w:tcPr>
          <w:p>
            <w:pPr>
              <w:pStyle w:val="TableParagraph"/>
              <w:spacing w:line="184" w:lineRule="auto" w:before="149"/>
              <w:ind w:left="200" w:right="342"/>
              <w:rPr>
                <w:rFonts w:ascii="Microsoft JhengHei" w:eastAsia="Microsoft JhengHei" w:hint="eastAsia"/>
                <w:b/>
                <w:sz w:val="24"/>
              </w:rPr>
            </w:pPr>
            <w:r>
              <w:rPr>
                <w:rFonts w:ascii="Microsoft JhengHei" w:eastAsia="Microsoft JhengHei" w:hint="eastAsia"/>
                <w:b/>
                <w:sz w:val="24"/>
              </w:rPr>
              <w:t>急性或亚急性重症肝炎</w:t>
            </w:r>
          </w:p>
        </w:tc>
        <w:tc>
          <w:tcPr>
            <w:tcW w:w="7028" w:type="dxa"/>
          </w:tcPr>
          <w:p>
            <w:pPr>
              <w:pStyle w:val="TableParagraph"/>
              <w:spacing w:line="273" w:lineRule="auto" w:before="140"/>
              <w:ind w:left="104" w:right="288"/>
              <w:rPr>
                <w:sz w:val="21"/>
              </w:rPr>
            </w:pPr>
            <w:r>
              <w:rPr>
                <w:spacing w:val="-8"/>
                <w:sz w:val="21"/>
              </w:rPr>
              <w:t>指因肝炎病毒感染引起肝脏组织弥漫性坏死，导致急性肝功能衰竭，且经</w:t>
            </w:r>
            <w:r>
              <w:rPr>
                <w:spacing w:val="-5"/>
                <w:sz w:val="21"/>
              </w:rPr>
              <w:t>血清学或病毒学检查证实，并须满足下列全部条件：</w:t>
            </w:r>
          </w:p>
          <w:p>
            <w:pPr>
              <w:pStyle w:val="TableParagraph"/>
              <w:spacing w:before="7"/>
              <w:ind w:left="104"/>
              <w:rPr>
                <w:sz w:val="21"/>
              </w:rPr>
            </w:pPr>
            <w:r>
              <w:rPr>
                <w:sz w:val="21"/>
              </w:rPr>
              <w:t>（1）重度黄疸或黄疸迅速加重；</w:t>
            </w:r>
          </w:p>
          <w:p>
            <w:pPr>
              <w:pStyle w:val="TableParagraph"/>
              <w:spacing w:before="36"/>
              <w:ind w:left="104"/>
              <w:rPr>
                <w:sz w:val="21"/>
              </w:rPr>
            </w:pPr>
            <w:r>
              <w:rPr>
                <w:sz w:val="21"/>
              </w:rPr>
              <w:t>（2）肝性脑病；</w:t>
            </w:r>
          </w:p>
          <w:p>
            <w:pPr>
              <w:pStyle w:val="TableParagraph"/>
              <w:spacing w:before="36"/>
              <w:ind w:left="104"/>
              <w:rPr>
                <w:sz w:val="21"/>
              </w:rPr>
            </w:pPr>
            <w:r>
              <w:rPr>
                <w:sz w:val="21"/>
              </w:rPr>
              <w:t>（3）B超或其它影像学检查显示肝脏体积急速萎缩；</w:t>
            </w:r>
          </w:p>
          <w:p>
            <w:pPr>
              <w:pStyle w:val="TableParagraph"/>
              <w:spacing w:before="36"/>
              <w:ind w:left="104"/>
              <w:rPr>
                <w:sz w:val="21"/>
              </w:rPr>
            </w:pPr>
            <w:r>
              <w:rPr>
                <w:sz w:val="21"/>
              </w:rPr>
              <w:t>（4）肝功能指标进行性恶化。</w:t>
            </w:r>
          </w:p>
        </w:tc>
      </w:tr>
      <w:tr>
        <w:trPr>
          <w:trHeight w:val="2496" w:hRule="atLeast"/>
        </w:trPr>
        <w:tc>
          <w:tcPr>
            <w:tcW w:w="1987" w:type="dxa"/>
          </w:tcPr>
          <w:p>
            <w:pPr>
              <w:pStyle w:val="TableParagraph"/>
              <w:spacing w:before="53"/>
              <w:ind w:left="200"/>
              <w:rPr>
                <w:rFonts w:ascii="Microsoft JhengHei" w:eastAsia="Microsoft JhengHei" w:hint="eastAsia"/>
                <w:b/>
                <w:sz w:val="24"/>
              </w:rPr>
            </w:pPr>
            <w:r>
              <w:rPr>
                <w:rFonts w:ascii="Microsoft JhengHei" w:eastAsia="Microsoft JhengHei" w:hint="eastAsia"/>
                <w:b/>
                <w:sz w:val="24"/>
              </w:rPr>
              <w:t>良性脑肿瘤</w:t>
            </w:r>
          </w:p>
        </w:tc>
        <w:tc>
          <w:tcPr>
            <w:tcW w:w="7028" w:type="dxa"/>
          </w:tcPr>
          <w:p>
            <w:pPr>
              <w:pStyle w:val="TableParagraph"/>
              <w:spacing w:line="273" w:lineRule="auto" w:before="140"/>
              <w:ind w:left="104" w:right="198"/>
              <w:jc w:val="both"/>
              <w:rPr>
                <w:sz w:val="21"/>
              </w:rPr>
            </w:pPr>
            <w:r>
              <w:rPr>
                <w:spacing w:val="-10"/>
                <w:sz w:val="21"/>
              </w:rPr>
              <w:t>指脑的良性肿瘤，已经引起颅内压增高，临床表现为视神经乳头水肿、精</w:t>
            </w:r>
            <w:r>
              <w:rPr>
                <w:spacing w:val="-16"/>
                <w:sz w:val="21"/>
              </w:rPr>
              <w:t>神症状、癫痫及运动感觉障碍等，并危及生命。须由头颅断层扫描</w:t>
            </w:r>
            <w:r>
              <w:rPr>
                <w:spacing w:val="-11"/>
                <w:sz w:val="21"/>
              </w:rPr>
              <w:t>（CT）</w:t>
            </w:r>
            <w:r>
              <w:rPr>
                <w:spacing w:val="-44"/>
                <w:sz w:val="21"/>
              </w:rPr>
              <w:t>、</w:t>
            </w:r>
            <w:r>
              <w:rPr>
                <w:spacing w:val="-3"/>
                <w:sz w:val="21"/>
              </w:rPr>
              <w:t>核磁共振检查</w:t>
            </w:r>
            <w:r>
              <w:rPr>
                <w:spacing w:val="-1"/>
                <w:sz w:val="21"/>
              </w:rPr>
              <w:t>（MRI）</w:t>
            </w:r>
            <w:r>
              <w:rPr>
                <w:spacing w:val="-3"/>
                <w:sz w:val="21"/>
              </w:rPr>
              <w:t>或正电子发射断层扫描</w:t>
            </w:r>
            <w:r>
              <w:rPr>
                <w:sz w:val="21"/>
              </w:rPr>
              <w:t>（PET）</w:t>
            </w:r>
            <w:r>
              <w:rPr>
                <w:spacing w:val="-3"/>
                <w:sz w:val="21"/>
              </w:rPr>
              <w:t>等影像学检查证实， 并须满足下列至少一项条件：</w:t>
            </w:r>
          </w:p>
          <w:p>
            <w:pPr>
              <w:pStyle w:val="TableParagraph"/>
              <w:spacing w:before="7"/>
              <w:ind w:left="104"/>
              <w:jc w:val="both"/>
              <w:rPr>
                <w:sz w:val="21"/>
              </w:rPr>
            </w:pPr>
            <w:r>
              <w:rPr>
                <w:sz w:val="21"/>
              </w:rPr>
              <w:t>（1）实际实施了开颅进行的脑肿瘤完全切除或部分切除的手术；</w:t>
            </w:r>
          </w:p>
          <w:p>
            <w:pPr>
              <w:pStyle w:val="TableParagraph"/>
              <w:spacing w:before="37"/>
              <w:ind w:left="104"/>
              <w:jc w:val="both"/>
              <w:rPr>
                <w:sz w:val="21"/>
              </w:rPr>
            </w:pPr>
            <w:r>
              <w:rPr>
                <w:sz w:val="21"/>
              </w:rPr>
              <w:t>（2）实际实施了对脑肿瘤进行的放射治疗。</w:t>
            </w:r>
          </w:p>
          <w:p>
            <w:pPr>
              <w:pStyle w:val="TableParagraph"/>
              <w:spacing w:before="37"/>
              <w:ind w:left="104"/>
              <w:jc w:val="both"/>
              <w:rPr>
                <w:sz w:val="21"/>
              </w:rPr>
            </w:pPr>
            <w:r>
              <w:rPr>
                <w:sz w:val="21"/>
                <w:shd w:fill="D9D9D9" w:color="auto" w:val="clear"/>
              </w:rPr>
              <w:t>脑垂体瘤、脑囊肿、脑血管性疾病不在保障范围内。</w:t>
            </w:r>
          </w:p>
        </w:tc>
      </w:tr>
      <w:tr>
        <w:trPr>
          <w:trHeight w:val="2184" w:hRule="atLeast"/>
        </w:trPr>
        <w:tc>
          <w:tcPr>
            <w:tcW w:w="1987" w:type="dxa"/>
          </w:tcPr>
          <w:p>
            <w:pPr>
              <w:pStyle w:val="TableParagraph"/>
              <w:spacing w:line="184" w:lineRule="auto" w:before="149"/>
              <w:ind w:left="200" w:right="342"/>
              <w:rPr>
                <w:rFonts w:ascii="Microsoft JhengHei" w:eastAsia="Microsoft JhengHei" w:hint="eastAsia"/>
                <w:b/>
                <w:sz w:val="24"/>
              </w:rPr>
            </w:pPr>
            <w:r>
              <w:rPr>
                <w:rFonts w:ascii="Microsoft JhengHei" w:eastAsia="Microsoft JhengHei" w:hint="eastAsia"/>
                <w:b/>
                <w:sz w:val="24"/>
              </w:rPr>
              <w:t>慢性肝功能衰竭失代偿期</w:t>
            </w:r>
          </w:p>
        </w:tc>
        <w:tc>
          <w:tcPr>
            <w:tcW w:w="7028" w:type="dxa"/>
          </w:tcPr>
          <w:p>
            <w:pPr>
              <w:pStyle w:val="TableParagraph"/>
              <w:spacing w:before="140"/>
              <w:ind w:left="104"/>
              <w:rPr>
                <w:sz w:val="21"/>
              </w:rPr>
            </w:pPr>
            <w:r>
              <w:rPr>
                <w:sz w:val="21"/>
              </w:rPr>
              <w:t>指因慢性肝脏疾病导致肝功能衰竭。须满足下列全部条件：</w:t>
            </w:r>
          </w:p>
          <w:p>
            <w:pPr>
              <w:pStyle w:val="TableParagraph"/>
              <w:spacing w:before="37"/>
              <w:ind w:left="104"/>
              <w:rPr>
                <w:sz w:val="21"/>
              </w:rPr>
            </w:pPr>
            <w:r>
              <w:rPr>
                <w:sz w:val="21"/>
              </w:rPr>
              <w:t>（1）持续性黄疸；</w:t>
            </w:r>
          </w:p>
          <w:p>
            <w:pPr>
              <w:pStyle w:val="TableParagraph"/>
              <w:spacing w:before="37"/>
              <w:ind w:left="104"/>
              <w:rPr>
                <w:sz w:val="21"/>
              </w:rPr>
            </w:pPr>
            <w:r>
              <w:rPr>
                <w:sz w:val="21"/>
              </w:rPr>
              <w:t>（2）腹水；</w:t>
            </w:r>
          </w:p>
          <w:p>
            <w:pPr>
              <w:pStyle w:val="TableParagraph"/>
              <w:spacing w:before="37"/>
              <w:ind w:left="104"/>
              <w:rPr>
                <w:sz w:val="21"/>
              </w:rPr>
            </w:pPr>
            <w:r>
              <w:rPr>
                <w:sz w:val="21"/>
              </w:rPr>
              <w:t>（3）肝性脑病；</w:t>
            </w:r>
          </w:p>
          <w:p>
            <w:pPr>
              <w:pStyle w:val="TableParagraph"/>
              <w:spacing w:line="273" w:lineRule="auto" w:before="37"/>
              <w:ind w:left="104" w:right="1772"/>
              <w:rPr>
                <w:sz w:val="21"/>
              </w:rPr>
            </w:pPr>
            <w:r>
              <w:rPr>
                <w:sz w:val="21"/>
              </w:rPr>
              <w:t>（4）充血性脾肿大伴脾功能亢进或食管胃底静脉曲张。</w:t>
            </w:r>
            <w:r>
              <w:rPr>
                <w:sz w:val="21"/>
                <w:shd w:fill="D9D9D9" w:color="auto" w:val="clear"/>
              </w:rPr>
              <w:t>因酗酒或药物滥用导致的肝功能衰竭不在保障范围内。</w:t>
            </w:r>
          </w:p>
        </w:tc>
      </w:tr>
      <w:tr>
        <w:trPr>
          <w:trHeight w:val="2184" w:hRule="atLeast"/>
        </w:trPr>
        <w:tc>
          <w:tcPr>
            <w:tcW w:w="1987" w:type="dxa"/>
          </w:tcPr>
          <w:p>
            <w:pPr>
              <w:pStyle w:val="TableParagraph"/>
              <w:spacing w:line="184" w:lineRule="auto" w:before="149"/>
              <w:ind w:left="200" w:right="342"/>
              <w:rPr>
                <w:rFonts w:ascii="Microsoft JhengHei" w:eastAsia="Microsoft JhengHei" w:hint="eastAsia"/>
                <w:b/>
                <w:sz w:val="24"/>
              </w:rPr>
            </w:pPr>
            <w:r>
              <w:rPr>
                <w:rFonts w:ascii="Microsoft JhengHei" w:eastAsia="Microsoft JhengHei" w:hint="eastAsia"/>
                <w:b/>
                <w:sz w:val="24"/>
              </w:rPr>
              <w:t>脑炎后遗症或脑膜炎后遗症</w:t>
            </w:r>
          </w:p>
        </w:tc>
        <w:tc>
          <w:tcPr>
            <w:tcW w:w="7028" w:type="dxa"/>
          </w:tcPr>
          <w:p>
            <w:pPr>
              <w:pStyle w:val="TableParagraph"/>
              <w:spacing w:line="273" w:lineRule="auto" w:before="140"/>
              <w:ind w:left="104" w:right="289"/>
              <w:rPr>
                <w:sz w:val="21"/>
              </w:rPr>
            </w:pPr>
            <w:r>
              <w:rPr>
                <w:spacing w:val="-7"/>
                <w:sz w:val="21"/>
              </w:rPr>
              <w:t>指因患脑炎或脑膜炎导致的神经系统永久性的功能障碍。神经系统永久性</w:t>
            </w:r>
            <w:r>
              <w:rPr>
                <w:spacing w:val="-3"/>
                <w:sz w:val="21"/>
              </w:rPr>
              <w:t>的功能障碍，指疾病确诊</w:t>
            </w:r>
            <w:r>
              <w:rPr>
                <w:sz w:val="21"/>
              </w:rPr>
              <w:t>180</w:t>
            </w:r>
            <w:r>
              <w:rPr>
                <w:spacing w:val="-3"/>
                <w:sz w:val="21"/>
              </w:rPr>
              <w:t>日后，仍遗留下列一种或一种以上障碍：</w:t>
            </w:r>
          </w:p>
          <w:p>
            <w:pPr>
              <w:pStyle w:val="TableParagraph"/>
              <w:spacing w:before="7"/>
              <w:ind w:left="104"/>
              <w:rPr>
                <w:sz w:val="21"/>
              </w:rPr>
            </w:pPr>
            <w:r>
              <w:rPr>
                <w:sz w:val="21"/>
              </w:rPr>
              <w:t>（1）一肢或一肢以上肢体机能完全丧失；</w:t>
            </w:r>
          </w:p>
          <w:p>
            <w:pPr>
              <w:pStyle w:val="TableParagraph"/>
              <w:spacing w:before="36"/>
              <w:ind w:left="104"/>
              <w:rPr>
                <w:sz w:val="21"/>
              </w:rPr>
            </w:pPr>
            <w:r>
              <w:rPr>
                <w:sz w:val="21"/>
              </w:rPr>
              <w:t>（2）语言能力或咀嚼吞咽能力完全丧失；</w:t>
            </w:r>
          </w:p>
          <w:p>
            <w:pPr>
              <w:pStyle w:val="TableParagraph"/>
              <w:spacing w:line="273" w:lineRule="auto" w:before="36"/>
              <w:ind w:left="104" w:right="291"/>
              <w:rPr>
                <w:sz w:val="21"/>
              </w:rPr>
            </w:pPr>
            <w:r>
              <w:rPr>
                <w:sz w:val="21"/>
              </w:rPr>
              <w:t>（3）自主生活能力完全丧失，无法独立完成六项基本日常生活活动中的三项或三项以上。</w:t>
            </w:r>
          </w:p>
        </w:tc>
      </w:tr>
      <w:tr>
        <w:trPr>
          <w:trHeight w:val="1560" w:hRule="atLeast"/>
        </w:trPr>
        <w:tc>
          <w:tcPr>
            <w:tcW w:w="1987" w:type="dxa"/>
          </w:tcPr>
          <w:p>
            <w:pPr>
              <w:pStyle w:val="TableParagraph"/>
              <w:spacing w:before="53"/>
              <w:ind w:left="200"/>
              <w:rPr>
                <w:rFonts w:ascii="Microsoft JhengHei" w:eastAsia="Microsoft JhengHei" w:hint="eastAsia"/>
                <w:b/>
                <w:sz w:val="24"/>
              </w:rPr>
            </w:pPr>
            <w:r>
              <w:rPr>
                <w:rFonts w:ascii="Microsoft JhengHei" w:eastAsia="Microsoft JhengHei" w:hint="eastAsia"/>
                <w:b/>
                <w:sz w:val="24"/>
              </w:rPr>
              <w:t>深度昏迷</w:t>
            </w:r>
          </w:p>
        </w:tc>
        <w:tc>
          <w:tcPr>
            <w:tcW w:w="7028" w:type="dxa"/>
          </w:tcPr>
          <w:p>
            <w:pPr>
              <w:pStyle w:val="TableParagraph"/>
              <w:spacing w:line="273" w:lineRule="auto" w:before="140"/>
              <w:ind w:left="104" w:right="290"/>
              <w:jc w:val="both"/>
              <w:rPr>
                <w:sz w:val="21"/>
              </w:rPr>
            </w:pPr>
            <w:r>
              <w:rPr>
                <w:spacing w:val="-10"/>
                <w:sz w:val="21"/>
              </w:rPr>
              <w:t>指因疾病或意外伤害导致意识丧失，对外界刺激和体内需求均无反应，昏</w:t>
            </w:r>
            <w:r>
              <w:rPr>
                <w:spacing w:val="-3"/>
                <w:sz w:val="21"/>
              </w:rPr>
              <w:t>迷程度按照格拉斯哥昏迷分级</w:t>
            </w:r>
            <w:r>
              <w:rPr>
                <w:sz w:val="21"/>
              </w:rPr>
              <w:t>（Glasgow</w:t>
            </w:r>
            <w:r>
              <w:rPr>
                <w:spacing w:val="-39"/>
                <w:sz w:val="21"/>
              </w:rPr>
              <w:t> </w:t>
            </w:r>
            <w:r>
              <w:rPr>
                <w:sz w:val="21"/>
              </w:rPr>
              <w:t>coma</w:t>
            </w:r>
            <w:r>
              <w:rPr>
                <w:spacing w:val="-39"/>
                <w:sz w:val="21"/>
              </w:rPr>
              <w:t> </w:t>
            </w:r>
            <w:r>
              <w:rPr>
                <w:sz w:val="21"/>
              </w:rPr>
              <w:t>scale）结果为</w:t>
            </w:r>
            <w:r>
              <w:rPr>
                <w:spacing w:val="-3"/>
                <w:sz w:val="21"/>
              </w:rPr>
              <w:t>5</w:t>
            </w:r>
            <w:r>
              <w:rPr>
                <w:sz w:val="21"/>
              </w:rPr>
              <w:t>分或</w:t>
            </w:r>
            <w:r>
              <w:rPr>
                <w:spacing w:val="-3"/>
                <w:sz w:val="21"/>
              </w:rPr>
              <w:t>5</w:t>
            </w:r>
            <w:r>
              <w:rPr>
                <w:sz w:val="21"/>
              </w:rPr>
              <w:t>分以</w:t>
            </w:r>
            <w:r>
              <w:rPr>
                <w:spacing w:val="-3"/>
                <w:sz w:val="21"/>
              </w:rPr>
              <w:t>下，且已经持续使用呼吸机及其它生命维持系统</w:t>
            </w:r>
            <w:r>
              <w:rPr>
                <w:sz w:val="21"/>
              </w:rPr>
              <w:t>96</w:t>
            </w:r>
            <w:r>
              <w:rPr>
                <w:spacing w:val="-1"/>
                <w:sz w:val="21"/>
              </w:rPr>
              <w:t>小时以上。</w:t>
            </w:r>
          </w:p>
          <w:p>
            <w:pPr>
              <w:pStyle w:val="TableParagraph"/>
              <w:spacing w:before="7"/>
              <w:ind w:left="104"/>
              <w:jc w:val="both"/>
              <w:rPr>
                <w:sz w:val="21"/>
              </w:rPr>
            </w:pPr>
            <w:r>
              <w:rPr>
                <w:sz w:val="21"/>
                <w:shd w:fill="D9D9D9" w:color="auto" w:val="clear"/>
              </w:rPr>
              <w:t>因酗酒或药物滥用导致的深度昏迷不在保障范围内。</w:t>
            </w:r>
          </w:p>
        </w:tc>
      </w:tr>
      <w:tr>
        <w:trPr>
          <w:trHeight w:val="1353" w:hRule="atLeast"/>
        </w:trPr>
        <w:tc>
          <w:tcPr>
            <w:tcW w:w="1987" w:type="dxa"/>
          </w:tcPr>
          <w:p>
            <w:pPr>
              <w:pStyle w:val="TableParagraph"/>
              <w:spacing w:before="53"/>
              <w:ind w:left="200"/>
              <w:rPr>
                <w:rFonts w:ascii="Microsoft JhengHei" w:eastAsia="Microsoft JhengHei" w:hint="eastAsia"/>
                <w:b/>
                <w:sz w:val="24"/>
              </w:rPr>
            </w:pPr>
            <w:r>
              <w:rPr>
                <w:rFonts w:ascii="Microsoft JhengHei" w:eastAsia="Microsoft JhengHei" w:hint="eastAsia"/>
                <w:b/>
                <w:sz w:val="24"/>
              </w:rPr>
              <w:t>双耳失聪</w:t>
            </w:r>
          </w:p>
        </w:tc>
        <w:tc>
          <w:tcPr>
            <w:tcW w:w="7028" w:type="dxa"/>
          </w:tcPr>
          <w:p>
            <w:pPr>
              <w:pStyle w:val="TableParagraph"/>
              <w:spacing w:line="273" w:lineRule="auto" w:before="140"/>
              <w:ind w:left="104" w:right="288"/>
              <w:jc w:val="both"/>
              <w:rPr>
                <w:sz w:val="21"/>
              </w:rPr>
            </w:pPr>
            <w:r>
              <w:rPr>
                <w:spacing w:val="-3"/>
                <w:sz w:val="21"/>
              </w:rPr>
              <w:t>指因疾病或意外伤害导致双耳听力</w:t>
            </w:r>
            <w:r>
              <w:rPr>
                <w:rFonts w:ascii="黑体" w:eastAsia="黑体" w:hint="eastAsia"/>
                <w:b/>
                <w:sz w:val="21"/>
              </w:rPr>
              <w:t>永久不可逆</w:t>
            </w:r>
            <w:r>
              <w:rPr>
                <w:sz w:val="21"/>
              </w:rPr>
              <w:t>（</w:t>
            </w:r>
            <w:r>
              <w:rPr>
                <w:spacing w:val="-3"/>
                <w:sz w:val="21"/>
              </w:rPr>
              <w:t>见</w:t>
            </w:r>
            <w:r>
              <w:rPr>
                <w:sz w:val="21"/>
              </w:rPr>
              <w:t>7.10）</w:t>
            </w:r>
            <w:r>
              <w:rPr>
                <w:spacing w:val="-3"/>
                <w:sz w:val="21"/>
              </w:rPr>
              <w:t>性丧失，在</w:t>
            </w:r>
            <w:r>
              <w:rPr>
                <w:sz w:val="21"/>
              </w:rPr>
              <w:t>500 </w:t>
            </w:r>
            <w:r>
              <w:rPr>
                <w:spacing w:val="-12"/>
                <w:sz w:val="21"/>
              </w:rPr>
              <w:t>赫兹、</w:t>
            </w:r>
            <w:r>
              <w:rPr>
                <w:sz w:val="21"/>
              </w:rPr>
              <w:t>1000</w:t>
            </w:r>
            <w:r>
              <w:rPr>
                <w:spacing w:val="-2"/>
                <w:sz w:val="21"/>
              </w:rPr>
              <w:t>赫兹和</w:t>
            </w:r>
            <w:r>
              <w:rPr>
                <w:sz w:val="21"/>
              </w:rPr>
              <w:t>2000</w:t>
            </w:r>
            <w:r>
              <w:rPr>
                <w:spacing w:val="-7"/>
                <w:sz w:val="21"/>
              </w:rPr>
              <w:t>赫兹语音频率下，平均听阈大于</w:t>
            </w:r>
            <w:r>
              <w:rPr>
                <w:sz w:val="21"/>
              </w:rPr>
              <w:t>90</w:t>
            </w:r>
            <w:r>
              <w:rPr>
                <w:spacing w:val="-7"/>
                <w:sz w:val="21"/>
              </w:rPr>
              <w:t>分贝，且经纯音</w:t>
            </w:r>
            <w:r>
              <w:rPr>
                <w:spacing w:val="-5"/>
                <w:sz w:val="21"/>
              </w:rPr>
              <w:t>听力测试、声导抗检测或听觉诱发电位检测等证实。</w:t>
            </w:r>
          </w:p>
          <w:p>
            <w:pPr>
              <w:pStyle w:val="TableParagraph"/>
              <w:spacing w:line="257" w:lineRule="exact" w:before="7"/>
              <w:ind w:left="104"/>
              <w:jc w:val="both"/>
              <w:rPr>
                <w:sz w:val="21"/>
              </w:rPr>
            </w:pPr>
            <w:r>
              <w:rPr>
                <w:sz w:val="21"/>
                <w:shd w:fill="D9D9D9" w:color="auto" w:val="clear"/>
              </w:rPr>
              <w:t>在0至3周岁保单周年日期间，被保险人双耳失聪不在保障范围内。</w:t>
            </w:r>
          </w:p>
        </w:tc>
      </w:tr>
    </w:tbl>
    <w:p>
      <w:pPr>
        <w:spacing w:after="0" w:line="257" w:lineRule="exact"/>
        <w:jc w:val="both"/>
        <w:rPr>
          <w:sz w:val="21"/>
        </w:rPr>
        <w:sectPr>
          <w:pgSz w:w="11910" w:h="16840"/>
          <w:pgMar w:header="0" w:footer="862" w:top="1480" w:bottom="1040" w:left="1680" w:right="800"/>
        </w:sectPr>
      </w:pPr>
    </w:p>
    <w:tbl>
      <w:tblPr>
        <w:tblW w:w="0" w:type="auto"/>
        <w:jc w:val="left"/>
        <w:tblInd w:w="8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7"/>
        <w:gridCol w:w="7151"/>
      </w:tblGrid>
      <w:tr>
        <w:trPr>
          <w:trHeight w:val="1977" w:hRule="atLeast"/>
        </w:trPr>
        <w:tc>
          <w:tcPr>
            <w:tcW w:w="1867" w:type="dxa"/>
          </w:tcPr>
          <w:p>
            <w:pPr>
              <w:pStyle w:val="TableParagraph"/>
              <w:spacing w:line="264" w:lineRule="exact"/>
              <w:ind w:left="200"/>
              <w:rPr>
                <w:rFonts w:ascii="Microsoft JhengHei" w:eastAsia="Microsoft JhengHei" w:hint="eastAsia"/>
                <w:b/>
                <w:sz w:val="24"/>
              </w:rPr>
            </w:pPr>
            <w:r>
              <w:rPr>
                <w:rFonts w:ascii="Microsoft JhengHei" w:eastAsia="Microsoft JhengHei" w:hint="eastAsia"/>
                <w:b/>
                <w:sz w:val="24"/>
              </w:rPr>
              <w:t>双目失明</w:t>
            </w:r>
          </w:p>
        </w:tc>
        <w:tc>
          <w:tcPr>
            <w:tcW w:w="7151" w:type="dxa"/>
          </w:tcPr>
          <w:p>
            <w:pPr>
              <w:pStyle w:val="TableParagraph"/>
              <w:spacing w:line="209" w:lineRule="exact"/>
              <w:ind w:left="224"/>
              <w:rPr>
                <w:sz w:val="21"/>
              </w:rPr>
            </w:pPr>
            <w:r>
              <w:rPr>
                <w:sz w:val="21"/>
              </w:rPr>
              <w:t>指因疾病或意外伤害导致双眼视力永久不可逆性丧失，双眼中较好眼须满</w:t>
            </w:r>
          </w:p>
          <w:p>
            <w:pPr>
              <w:pStyle w:val="TableParagraph"/>
              <w:spacing w:before="37"/>
              <w:ind w:left="224"/>
              <w:rPr>
                <w:sz w:val="21"/>
              </w:rPr>
            </w:pPr>
            <w:r>
              <w:rPr>
                <w:sz w:val="21"/>
              </w:rPr>
              <w:t>足下列至少一项条件：</w:t>
            </w:r>
          </w:p>
          <w:p>
            <w:pPr>
              <w:pStyle w:val="TableParagraph"/>
              <w:spacing w:before="36"/>
              <w:ind w:left="224"/>
              <w:rPr>
                <w:sz w:val="21"/>
              </w:rPr>
            </w:pPr>
            <w:r>
              <w:rPr>
                <w:sz w:val="21"/>
              </w:rPr>
              <w:t>（1）眼球缺失或摘除；</w:t>
            </w:r>
          </w:p>
          <w:p>
            <w:pPr>
              <w:pStyle w:val="TableParagraph"/>
              <w:spacing w:line="273" w:lineRule="auto" w:before="36"/>
              <w:ind w:left="224" w:right="294"/>
              <w:rPr>
                <w:sz w:val="21"/>
              </w:rPr>
            </w:pPr>
            <w:r>
              <w:rPr>
                <w:sz w:val="21"/>
              </w:rPr>
              <w:t>（2）矫正视力低于0.02（采用国际标准视力表，如果使用其它视力表应进行换算）；</w:t>
            </w:r>
          </w:p>
          <w:p>
            <w:pPr>
              <w:pStyle w:val="TableParagraph"/>
              <w:spacing w:before="7"/>
              <w:ind w:left="224"/>
              <w:rPr>
                <w:sz w:val="21"/>
              </w:rPr>
            </w:pPr>
            <w:r>
              <w:rPr>
                <w:sz w:val="21"/>
              </w:rPr>
              <w:t>（3）视野半径小于5度。</w:t>
            </w:r>
          </w:p>
        </w:tc>
      </w:tr>
      <w:tr>
        <w:trPr>
          <w:trHeight w:val="1247" w:hRule="atLeast"/>
        </w:trPr>
        <w:tc>
          <w:tcPr>
            <w:tcW w:w="1867" w:type="dxa"/>
          </w:tcPr>
          <w:p>
            <w:pPr>
              <w:pStyle w:val="TableParagraph"/>
              <w:spacing w:before="53"/>
              <w:ind w:left="200"/>
              <w:rPr>
                <w:rFonts w:ascii="Microsoft JhengHei" w:eastAsia="Microsoft JhengHei" w:hint="eastAsia"/>
                <w:b/>
                <w:sz w:val="24"/>
              </w:rPr>
            </w:pPr>
            <w:r>
              <w:rPr>
                <w:rFonts w:ascii="Microsoft JhengHei" w:eastAsia="Microsoft JhengHei" w:hint="eastAsia"/>
                <w:b/>
                <w:sz w:val="24"/>
              </w:rPr>
              <w:t>瘫痪</w:t>
            </w:r>
          </w:p>
        </w:tc>
        <w:tc>
          <w:tcPr>
            <w:tcW w:w="7151" w:type="dxa"/>
          </w:tcPr>
          <w:p>
            <w:pPr>
              <w:pStyle w:val="TableParagraph"/>
              <w:spacing w:line="273" w:lineRule="auto" w:before="140"/>
              <w:ind w:left="224" w:right="292"/>
              <w:jc w:val="both"/>
              <w:rPr>
                <w:sz w:val="21"/>
              </w:rPr>
            </w:pPr>
            <w:r>
              <w:rPr>
                <w:spacing w:val="-7"/>
                <w:sz w:val="21"/>
              </w:rPr>
              <w:t>指因疾病或意外伤害导致两肢或两肢以上肢体机能永久完全丧失。肢体机</w:t>
            </w:r>
            <w:r>
              <w:rPr>
                <w:spacing w:val="-10"/>
                <w:sz w:val="21"/>
              </w:rPr>
              <w:t>能永久完全丧失，指疾病确诊</w:t>
            </w:r>
            <w:r>
              <w:rPr>
                <w:sz w:val="21"/>
              </w:rPr>
              <w:t>180</w:t>
            </w:r>
            <w:r>
              <w:rPr>
                <w:spacing w:val="-3"/>
                <w:sz w:val="21"/>
              </w:rPr>
              <w:t>日后或意外伤害发生</w:t>
            </w:r>
            <w:r>
              <w:rPr>
                <w:sz w:val="21"/>
              </w:rPr>
              <w:t>180</w:t>
            </w:r>
            <w:r>
              <w:rPr>
                <w:spacing w:val="-9"/>
                <w:sz w:val="21"/>
              </w:rPr>
              <w:t>日后，每肢三大</w:t>
            </w:r>
            <w:r>
              <w:rPr>
                <w:spacing w:val="-5"/>
                <w:sz w:val="21"/>
              </w:rPr>
              <w:t>关节中的两大关节仍然完全僵硬，或不能随意识活动。</w:t>
            </w:r>
          </w:p>
        </w:tc>
      </w:tr>
      <w:tr>
        <w:trPr>
          <w:trHeight w:val="936" w:hRule="atLeast"/>
        </w:trPr>
        <w:tc>
          <w:tcPr>
            <w:tcW w:w="1867" w:type="dxa"/>
          </w:tcPr>
          <w:p>
            <w:pPr>
              <w:pStyle w:val="TableParagraph"/>
              <w:spacing w:before="53"/>
              <w:ind w:left="200"/>
              <w:rPr>
                <w:rFonts w:ascii="Microsoft JhengHei" w:eastAsia="Microsoft JhengHei" w:hint="eastAsia"/>
                <w:b/>
                <w:sz w:val="24"/>
              </w:rPr>
            </w:pPr>
            <w:r>
              <w:rPr>
                <w:rFonts w:ascii="Microsoft JhengHei" w:eastAsia="Microsoft JhengHei" w:hint="eastAsia"/>
                <w:b/>
                <w:sz w:val="24"/>
              </w:rPr>
              <w:t>心脏瓣膜手术</w:t>
            </w:r>
          </w:p>
        </w:tc>
        <w:tc>
          <w:tcPr>
            <w:tcW w:w="7151" w:type="dxa"/>
          </w:tcPr>
          <w:p>
            <w:pPr>
              <w:pStyle w:val="TableParagraph"/>
              <w:spacing w:line="273" w:lineRule="auto" w:before="140"/>
              <w:ind w:left="224" w:right="292"/>
              <w:rPr>
                <w:sz w:val="21"/>
              </w:rPr>
            </w:pPr>
            <w:r>
              <w:rPr>
                <w:spacing w:val="-12"/>
                <w:sz w:val="21"/>
              </w:rPr>
              <w:t>指为治疗心脏瓣膜疾病，实际实施了开胸进行的心脏瓣膜置换或修复的手术。</w:t>
            </w:r>
          </w:p>
        </w:tc>
      </w:tr>
      <w:tr>
        <w:trPr>
          <w:trHeight w:val="2184" w:hRule="atLeast"/>
        </w:trPr>
        <w:tc>
          <w:tcPr>
            <w:tcW w:w="1867" w:type="dxa"/>
          </w:tcPr>
          <w:p>
            <w:pPr>
              <w:pStyle w:val="TableParagraph"/>
              <w:spacing w:line="184" w:lineRule="auto" w:before="149"/>
              <w:ind w:left="200" w:right="222"/>
              <w:rPr>
                <w:rFonts w:ascii="Microsoft JhengHei" w:eastAsia="Microsoft JhengHei" w:hint="eastAsia"/>
                <w:b/>
                <w:sz w:val="24"/>
              </w:rPr>
            </w:pPr>
            <w:r>
              <w:rPr>
                <w:rFonts w:ascii="Microsoft JhengHei" w:eastAsia="Microsoft JhengHei" w:hint="eastAsia"/>
                <w:b/>
                <w:sz w:val="24"/>
              </w:rPr>
              <w:t>严重阿尔茨海默病</w:t>
            </w:r>
          </w:p>
        </w:tc>
        <w:tc>
          <w:tcPr>
            <w:tcW w:w="7151" w:type="dxa"/>
          </w:tcPr>
          <w:p>
            <w:pPr>
              <w:pStyle w:val="TableParagraph"/>
              <w:spacing w:line="273" w:lineRule="auto" w:before="140"/>
              <w:ind w:left="224" w:right="293"/>
              <w:jc w:val="both"/>
              <w:rPr>
                <w:sz w:val="21"/>
              </w:rPr>
            </w:pPr>
            <w:r>
              <w:rPr>
                <w:spacing w:val="-10"/>
                <w:sz w:val="21"/>
              </w:rPr>
              <w:t>指因大脑进行性、不可逆性改变导致智能严重衰退或丧失，临床表现为明</w:t>
            </w:r>
            <w:r>
              <w:rPr>
                <w:spacing w:val="-12"/>
                <w:sz w:val="21"/>
              </w:rPr>
              <w:t>显的认知能力障碍、行为异常和社交能力减退，其日常生活必须持续受到</w:t>
            </w:r>
            <w:r>
              <w:rPr>
                <w:spacing w:val="-7"/>
                <w:sz w:val="21"/>
              </w:rPr>
              <w:t>他人监护。须由头颅断层扫描</w:t>
            </w:r>
            <w:r>
              <w:rPr>
                <w:sz w:val="21"/>
              </w:rPr>
              <w:t>（CT）</w:t>
            </w:r>
            <w:r>
              <w:rPr>
                <w:spacing w:val="-3"/>
                <w:sz w:val="21"/>
              </w:rPr>
              <w:t>、核磁共振检查</w:t>
            </w:r>
            <w:r>
              <w:rPr>
                <w:sz w:val="21"/>
              </w:rPr>
              <w:t>（MRI）</w:t>
            </w:r>
            <w:r>
              <w:rPr>
                <w:spacing w:val="-2"/>
                <w:sz w:val="21"/>
              </w:rPr>
              <w:t>或正电子发</w:t>
            </w:r>
            <w:r>
              <w:rPr>
                <w:spacing w:val="-3"/>
                <w:sz w:val="21"/>
              </w:rPr>
              <w:t>射断层扫描</w:t>
            </w:r>
            <w:r>
              <w:rPr>
                <w:sz w:val="21"/>
              </w:rPr>
              <w:t>（PET）</w:t>
            </w:r>
            <w:r>
              <w:rPr>
                <w:spacing w:val="-3"/>
                <w:sz w:val="21"/>
              </w:rPr>
              <w:t>等影像学检查证实，且自主生活能力完全丧失，无法独立完成六项基本日常生活活动中的三项或三项以上。</w:t>
            </w:r>
          </w:p>
          <w:p>
            <w:pPr>
              <w:pStyle w:val="TableParagraph"/>
              <w:spacing w:before="7"/>
              <w:ind w:left="224"/>
              <w:jc w:val="both"/>
              <w:rPr>
                <w:sz w:val="21"/>
              </w:rPr>
            </w:pPr>
            <w:r>
              <w:rPr>
                <w:sz w:val="21"/>
                <w:shd w:fill="D9D9D9" w:color="auto" w:val="clear"/>
              </w:rPr>
              <w:t>神经官能症和精神疾病不在保障范围内。</w:t>
            </w:r>
          </w:p>
        </w:tc>
      </w:tr>
      <w:tr>
        <w:trPr>
          <w:trHeight w:val="2808" w:hRule="atLeast"/>
        </w:trPr>
        <w:tc>
          <w:tcPr>
            <w:tcW w:w="1867" w:type="dxa"/>
          </w:tcPr>
          <w:p>
            <w:pPr>
              <w:pStyle w:val="TableParagraph"/>
              <w:spacing w:before="53"/>
              <w:ind w:left="200"/>
              <w:rPr>
                <w:rFonts w:ascii="Microsoft JhengHei" w:eastAsia="Microsoft JhengHei" w:hint="eastAsia"/>
                <w:b/>
                <w:sz w:val="24"/>
              </w:rPr>
            </w:pPr>
            <w:r>
              <w:rPr>
                <w:rFonts w:ascii="Microsoft JhengHei" w:eastAsia="Microsoft JhengHei" w:hint="eastAsia"/>
                <w:b/>
                <w:sz w:val="24"/>
              </w:rPr>
              <w:t>严重脑损伤</w:t>
            </w:r>
          </w:p>
        </w:tc>
        <w:tc>
          <w:tcPr>
            <w:tcW w:w="7151" w:type="dxa"/>
          </w:tcPr>
          <w:p>
            <w:pPr>
              <w:pStyle w:val="TableParagraph"/>
              <w:spacing w:line="273" w:lineRule="auto" w:before="140"/>
              <w:ind w:left="224" w:right="291"/>
              <w:jc w:val="both"/>
              <w:rPr>
                <w:sz w:val="21"/>
              </w:rPr>
            </w:pPr>
            <w:r>
              <w:rPr>
                <w:spacing w:val="-9"/>
                <w:sz w:val="21"/>
              </w:rPr>
              <w:t>指因头部遭受机械性外力，引起脑重要部位损伤，导致神经系统永久性的</w:t>
            </w:r>
            <w:r>
              <w:rPr>
                <w:spacing w:val="-6"/>
                <w:sz w:val="21"/>
              </w:rPr>
              <w:t>功能障碍。须由头颅断层扫描</w:t>
            </w:r>
            <w:r>
              <w:rPr>
                <w:sz w:val="21"/>
              </w:rPr>
              <w:t>（CT）</w:t>
            </w:r>
            <w:r>
              <w:rPr>
                <w:spacing w:val="-3"/>
                <w:sz w:val="21"/>
              </w:rPr>
              <w:t>、核磁共振检查</w:t>
            </w:r>
            <w:r>
              <w:rPr>
                <w:sz w:val="21"/>
              </w:rPr>
              <w:t>（MRI）</w:t>
            </w:r>
            <w:r>
              <w:rPr>
                <w:spacing w:val="-2"/>
                <w:sz w:val="21"/>
              </w:rPr>
              <w:t>或正电子发</w:t>
            </w:r>
            <w:r>
              <w:rPr>
                <w:spacing w:val="-3"/>
                <w:sz w:val="21"/>
              </w:rPr>
              <w:t>射断层扫描</w:t>
            </w:r>
            <w:r>
              <w:rPr>
                <w:sz w:val="21"/>
              </w:rPr>
              <w:t>（PET）</w:t>
            </w:r>
            <w:r>
              <w:rPr>
                <w:spacing w:val="-3"/>
                <w:sz w:val="21"/>
              </w:rPr>
              <w:t>等影像学检查证实。神经系统永久性的功能障碍，指</w:t>
            </w:r>
            <w:r>
              <w:rPr>
                <w:spacing w:val="-2"/>
                <w:sz w:val="21"/>
              </w:rPr>
              <w:t>脑损伤</w:t>
            </w:r>
            <w:r>
              <w:rPr>
                <w:spacing w:val="-1"/>
                <w:sz w:val="21"/>
              </w:rPr>
              <w:t>180</w:t>
            </w:r>
            <w:r>
              <w:rPr>
                <w:spacing w:val="-3"/>
                <w:sz w:val="21"/>
              </w:rPr>
              <w:t>日后，仍遗留下列一种或一种以上障碍：</w:t>
            </w:r>
          </w:p>
          <w:p>
            <w:pPr>
              <w:pStyle w:val="TableParagraph"/>
              <w:spacing w:before="8"/>
              <w:ind w:left="224"/>
              <w:rPr>
                <w:sz w:val="21"/>
              </w:rPr>
            </w:pPr>
            <w:r>
              <w:rPr>
                <w:sz w:val="21"/>
              </w:rPr>
              <w:t>（1）一肢或一肢以上肢体机能完全丧失；</w:t>
            </w:r>
          </w:p>
          <w:p>
            <w:pPr>
              <w:pStyle w:val="TableParagraph"/>
              <w:spacing w:before="37"/>
              <w:ind w:left="224"/>
              <w:rPr>
                <w:sz w:val="21"/>
              </w:rPr>
            </w:pPr>
            <w:r>
              <w:rPr>
                <w:sz w:val="21"/>
              </w:rPr>
              <w:t>（2）语言能力或咀嚼吞咽能力完全丧失；</w:t>
            </w:r>
          </w:p>
          <w:p>
            <w:pPr>
              <w:pStyle w:val="TableParagraph"/>
              <w:spacing w:line="273" w:lineRule="auto" w:before="37"/>
              <w:ind w:left="224" w:right="294"/>
              <w:rPr>
                <w:sz w:val="21"/>
              </w:rPr>
            </w:pPr>
            <w:r>
              <w:rPr>
                <w:sz w:val="21"/>
              </w:rPr>
              <w:t>（3）自主生活能力完全丧失，无法独立完成六项基本日常生活活动中的三项或三项以上。</w:t>
            </w:r>
          </w:p>
        </w:tc>
      </w:tr>
      <w:tr>
        <w:trPr>
          <w:trHeight w:val="2184" w:hRule="atLeast"/>
        </w:trPr>
        <w:tc>
          <w:tcPr>
            <w:tcW w:w="1867" w:type="dxa"/>
          </w:tcPr>
          <w:p>
            <w:pPr>
              <w:pStyle w:val="TableParagraph"/>
              <w:spacing w:before="53"/>
              <w:ind w:left="200"/>
              <w:rPr>
                <w:rFonts w:ascii="Microsoft JhengHei" w:eastAsia="Microsoft JhengHei" w:hint="eastAsia"/>
                <w:b/>
                <w:sz w:val="24"/>
              </w:rPr>
            </w:pPr>
            <w:r>
              <w:rPr>
                <w:rFonts w:ascii="Microsoft JhengHei" w:eastAsia="Microsoft JhengHei" w:hint="eastAsia"/>
                <w:b/>
                <w:sz w:val="24"/>
              </w:rPr>
              <w:t>严重帕金森病</w:t>
            </w:r>
          </w:p>
        </w:tc>
        <w:tc>
          <w:tcPr>
            <w:tcW w:w="7151" w:type="dxa"/>
          </w:tcPr>
          <w:p>
            <w:pPr>
              <w:pStyle w:val="TableParagraph"/>
              <w:spacing w:line="273" w:lineRule="auto" w:before="140"/>
              <w:ind w:left="224" w:right="198"/>
              <w:rPr>
                <w:sz w:val="21"/>
              </w:rPr>
            </w:pPr>
            <w:r>
              <w:rPr>
                <w:sz w:val="21"/>
              </w:rPr>
              <w:t>是一种中枢神经系统的退行性疾病，临床表现为震颤麻痹、共济失调等。须满足下列全部条件：</w:t>
            </w:r>
          </w:p>
          <w:p>
            <w:pPr>
              <w:pStyle w:val="TableParagraph"/>
              <w:spacing w:before="7"/>
              <w:ind w:left="224"/>
              <w:rPr>
                <w:sz w:val="21"/>
              </w:rPr>
            </w:pPr>
            <w:r>
              <w:rPr>
                <w:sz w:val="21"/>
              </w:rPr>
              <w:t>（1）药物治疗无法控制病情；</w:t>
            </w:r>
          </w:p>
          <w:p>
            <w:pPr>
              <w:pStyle w:val="TableParagraph"/>
              <w:spacing w:line="273" w:lineRule="auto" w:before="36"/>
              <w:ind w:left="224" w:right="294"/>
              <w:rPr>
                <w:sz w:val="21"/>
              </w:rPr>
            </w:pPr>
            <w:r>
              <w:rPr>
                <w:sz w:val="21"/>
              </w:rPr>
              <w:t>（2）自主生活能力完全丧失，无法独立完成六项基本日常生活活动中的三项或三项以上。</w:t>
            </w:r>
          </w:p>
          <w:p>
            <w:pPr>
              <w:pStyle w:val="TableParagraph"/>
              <w:spacing w:before="7"/>
              <w:ind w:left="224"/>
              <w:rPr>
                <w:sz w:val="21"/>
              </w:rPr>
            </w:pPr>
            <w:r>
              <w:rPr>
                <w:sz w:val="21"/>
                <w:shd w:fill="D9D9D9" w:color="auto" w:val="clear"/>
              </w:rPr>
              <w:t>继发性帕金森综合征不在保障范围内。</w:t>
            </w:r>
          </w:p>
        </w:tc>
      </w:tr>
      <w:tr>
        <w:trPr>
          <w:trHeight w:val="936" w:hRule="atLeast"/>
        </w:trPr>
        <w:tc>
          <w:tcPr>
            <w:tcW w:w="1867" w:type="dxa"/>
          </w:tcPr>
          <w:p>
            <w:pPr>
              <w:pStyle w:val="TableParagraph"/>
              <w:spacing w:before="53"/>
              <w:ind w:left="200"/>
              <w:rPr>
                <w:rFonts w:ascii="Microsoft JhengHei" w:hAnsi="Microsoft JhengHei" w:eastAsia="Microsoft JhengHei" w:hint="eastAsia"/>
                <w:b/>
                <w:sz w:val="24"/>
              </w:rPr>
            </w:pPr>
            <w:r>
              <w:rPr>
                <w:rFonts w:ascii="Microsoft JhengHei" w:hAnsi="Microsoft JhengHei" w:eastAsia="Microsoft JhengHei" w:hint="eastAsia"/>
                <w:b/>
                <w:sz w:val="24"/>
              </w:rPr>
              <w:t>严重Ⅲ度烧伤</w:t>
            </w:r>
          </w:p>
        </w:tc>
        <w:tc>
          <w:tcPr>
            <w:tcW w:w="7151" w:type="dxa"/>
          </w:tcPr>
          <w:p>
            <w:pPr>
              <w:pStyle w:val="TableParagraph"/>
              <w:spacing w:line="273" w:lineRule="auto" w:before="140"/>
              <w:ind w:left="224" w:right="289"/>
              <w:rPr>
                <w:sz w:val="21"/>
              </w:rPr>
            </w:pPr>
            <w:r>
              <w:rPr>
                <w:sz w:val="21"/>
              </w:rPr>
              <w:t>烧伤程度为Ⅲ度，且Ⅲ度烧伤的面积达到全身体表面积的20％或20％以上。体表面积根据《中国新九分法》计算。</w:t>
            </w:r>
          </w:p>
        </w:tc>
      </w:tr>
      <w:tr>
        <w:trPr>
          <w:trHeight w:val="1247" w:hRule="atLeast"/>
        </w:trPr>
        <w:tc>
          <w:tcPr>
            <w:tcW w:w="1867" w:type="dxa"/>
          </w:tcPr>
          <w:p>
            <w:pPr>
              <w:pStyle w:val="TableParagraph"/>
              <w:spacing w:line="184" w:lineRule="auto" w:before="149"/>
              <w:ind w:left="200" w:right="222"/>
              <w:rPr>
                <w:rFonts w:ascii="Microsoft JhengHei" w:eastAsia="Microsoft JhengHei" w:hint="eastAsia"/>
                <w:b/>
                <w:sz w:val="24"/>
              </w:rPr>
            </w:pPr>
            <w:r>
              <w:rPr>
                <w:rFonts w:ascii="Microsoft JhengHei" w:eastAsia="Microsoft JhengHei" w:hint="eastAsia"/>
                <w:b/>
                <w:sz w:val="24"/>
              </w:rPr>
              <w:t>严重原发性肺动脉高压</w:t>
            </w:r>
          </w:p>
        </w:tc>
        <w:tc>
          <w:tcPr>
            <w:tcW w:w="7151" w:type="dxa"/>
          </w:tcPr>
          <w:p>
            <w:pPr>
              <w:pStyle w:val="TableParagraph"/>
              <w:spacing w:line="273" w:lineRule="auto" w:before="140"/>
              <w:ind w:left="224" w:right="291"/>
              <w:jc w:val="both"/>
              <w:rPr>
                <w:sz w:val="21"/>
              </w:rPr>
            </w:pPr>
            <w:r>
              <w:rPr>
                <w:spacing w:val="-8"/>
                <w:sz w:val="21"/>
              </w:rPr>
              <w:t>指不明原因的肺动脉压力持续性增高，进行性发展而导致的慢性疾病，已</w:t>
            </w:r>
            <w:r>
              <w:rPr>
                <w:spacing w:val="-10"/>
                <w:sz w:val="21"/>
              </w:rPr>
              <w:t>经造成永久不可逆性的体力活动能力受限，达到美国纽约心脏病学会</w:t>
            </w:r>
            <w:r>
              <w:rPr>
                <w:rFonts w:ascii="黑体" w:eastAsia="黑体" w:hint="eastAsia"/>
                <w:b/>
                <w:sz w:val="21"/>
              </w:rPr>
              <w:t>心功</w:t>
            </w:r>
            <w:r>
              <w:rPr>
                <w:rFonts w:ascii="黑体" w:eastAsia="黑体" w:hint="eastAsia"/>
                <w:b/>
                <w:spacing w:val="-1"/>
                <w:sz w:val="21"/>
              </w:rPr>
              <w:t>能状态分级</w:t>
            </w:r>
            <w:r>
              <w:rPr>
                <w:spacing w:val="-3"/>
                <w:sz w:val="21"/>
              </w:rPr>
              <w:t>（</w:t>
            </w:r>
            <w:r>
              <w:rPr>
                <w:spacing w:val="-1"/>
                <w:sz w:val="21"/>
              </w:rPr>
              <w:t>见7.11）IV</w:t>
            </w:r>
            <w:r>
              <w:rPr>
                <w:spacing w:val="-3"/>
                <w:sz w:val="21"/>
              </w:rPr>
              <w:t>级，且静息状态下肺动脉平均压超过</w:t>
            </w:r>
            <w:r>
              <w:rPr>
                <w:sz w:val="21"/>
              </w:rPr>
              <w:t>30mmHg。</w:t>
            </w:r>
          </w:p>
        </w:tc>
      </w:tr>
      <w:tr>
        <w:trPr>
          <w:trHeight w:val="468" w:hRule="atLeast"/>
        </w:trPr>
        <w:tc>
          <w:tcPr>
            <w:tcW w:w="1867" w:type="dxa"/>
          </w:tcPr>
          <w:p>
            <w:pPr>
              <w:pStyle w:val="TableParagraph"/>
              <w:spacing w:line="396" w:lineRule="exact" w:before="53"/>
              <w:ind w:left="200"/>
              <w:rPr>
                <w:rFonts w:ascii="Microsoft JhengHei" w:eastAsia="Microsoft JhengHei" w:hint="eastAsia"/>
                <w:b/>
                <w:sz w:val="24"/>
              </w:rPr>
            </w:pPr>
            <w:r>
              <w:rPr>
                <w:rFonts w:ascii="Microsoft JhengHei" w:eastAsia="Microsoft JhengHei" w:hint="eastAsia"/>
                <w:b/>
                <w:sz w:val="24"/>
              </w:rPr>
              <w:t>严重运动神经</w:t>
            </w:r>
          </w:p>
        </w:tc>
        <w:tc>
          <w:tcPr>
            <w:tcW w:w="7151" w:type="dxa"/>
          </w:tcPr>
          <w:p>
            <w:pPr>
              <w:pStyle w:val="TableParagraph"/>
              <w:spacing w:before="140"/>
              <w:ind w:left="224"/>
              <w:rPr>
                <w:sz w:val="21"/>
              </w:rPr>
            </w:pPr>
            <w:r>
              <w:rPr>
                <w:sz w:val="21"/>
              </w:rPr>
              <w:t>是一组中枢神经系统运动神经元的进行性变性疾病，包括进行性脊肌萎缩</w:t>
            </w:r>
          </w:p>
        </w:tc>
      </w:tr>
    </w:tbl>
    <w:p>
      <w:pPr>
        <w:spacing w:after="0"/>
        <w:rPr>
          <w:sz w:val="21"/>
        </w:rPr>
        <w:sectPr>
          <w:pgSz w:w="11910" w:h="16840"/>
          <w:pgMar w:header="0" w:footer="926" w:top="1480" w:bottom="1040" w:left="1120" w:right="8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3"/>
        <w:gridCol w:w="2051"/>
        <w:gridCol w:w="7133"/>
      </w:tblGrid>
      <w:tr>
        <w:trPr>
          <w:trHeight w:val="1042" w:hRule="atLeast"/>
        </w:trPr>
        <w:tc>
          <w:tcPr>
            <w:tcW w:w="883" w:type="dxa"/>
          </w:tcPr>
          <w:p>
            <w:pPr>
              <w:pStyle w:val="TableParagraph"/>
              <w:ind w:left="0"/>
              <w:rPr>
                <w:rFonts w:ascii="Times New Roman"/>
                <w:sz w:val="20"/>
              </w:rPr>
            </w:pPr>
          </w:p>
        </w:tc>
        <w:tc>
          <w:tcPr>
            <w:tcW w:w="2051" w:type="dxa"/>
          </w:tcPr>
          <w:p>
            <w:pPr>
              <w:pStyle w:val="TableParagraph"/>
              <w:spacing w:line="267" w:lineRule="exact"/>
              <w:ind w:left="366"/>
              <w:rPr>
                <w:rFonts w:ascii="Microsoft JhengHei" w:eastAsia="Microsoft JhengHei" w:hint="eastAsia"/>
                <w:b/>
                <w:sz w:val="24"/>
              </w:rPr>
            </w:pPr>
            <w:r>
              <w:rPr>
                <w:rFonts w:ascii="Microsoft JhengHei" w:eastAsia="Microsoft JhengHei" w:hint="eastAsia"/>
                <w:b/>
                <w:sz w:val="24"/>
              </w:rPr>
              <w:t>元病</w:t>
            </w:r>
          </w:p>
        </w:tc>
        <w:tc>
          <w:tcPr>
            <w:tcW w:w="7133" w:type="dxa"/>
          </w:tcPr>
          <w:p>
            <w:pPr>
              <w:pStyle w:val="TableParagraph"/>
              <w:spacing w:line="211" w:lineRule="exact"/>
              <w:rPr>
                <w:sz w:val="21"/>
              </w:rPr>
            </w:pPr>
            <w:r>
              <w:rPr>
                <w:sz w:val="21"/>
              </w:rPr>
              <w:t>症、进行性延髓麻痹症、原发性侧索硬化症、肌萎缩性侧索硬化症。须满</w:t>
            </w:r>
          </w:p>
          <w:p>
            <w:pPr>
              <w:pStyle w:val="TableParagraph"/>
              <w:spacing w:line="273" w:lineRule="auto" w:before="37"/>
              <w:ind w:right="291"/>
              <w:rPr>
                <w:sz w:val="21"/>
              </w:rPr>
            </w:pPr>
            <w:r>
              <w:rPr>
                <w:spacing w:val="-11"/>
                <w:sz w:val="21"/>
              </w:rPr>
              <w:t>足自主生活能力完全丧失，无法独立完成六项基本日常生活活动中的三项</w:t>
            </w:r>
            <w:r>
              <w:rPr>
                <w:spacing w:val="-6"/>
                <w:sz w:val="21"/>
              </w:rPr>
              <w:t>或三项以上的条件。</w:t>
            </w:r>
          </w:p>
        </w:tc>
      </w:tr>
      <w:tr>
        <w:trPr>
          <w:trHeight w:val="1560" w:hRule="atLeast"/>
        </w:trPr>
        <w:tc>
          <w:tcPr>
            <w:tcW w:w="883" w:type="dxa"/>
          </w:tcPr>
          <w:p>
            <w:pPr>
              <w:pStyle w:val="TableParagraph"/>
              <w:ind w:left="0"/>
              <w:rPr>
                <w:rFonts w:ascii="Times New Roman"/>
                <w:sz w:val="20"/>
              </w:rPr>
            </w:pPr>
          </w:p>
        </w:tc>
        <w:tc>
          <w:tcPr>
            <w:tcW w:w="2051" w:type="dxa"/>
          </w:tcPr>
          <w:p>
            <w:pPr>
              <w:pStyle w:val="TableParagraph"/>
              <w:spacing w:before="55"/>
              <w:ind w:left="366"/>
              <w:rPr>
                <w:rFonts w:ascii="Microsoft JhengHei" w:eastAsia="Microsoft JhengHei" w:hint="eastAsia"/>
                <w:b/>
                <w:sz w:val="24"/>
              </w:rPr>
            </w:pPr>
            <w:r>
              <w:rPr>
                <w:rFonts w:ascii="Microsoft JhengHei" w:eastAsia="Microsoft JhengHei" w:hint="eastAsia"/>
                <w:b/>
                <w:sz w:val="24"/>
              </w:rPr>
              <w:t>语言能力丧失</w:t>
            </w:r>
          </w:p>
        </w:tc>
        <w:tc>
          <w:tcPr>
            <w:tcW w:w="7133" w:type="dxa"/>
          </w:tcPr>
          <w:p>
            <w:pPr>
              <w:pStyle w:val="TableParagraph"/>
              <w:spacing w:before="142"/>
              <w:rPr>
                <w:sz w:val="21"/>
              </w:rPr>
            </w:pPr>
            <w:r>
              <w:rPr>
                <w:sz w:val="21"/>
              </w:rPr>
              <w:t>指因疾病或意外伤害导致完全丧失语言能力，经过积极治疗至少12个月</w:t>
            </w:r>
          </w:p>
          <w:p>
            <w:pPr>
              <w:pStyle w:val="TableParagraph"/>
              <w:spacing w:line="273" w:lineRule="auto" w:before="36"/>
              <w:ind w:right="618"/>
              <w:rPr>
                <w:sz w:val="21"/>
              </w:rPr>
            </w:pPr>
            <w:r>
              <w:rPr>
                <w:sz w:val="21"/>
              </w:rPr>
              <w:t>（声带完全切除不受此时间限制），仍无法通过现有医疗手段恢复。</w:t>
            </w:r>
            <w:r>
              <w:rPr>
                <w:sz w:val="21"/>
                <w:shd w:fill="D9D9D9" w:color="auto" w:val="clear"/>
              </w:rPr>
              <w:t>精神心理因素所致的语言能力丧失不在保障范围内。</w:t>
            </w:r>
          </w:p>
          <w:p>
            <w:pPr>
              <w:pStyle w:val="TableParagraph"/>
              <w:spacing w:before="7"/>
              <w:rPr>
                <w:sz w:val="21"/>
              </w:rPr>
            </w:pPr>
            <w:r>
              <w:rPr>
                <w:sz w:val="21"/>
                <w:shd w:fill="D9D9D9" w:color="auto" w:val="clear"/>
              </w:rPr>
              <w:t>在0至3周岁保单周年日期间，被保险人语言能力丧失不在保障范围内。</w:t>
            </w:r>
          </w:p>
        </w:tc>
      </w:tr>
      <w:tr>
        <w:trPr>
          <w:trHeight w:val="2500" w:hRule="atLeast"/>
        </w:trPr>
        <w:tc>
          <w:tcPr>
            <w:tcW w:w="883" w:type="dxa"/>
          </w:tcPr>
          <w:p>
            <w:pPr>
              <w:pStyle w:val="TableParagraph"/>
              <w:ind w:left="0"/>
              <w:rPr>
                <w:rFonts w:ascii="Times New Roman"/>
                <w:sz w:val="20"/>
              </w:rPr>
            </w:pPr>
          </w:p>
        </w:tc>
        <w:tc>
          <w:tcPr>
            <w:tcW w:w="2051" w:type="dxa"/>
          </w:tcPr>
          <w:p>
            <w:pPr>
              <w:pStyle w:val="TableParagraph"/>
              <w:spacing w:line="184" w:lineRule="auto" w:before="151"/>
              <w:ind w:left="366" w:right="240"/>
              <w:rPr>
                <w:rFonts w:ascii="Microsoft JhengHei" w:eastAsia="Microsoft JhengHei" w:hint="eastAsia"/>
                <w:b/>
                <w:sz w:val="24"/>
              </w:rPr>
            </w:pPr>
            <w:r>
              <w:rPr>
                <w:rFonts w:ascii="Microsoft JhengHei" w:eastAsia="Microsoft JhengHei" w:hint="eastAsia"/>
                <w:b/>
                <w:sz w:val="24"/>
              </w:rPr>
              <w:t>重型再生障碍性贫血</w:t>
            </w:r>
          </w:p>
        </w:tc>
        <w:tc>
          <w:tcPr>
            <w:tcW w:w="7133" w:type="dxa"/>
          </w:tcPr>
          <w:p>
            <w:pPr>
              <w:pStyle w:val="TableParagraph"/>
              <w:spacing w:line="273" w:lineRule="auto" w:before="142"/>
              <w:ind w:right="291"/>
              <w:rPr>
                <w:sz w:val="21"/>
              </w:rPr>
            </w:pPr>
            <w:r>
              <w:rPr>
                <w:spacing w:val="-8"/>
                <w:sz w:val="21"/>
              </w:rPr>
              <w:t>指因骨髓造血功能慢性持续性衰竭导致的贫血、中性粒细胞减少及血小板</w:t>
            </w:r>
            <w:r>
              <w:rPr>
                <w:spacing w:val="-5"/>
                <w:sz w:val="21"/>
              </w:rPr>
              <w:t>减少。须满足下列全部条件：</w:t>
            </w:r>
          </w:p>
          <w:p>
            <w:pPr>
              <w:pStyle w:val="TableParagraph"/>
              <w:spacing w:before="7"/>
              <w:rPr>
                <w:sz w:val="21"/>
              </w:rPr>
            </w:pPr>
            <w:r>
              <w:rPr>
                <w:sz w:val="21"/>
              </w:rPr>
              <w:t>（1）骨髓穿刺检查或骨髓活检结果支持诊断；</w:t>
            </w:r>
          </w:p>
          <w:p>
            <w:pPr>
              <w:pStyle w:val="TableParagraph"/>
              <w:spacing w:before="37"/>
              <w:rPr>
                <w:sz w:val="21"/>
              </w:rPr>
            </w:pPr>
            <w:r>
              <w:rPr>
                <w:sz w:val="21"/>
              </w:rPr>
              <w:t>（2）外周血象须具备以下三项条件：</w:t>
            </w:r>
          </w:p>
          <w:p>
            <w:pPr>
              <w:pStyle w:val="TableParagraph"/>
              <w:spacing w:before="29"/>
              <w:rPr>
                <w:sz w:val="21"/>
              </w:rPr>
            </w:pPr>
            <w:r>
              <w:rPr>
                <w:sz w:val="21"/>
              </w:rPr>
              <w:t>① 中性粒细胞绝对值≤0.5×10</w:t>
            </w:r>
            <w:r>
              <w:rPr>
                <w:position w:val="12"/>
                <w:sz w:val="12"/>
              </w:rPr>
              <w:t>9</w:t>
            </w:r>
            <w:r>
              <w:rPr>
                <w:sz w:val="21"/>
              </w:rPr>
              <w:t>/L ；</w:t>
            </w:r>
          </w:p>
          <w:p>
            <w:pPr>
              <w:pStyle w:val="TableParagraph"/>
              <w:spacing w:before="30"/>
              <w:rPr>
                <w:sz w:val="21"/>
              </w:rPr>
            </w:pPr>
            <w:r>
              <w:rPr>
                <w:sz w:val="21"/>
              </w:rPr>
              <w:t>② 网织红细胞＜1%；</w:t>
            </w:r>
          </w:p>
          <w:p>
            <w:pPr>
              <w:pStyle w:val="TableParagraph"/>
              <w:spacing w:before="29"/>
              <w:rPr>
                <w:sz w:val="21"/>
              </w:rPr>
            </w:pPr>
            <w:r>
              <w:rPr>
                <w:sz w:val="21"/>
              </w:rPr>
              <w:t>③ 血小板绝对值≤20×10</w:t>
            </w:r>
            <w:r>
              <w:rPr>
                <w:position w:val="12"/>
                <w:sz w:val="12"/>
              </w:rPr>
              <w:t>9</w:t>
            </w:r>
            <w:r>
              <w:rPr>
                <w:sz w:val="21"/>
              </w:rPr>
              <w:t>/L。</w:t>
            </w:r>
          </w:p>
        </w:tc>
      </w:tr>
      <w:tr>
        <w:trPr>
          <w:trHeight w:val="1556" w:hRule="atLeast"/>
        </w:trPr>
        <w:tc>
          <w:tcPr>
            <w:tcW w:w="883" w:type="dxa"/>
          </w:tcPr>
          <w:p>
            <w:pPr>
              <w:pStyle w:val="TableParagraph"/>
              <w:ind w:left="0"/>
              <w:rPr>
                <w:rFonts w:ascii="Times New Roman"/>
                <w:sz w:val="20"/>
              </w:rPr>
            </w:pPr>
          </w:p>
        </w:tc>
        <w:tc>
          <w:tcPr>
            <w:tcW w:w="2051" w:type="dxa"/>
          </w:tcPr>
          <w:p>
            <w:pPr>
              <w:pStyle w:val="TableParagraph"/>
              <w:spacing w:before="51"/>
              <w:ind w:left="366"/>
              <w:rPr>
                <w:rFonts w:ascii="Microsoft JhengHei" w:eastAsia="Microsoft JhengHei" w:hint="eastAsia"/>
                <w:b/>
                <w:sz w:val="24"/>
              </w:rPr>
            </w:pPr>
            <w:r>
              <w:rPr>
                <w:rFonts w:ascii="Microsoft JhengHei" w:eastAsia="Microsoft JhengHei" w:hint="eastAsia"/>
                <w:b/>
                <w:sz w:val="24"/>
              </w:rPr>
              <w:t>主动脉手术</w:t>
            </w:r>
          </w:p>
        </w:tc>
        <w:tc>
          <w:tcPr>
            <w:tcW w:w="7133" w:type="dxa"/>
          </w:tcPr>
          <w:p>
            <w:pPr>
              <w:pStyle w:val="TableParagraph"/>
              <w:spacing w:line="273" w:lineRule="auto" w:before="139"/>
              <w:ind w:right="291"/>
              <w:jc w:val="both"/>
              <w:rPr>
                <w:sz w:val="21"/>
              </w:rPr>
            </w:pPr>
            <w:r>
              <w:rPr>
                <w:spacing w:val="-8"/>
                <w:sz w:val="21"/>
              </w:rPr>
              <w:t>指为治疗主动脉疾病，实际实施了开胸或开腹进行的切除、置换、修补病</w:t>
            </w:r>
            <w:r>
              <w:rPr>
                <w:spacing w:val="-12"/>
                <w:sz w:val="21"/>
              </w:rPr>
              <w:t>损主动脉血管的手术。主动脉指胸主动脉和腹主动脉，不包括胸主动脉和</w:t>
            </w:r>
            <w:r>
              <w:rPr>
                <w:spacing w:val="-6"/>
                <w:sz w:val="21"/>
              </w:rPr>
              <w:t>腹主动脉的分支血管。</w:t>
            </w:r>
          </w:p>
          <w:p>
            <w:pPr>
              <w:pStyle w:val="TableParagraph"/>
              <w:spacing w:before="7"/>
              <w:jc w:val="both"/>
              <w:rPr>
                <w:sz w:val="21"/>
              </w:rPr>
            </w:pPr>
            <w:r>
              <w:rPr>
                <w:sz w:val="21"/>
                <w:shd w:fill="D9D9D9" w:color="auto" w:val="clear"/>
              </w:rPr>
              <w:t>动脉内血管成形术不在保障范围内。</w:t>
            </w:r>
          </w:p>
        </w:tc>
      </w:tr>
      <w:tr>
        <w:trPr>
          <w:trHeight w:val="2504" w:hRule="atLeast"/>
        </w:trPr>
        <w:tc>
          <w:tcPr>
            <w:tcW w:w="883" w:type="dxa"/>
          </w:tcPr>
          <w:p>
            <w:pPr>
              <w:pStyle w:val="TableParagraph"/>
              <w:spacing w:before="142"/>
              <w:ind w:left="200"/>
              <w:rPr>
                <w:b/>
                <w:sz w:val="21"/>
              </w:rPr>
            </w:pPr>
            <w:r>
              <w:rPr>
                <w:b/>
                <w:sz w:val="21"/>
              </w:rPr>
              <w:t>7.6</w:t>
            </w:r>
          </w:p>
        </w:tc>
        <w:tc>
          <w:tcPr>
            <w:tcW w:w="2051" w:type="dxa"/>
          </w:tcPr>
          <w:p>
            <w:pPr>
              <w:pStyle w:val="TableParagraph"/>
              <w:spacing w:before="142"/>
              <w:ind w:left="366"/>
              <w:rPr>
                <w:b/>
                <w:sz w:val="21"/>
              </w:rPr>
            </w:pPr>
            <w:r>
              <w:rPr>
                <w:b/>
                <w:sz w:val="21"/>
              </w:rPr>
              <w:t>专科医生</w:t>
            </w:r>
          </w:p>
        </w:tc>
        <w:tc>
          <w:tcPr>
            <w:tcW w:w="7133" w:type="dxa"/>
          </w:tcPr>
          <w:p>
            <w:pPr>
              <w:pStyle w:val="TableParagraph"/>
              <w:spacing w:before="142"/>
              <w:rPr>
                <w:sz w:val="21"/>
              </w:rPr>
            </w:pPr>
            <w:r>
              <w:rPr>
                <w:sz w:val="21"/>
              </w:rPr>
              <w:t>专科医生应当同时满足以下四项资格条件：</w:t>
            </w:r>
          </w:p>
          <w:p>
            <w:pPr>
              <w:pStyle w:val="TableParagraph"/>
              <w:spacing w:before="36"/>
              <w:rPr>
                <w:sz w:val="21"/>
              </w:rPr>
            </w:pPr>
            <w:r>
              <w:rPr>
                <w:sz w:val="21"/>
              </w:rPr>
              <w:t>（</w:t>
            </w:r>
            <w:r>
              <w:rPr>
                <w:rFonts w:ascii="Times New Roman" w:eastAsia="Times New Roman"/>
                <w:sz w:val="21"/>
              </w:rPr>
              <w:t>1</w:t>
            </w:r>
            <w:r>
              <w:rPr>
                <w:sz w:val="21"/>
              </w:rPr>
              <w:t>）具有有效的中华人民共和国《医师资格证书》；</w:t>
            </w:r>
          </w:p>
          <w:p>
            <w:pPr>
              <w:pStyle w:val="TableParagraph"/>
              <w:spacing w:line="256" w:lineRule="auto" w:before="20"/>
              <w:ind w:right="294"/>
              <w:rPr>
                <w:sz w:val="21"/>
              </w:rPr>
            </w:pPr>
            <w:r>
              <w:rPr>
                <w:sz w:val="21"/>
              </w:rPr>
              <w:t>（</w:t>
            </w:r>
            <w:r>
              <w:rPr>
                <w:rFonts w:ascii="Times New Roman" w:eastAsia="Times New Roman"/>
                <w:sz w:val="21"/>
              </w:rPr>
              <w:t>2</w:t>
            </w:r>
            <w:r>
              <w:rPr>
                <w:sz w:val="21"/>
              </w:rPr>
              <w:t>）具有有效的中华人民共和国《医师执业证书》，并按期到相关部门登记注册；</w:t>
            </w:r>
          </w:p>
          <w:p>
            <w:pPr>
              <w:pStyle w:val="TableParagraph"/>
              <w:spacing w:line="256" w:lineRule="auto" w:before="22"/>
              <w:ind w:right="294"/>
              <w:rPr>
                <w:sz w:val="21"/>
              </w:rPr>
            </w:pPr>
            <w:r>
              <w:rPr>
                <w:sz w:val="21"/>
              </w:rPr>
              <w:t>（</w:t>
            </w:r>
            <w:r>
              <w:rPr>
                <w:rFonts w:ascii="Times New Roman" w:eastAsia="Times New Roman"/>
                <w:sz w:val="21"/>
              </w:rPr>
              <w:t>3</w:t>
            </w:r>
            <w:r>
              <w:rPr>
                <w:sz w:val="21"/>
              </w:rPr>
              <w:t>）具有有效的中华人民共和国主治医师或主治医师以上职称的《医师职称证书》；</w:t>
            </w:r>
          </w:p>
          <w:p>
            <w:pPr>
              <w:pStyle w:val="TableParagraph"/>
              <w:spacing w:before="22"/>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928" w:hRule="atLeast"/>
        </w:trPr>
        <w:tc>
          <w:tcPr>
            <w:tcW w:w="883" w:type="dxa"/>
          </w:tcPr>
          <w:p>
            <w:pPr>
              <w:pStyle w:val="TableParagraph"/>
              <w:spacing w:before="134"/>
              <w:ind w:left="200"/>
              <w:rPr>
                <w:b/>
                <w:sz w:val="21"/>
              </w:rPr>
            </w:pPr>
            <w:r>
              <w:rPr>
                <w:b/>
                <w:sz w:val="21"/>
              </w:rPr>
              <w:t>7.7</w:t>
            </w:r>
          </w:p>
        </w:tc>
        <w:tc>
          <w:tcPr>
            <w:tcW w:w="2051" w:type="dxa"/>
          </w:tcPr>
          <w:p>
            <w:pPr>
              <w:pStyle w:val="TableParagraph"/>
              <w:spacing w:line="273" w:lineRule="auto" w:before="134"/>
              <w:ind w:left="366" w:right="204"/>
              <w:rPr>
                <w:b/>
                <w:sz w:val="21"/>
              </w:rPr>
            </w:pPr>
            <w:r>
              <w:rPr>
                <w:b/>
                <w:sz w:val="21"/>
              </w:rPr>
              <w:t>肢体机能完全丧失</w:t>
            </w:r>
          </w:p>
        </w:tc>
        <w:tc>
          <w:tcPr>
            <w:tcW w:w="7133" w:type="dxa"/>
          </w:tcPr>
          <w:p>
            <w:pPr>
              <w:pStyle w:val="TableParagraph"/>
              <w:spacing w:line="273" w:lineRule="auto" w:before="134"/>
              <w:ind w:right="291"/>
              <w:rPr>
                <w:sz w:val="21"/>
              </w:rPr>
            </w:pPr>
            <w:r>
              <w:rPr>
                <w:spacing w:val="-7"/>
                <w:sz w:val="21"/>
              </w:rPr>
              <w:t>肢体机能完全丧失是指肢体的三大关节中的两大关节僵硬，或不能随意识</w:t>
            </w:r>
            <w:r>
              <w:rPr>
                <w:spacing w:val="-5"/>
                <w:sz w:val="21"/>
              </w:rPr>
              <w:t>活动。肢体是指包括肩关节的整个上肢或包括髋关节的整个下肢。</w:t>
            </w:r>
          </w:p>
        </w:tc>
      </w:tr>
      <w:tr>
        <w:trPr>
          <w:trHeight w:val="1872" w:hRule="atLeast"/>
        </w:trPr>
        <w:tc>
          <w:tcPr>
            <w:tcW w:w="883" w:type="dxa"/>
          </w:tcPr>
          <w:p>
            <w:pPr>
              <w:pStyle w:val="TableParagraph"/>
              <w:spacing w:before="142"/>
              <w:ind w:left="200"/>
              <w:rPr>
                <w:b/>
                <w:sz w:val="21"/>
              </w:rPr>
            </w:pPr>
            <w:r>
              <w:rPr>
                <w:b/>
                <w:sz w:val="21"/>
              </w:rPr>
              <w:t>7.8</w:t>
            </w:r>
          </w:p>
        </w:tc>
        <w:tc>
          <w:tcPr>
            <w:tcW w:w="2051" w:type="dxa"/>
          </w:tcPr>
          <w:p>
            <w:pPr>
              <w:pStyle w:val="TableParagraph"/>
              <w:spacing w:line="273" w:lineRule="auto" w:before="142"/>
              <w:ind w:left="366" w:right="204"/>
              <w:jc w:val="both"/>
              <w:rPr>
                <w:b/>
                <w:sz w:val="21"/>
              </w:rPr>
            </w:pPr>
            <w:r>
              <w:rPr>
                <w:b/>
                <w:sz w:val="21"/>
              </w:rPr>
              <w:t>语言能力或咀嚼吞咽能力完全丧失</w:t>
            </w:r>
          </w:p>
        </w:tc>
        <w:tc>
          <w:tcPr>
            <w:tcW w:w="7133" w:type="dxa"/>
          </w:tcPr>
          <w:p>
            <w:pPr>
              <w:pStyle w:val="TableParagraph"/>
              <w:spacing w:line="273" w:lineRule="auto" w:before="142"/>
              <w:ind w:right="291"/>
              <w:jc w:val="both"/>
              <w:rPr>
                <w:sz w:val="21"/>
              </w:rPr>
            </w:pPr>
            <w:r>
              <w:rPr>
                <w:spacing w:val="-5"/>
                <w:sz w:val="21"/>
              </w:rPr>
              <w:t>语言能力完全丧失是指无法发出四种语音</w:t>
            </w:r>
            <w:r>
              <w:rPr>
                <w:sz w:val="21"/>
              </w:rPr>
              <w:t>（</w:t>
            </w:r>
            <w:r>
              <w:rPr>
                <w:spacing w:val="-10"/>
                <w:sz w:val="21"/>
              </w:rPr>
              <w:t>包括口唇音、齿舌音、口盖音</w:t>
            </w:r>
            <w:r>
              <w:rPr>
                <w:spacing w:val="-6"/>
                <w:sz w:val="21"/>
              </w:rPr>
              <w:t>和喉头音</w:t>
            </w:r>
            <w:r>
              <w:rPr>
                <w:spacing w:val="-34"/>
                <w:sz w:val="21"/>
              </w:rPr>
              <w:t>）</w:t>
            </w:r>
            <w:r>
              <w:rPr>
                <w:spacing w:val="-9"/>
                <w:sz w:val="21"/>
              </w:rPr>
              <w:t>中的任何三种、或声带全部切除，或因大脑语言中枢受伤害而</w:t>
            </w:r>
            <w:r>
              <w:rPr>
                <w:spacing w:val="-5"/>
                <w:sz w:val="21"/>
              </w:rPr>
              <w:t>患失语症。</w:t>
            </w:r>
          </w:p>
          <w:p>
            <w:pPr>
              <w:pStyle w:val="TableParagraph"/>
              <w:spacing w:line="273" w:lineRule="auto" w:before="7"/>
              <w:ind w:right="198"/>
              <w:jc w:val="both"/>
              <w:rPr>
                <w:sz w:val="21"/>
              </w:rPr>
            </w:pPr>
            <w:r>
              <w:rPr>
                <w:sz w:val="21"/>
              </w:rPr>
              <w:t>咀嚼吞咽能力完全丧失是指因牙齿以外的原因导致器质障碍或机能障碍， 以致不能作咀嚼吞咽运动，除流质食物外不能摄取或吞咽的状态。</w:t>
            </w:r>
          </w:p>
        </w:tc>
      </w:tr>
      <w:tr>
        <w:trPr>
          <w:trHeight w:val="2289" w:hRule="atLeast"/>
        </w:trPr>
        <w:tc>
          <w:tcPr>
            <w:tcW w:w="883" w:type="dxa"/>
          </w:tcPr>
          <w:p>
            <w:pPr>
              <w:pStyle w:val="TableParagraph"/>
              <w:spacing w:before="143"/>
              <w:ind w:left="200"/>
              <w:rPr>
                <w:b/>
                <w:sz w:val="21"/>
              </w:rPr>
            </w:pPr>
            <w:r>
              <w:rPr>
                <w:b/>
                <w:sz w:val="21"/>
              </w:rPr>
              <w:t>7.9</w:t>
            </w:r>
          </w:p>
        </w:tc>
        <w:tc>
          <w:tcPr>
            <w:tcW w:w="2051" w:type="dxa"/>
          </w:tcPr>
          <w:p>
            <w:pPr>
              <w:pStyle w:val="TableParagraph"/>
              <w:spacing w:line="273" w:lineRule="auto" w:before="143"/>
              <w:ind w:left="366" w:right="204"/>
              <w:rPr>
                <w:b/>
                <w:sz w:val="21"/>
              </w:rPr>
            </w:pPr>
            <w:r>
              <w:rPr>
                <w:b/>
                <w:sz w:val="21"/>
              </w:rPr>
              <w:t>六项基本日常生活活动</w:t>
            </w:r>
          </w:p>
        </w:tc>
        <w:tc>
          <w:tcPr>
            <w:tcW w:w="7133" w:type="dxa"/>
          </w:tcPr>
          <w:p>
            <w:pPr>
              <w:pStyle w:val="TableParagraph"/>
              <w:spacing w:before="143"/>
              <w:rPr>
                <w:sz w:val="21"/>
              </w:rPr>
            </w:pPr>
            <w:r>
              <w:rPr>
                <w:sz w:val="21"/>
              </w:rPr>
              <w:t>六项基本日常生活活动是指：</w:t>
            </w:r>
          </w:p>
          <w:p>
            <w:pPr>
              <w:pStyle w:val="TableParagraph"/>
              <w:spacing w:before="37"/>
              <w:rPr>
                <w:sz w:val="21"/>
              </w:rPr>
            </w:pPr>
            <w:r>
              <w:rPr>
                <w:sz w:val="21"/>
              </w:rPr>
              <w:t>（1）穿衣：自己能够穿衣及脱衣；</w:t>
            </w:r>
          </w:p>
          <w:p>
            <w:pPr>
              <w:pStyle w:val="TableParagraph"/>
              <w:spacing w:before="37"/>
              <w:rPr>
                <w:sz w:val="21"/>
              </w:rPr>
            </w:pPr>
            <w:r>
              <w:rPr>
                <w:sz w:val="21"/>
              </w:rPr>
              <w:t>（2）移动：自己从一个房间到另一个房间；</w:t>
            </w:r>
          </w:p>
          <w:p>
            <w:pPr>
              <w:pStyle w:val="TableParagraph"/>
              <w:spacing w:before="37"/>
              <w:rPr>
                <w:sz w:val="21"/>
              </w:rPr>
            </w:pPr>
            <w:r>
              <w:rPr>
                <w:sz w:val="21"/>
              </w:rPr>
              <w:t>（3）行动：自己上下床或上下轮椅；</w:t>
            </w:r>
          </w:p>
          <w:p>
            <w:pPr>
              <w:pStyle w:val="TableParagraph"/>
              <w:spacing w:before="37"/>
              <w:rPr>
                <w:sz w:val="21"/>
              </w:rPr>
            </w:pPr>
            <w:r>
              <w:rPr>
                <w:sz w:val="21"/>
              </w:rPr>
              <w:t>（4）如厕：自己控制进行大小便；</w:t>
            </w:r>
          </w:p>
          <w:p>
            <w:pPr>
              <w:pStyle w:val="TableParagraph"/>
              <w:spacing w:before="37"/>
              <w:rPr>
                <w:sz w:val="21"/>
              </w:rPr>
            </w:pPr>
            <w:r>
              <w:rPr>
                <w:sz w:val="21"/>
              </w:rPr>
              <w:t>（5）进食：自己从已准备好的碗或碟中取食物放入口中；</w:t>
            </w:r>
          </w:p>
          <w:p>
            <w:pPr>
              <w:pStyle w:val="TableParagraph"/>
              <w:spacing w:line="255" w:lineRule="exact" w:before="37"/>
              <w:rPr>
                <w:sz w:val="21"/>
              </w:rPr>
            </w:pPr>
            <w:r>
              <w:rPr>
                <w:sz w:val="21"/>
              </w:rPr>
              <w:t>（6）洗澡：自己进行淋浴或盆浴。</w:t>
            </w:r>
          </w:p>
        </w:tc>
      </w:tr>
    </w:tbl>
    <w:p>
      <w:pPr>
        <w:spacing w:after="0" w:line="255" w:lineRule="exact"/>
        <w:rPr>
          <w:sz w:val="21"/>
        </w:rPr>
        <w:sectPr>
          <w:pgSz w:w="11910" w:h="16840"/>
          <w:pgMar w:header="0" w:footer="862" w:top="1160" w:bottom="1040" w:left="820" w:right="8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6"/>
        <w:gridCol w:w="2097"/>
        <w:gridCol w:w="7046"/>
      </w:tblGrid>
      <w:tr>
        <w:trPr>
          <w:trHeight w:val="730" w:hRule="atLeast"/>
        </w:trPr>
        <w:tc>
          <w:tcPr>
            <w:tcW w:w="936" w:type="dxa"/>
          </w:tcPr>
          <w:p>
            <w:pPr>
              <w:pStyle w:val="TableParagraph"/>
              <w:spacing w:line="209" w:lineRule="exact"/>
              <w:ind w:left="200"/>
              <w:rPr>
                <w:b/>
                <w:sz w:val="21"/>
              </w:rPr>
            </w:pPr>
            <w:r>
              <w:rPr>
                <w:b/>
                <w:sz w:val="21"/>
              </w:rPr>
              <w:t>7.10</w:t>
            </w:r>
          </w:p>
        </w:tc>
        <w:tc>
          <w:tcPr>
            <w:tcW w:w="2097" w:type="dxa"/>
          </w:tcPr>
          <w:p>
            <w:pPr>
              <w:pStyle w:val="TableParagraph"/>
              <w:spacing w:line="209" w:lineRule="exact"/>
              <w:ind w:left="313"/>
              <w:rPr>
                <w:b/>
                <w:sz w:val="21"/>
              </w:rPr>
            </w:pPr>
            <w:r>
              <w:rPr>
                <w:b/>
                <w:sz w:val="21"/>
              </w:rPr>
              <w:t>永久不可逆</w:t>
            </w:r>
          </w:p>
        </w:tc>
        <w:tc>
          <w:tcPr>
            <w:tcW w:w="7046" w:type="dxa"/>
          </w:tcPr>
          <w:p>
            <w:pPr>
              <w:pStyle w:val="TableParagraph"/>
              <w:spacing w:line="209" w:lineRule="exact"/>
              <w:ind w:left="108"/>
              <w:rPr>
                <w:sz w:val="21"/>
              </w:rPr>
            </w:pPr>
            <w:r>
              <w:rPr>
                <w:sz w:val="21"/>
              </w:rPr>
              <w:t>永久不可逆是指自疾病确诊或意外伤害发生之日起，经过积极治疗180日</w:t>
            </w:r>
          </w:p>
          <w:p>
            <w:pPr>
              <w:pStyle w:val="TableParagraph"/>
              <w:spacing w:before="37"/>
              <w:ind w:left="108"/>
              <w:rPr>
                <w:sz w:val="21"/>
              </w:rPr>
            </w:pPr>
            <w:r>
              <w:rPr>
                <w:sz w:val="21"/>
              </w:rPr>
              <w:t>后，仍无法通过现有医疗手段恢复。</w:t>
            </w:r>
          </w:p>
        </w:tc>
      </w:tr>
      <w:tr>
        <w:trPr>
          <w:trHeight w:val="2807" w:hRule="atLeast"/>
        </w:trPr>
        <w:tc>
          <w:tcPr>
            <w:tcW w:w="936" w:type="dxa"/>
          </w:tcPr>
          <w:p>
            <w:pPr>
              <w:pStyle w:val="TableParagraph"/>
              <w:spacing w:before="140"/>
              <w:ind w:left="200"/>
              <w:rPr>
                <w:b/>
                <w:sz w:val="21"/>
              </w:rPr>
            </w:pPr>
            <w:r>
              <w:rPr>
                <w:b/>
                <w:sz w:val="21"/>
              </w:rPr>
              <w:t>7.11</w:t>
            </w:r>
          </w:p>
        </w:tc>
        <w:tc>
          <w:tcPr>
            <w:tcW w:w="2097" w:type="dxa"/>
          </w:tcPr>
          <w:p>
            <w:pPr>
              <w:pStyle w:val="TableParagraph"/>
              <w:spacing w:before="140"/>
              <w:ind w:left="313"/>
              <w:rPr>
                <w:b/>
                <w:sz w:val="21"/>
              </w:rPr>
            </w:pPr>
            <w:r>
              <w:rPr>
                <w:b/>
                <w:sz w:val="21"/>
              </w:rPr>
              <w:t>心功能状态分级</w:t>
            </w:r>
          </w:p>
        </w:tc>
        <w:tc>
          <w:tcPr>
            <w:tcW w:w="7046" w:type="dxa"/>
          </w:tcPr>
          <w:p>
            <w:pPr>
              <w:pStyle w:val="TableParagraph"/>
              <w:spacing w:before="140"/>
              <w:ind w:left="108"/>
              <w:rPr>
                <w:sz w:val="21"/>
              </w:rPr>
            </w:pPr>
            <w:r>
              <w:rPr>
                <w:sz w:val="21"/>
              </w:rPr>
              <w:t>指美国纽约心脏协会心功能状态的分级标准：</w:t>
            </w:r>
          </w:p>
          <w:p>
            <w:pPr>
              <w:pStyle w:val="TableParagraph"/>
              <w:spacing w:line="273" w:lineRule="auto" w:before="37"/>
              <w:ind w:left="108" w:right="306"/>
              <w:rPr>
                <w:sz w:val="21"/>
              </w:rPr>
            </w:pPr>
            <w:r>
              <w:rPr>
                <w:spacing w:val="-10"/>
                <w:sz w:val="21"/>
              </w:rPr>
              <w:t>Ⅰ级：体力活动不受限制，日常活动不引起乏力、心悸、呼吸困难或心绞</w:t>
            </w:r>
            <w:r>
              <w:rPr>
                <w:spacing w:val="-5"/>
                <w:sz w:val="21"/>
              </w:rPr>
              <w:t>痛等症状。</w:t>
            </w:r>
          </w:p>
          <w:p>
            <w:pPr>
              <w:pStyle w:val="TableParagraph"/>
              <w:spacing w:line="273" w:lineRule="auto" w:before="8"/>
              <w:ind w:left="108" w:right="198"/>
              <w:rPr>
                <w:sz w:val="21"/>
              </w:rPr>
            </w:pPr>
            <w:r>
              <w:rPr>
                <w:spacing w:val="-17"/>
                <w:sz w:val="21"/>
              </w:rPr>
              <w:t>Ⅱ级：体力活动轻度受限，休息时无症状，日常活动即可引起乏力、心悸、</w:t>
            </w:r>
            <w:r>
              <w:rPr>
                <w:spacing w:val="-7"/>
                <w:sz w:val="21"/>
              </w:rPr>
              <w:t>呼吸困难或心绞痛。</w:t>
            </w:r>
          </w:p>
          <w:p>
            <w:pPr>
              <w:pStyle w:val="TableParagraph"/>
              <w:spacing w:line="273" w:lineRule="auto" w:before="8"/>
              <w:ind w:left="108" w:right="303"/>
              <w:rPr>
                <w:sz w:val="21"/>
              </w:rPr>
            </w:pPr>
            <w:r>
              <w:rPr>
                <w:spacing w:val="-12"/>
                <w:sz w:val="21"/>
              </w:rPr>
              <w:t>Ⅲ级：体力活动明显受限，休息时无症状，轻于日常的活动即可引起上述症状。</w:t>
            </w:r>
          </w:p>
          <w:p>
            <w:pPr>
              <w:pStyle w:val="TableParagraph"/>
              <w:spacing w:before="8"/>
              <w:ind w:left="108"/>
              <w:rPr>
                <w:sz w:val="21"/>
              </w:rPr>
            </w:pPr>
            <w:r>
              <w:rPr>
                <w:sz w:val="21"/>
              </w:rPr>
              <w:t>Ⅳ级：不能从事任何体力活动，休息时亦有症状，体力活动后加重。</w:t>
            </w:r>
          </w:p>
        </w:tc>
      </w:tr>
      <w:tr>
        <w:trPr>
          <w:trHeight w:val="936" w:hRule="atLeast"/>
        </w:trPr>
        <w:tc>
          <w:tcPr>
            <w:tcW w:w="936" w:type="dxa"/>
          </w:tcPr>
          <w:p>
            <w:pPr>
              <w:pStyle w:val="TableParagraph"/>
              <w:spacing w:before="140"/>
              <w:ind w:left="200"/>
              <w:rPr>
                <w:b/>
                <w:sz w:val="21"/>
              </w:rPr>
            </w:pPr>
            <w:r>
              <w:rPr>
                <w:b/>
                <w:sz w:val="21"/>
              </w:rPr>
              <w:t>7.12</w:t>
            </w:r>
          </w:p>
        </w:tc>
        <w:tc>
          <w:tcPr>
            <w:tcW w:w="2097" w:type="dxa"/>
          </w:tcPr>
          <w:p>
            <w:pPr>
              <w:pStyle w:val="TableParagraph"/>
              <w:spacing w:before="140"/>
              <w:ind w:left="313"/>
              <w:rPr>
                <w:b/>
                <w:sz w:val="21"/>
              </w:rPr>
            </w:pPr>
            <w:r>
              <w:rPr>
                <w:b/>
                <w:sz w:val="21"/>
              </w:rPr>
              <w:t>轻症疾病</w:t>
            </w:r>
          </w:p>
        </w:tc>
        <w:tc>
          <w:tcPr>
            <w:tcW w:w="7046" w:type="dxa"/>
          </w:tcPr>
          <w:p>
            <w:pPr>
              <w:pStyle w:val="TableParagraph"/>
              <w:spacing w:line="273" w:lineRule="auto" w:before="140"/>
              <w:ind w:left="108" w:right="303"/>
              <w:rPr>
                <w:sz w:val="21"/>
              </w:rPr>
            </w:pPr>
            <w:r>
              <w:rPr>
                <w:spacing w:val="-8"/>
                <w:sz w:val="21"/>
              </w:rPr>
              <w:t>指被保险人初次发生符合下列定义的疾病，或初次接受符合下列定义的手</w:t>
            </w:r>
            <w:r>
              <w:rPr>
                <w:spacing w:val="-5"/>
                <w:sz w:val="21"/>
              </w:rPr>
              <w:t>术。该疾病或手术应当由专科医生明确诊断。</w:t>
            </w:r>
          </w:p>
        </w:tc>
      </w:tr>
      <w:tr>
        <w:trPr>
          <w:trHeight w:val="3120" w:hRule="atLeast"/>
        </w:trPr>
        <w:tc>
          <w:tcPr>
            <w:tcW w:w="936" w:type="dxa"/>
          </w:tcPr>
          <w:p>
            <w:pPr>
              <w:pStyle w:val="TableParagraph"/>
              <w:ind w:left="0"/>
              <w:rPr>
                <w:rFonts w:ascii="Times New Roman"/>
                <w:sz w:val="20"/>
              </w:rPr>
            </w:pPr>
          </w:p>
        </w:tc>
        <w:tc>
          <w:tcPr>
            <w:tcW w:w="2097" w:type="dxa"/>
          </w:tcPr>
          <w:p>
            <w:pPr>
              <w:pStyle w:val="TableParagraph"/>
              <w:spacing w:line="184" w:lineRule="auto" w:before="149"/>
              <w:ind w:left="313" w:right="339"/>
              <w:rPr>
                <w:rFonts w:ascii="Microsoft JhengHei" w:eastAsia="Microsoft JhengHei" w:hint="eastAsia"/>
                <w:b/>
                <w:sz w:val="24"/>
              </w:rPr>
            </w:pPr>
            <w:r>
              <w:rPr>
                <w:rFonts w:ascii="Microsoft JhengHei" w:eastAsia="Microsoft JhengHei" w:hint="eastAsia"/>
                <w:b/>
                <w:sz w:val="24"/>
              </w:rPr>
              <w:t>极早期恶性肿瘤或恶性病变</w:t>
            </w:r>
          </w:p>
        </w:tc>
        <w:tc>
          <w:tcPr>
            <w:tcW w:w="7046" w:type="dxa"/>
          </w:tcPr>
          <w:p>
            <w:pPr>
              <w:pStyle w:val="TableParagraph"/>
              <w:spacing w:line="273" w:lineRule="auto" w:before="140"/>
              <w:ind w:left="108" w:right="303"/>
              <w:rPr>
                <w:sz w:val="21"/>
              </w:rPr>
            </w:pPr>
            <w:r>
              <w:rPr>
                <w:spacing w:val="-7"/>
                <w:sz w:val="21"/>
              </w:rPr>
              <w:t>指被保险人经组织病理学检查被明确诊断为下列恶性病变，并且接受了相</w:t>
            </w:r>
            <w:r>
              <w:rPr>
                <w:spacing w:val="-4"/>
                <w:sz w:val="21"/>
              </w:rPr>
              <w:t>应的治疗：</w:t>
            </w:r>
          </w:p>
          <w:p>
            <w:pPr>
              <w:pStyle w:val="TableParagraph"/>
              <w:spacing w:before="7"/>
              <w:ind w:left="108"/>
              <w:rPr>
                <w:sz w:val="21"/>
              </w:rPr>
            </w:pPr>
            <w:r>
              <w:rPr>
                <w:sz w:val="21"/>
              </w:rPr>
              <w:t>（1）原位癌；</w:t>
            </w:r>
          </w:p>
          <w:p>
            <w:pPr>
              <w:pStyle w:val="TableParagraph"/>
              <w:spacing w:before="36"/>
              <w:ind w:left="108"/>
              <w:rPr>
                <w:sz w:val="21"/>
              </w:rPr>
            </w:pPr>
            <w:r>
              <w:rPr>
                <w:sz w:val="21"/>
              </w:rPr>
              <w:t>（2）相当于Binet分期方案A程度的慢性淋巴细胞白血病；</w:t>
            </w:r>
          </w:p>
          <w:p>
            <w:pPr>
              <w:pStyle w:val="TableParagraph"/>
              <w:spacing w:before="36"/>
              <w:ind w:left="108"/>
              <w:rPr>
                <w:sz w:val="21"/>
              </w:rPr>
            </w:pPr>
            <w:r>
              <w:rPr>
                <w:sz w:val="21"/>
              </w:rPr>
              <w:t>（3）相当于Ann Arbor分期方案I期程度的何杰金氏病；</w:t>
            </w:r>
          </w:p>
          <w:p>
            <w:pPr>
              <w:pStyle w:val="TableParagraph"/>
              <w:spacing w:before="36"/>
              <w:ind w:left="108"/>
              <w:rPr>
                <w:sz w:val="21"/>
              </w:rPr>
            </w:pPr>
            <w:r>
              <w:rPr>
                <w:sz w:val="21"/>
              </w:rPr>
              <w:t>（4）皮肤癌</w:t>
            </w:r>
            <w:r>
              <w:rPr>
                <w:sz w:val="21"/>
                <w:shd w:fill="D9D9D9" w:color="auto" w:val="clear"/>
              </w:rPr>
              <w:t>（不包括恶性黑色素瘤及已发生转移的皮肤癌）</w:t>
            </w:r>
            <w:r>
              <w:rPr>
                <w:sz w:val="21"/>
              </w:rPr>
              <w:t>；</w:t>
            </w:r>
          </w:p>
          <w:p>
            <w:pPr>
              <w:pStyle w:val="TableParagraph"/>
              <w:spacing w:before="36"/>
              <w:ind w:left="108"/>
              <w:rPr>
                <w:sz w:val="21"/>
              </w:rPr>
            </w:pPr>
            <w:r>
              <w:rPr>
                <w:position w:val="1"/>
                <w:sz w:val="21"/>
              </w:rPr>
              <w:t>（5）TNM分期为T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p>
            <w:pPr>
              <w:pStyle w:val="TableParagraph"/>
              <w:spacing w:line="273" w:lineRule="auto" w:before="37"/>
              <w:ind w:left="108" w:right="315"/>
              <w:rPr>
                <w:sz w:val="21"/>
              </w:rPr>
            </w:pPr>
            <w:r>
              <w:rPr>
                <w:sz w:val="21"/>
                <w:shd w:fill="D9D9D9" w:color="auto" w:val="clear"/>
              </w:rPr>
              <w:t>但感染艾滋病病毒或患艾滋病期间所患极早期恶性肿瘤或恶性病变不在保障范围内。</w:t>
            </w:r>
          </w:p>
        </w:tc>
      </w:tr>
      <w:tr>
        <w:trPr>
          <w:trHeight w:val="1560" w:hRule="atLeast"/>
        </w:trPr>
        <w:tc>
          <w:tcPr>
            <w:tcW w:w="936" w:type="dxa"/>
          </w:tcPr>
          <w:p>
            <w:pPr>
              <w:pStyle w:val="TableParagraph"/>
              <w:ind w:left="0"/>
              <w:rPr>
                <w:rFonts w:ascii="Times New Roman"/>
                <w:sz w:val="20"/>
              </w:rPr>
            </w:pPr>
          </w:p>
        </w:tc>
        <w:tc>
          <w:tcPr>
            <w:tcW w:w="2097" w:type="dxa"/>
          </w:tcPr>
          <w:p>
            <w:pPr>
              <w:pStyle w:val="TableParagraph"/>
              <w:spacing w:line="184" w:lineRule="auto" w:before="149"/>
              <w:ind w:left="313" w:right="339"/>
              <w:rPr>
                <w:rFonts w:ascii="Microsoft JhengHei" w:eastAsia="Microsoft JhengHei" w:hint="eastAsia"/>
                <w:b/>
                <w:sz w:val="24"/>
              </w:rPr>
            </w:pPr>
            <w:r>
              <w:rPr>
                <w:rFonts w:ascii="Microsoft JhengHei" w:eastAsia="Microsoft JhengHei" w:hint="eastAsia"/>
                <w:b/>
                <w:sz w:val="24"/>
              </w:rPr>
              <w:t>不典型的急性</w:t>
            </w:r>
            <w:r>
              <w:rPr>
                <w:rFonts w:ascii="Microsoft JhengHei" w:eastAsia="Microsoft JhengHei" w:hint="eastAsia"/>
                <w:b/>
                <w:w w:val="105"/>
                <w:sz w:val="24"/>
              </w:rPr>
              <w:t>心ft梗塞</w:t>
            </w:r>
          </w:p>
        </w:tc>
        <w:tc>
          <w:tcPr>
            <w:tcW w:w="7046" w:type="dxa"/>
          </w:tcPr>
          <w:p>
            <w:pPr>
              <w:pStyle w:val="TableParagraph"/>
              <w:spacing w:line="273" w:lineRule="auto" w:before="140"/>
              <w:ind w:left="108" w:right="315"/>
              <w:rPr>
                <w:sz w:val="21"/>
              </w:rPr>
            </w:pPr>
            <w:r>
              <w:rPr>
                <w:sz w:val="21"/>
              </w:rPr>
              <w:t>指被临床诊断为急性心肌梗塞并接受了急性心肌梗塞治疗虽然未达到重大疾病“急性心肌梗塞”的给付标准，但满足下列全部条件：</w:t>
            </w:r>
          </w:p>
          <w:p>
            <w:pPr>
              <w:pStyle w:val="TableParagraph"/>
              <w:spacing w:before="7"/>
              <w:ind w:left="108"/>
              <w:rPr>
                <w:sz w:val="21"/>
              </w:rPr>
            </w:pPr>
            <w:r>
              <w:rPr>
                <w:sz w:val="21"/>
              </w:rPr>
              <w:t>（1）肌钙蛋白有诊断意义的升高；</w:t>
            </w:r>
          </w:p>
          <w:p>
            <w:pPr>
              <w:pStyle w:val="TableParagraph"/>
              <w:spacing w:before="37"/>
              <w:ind w:left="108"/>
              <w:rPr>
                <w:sz w:val="21"/>
              </w:rPr>
            </w:pPr>
            <w:r>
              <w:rPr>
                <w:sz w:val="21"/>
              </w:rPr>
              <w:t>（2）心电图有损伤性的ST段改变但未出现病理Q波。</w:t>
            </w:r>
          </w:p>
        </w:tc>
      </w:tr>
      <w:tr>
        <w:trPr>
          <w:trHeight w:val="3120" w:hRule="atLeast"/>
        </w:trPr>
        <w:tc>
          <w:tcPr>
            <w:tcW w:w="936" w:type="dxa"/>
          </w:tcPr>
          <w:p>
            <w:pPr>
              <w:pStyle w:val="TableParagraph"/>
              <w:ind w:left="0"/>
              <w:rPr>
                <w:rFonts w:ascii="Times New Roman"/>
                <w:sz w:val="20"/>
              </w:rPr>
            </w:pPr>
          </w:p>
        </w:tc>
        <w:tc>
          <w:tcPr>
            <w:tcW w:w="2097" w:type="dxa"/>
          </w:tcPr>
          <w:p>
            <w:pPr>
              <w:pStyle w:val="TableParagraph"/>
              <w:spacing w:before="53"/>
              <w:ind w:left="313"/>
              <w:rPr>
                <w:rFonts w:ascii="Microsoft JhengHei" w:eastAsia="Microsoft JhengHei" w:hint="eastAsia"/>
                <w:b/>
                <w:sz w:val="24"/>
              </w:rPr>
            </w:pPr>
            <w:r>
              <w:rPr>
                <w:rFonts w:ascii="Microsoft JhengHei" w:eastAsia="Microsoft JhengHei" w:hint="eastAsia"/>
                <w:b/>
                <w:sz w:val="24"/>
              </w:rPr>
              <w:t>轻微脑中风</w:t>
            </w:r>
          </w:p>
        </w:tc>
        <w:tc>
          <w:tcPr>
            <w:tcW w:w="7046" w:type="dxa"/>
          </w:tcPr>
          <w:p>
            <w:pPr>
              <w:pStyle w:val="TableParagraph"/>
              <w:spacing w:line="273" w:lineRule="auto" w:before="140"/>
              <w:ind w:left="108" w:right="303"/>
              <w:jc w:val="both"/>
              <w:rPr>
                <w:sz w:val="21"/>
              </w:rPr>
            </w:pPr>
            <w:r>
              <w:rPr>
                <w:spacing w:val="-7"/>
                <w:sz w:val="21"/>
              </w:rPr>
              <w:t>指实际发生了脑血管的突发病变并出现神经系统功能障碍表现，头颅断层扫描（CT）</w:t>
            </w:r>
            <w:r>
              <w:rPr>
                <w:spacing w:val="-3"/>
                <w:sz w:val="21"/>
              </w:rPr>
              <w:t>、核磁共振</w:t>
            </w:r>
            <w:r>
              <w:rPr>
                <w:sz w:val="21"/>
              </w:rPr>
              <w:t>（MRI）</w:t>
            </w:r>
            <w:r>
              <w:rPr>
                <w:spacing w:val="-3"/>
                <w:sz w:val="21"/>
              </w:rPr>
              <w:t>等影像学检查证实存在对应病灶，确诊为脑出血、脑栓塞或脑梗塞，在确诊</w:t>
            </w:r>
            <w:r>
              <w:rPr>
                <w:sz w:val="21"/>
              </w:rPr>
              <w:t>180</w:t>
            </w:r>
            <w:r>
              <w:rPr>
                <w:spacing w:val="-3"/>
                <w:sz w:val="21"/>
              </w:rPr>
              <w:t>日后神经系统功能障碍程度虽未达</w:t>
            </w:r>
            <w:r>
              <w:rPr>
                <w:spacing w:val="-12"/>
                <w:sz w:val="21"/>
              </w:rPr>
              <w:t>到重大疾病“脑中风后遗症”的给付标准，但仍遗留下列一种或一种以上障碍：</w:t>
            </w:r>
          </w:p>
          <w:p>
            <w:pPr>
              <w:pStyle w:val="TableParagraph"/>
              <w:spacing w:before="7"/>
              <w:ind w:left="108"/>
              <w:rPr>
                <w:sz w:val="21"/>
              </w:rPr>
            </w:pPr>
            <w:r>
              <w:rPr>
                <w:sz w:val="21"/>
              </w:rPr>
              <w:t>（1）一侧肢体（上肢和下肢）肌力2级或2级以下；</w:t>
            </w:r>
          </w:p>
          <w:p>
            <w:pPr>
              <w:pStyle w:val="TableParagraph"/>
              <w:spacing w:line="273" w:lineRule="auto" w:before="36"/>
              <w:ind w:left="108" w:right="306"/>
              <w:jc w:val="both"/>
              <w:rPr>
                <w:sz w:val="21"/>
              </w:rPr>
            </w:pPr>
            <w:r>
              <w:rPr>
                <w:sz w:val="21"/>
              </w:rPr>
              <w:t>（2）自主生活能力部分丧失，无法独立完成六项基本日常生活活动中的两项或两项以上。</w:t>
            </w:r>
          </w:p>
          <w:p>
            <w:pPr>
              <w:pStyle w:val="TableParagraph"/>
              <w:spacing w:before="7"/>
              <w:ind w:left="108"/>
              <w:jc w:val="both"/>
              <w:rPr>
                <w:sz w:val="21"/>
              </w:rPr>
            </w:pPr>
            <w:r>
              <w:rPr>
                <w:sz w:val="21"/>
                <w:shd w:fill="D9D9D9" w:color="auto" w:val="clear"/>
              </w:rPr>
              <w:t>短暂性脑缺血发作（TIA）和腔隙性脑梗塞不在保障范围内。</w:t>
            </w:r>
          </w:p>
        </w:tc>
      </w:tr>
      <w:tr>
        <w:trPr>
          <w:trHeight w:val="1293" w:hRule="atLeast"/>
        </w:trPr>
        <w:tc>
          <w:tcPr>
            <w:tcW w:w="936" w:type="dxa"/>
          </w:tcPr>
          <w:p>
            <w:pPr>
              <w:pStyle w:val="TableParagraph"/>
              <w:ind w:left="0"/>
              <w:rPr>
                <w:rFonts w:ascii="Times New Roman"/>
                <w:sz w:val="20"/>
              </w:rPr>
            </w:pPr>
          </w:p>
        </w:tc>
        <w:tc>
          <w:tcPr>
            <w:tcW w:w="2097" w:type="dxa"/>
          </w:tcPr>
          <w:p>
            <w:pPr>
              <w:pStyle w:val="TableParagraph"/>
              <w:spacing w:line="184" w:lineRule="auto" w:before="149"/>
              <w:ind w:left="313" w:right="64"/>
              <w:rPr>
                <w:rFonts w:ascii="Microsoft JhengHei" w:eastAsia="Microsoft JhengHei" w:hint="eastAsia"/>
                <w:b/>
                <w:sz w:val="24"/>
              </w:rPr>
            </w:pPr>
            <w:r>
              <w:rPr>
                <w:rFonts w:ascii="Microsoft JhengHei" w:eastAsia="Microsoft JhengHei" w:hint="eastAsia"/>
                <w:b/>
                <w:sz w:val="24"/>
              </w:rPr>
              <w:t>冠状动脉介入手术（非开胸手术）</w:t>
            </w:r>
          </w:p>
        </w:tc>
        <w:tc>
          <w:tcPr>
            <w:tcW w:w="7046" w:type="dxa"/>
          </w:tcPr>
          <w:p>
            <w:pPr>
              <w:pStyle w:val="TableParagraph"/>
              <w:spacing w:line="273" w:lineRule="auto" w:before="140"/>
              <w:ind w:left="108" w:right="303"/>
              <w:jc w:val="both"/>
              <w:rPr>
                <w:sz w:val="21"/>
              </w:rPr>
            </w:pPr>
            <w:r>
              <w:rPr>
                <w:spacing w:val="-9"/>
                <w:sz w:val="21"/>
              </w:rPr>
              <w:t>为了治疗明显的冠状动脉狭窄性疾病，首次实际实施了冠状动脉球囊扩张</w:t>
            </w:r>
            <w:r>
              <w:rPr>
                <w:spacing w:val="-13"/>
                <w:sz w:val="21"/>
              </w:rPr>
              <w:t>成形术、冠状动脉支架植入术、冠状动脉粥肿斑块切除术或激光冠状动脉</w:t>
            </w:r>
            <w:r>
              <w:rPr>
                <w:spacing w:val="-8"/>
                <w:sz w:val="21"/>
              </w:rPr>
              <w:t>成形术。</w:t>
            </w:r>
          </w:p>
        </w:tc>
      </w:tr>
      <w:tr>
        <w:trPr>
          <w:trHeight w:val="446" w:hRule="atLeast"/>
        </w:trPr>
        <w:tc>
          <w:tcPr>
            <w:tcW w:w="936" w:type="dxa"/>
          </w:tcPr>
          <w:p>
            <w:pPr>
              <w:pStyle w:val="TableParagraph"/>
              <w:ind w:left="0"/>
              <w:rPr>
                <w:rFonts w:ascii="Times New Roman"/>
                <w:sz w:val="20"/>
              </w:rPr>
            </w:pPr>
          </w:p>
        </w:tc>
        <w:tc>
          <w:tcPr>
            <w:tcW w:w="2097" w:type="dxa"/>
          </w:tcPr>
          <w:p>
            <w:pPr>
              <w:pStyle w:val="TableParagraph"/>
              <w:spacing w:line="396" w:lineRule="exact" w:before="31"/>
              <w:ind w:left="313"/>
              <w:rPr>
                <w:rFonts w:ascii="Microsoft JhengHei" w:eastAsia="Microsoft JhengHei" w:hint="eastAsia"/>
                <w:b/>
                <w:sz w:val="24"/>
              </w:rPr>
            </w:pPr>
            <w:r>
              <w:rPr>
                <w:rFonts w:ascii="Microsoft JhengHei" w:eastAsia="Microsoft JhengHei" w:hint="eastAsia"/>
                <w:b/>
                <w:sz w:val="24"/>
              </w:rPr>
              <w:t>心脏瓣膜介入</w:t>
            </w:r>
          </w:p>
        </w:tc>
        <w:tc>
          <w:tcPr>
            <w:tcW w:w="7046" w:type="dxa"/>
          </w:tcPr>
          <w:p>
            <w:pPr>
              <w:pStyle w:val="TableParagraph"/>
              <w:spacing w:before="118"/>
              <w:ind w:left="108"/>
              <w:rPr>
                <w:sz w:val="21"/>
              </w:rPr>
            </w:pPr>
            <w:r>
              <w:rPr>
                <w:sz w:val="21"/>
              </w:rPr>
              <w:t>为了治疗心脏瓣膜疾病，实际实施了非开胸的经胸壁打孔内镜手术或经皮</w:t>
            </w:r>
          </w:p>
        </w:tc>
      </w:tr>
    </w:tbl>
    <w:p>
      <w:pPr>
        <w:spacing w:after="0"/>
        <w:rPr>
          <w:sz w:val="21"/>
        </w:rPr>
        <w:sectPr>
          <w:pgSz w:w="11910" w:h="16840"/>
          <w:pgMar w:header="0" w:footer="926" w:top="1480" w:bottom="1040" w:left="820" w:right="780"/>
        </w:sect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7"/>
        <w:gridCol w:w="7040"/>
      </w:tblGrid>
      <w:tr>
        <w:trPr>
          <w:trHeight w:val="768" w:hRule="atLeast"/>
        </w:trPr>
        <w:tc>
          <w:tcPr>
            <w:tcW w:w="1987" w:type="dxa"/>
          </w:tcPr>
          <w:p>
            <w:pPr>
              <w:pStyle w:val="TableParagraph"/>
              <w:spacing w:line="218" w:lineRule="exact"/>
              <w:ind w:left="200"/>
              <w:rPr>
                <w:rFonts w:ascii="Microsoft JhengHei" w:eastAsia="Microsoft JhengHei" w:hint="eastAsia"/>
                <w:b/>
                <w:sz w:val="24"/>
              </w:rPr>
            </w:pPr>
            <w:r>
              <w:rPr>
                <w:rFonts w:ascii="Microsoft JhengHei" w:eastAsia="Microsoft JhengHei" w:hint="eastAsia"/>
                <w:b/>
                <w:sz w:val="24"/>
              </w:rPr>
              <w:t>手术（非开胸手</w:t>
            </w:r>
          </w:p>
          <w:p>
            <w:pPr>
              <w:pStyle w:val="TableParagraph"/>
              <w:spacing w:line="370" w:lineRule="exact"/>
              <w:ind w:left="200"/>
              <w:rPr>
                <w:rFonts w:ascii="Microsoft JhengHei" w:eastAsia="Microsoft JhengHei" w:hint="eastAsia"/>
                <w:b/>
                <w:sz w:val="24"/>
              </w:rPr>
            </w:pPr>
            <w:r>
              <w:rPr>
                <w:rFonts w:ascii="Microsoft JhengHei" w:eastAsia="Microsoft JhengHei" w:hint="eastAsia"/>
                <w:b/>
                <w:sz w:val="24"/>
              </w:rPr>
              <w:t>术）</w:t>
            </w:r>
          </w:p>
        </w:tc>
        <w:tc>
          <w:tcPr>
            <w:tcW w:w="7040" w:type="dxa"/>
          </w:tcPr>
          <w:p>
            <w:pPr>
              <w:pStyle w:val="TableParagraph"/>
              <w:spacing w:line="211" w:lineRule="exact"/>
              <w:ind w:left="104"/>
              <w:rPr>
                <w:sz w:val="21"/>
              </w:rPr>
            </w:pPr>
            <w:r>
              <w:rPr>
                <w:sz w:val="21"/>
              </w:rPr>
              <w:t>经导管介入手术进行的心脏瓣膜置换或修复手术。</w:t>
            </w:r>
          </w:p>
        </w:tc>
      </w:tr>
      <w:tr>
        <w:trPr>
          <w:trHeight w:val="1850" w:hRule="atLeast"/>
        </w:trPr>
        <w:tc>
          <w:tcPr>
            <w:tcW w:w="1987" w:type="dxa"/>
          </w:tcPr>
          <w:p>
            <w:pPr>
              <w:pStyle w:val="TableParagraph"/>
              <w:spacing w:before="33"/>
              <w:ind w:left="200"/>
              <w:rPr>
                <w:rFonts w:ascii="Microsoft JhengHei" w:eastAsia="Microsoft JhengHei" w:hint="eastAsia"/>
                <w:b/>
                <w:sz w:val="24"/>
              </w:rPr>
            </w:pPr>
            <w:r>
              <w:rPr>
                <w:rFonts w:ascii="Microsoft JhengHei" w:eastAsia="Microsoft JhengHei" w:hint="eastAsia"/>
                <w:b/>
                <w:sz w:val="24"/>
              </w:rPr>
              <w:t>视力严重受损</w:t>
            </w:r>
          </w:p>
        </w:tc>
        <w:tc>
          <w:tcPr>
            <w:tcW w:w="7040" w:type="dxa"/>
          </w:tcPr>
          <w:p>
            <w:pPr>
              <w:pStyle w:val="TableParagraph"/>
              <w:spacing w:line="273" w:lineRule="auto" w:before="121"/>
              <w:ind w:left="104" w:right="300"/>
              <w:rPr>
                <w:sz w:val="21"/>
              </w:rPr>
            </w:pPr>
            <w:r>
              <w:rPr>
                <w:spacing w:val="-7"/>
                <w:sz w:val="21"/>
              </w:rPr>
              <w:t>指因疾病或意外伤害导致双目视力永久不可逆性丧失，虽然未达到重大疾</w:t>
            </w:r>
            <w:r>
              <w:rPr>
                <w:spacing w:val="-5"/>
                <w:sz w:val="21"/>
              </w:rPr>
              <w:t>病“双目失明”的给付标准，但满足下列条件之一：</w:t>
            </w:r>
          </w:p>
          <w:p>
            <w:pPr>
              <w:pStyle w:val="TableParagraph"/>
              <w:spacing w:line="273" w:lineRule="auto" w:before="8"/>
              <w:ind w:left="104" w:right="303"/>
              <w:rPr>
                <w:sz w:val="21"/>
              </w:rPr>
            </w:pPr>
            <w:r>
              <w:rPr>
                <w:spacing w:val="-12"/>
                <w:sz w:val="21"/>
              </w:rPr>
              <w:t>（1）</w:t>
            </w:r>
            <w:r>
              <w:rPr>
                <w:spacing w:val="-3"/>
                <w:sz w:val="21"/>
              </w:rPr>
              <w:t>双眼中较好眼矫正视力低于</w:t>
            </w:r>
            <w:r>
              <w:rPr>
                <w:spacing w:val="-9"/>
                <w:sz w:val="21"/>
              </w:rPr>
              <w:t>0.1（</w:t>
            </w:r>
            <w:r>
              <w:rPr>
                <w:spacing w:val="-6"/>
                <w:sz w:val="21"/>
              </w:rPr>
              <w:t>采用国际标准视力表，如果使用其</w:t>
            </w:r>
            <w:r>
              <w:rPr>
                <w:spacing w:val="-4"/>
                <w:sz w:val="21"/>
              </w:rPr>
              <w:t>他视力表应进行换算</w:t>
            </w:r>
            <w:r>
              <w:rPr>
                <w:sz w:val="21"/>
              </w:rPr>
              <w:t>）；</w:t>
            </w:r>
          </w:p>
          <w:p>
            <w:pPr>
              <w:pStyle w:val="TableParagraph"/>
              <w:spacing w:before="8"/>
              <w:ind w:left="104"/>
              <w:rPr>
                <w:sz w:val="21"/>
              </w:rPr>
            </w:pPr>
            <w:r>
              <w:rPr>
                <w:sz w:val="21"/>
              </w:rPr>
              <w:t>（2）双眼中较好眼视野半径小于20度。</w:t>
            </w:r>
          </w:p>
        </w:tc>
      </w:tr>
      <w:tr>
        <w:trPr>
          <w:trHeight w:val="973" w:hRule="atLeast"/>
        </w:trPr>
        <w:tc>
          <w:tcPr>
            <w:tcW w:w="1987" w:type="dxa"/>
          </w:tcPr>
          <w:p>
            <w:pPr>
              <w:pStyle w:val="TableParagraph"/>
              <w:spacing w:line="368" w:lineRule="exact" w:before="55"/>
              <w:ind w:left="200"/>
              <w:rPr>
                <w:rFonts w:ascii="Microsoft JhengHei" w:eastAsia="Microsoft JhengHei" w:hint="eastAsia"/>
                <w:b/>
                <w:sz w:val="24"/>
              </w:rPr>
            </w:pPr>
            <w:r>
              <w:rPr>
                <w:rFonts w:ascii="Microsoft JhengHei" w:eastAsia="Microsoft JhengHei" w:hint="eastAsia"/>
                <w:b/>
                <w:sz w:val="24"/>
              </w:rPr>
              <w:t>主动脉内手术</w:t>
            </w:r>
          </w:p>
          <w:p>
            <w:pPr>
              <w:pStyle w:val="TableParagraph"/>
              <w:spacing w:line="368" w:lineRule="exact"/>
              <w:ind w:left="200"/>
              <w:rPr>
                <w:rFonts w:ascii="Microsoft JhengHei" w:eastAsia="Microsoft JhengHei" w:hint="eastAsia"/>
                <w:b/>
                <w:sz w:val="24"/>
              </w:rPr>
            </w:pPr>
            <w:r>
              <w:rPr>
                <w:rFonts w:ascii="Microsoft JhengHei" w:eastAsia="Microsoft JhengHei" w:hint="eastAsia"/>
                <w:b/>
                <w:sz w:val="24"/>
              </w:rPr>
              <w:t>（非开胸手术）</w:t>
            </w:r>
          </w:p>
        </w:tc>
        <w:tc>
          <w:tcPr>
            <w:tcW w:w="7040" w:type="dxa"/>
          </w:tcPr>
          <w:p>
            <w:pPr>
              <w:pStyle w:val="TableParagraph"/>
              <w:spacing w:line="273" w:lineRule="auto" w:before="142"/>
              <w:ind w:left="104" w:right="301"/>
              <w:rPr>
                <w:sz w:val="21"/>
              </w:rPr>
            </w:pPr>
            <w:r>
              <w:rPr>
                <w:spacing w:val="-7"/>
                <w:sz w:val="21"/>
              </w:rPr>
              <w:t>为了治疗主动脉疾病实施了经导管置入进行的动脉内手术。主动脉指胸主</w:t>
            </w:r>
            <w:r>
              <w:rPr>
                <w:spacing w:val="-3"/>
                <w:sz w:val="21"/>
              </w:rPr>
              <w:t>动脉和腹主动脉，</w:t>
            </w:r>
            <w:r>
              <w:rPr>
                <w:spacing w:val="-3"/>
                <w:sz w:val="21"/>
                <w:shd w:fill="D9D9D9" w:color="auto" w:val="clear"/>
              </w:rPr>
              <w:t>不包括胸主动脉和腹主动脉的分支血管。</w:t>
            </w:r>
          </w:p>
        </w:tc>
      </w:tr>
      <w:tr>
        <w:trPr>
          <w:trHeight w:val="1851" w:hRule="atLeast"/>
        </w:trPr>
        <w:tc>
          <w:tcPr>
            <w:tcW w:w="1987" w:type="dxa"/>
          </w:tcPr>
          <w:p>
            <w:pPr>
              <w:pStyle w:val="TableParagraph"/>
              <w:spacing w:line="182" w:lineRule="auto" w:before="135"/>
              <w:ind w:left="200" w:right="109"/>
              <w:jc w:val="both"/>
              <w:rPr>
                <w:rFonts w:ascii="Microsoft JhengHei" w:eastAsia="Microsoft JhengHei" w:hint="eastAsia"/>
                <w:b/>
                <w:sz w:val="24"/>
              </w:rPr>
            </w:pPr>
            <w:r>
              <w:rPr>
                <w:rFonts w:ascii="Microsoft JhengHei" w:eastAsia="Microsoft JhengHei" w:hint="eastAsia"/>
                <w:b/>
                <w:spacing w:val="-2"/>
                <w:sz w:val="24"/>
              </w:rPr>
              <w:t>脑垂体瘤、脑囊</w:t>
            </w:r>
            <w:r>
              <w:rPr>
                <w:rFonts w:ascii="Microsoft JhengHei" w:eastAsia="Microsoft JhengHei" w:hint="eastAsia"/>
                <w:b/>
                <w:spacing w:val="-3"/>
                <w:sz w:val="24"/>
              </w:rPr>
              <w:t>肿、脑动脉瘤及脑血管瘤</w:t>
            </w:r>
          </w:p>
        </w:tc>
        <w:tc>
          <w:tcPr>
            <w:tcW w:w="7040" w:type="dxa"/>
          </w:tcPr>
          <w:p>
            <w:pPr>
              <w:pStyle w:val="TableParagraph"/>
              <w:spacing w:line="273" w:lineRule="auto" w:before="122"/>
              <w:ind w:left="104" w:right="303"/>
              <w:rPr>
                <w:sz w:val="21"/>
              </w:rPr>
            </w:pPr>
            <w:r>
              <w:rPr>
                <w:sz w:val="21"/>
              </w:rPr>
              <w:t>指经头颅断层扫描（CT）、核磁共振（MRI）或其他影像学检查被确诊为下列病变，并实际接受了手术或放射治疗：</w:t>
            </w:r>
          </w:p>
          <w:p>
            <w:pPr>
              <w:pStyle w:val="TableParagraph"/>
              <w:spacing w:before="8"/>
              <w:ind w:left="104"/>
              <w:rPr>
                <w:sz w:val="21"/>
              </w:rPr>
            </w:pPr>
            <w:r>
              <w:rPr>
                <w:sz w:val="21"/>
              </w:rPr>
              <w:t>（1）脑垂体瘤；</w:t>
            </w:r>
          </w:p>
          <w:p>
            <w:pPr>
              <w:pStyle w:val="TableParagraph"/>
              <w:spacing w:before="36"/>
              <w:ind w:left="104"/>
              <w:rPr>
                <w:sz w:val="21"/>
              </w:rPr>
            </w:pPr>
            <w:r>
              <w:rPr>
                <w:sz w:val="21"/>
              </w:rPr>
              <w:t>（2）脑囊肿；</w:t>
            </w:r>
          </w:p>
          <w:p>
            <w:pPr>
              <w:pStyle w:val="TableParagraph"/>
              <w:spacing w:before="36"/>
              <w:ind w:left="104"/>
              <w:rPr>
                <w:sz w:val="21"/>
              </w:rPr>
            </w:pPr>
            <w:r>
              <w:rPr>
                <w:sz w:val="21"/>
              </w:rPr>
              <w:t>（3）脑动脉瘤、脑血管瘤。</w:t>
            </w:r>
          </w:p>
        </w:tc>
      </w:tr>
      <w:tr>
        <w:trPr>
          <w:trHeight w:val="972" w:hRule="atLeast"/>
        </w:trPr>
        <w:tc>
          <w:tcPr>
            <w:tcW w:w="1987" w:type="dxa"/>
          </w:tcPr>
          <w:p>
            <w:pPr>
              <w:pStyle w:val="TableParagraph"/>
              <w:spacing w:line="182" w:lineRule="auto" w:before="155"/>
              <w:ind w:left="200" w:right="342"/>
              <w:rPr>
                <w:rFonts w:ascii="Microsoft JhengHei" w:hAnsi="Microsoft JhengHei" w:eastAsia="Microsoft JhengHei" w:hint="eastAsia"/>
                <w:b/>
                <w:sz w:val="24"/>
              </w:rPr>
            </w:pPr>
            <w:r>
              <w:rPr>
                <w:rFonts w:ascii="Microsoft JhengHei" w:hAnsi="Microsoft JhengHei" w:eastAsia="Microsoft JhengHei" w:hint="eastAsia"/>
                <w:b/>
                <w:sz w:val="24"/>
              </w:rPr>
              <w:t>较小面积Ⅲ度</w:t>
            </w:r>
            <w:r>
              <w:rPr>
                <w:rFonts w:ascii="Microsoft JhengHei" w:hAnsi="Microsoft JhengHei" w:eastAsia="Microsoft JhengHei" w:hint="eastAsia"/>
                <w:b/>
                <w:w w:val="95"/>
                <w:sz w:val="24"/>
              </w:rPr>
              <w:t>烧伤（10%）</w:t>
            </w:r>
          </w:p>
        </w:tc>
        <w:tc>
          <w:tcPr>
            <w:tcW w:w="7040" w:type="dxa"/>
          </w:tcPr>
          <w:p>
            <w:pPr>
              <w:pStyle w:val="TableParagraph"/>
              <w:spacing w:line="273" w:lineRule="auto" w:before="142"/>
              <w:ind w:left="104" w:right="300"/>
              <w:rPr>
                <w:sz w:val="21"/>
              </w:rPr>
            </w:pPr>
            <w:r>
              <w:rPr>
                <w:spacing w:val="-8"/>
                <w:sz w:val="21"/>
              </w:rPr>
              <w:t>指烧伤程度为Ⅲ度，且Ⅲ度烧伤面积为全身体表面积的</w:t>
            </w:r>
            <w:r>
              <w:rPr>
                <w:sz w:val="21"/>
              </w:rPr>
              <w:t>10%或10</w:t>
            </w:r>
            <w:r>
              <w:rPr>
                <w:spacing w:val="-12"/>
                <w:sz w:val="21"/>
              </w:rPr>
              <w:t>%以上，但</w:t>
            </w:r>
            <w:r>
              <w:rPr>
                <w:spacing w:val="-2"/>
                <w:sz w:val="21"/>
              </w:rPr>
              <w:t>尚未达到</w:t>
            </w:r>
            <w:r>
              <w:rPr>
                <w:spacing w:val="-1"/>
                <w:sz w:val="21"/>
              </w:rPr>
              <w:t>20</w:t>
            </w:r>
            <w:r>
              <w:rPr>
                <w:spacing w:val="-3"/>
                <w:sz w:val="21"/>
              </w:rPr>
              <w:t>%。体表面积根据《中国新九分法》计算。</w:t>
            </w:r>
          </w:p>
        </w:tc>
      </w:tr>
      <w:tr>
        <w:trPr>
          <w:trHeight w:val="1850" w:hRule="atLeast"/>
        </w:trPr>
        <w:tc>
          <w:tcPr>
            <w:tcW w:w="1987" w:type="dxa"/>
          </w:tcPr>
          <w:p>
            <w:pPr>
              <w:pStyle w:val="TableParagraph"/>
              <w:spacing w:before="33"/>
              <w:ind w:left="200"/>
              <w:rPr>
                <w:rFonts w:ascii="Microsoft JhengHei" w:eastAsia="Microsoft JhengHei" w:hint="eastAsia"/>
                <w:b/>
                <w:sz w:val="24"/>
              </w:rPr>
            </w:pPr>
            <w:r>
              <w:rPr>
                <w:rFonts w:ascii="Microsoft JhengHei" w:eastAsia="Microsoft JhengHei" w:hint="eastAsia"/>
                <w:b/>
                <w:sz w:val="24"/>
              </w:rPr>
              <w:t>重度头部外伤</w:t>
            </w:r>
          </w:p>
        </w:tc>
        <w:tc>
          <w:tcPr>
            <w:tcW w:w="7040" w:type="dxa"/>
          </w:tcPr>
          <w:p>
            <w:pPr>
              <w:pStyle w:val="TableParagraph"/>
              <w:spacing w:line="273" w:lineRule="auto" w:before="120"/>
              <w:ind w:left="104" w:right="300"/>
              <w:jc w:val="both"/>
              <w:rPr>
                <w:sz w:val="21"/>
              </w:rPr>
            </w:pPr>
            <w:r>
              <w:rPr>
                <w:spacing w:val="-9"/>
                <w:sz w:val="21"/>
              </w:rPr>
              <w:t>指因头部遭受机械性外力，引起脑重要部位损伤，导致神经系统永久性的</w:t>
            </w:r>
            <w:r>
              <w:rPr>
                <w:spacing w:val="-6"/>
                <w:sz w:val="21"/>
              </w:rPr>
              <w:t>功能障碍。须由头颅断层扫描</w:t>
            </w:r>
            <w:r>
              <w:rPr>
                <w:sz w:val="21"/>
              </w:rPr>
              <w:t>（CT），</w:t>
            </w:r>
            <w:r>
              <w:rPr>
                <w:spacing w:val="-3"/>
                <w:sz w:val="21"/>
              </w:rPr>
              <w:t>核磁共振检查</w:t>
            </w:r>
            <w:r>
              <w:rPr>
                <w:sz w:val="21"/>
              </w:rPr>
              <w:t>（MRI）</w:t>
            </w:r>
            <w:r>
              <w:rPr>
                <w:spacing w:val="-2"/>
                <w:sz w:val="21"/>
              </w:rPr>
              <w:t>或正电子发</w:t>
            </w:r>
            <w:r>
              <w:rPr>
                <w:spacing w:val="-3"/>
                <w:sz w:val="21"/>
              </w:rPr>
              <w:t>射断层扫描</w:t>
            </w:r>
            <w:r>
              <w:rPr>
                <w:spacing w:val="-1"/>
                <w:sz w:val="21"/>
              </w:rPr>
              <w:t>（PET）</w:t>
            </w:r>
            <w:r>
              <w:rPr>
                <w:spacing w:val="-3"/>
                <w:sz w:val="21"/>
              </w:rPr>
              <w:t>等影像学检查证实。</w:t>
            </w:r>
          </w:p>
          <w:p>
            <w:pPr>
              <w:pStyle w:val="TableParagraph"/>
              <w:spacing w:line="273" w:lineRule="auto" w:before="7"/>
              <w:ind w:left="104" w:right="303"/>
              <w:jc w:val="both"/>
              <w:rPr>
                <w:sz w:val="21"/>
              </w:rPr>
            </w:pPr>
            <w:r>
              <w:rPr>
                <w:sz w:val="21"/>
              </w:rPr>
              <w:t>神经系统永久性的功能障碍，指脑损伤180日后，仍完全丧失自主生活能力，无法独立完成六项基本日常生活活动中的二项或以上。</w:t>
            </w:r>
          </w:p>
        </w:tc>
      </w:tr>
      <w:tr>
        <w:trPr>
          <w:trHeight w:val="1872" w:hRule="atLeast"/>
        </w:trPr>
        <w:tc>
          <w:tcPr>
            <w:tcW w:w="1987" w:type="dxa"/>
          </w:tcPr>
          <w:p>
            <w:pPr>
              <w:pStyle w:val="TableParagraph"/>
              <w:spacing w:line="184" w:lineRule="auto" w:before="151"/>
              <w:ind w:left="200" w:right="148"/>
              <w:rPr>
                <w:rFonts w:ascii="Microsoft JhengHei" w:hAnsi="Microsoft JhengHei" w:eastAsia="Microsoft JhengHei" w:hint="eastAsia"/>
                <w:b/>
                <w:sz w:val="24"/>
              </w:rPr>
            </w:pPr>
            <w:r>
              <w:rPr>
                <w:rFonts w:ascii="Microsoft JhengHei" w:hAnsi="Microsoft JhengHei" w:eastAsia="Microsoft JhengHei" w:hint="eastAsia"/>
                <w:b/>
                <w:sz w:val="24"/>
              </w:rPr>
              <w:t>Ⅲ度房室传导阻滞- 已放置心脏起搏器</w:t>
            </w:r>
          </w:p>
        </w:tc>
        <w:tc>
          <w:tcPr>
            <w:tcW w:w="7040" w:type="dxa"/>
          </w:tcPr>
          <w:p>
            <w:pPr>
              <w:pStyle w:val="TableParagraph"/>
              <w:spacing w:line="273" w:lineRule="auto" w:before="143"/>
              <w:ind w:left="104" w:right="301"/>
              <w:rPr>
                <w:sz w:val="21"/>
              </w:rPr>
            </w:pPr>
            <w:r>
              <w:rPr>
                <w:spacing w:val="-9"/>
                <w:sz w:val="21"/>
              </w:rPr>
              <w:t>指心房悸动在房室交界区、房室束及其分支内发生阻滞，不能正常地传到</w:t>
            </w:r>
            <w:r>
              <w:rPr>
                <w:spacing w:val="-5"/>
                <w:sz w:val="21"/>
              </w:rPr>
              <w:t>心室的心脏传导性疾病，须满足下列所有条件：</w:t>
            </w:r>
          </w:p>
          <w:p>
            <w:pPr>
              <w:pStyle w:val="TableParagraph"/>
              <w:spacing w:before="8"/>
              <w:ind w:left="104"/>
              <w:rPr>
                <w:sz w:val="21"/>
              </w:rPr>
            </w:pPr>
            <w:r>
              <w:rPr>
                <w:sz w:val="21"/>
              </w:rPr>
              <w:t>（1）心电图显示房室搏动彼此独立，心室率&lt;50次/分钟；</w:t>
            </w:r>
          </w:p>
          <w:p>
            <w:pPr>
              <w:pStyle w:val="TableParagraph"/>
              <w:spacing w:before="37"/>
              <w:ind w:left="104"/>
              <w:rPr>
                <w:sz w:val="21"/>
              </w:rPr>
            </w:pPr>
            <w:r>
              <w:rPr>
                <w:sz w:val="21"/>
              </w:rPr>
              <w:t>（2）出现阿-斯综合征或心力衰竭的表现；</w:t>
            </w:r>
          </w:p>
          <w:p>
            <w:pPr>
              <w:pStyle w:val="TableParagraph"/>
              <w:spacing w:before="37"/>
              <w:ind w:left="104"/>
              <w:rPr>
                <w:sz w:val="21"/>
              </w:rPr>
            </w:pPr>
            <w:r>
              <w:rPr>
                <w:sz w:val="21"/>
              </w:rPr>
              <w:t>（3）必须持续性依赖心脏起搏器维持心脏正常功能，且已经放置起搏器。</w:t>
            </w:r>
          </w:p>
        </w:tc>
      </w:tr>
      <w:tr>
        <w:trPr>
          <w:trHeight w:val="1248" w:hRule="atLeast"/>
        </w:trPr>
        <w:tc>
          <w:tcPr>
            <w:tcW w:w="1987" w:type="dxa"/>
          </w:tcPr>
          <w:p>
            <w:pPr>
              <w:pStyle w:val="TableParagraph"/>
              <w:spacing w:line="184" w:lineRule="auto" w:before="151"/>
              <w:ind w:left="200" w:right="342"/>
              <w:rPr>
                <w:rFonts w:ascii="Microsoft JhengHei" w:eastAsia="Microsoft JhengHei" w:hint="eastAsia"/>
                <w:b/>
                <w:sz w:val="24"/>
              </w:rPr>
            </w:pPr>
            <w:r>
              <w:rPr>
                <w:rFonts w:ascii="Microsoft JhengHei" w:eastAsia="Microsoft JhengHei" w:hint="eastAsia"/>
                <w:b/>
                <w:sz w:val="24"/>
              </w:rPr>
              <w:t>轻度原发性肺动脉高压</w:t>
            </w:r>
          </w:p>
        </w:tc>
        <w:tc>
          <w:tcPr>
            <w:tcW w:w="7040" w:type="dxa"/>
          </w:tcPr>
          <w:p>
            <w:pPr>
              <w:pStyle w:val="TableParagraph"/>
              <w:spacing w:line="273" w:lineRule="auto" w:before="142"/>
              <w:ind w:left="104" w:right="300"/>
              <w:jc w:val="both"/>
              <w:rPr>
                <w:sz w:val="21"/>
              </w:rPr>
            </w:pPr>
            <w:r>
              <w:rPr>
                <w:spacing w:val="-8"/>
                <w:sz w:val="21"/>
              </w:rPr>
              <w:t>指不明原因的肺动脉压力持续性增高，进行性发展而导致右心室肥厚，已</w:t>
            </w:r>
            <w:r>
              <w:rPr>
                <w:spacing w:val="-10"/>
                <w:sz w:val="21"/>
              </w:rPr>
              <w:t>经造成永久不可逆性的体力活动能力受限，达到美国纽约心脏病学会心功</w:t>
            </w:r>
            <w:r>
              <w:rPr>
                <w:spacing w:val="-3"/>
                <w:sz w:val="21"/>
              </w:rPr>
              <w:t>能状态分级Ⅲ级，且静息状态下肺动脉平均压超过</w:t>
            </w:r>
            <w:r>
              <w:rPr>
                <w:sz w:val="21"/>
              </w:rPr>
              <w:t>25mmHg。</w:t>
            </w:r>
          </w:p>
        </w:tc>
      </w:tr>
      <w:tr>
        <w:trPr>
          <w:trHeight w:val="2914" w:hRule="atLeast"/>
        </w:trPr>
        <w:tc>
          <w:tcPr>
            <w:tcW w:w="1987" w:type="dxa"/>
          </w:tcPr>
          <w:p>
            <w:pPr>
              <w:pStyle w:val="TableParagraph"/>
              <w:spacing w:line="184" w:lineRule="auto" w:before="151"/>
              <w:ind w:left="200" w:right="342"/>
              <w:jc w:val="both"/>
              <w:rPr>
                <w:rFonts w:ascii="Microsoft JhengHei" w:eastAsia="Microsoft JhengHei" w:hint="eastAsia"/>
                <w:b/>
                <w:sz w:val="24"/>
              </w:rPr>
            </w:pPr>
            <w:r>
              <w:rPr>
                <w:rFonts w:ascii="Microsoft JhengHei" w:eastAsia="Microsoft JhengHei" w:hint="eastAsia"/>
                <w:b/>
                <w:sz w:val="24"/>
              </w:rPr>
              <w:t>因意外毁容而施行的面部整形手术</w:t>
            </w:r>
          </w:p>
        </w:tc>
        <w:tc>
          <w:tcPr>
            <w:tcW w:w="7040" w:type="dxa"/>
          </w:tcPr>
          <w:p>
            <w:pPr>
              <w:pStyle w:val="TableParagraph"/>
              <w:spacing w:line="273" w:lineRule="auto" w:before="142"/>
              <w:ind w:left="104" w:right="300"/>
              <w:jc w:val="both"/>
              <w:rPr>
                <w:sz w:val="21"/>
              </w:rPr>
            </w:pPr>
            <w:r>
              <w:rPr>
                <w:spacing w:val="-8"/>
                <w:sz w:val="21"/>
              </w:rPr>
              <w:t>指为修复意外伤害或暴力袭击造成的面部毁损，实际接受了在全身麻醉的</w:t>
            </w:r>
            <w:r>
              <w:rPr>
                <w:spacing w:val="-11"/>
                <w:sz w:val="21"/>
              </w:rPr>
              <w:t>情况下，由整形外科医生实施的对严重缺陷、缺失、损害或变形的面部形态和结构进行修复或重建的面部整形手术。面部整形手术必须在意外伤害</w:t>
            </w:r>
            <w:r>
              <w:rPr>
                <w:spacing w:val="-1"/>
                <w:sz w:val="21"/>
              </w:rPr>
              <w:t>后的180</w:t>
            </w:r>
            <w:r>
              <w:rPr>
                <w:spacing w:val="-3"/>
                <w:sz w:val="21"/>
              </w:rPr>
              <w:t>日内实施。</w:t>
            </w:r>
          </w:p>
          <w:p>
            <w:pPr>
              <w:pStyle w:val="TableParagraph"/>
              <w:spacing w:line="273" w:lineRule="auto" w:before="7"/>
              <w:ind w:left="104" w:right="304"/>
              <w:jc w:val="both"/>
              <w:rPr>
                <w:sz w:val="21"/>
              </w:rPr>
            </w:pPr>
            <w:r>
              <w:rPr>
                <w:sz w:val="21"/>
                <w:shd w:fill="D9D9D9" w:color="auto" w:val="clear"/>
              </w:rPr>
              <w:t>因面部外伤后遗留的线条状瘢痕及色素沉着而施行的手术不在保障范围内。</w:t>
            </w:r>
          </w:p>
          <w:p>
            <w:pPr>
              <w:pStyle w:val="TableParagraph"/>
              <w:spacing w:before="7"/>
              <w:ind w:left="104"/>
              <w:rPr>
                <w:sz w:val="21"/>
              </w:rPr>
            </w:pPr>
            <w:r>
              <w:rPr>
                <w:sz w:val="21"/>
              </w:rPr>
              <w:t>意外伤害必须满足下列全部条件：</w:t>
            </w:r>
          </w:p>
          <w:p>
            <w:pPr>
              <w:pStyle w:val="TableParagraph"/>
              <w:spacing w:line="310" w:lineRule="atLeast" w:before="1"/>
              <w:ind w:left="104" w:right="303"/>
              <w:jc w:val="both"/>
              <w:rPr>
                <w:sz w:val="21"/>
              </w:rPr>
            </w:pPr>
            <w:r>
              <w:rPr>
                <w:sz w:val="21"/>
              </w:rPr>
              <w:t>（1）由外在暴力引起并且造成表面可视性伤口和面部骨结构损害的，或面部皮肤三度或全层意外烧伤；</w:t>
            </w:r>
          </w:p>
        </w:tc>
      </w:tr>
    </w:tbl>
    <w:p>
      <w:pPr>
        <w:spacing w:after="0" w:line="310" w:lineRule="atLeast"/>
        <w:jc w:val="both"/>
        <w:rPr>
          <w:sz w:val="21"/>
        </w:rPr>
        <w:sectPr>
          <w:pgSz w:w="11910" w:h="16840"/>
          <w:pgMar w:header="0" w:footer="862" w:top="1160" w:bottom="1040" w:left="1680" w:right="8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6"/>
        <w:gridCol w:w="1998"/>
        <w:gridCol w:w="7144"/>
      </w:tblGrid>
      <w:tr>
        <w:trPr>
          <w:trHeight w:val="417" w:hRule="atLeast"/>
        </w:trPr>
        <w:tc>
          <w:tcPr>
            <w:tcW w:w="936" w:type="dxa"/>
          </w:tcPr>
          <w:p>
            <w:pPr>
              <w:pStyle w:val="TableParagraph"/>
              <w:ind w:left="0"/>
              <w:rPr>
                <w:rFonts w:ascii="Times New Roman"/>
                <w:sz w:val="20"/>
              </w:rPr>
            </w:pPr>
          </w:p>
        </w:tc>
        <w:tc>
          <w:tcPr>
            <w:tcW w:w="1998" w:type="dxa"/>
          </w:tcPr>
          <w:p>
            <w:pPr>
              <w:pStyle w:val="TableParagraph"/>
              <w:ind w:left="0"/>
              <w:rPr>
                <w:rFonts w:ascii="Times New Roman"/>
                <w:sz w:val="20"/>
              </w:rPr>
            </w:pPr>
          </w:p>
        </w:tc>
        <w:tc>
          <w:tcPr>
            <w:tcW w:w="7144" w:type="dxa"/>
          </w:tcPr>
          <w:p>
            <w:pPr>
              <w:pStyle w:val="TableParagraph"/>
              <w:spacing w:line="211" w:lineRule="exact"/>
              <w:rPr>
                <w:sz w:val="21"/>
              </w:rPr>
            </w:pPr>
            <w:r>
              <w:rPr>
                <w:sz w:val="21"/>
              </w:rPr>
              <w:t>（2）是造成面部毁损的直接和独立的原因。</w:t>
            </w:r>
          </w:p>
        </w:tc>
      </w:tr>
      <w:tr>
        <w:trPr>
          <w:trHeight w:val="2184" w:hRule="atLeast"/>
        </w:trPr>
        <w:tc>
          <w:tcPr>
            <w:tcW w:w="936" w:type="dxa"/>
          </w:tcPr>
          <w:p>
            <w:pPr>
              <w:pStyle w:val="TableParagraph"/>
              <w:ind w:left="0"/>
              <w:rPr>
                <w:rFonts w:ascii="Times New Roman"/>
                <w:sz w:val="20"/>
              </w:rPr>
            </w:pPr>
          </w:p>
        </w:tc>
        <w:tc>
          <w:tcPr>
            <w:tcW w:w="1998" w:type="dxa"/>
          </w:tcPr>
          <w:p>
            <w:pPr>
              <w:pStyle w:val="TableParagraph"/>
              <w:spacing w:before="55"/>
              <w:ind w:left="313"/>
              <w:rPr>
                <w:rFonts w:ascii="Microsoft JhengHei" w:eastAsia="Microsoft JhengHei" w:hint="eastAsia"/>
                <w:b/>
                <w:sz w:val="24"/>
              </w:rPr>
            </w:pPr>
            <w:r>
              <w:rPr>
                <w:rFonts w:ascii="Microsoft JhengHei" w:eastAsia="Microsoft JhengHei" w:hint="eastAsia"/>
                <w:b/>
                <w:sz w:val="24"/>
              </w:rPr>
              <w:t>单眼失明</w:t>
            </w:r>
          </w:p>
        </w:tc>
        <w:tc>
          <w:tcPr>
            <w:tcW w:w="7144" w:type="dxa"/>
          </w:tcPr>
          <w:p>
            <w:pPr>
              <w:pStyle w:val="TableParagraph"/>
              <w:spacing w:line="273" w:lineRule="auto" w:before="143"/>
              <w:ind w:right="302"/>
              <w:rPr>
                <w:sz w:val="21"/>
              </w:rPr>
            </w:pPr>
            <w:r>
              <w:rPr>
                <w:spacing w:val="-7"/>
                <w:sz w:val="21"/>
              </w:rPr>
              <w:t>指因疾病或意外伤害导致单眼视力永久不可逆性丧失，须满足下列至少一</w:t>
            </w:r>
            <w:r>
              <w:rPr>
                <w:spacing w:val="-5"/>
                <w:sz w:val="21"/>
              </w:rPr>
              <w:t>项条件：</w:t>
            </w:r>
          </w:p>
          <w:p>
            <w:pPr>
              <w:pStyle w:val="TableParagraph"/>
              <w:spacing w:before="8"/>
              <w:rPr>
                <w:sz w:val="21"/>
              </w:rPr>
            </w:pPr>
            <w:r>
              <w:rPr>
                <w:sz w:val="21"/>
              </w:rPr>
              <w:t>（1）眼球缺失或摘除；</w:t>
            </w:r>
          </w:p>
          <w:p>
            <w:pPr>
              <w:pStyle w:val="TableParagraph"/>
              <w:spacing w:line="273" w:lineRule="auto" w:before="37"/>
              <w:ind w:right="305"/>
              <w:rPr>
                <w:sz w:val="21"/>
              </w:rPr>
            </w:pPr>
            <w:r>
              <w:rPr>
                <w:sz w:val="21"/>
              </w:rPr>
              <w:t>（2）矫正视力低于0.02（采用国际标准视力表，如果使用其他视力表应进行换算）；</w:t>
            </w:r>
          </w:p>
          <w:p>
            <w:pPr>
              <w:pStyle w:val="TableParagraph"/>
              <w:spacing w:before="7"/>
              <w:rPr>
                <w:sz w:val="21"/>
              </w:rPr>
            </w:pPr>
            <w:r>
              <w:rPr>
                <w:sz w:val="21"/>
              </w:rPr>
              <w:t>（3）视野半径小于5度。</w:t>
            </w:r>
          </w:p>
        </w:tc>
      </w:tr>
      <w:tr>
        <w:trPr>
          <w:trHeight w:val="935" w:hRule="atLeast"/>
        </w:trPr>
        <w:tc>
          <w:tcPr>
            <w:tcW w:w="936" w:type="dxa"/>
          </w:tcPr>
          <w:p>
            <w:pPr>
              <w:pStyle w:val="TableParagraph"/>
              <w:ind w:left="0"/>
              <w:rPr>
                <w:rFonts w:ascii="Times New Roman"/>
                <w:sz w:val="20"/>
              </w:rPr>
            </w:pPr>
          </w:p>
        </w:tc>
        <w:tc>
          <w:tcPr>
            <w:tcW w:w="1998" w:type="dxa"/>
          </w:tcPr>
          <w:p>
            <w:pPr>
              <w:pStyle w:val="TableParagraph"/>
              <w:spacing w:before="55"/>
              <w:ind w:left="313"/>
              <w:rPr>
                <w:rFonts w:ascii="Microsoft JhengHei" w:eastAsia="Microsoft JhengHei" w:hint="eastAsia"/>
                <w:b/>
                <w:sz w:val="24"/>
              </w:rPr>
            </w:pPr>
            <w:r>
              <w:rPr>
                <w:rFonts w:ascii="Microsoft JhengHei" w:eastAsia="Microsoft JhengHei" w:hint="eastAsia"/>
                <w:b/>
                <w:sz w:val="24"/>
              </w:rPr>
              <w:t>一肢缺失</w:t>
            </w:r>
          </w:p>
        </w:tc>
        <w:tc>
          <w:tcPr>
            <w:tcW w:w="7144" w:type="dxa"/>
          </w:tcPr>
          <w:p>
            <w:pPr>
              <w:pStyle w:val="TableParagraph"/>
              <w:spacing w:line="273" w:lineRule="auto" w:before="142"/>
              <w:ind w:right="314"/>
              <w:rPr>
                <w:sz w:val="21"/>
              </w:rPr>
            </w:pPr>
            <w:r>
              <w:rPr>
                <w:sz w:val="21"/>
              </w:rPr>
              <w:t>指因疾病或者意外伤害导致一个肢体自腕关节或裸关节近端（靠近躯干端）以上完全断离。</w:t>
            </w:r>
          </w:p>
        </w:tc>
      </w:tr>
      <w:tr>
        <w:trPr>
          <w:trHeight w:val="624" w:hRule="atLeast"/>
        </w:trPr>
        <w:tc>
          <w:tcPr>
            <w:tcW w:w="936" w:type="dxa"/>
          </w:tcPr>
          <w:p>
            <w:pPr>
              <w:pStyle w:val="TableParagraph"/>
              <w:spacing w:before="142"/>
              <w:ind w:left="200"/>
              <w:rPr>
                <w:b/>
                <w:sz w:val="21"/>
              </w:rPr>
            </w:pPr>
            <w:r>
              <w:rPr>
                <w:b/>
                <w:sz w:val="21"/>
              </w:rPr>
              <w:t>7.13</w:t>
            </w:r>
          </w:p>
        </w:tc>
        <w:tc>
          <w:tcPr>
            <w:tcW w:w="1998" w:type="dxa"/>
          </w:tcPr>
          <w:p>
            <w:pPr>
              <w:pStyle w:val="TableParagraph"/>
              <w:spacing w:before="142"/>
              <w:ind w:left="313"/>
              <w:rPr>
                <w:b/>
                <w:sz w:val="21"/>
              </w:rPr>
            </w:pPr>
            <w:r>
              <w:rPr>
                <w:b/>
                <w:sz w:val="21"/>
              </w:rPr>
              <w:t>保险事故</w:t>
            </w:r>
          </w:p>
        </w:tc>
        <w:tc>
          <w:tcPr>
            <w:tcW w:w="7144" w:type="dxa"/>
          </w:tcPr>
          <w:p>
            <w:pPr>
              <w:pStyle w:val="TableParagraph"/>
              <w:spacing w:before="142"/>
              <w:rPr>
                <w:sz w:val="21"/>
              </w:rPr>
            </w:pPr>
            <w:r>
              <w:rPr>
                <w:sz w:val="21"/>
              </w:rPr>
              <w:t>指保险合同约定的保险责任范围内的事故。</w:t>
            </w:r>
          </w:p>
        </w:tc>
      </w:tr>
      <w:tr>
        <w:trPr>
          <w:trHeight w:val="1560" w:hRule="atLeast"/>
        </w:trPr>
        <w:tc>
          <w:tcPr>
            <w:tcW w:w="936" w:type="dxa"/>
          </w:tcPr>
          <w:p>
            <w:pPr>
              <w:pStyle w:val="TableParagraph"/>
              <w:spacing w:before="143"/>
              <w:ind w:left="200"/>
              <w:rPr>
                <w:b/>
                <w:sz w:val="21"/>
              </w:rPr>
            </w:pPr>
            <w:r>
              <w:rPr>
                <w:b/>
                <w:sz w:val="21"/>
              </w:rPr>
              <w:t>7.14</w:t>
            </w:r>
          </w:p>
        </w:tc>
        <w:tc>
          <w:tcPr>
            <w:tcW w:w="1998" w:type="dxa"/>
          </w:tcPr>
          <w:p>
            <w:pPr>
              <w:pStyle w:val="TableParagraph"/>
              <w:spacing w:before="143"/>
              <w:ind w:left="313"/>
              <w:rPr>
                <w:b/>
                <w:sz w:val="21"/>
              </w:rPr>
            </w:pPr>
            <w:r>
              <w:rPr>
                <w:b/>
                <w:sz w:val="21"/>
              </w:rPr>
              <w:t>毒品</w:t>
            </w:r>
          </w:p>
        </w:tc>
        <w:tc>
          <w:tcPr>
            <w:tcW w:w="7144" w:type="dxa"/>
          </w:tcPr>
          <w:p>
            <w:pPr>
              <w:pStyle w:val="TableParagraph"/>
              <w:spacing w:line="273" w:lineRule="auto" w:before="143"/>
              <w:ind w:right="197"/>
              <w:rPr>
                <w:sz w:val="21"/>
              </w:rPr>
            </w:pPr>
            <w:r>
              <w:rPr>
                <w:spacing w:val="-7"/>
                <w:sz w:val="21"/>
              </w:rPr>
              <w:t>指中华人民共和国刑法规定的鸦片、海洛因、甲基苯丙胺</w:t>
            </w:r>
            <w:r>
              <w:rPr>
                <w:sz w:val="21"/>
              </w:rPr>
              <w:t>（</w:t>
            </w:r>
            <w:r>
              <w:rPr>
                <w:spacing w:val="-2"/>
                <w:sz w:val="21"/>
              </w:rPr>
              <w:t>冰毒</w:t>
            </w:r>
            <w:r>
              <w:rPr>
                <w:spacing w:val="-106"/>
                <w:sz w:val="21"/>
              </w:rPr>
              <w:t>）</w:t>
            </w:r>
            <w:r>
              <w:rPr>
                <w:spacing w:val="-8"/>
                <w:sz w:val="21"/>
              </w:rPr>
              <w:t>、吗啡、</w:t>
            </w:r>
            <w:r>
              <w:rPr>
                <w:spacing w:val="-12"/>
                <w:sz w:val="21"/>
              </w:rPr>
              <w:t>大麻、可卡因以及国家规定管制的其他能够使人形成瘾癖的麻醉药品和精</w:t>
            </w:r>
            <w:r>
              <w:rPr>
                <w:spacing w:val="-13"/>
                <w:sz w:val="21"/>
              </w:rPr>
              <w:t>神药品，但不包括由医生开具并遵医嘱使用的用于治疗疾病但含有毒品成</w:t>
            </w:r>
            <w:r>
              <w:rPr>
                <w:spacing w:val="-6"/>
                <w:sz w:val="21"/>
              </w:rPr>
              <w:t>分的处方药品。</w:t>
            </w:r>
          </w:p>
        </w:tc>
      </w:tr>
      <w:tr>
        <w:trPr>
          <w:trHeight w:val="1247" w:hRule="atLeast"/>
        </w:trPr>
        <w:tc>
          <w:tcPr>
            <w:tcW w:w="936" w:type="dxa"/>
          </w:tcPr>
          <w:p>
            <w:pPr>
              <w:pStyle w:val="TableParagraph"/>
              <w:spacing w:before="142"/>
              <w:ind w:left="200"/>
              <w:rPr>
                <w:b/>
                <w:sz w:val="21"/>
              </w:rPr>
            </w:pPr>
            <w:r>
              <w:rPr>
                <w:b/>
                <w:sz w:val="21"/>
              </w:rPr>
              <w:t>7.15</w:t>
            </w:r>
          </w:p>
        </w:tc>
        <w:tc>
          <w:tcPr>
            <w:tcW w:w="1998" w:type="dxa"/>
          </w:tcPr>
          <w:p>
            <w:pPr>
              <w:pStyle w:val="TableParagraph"/>
              <w:spacing w:before="142"/>
              <w:ind w:left="313"/>
              <w:rPr>
                <w:b/>
                <w:sz w:val="21"/>
              </w:rPr>
            </w:pPr>
            <w:r>
              <w:rPr>
                <w:b/>
                <w:sz w:val="21"/>
              </w:rPr>
              <w:t>酒后驾驶</w:t>
            </w:r>
          </w:p>
        </w:tc>
        <w:tc>
          <w:tcPr>
            <w:tcW w:w="7144" w:type="dxa"/>
          </w:tcPr>
          <w:p>
            <w:pPr>
              <w:pStyle w:val="TableParagraph"/>
              <w:spacing w:line="273" w:lineRule="auto" w:before="142"/>
              <w:ind w:right="302"/>
              <w:jc w:val="both"/>
              <w:rPr>
                <w:sz w:val="21"/>
              </w:rPr>
            </w:pPr>
            <w:r>
              <w:rPr>
                <w:spacing w:val="-12"/>
                <w:sz w:val="21"/>
              </w:rPr>
              <w:t>指经检测或鉴定，发生事故时车辆驾驶人员每百毫升血液中的酒精含量达到或超过一定的标准，公安机关交通管理部门依据《道路交通安全法》的</w:t>
            </w:r>
            <w:r>
              <w:rPr>
                <w:spacing w:val="-6"/>
                <w:sz w:val="21"/>
              </w:rPr>
              <w:t>规定认定为饮酒后驾驶或醉酒后驾驶。</w:t>
            </w:r>
          </w:p>
        </w:tc>
      </w:tr>
      <w:tr>
        <w:trPr>
          <w:trHeight w:val="2066" w:hRule="atLeast"/>
        </w:trPr>
        <w:tc>
          <w:tcPr>
            <w:tcW w:w="936" w:type="dxa"/>
          </w:tcPr>
          <w:p>
            <w:pPr>
              <w:pStyle w:val="TableParagraph"/>
              <w:spacing w:before="142"/>
              <w:ind w:left="200"/>
              <w:rPr>
                <w:b/>
                <w:sz w:val="21"/>
              </w:rPr>
            </w:pPr>
            <w:r>
              <w:rPr>
                <w:b/>
                <w:sz w:val="21"/>
              </w:rPr>
              <w:t>7.16</w:t>
            </w:r>
          </w:p>
        </w:tc>
        <w:tc>
          <w:tcPr>
            <w:tcW w:w="1998" w:type="dxa"/>
          </w:tcPr>
          <w:p>
            <w:pPr>
              <w:pStyle w:val="TableParagraph"/>
              <w:spacing w:line="273" w:lineRule="auto" w:before="142"/>
              <w:ind w:left="313" w:right="204"/>
              <w:rPr>
                <w:b/>
                <w:sz w:val="21"/>
              </w:rPr>
            </w:pPr>
            <w:r>
              <w:rPr>
                <w:b/>
                <w:sz w:val="21"/>
              </w:rPr>
              <w:t>无合法有效驾驶证驾驶</w:t>
            </w:r>
          </w:p>
        </w:tc>
        <w:tc>
          <w:tcPr>
            <w:tcW w:w="7144" w:type="dxa"/>
          </w:tcPr>
          <w:p>
            <w:pPr>
              <w:pStyle w:val="TableParagraph"/>
              <w:spacing w:before="142"/>
              <w:rPr>
                <w:sz w:val="21"/>
              </w:rPr>
            </w:pPr>
            <w:r>
              <w:rPr>
                <w:sz w:val="21"/>
              </w:rPr>
              <w:t>指下列情形之一：</w:t>
            </w:r>
          </w:p>
          <w:p>
            <w:pPr>
              <w:pStyle w:val="TableParagraph"/>
              <w:spacing w:line="274" w:lineRule="exact" w:before="15"/>
              <w:rPr>
                <w:sz w:val="21"/>
              </w:rPr>
            </w:pPr>
            <w:r>
              <w:rPr>
                <w:sz w:val="21"/>
              </w:rPr>
              <w:t>（1）没有取得驾驶资格；</w:t>
            </w:r>
          </w:p>
          <w:p>
            <w:pPr>
              <w:pStyle w:val="TableParagraph"/>
              <w:spacing w:line="272" w:lineRule="exact"/>
              <w:rPr>
                <w:sz w:val="21"/>
              </w:rPr>
            </w:pPr>
            <w:r>
              <w:rPr>
                <w:sz w:val="21"/>
              </w:rPr>
              <w:t>（2）驾驶与驾驶证准驾车型不相符合的车辆；</w:t>
            </w:r>
          </w:p>
          <w:p>
            <w:pPr>
              <w:pStyle w:val="TableParagraph"/>
              <w:spacing w:line="273" w:lineRule="exact"/>
              <w:rPr>
                <w:sz w:val="21"/>
              </w:rPr>
            </w:pPr>
            <w:r>
              <w:rPr>
                <w:sz w:val="21"/>
              </w:rPr>
              <w:t>（3）持审验不合格的驾驶证驾驶；</w:t>
            </w:r>
          </w:p>
          <w:p>
            <w:pPr>
              <w:pStyle w:val="TableParagraph"/>
              <w:spacing w:line="273" w:lineRule="auto" w:before="21"/>
              <w:ind w:right="305"/>
              <w:rPr>
                <w:sz w:val="21"/>
              </w:rPr>
            </w:pPr>
            <w:r>
              <w:rPr>
                <w:sz w:val="21"/>
              </w:rPr>
              <w:t>（4）持学习驾驶证学习驾车时，无教练员随车指导，或不按指定时间、路线学习驾车。</w:t>
            </w:r>
          </w:p>
        </w:tc>
      </w:tr>
      <w:tr>
        <w:trPr>
          <w:trHeight w:val="1560" w:hRule="atLeast"/>
        </w:trPr>
        <w:tc>
          <w:tcPr>
            <w:tcW w:w="936" w:type="dxa"/>
          </w:tcPr>
          <w:p>
            <w:pPr>
              <w:pStyle w:val="TableParagraph"/>
              <w:spacing w:before="142"/>
              <w:ind w:left="200"/>
              <w:rPr>
                <w:b/>
                <w:sz w:val="21"/>
              </w:rPr>
            </w:pPr>
            <w:r>
              <w:rPr>
                <w:b/>
                <w:sz w:val="21"/>
              </w:rPr>
              <w:t>7.17</w:t>
            </w:r>
          </w:p>
        </w:tc>
        <w:tc>
          <w:tcPr>
            <w:tcW w:w="1998" w:type="dxa"/>
          </w:tcPr>
          <w:p>
            <w:pPr>
              <w:pStyle w:val="TableParagraph"/>
              <w:spacing w:before="142"/>
              <w:ind w:left="313"/>
              <w:rPr>
                <w:b/>
                <w:sz w:val="21"/>
              </w:rPr>
            </w:pPr>
            <w:r>
              <w:rPr>
                <w:b/>
                <w:sz w:val="21"/>
              </w:rPr>
              <w:t>无有效行驶证</w:t>
            </w:r>
          </w:p>
        </w:tc>
        <w:tc>
          <w:tcPr>
            <w:tcW w:w="7144" w:type="dxa"/>
          </w:tcPr>
          <w:p>
            <w:pPr>
              <w:pStyle w:val="TableParagraph"/>
              <w:spacing w:before="142"/>
              <w:rPr>
                <w:sz w:val="21"/>
              </w:rPr>
            </w:pPr>
            <w:r>
              <w:rPr>
                <w:sz w:val="21"/>
              </w:rPr>
              <w:t>指下列情形之一：</w:t>
            </w:r>
          </w:p>
          <w:p>
            <w:pPr>
              <w:pStyle w:val="TableParagraph"/>
              <w:spacing w:before="36"/>
              <w:rPr>
                <w:sz w:val="21"/>
              </w:rPr>
            </w:pPr>
            <w:r>
              <w:rPr>
                <w:sz w:val="21"/>
              </w:rPr>
              <w:t>（1）未取得行驶证；</w:t>
            </w:r>
          </w:p>
          <w:p>
            <w:pPr>
              <w:pStyle w:val="TableParagraph"/>
              <w:spacing w:before="36"/>
              <w:rPr>
                <w:sz w:val="21"/>
              </w:rPr>
            </w:pPr>
            <w:r>
              <w:rPr>
                <w:sz w:val="21"/>
              </w:rPr>
              <w:t>（2）机动车被依法注销登记的；</w:t>
            </w:r>
          </w:p>
          <w:p>
            <w:pPr>
              <w:pStyle w:val="TableParagraph"/>
              <w:spacing w:before="36"/>
              <w:rPr>
                <w:sz w:val="21"/>
              </w:rPr>
            </w:pPr>
            <w:r>
              <w:rPr>
                <w:sz w:val="21"/>
              </w:rPr>
              <w:t>（3）未依法按时进行或通过机动车安全技术检验。</w:t>
            </w:r>
          </w:p>
        </w:tc>
      </w:tr>
      <w:tr>
        <w:trPr>
          <w:trHeight w:val="935" w:hRule="atLeast"/>
        </w:trPr>
        <w:tc>
          <w:tcPr>
            <w:tcW w:w="936" w:type="dxa"/>
          </w:tcPr>
          <w:p>
            <w:pPr>
              <w:pStyle w:val="TableParagraph"/>
              <w:spacing w:before="142"/>
              <w:ind w:left="200"/>
              <w:rPr>
                <w:b/>
                <w:sz w:val="21"/>
              </w:rPr>
            </w:pPr>
            <w:r>
              <w:rPr>
                <w:b/>
                <w:sz w:val="21"/>
              </w:rPr>
              <w:t>7.18</w:t>
            </w:r>
          </w:p>
        </w:tc>
        <w:tc>
          <w:tcPr>
            <w:tcW w:w="1998" w:type="dxa"/>
          </w:tcPr>
          <w:p>
            <w:pPr>
              <w:pStyle w:val="TableParagraph"/>
              <w:spacing w:before="142"/>
              <w:ind w:left="313"/>
              <w:rPr>
                <w:b/>
                <w:sz w:val="21"/>
              </w:rPr>
            </w:pPr>
            <w:r>
              <w:rPr>
                <w:b/>
                <w:sz w:val="21"/>
              </w:rPr>
              <w:t>机动车</w:t>
            </w:r>
          </w:p>
        </w:tc>
        <w:tc>
          <w:tcPr>
            <w:tcW w:w="7144" w:type="dxa"/>
          </w:tcPr>
          <w:p>
            <w:pPr>
              <w:pStyle w:val="TableParagraph"/>
              <w:spacing w:line="273" w:lineRule="auto" w:before="142"/>
              <w:ind w:right="302"/>
              <w:rPr>
                <w:sz w:val="21"/>
              </w:rPr>
            </w:pPr>
            <w:r>
              <w:rPr>
                <w:spacing w:val="-10"/>
                <w:sz w:val="21"/>
              </w:rPr>
              <w:t>指以动力装置驱动或者牵引，上道路行驶的供人员乘用或者用于运送物品</w:t>
            </w:r>
            <w:r>
              <w:rPr>
                <w:spacing w:val="-5"/>
                <w:sz w:val="21"/>
              </w:rPr>
              <w:t>以及进行工程专项作业的轮式车辆。</w:t>
            </w:r>
          </w:p>
        </w:tc>
      </w:tr>
      <w:tr>
        <w:trPr>
          <w:trHeight w:val="1872" w:hRule="atLeast"/>
        </w:trPr>
        <w:tc>
          <w:tcPr>
            <w:tcW w:w="936" w:type="dxa"/>
          </w:tcPr>
          <w:p>
            <w:pPr>
              <w:pStyle w:val="TableParagraph"/>
              <w:spacing w:before="142"/>
              <w:ind w:left="200"/>
              <w:rPr>
                <w:b/>
                <w:sz w:val="21"/>
              </w:rPr>
            </w:pPr>
            <w:r>
              <w:rPr>
                <w:b/>
                <w:sz w:val="21"/>
              </w:rPr>
              <w:t>7.19</w:t>
            </w:r>
          </w:p>
        </w:tc>
        <w:tc>
          <w:tcPr>
            <w:tcW w:w="1998" w:type="dxa"/>
          </w:tcPr>
          <w:p>
            <w:pPr>
              <w:pStyle w:val="TableParagraph"/>
              <w:spacing w:line="273" w:lineRule="auto" w:before="142"/>
              <w:ind w:left="313" w:right="204"/>
              <w:rPr>
                <w:b/>
                <w:sz w:val="21"/>
              </w:rPr>
            </w:pPr>
            <w:r>
              <w:rPr>
                <w:b/>
                <w:sz w:val="21"/>
              </w:rPr>
              <w:t>感染艾滋病病毒或患艾滋病</w:t>
            </w:r>
          </w:p>
        </w:tc>
        <w:tc>
          <w:tcPr>
            <w:tcW w:w="7144" w:type="dxa"/>
          </w:tcPr>
          <w:p>
            <w:pPr>
              <w:pStyle w:val="TableParagraph"/>
              <w:spacing w:line="273" w:lineRule="auto" w:before="142"/>
              <w:ind w:right="305"/>
              <w:jc w:val="both"/>
              <w:rPr>
                <w:sz w:val="21"/>
              </w:rPr>
            </w:pPr>
            <w:r>
              <w:rPr>
                <w:sz w:val="21"/>
              </w:rPr>
              <w:t>艾滋病病毒指人类免疫缺陷病毒，英文缩写为HIV。艾滋病指人类免疫缺陷病毒引起的获得性免疫缺陷综合征，英文缩写为AIDS。</w:t>
            </w:r>
          </w:p>
          <w:p>
            <w:pPr>
              <w:pStyle w:val="TableParagraph"/>
              <w:spacing w:line="273" w:lineRule="auto" w:before="7"/>
              <w:ind w:right="302"/>
              <w:jc w:val="both"/>
              <w:rPr>
                <w:sz w:val="21"/>
              </w:rPr>
            </w:pPr>
            <w:r>
              <w:rPr>
                <w:spacing w:val="-7"/>
                <w:sz w:val="21"/>
              </w:rPr>
              <w:t>在人体血液或其它样本中检测到艾滋病病毒或其抗体呈阳性，没有出现临</w:t>
            </w:r>
            <w:r>
              <w:rPr>
                <w:spacing w:val="-13"/>
                <w:sz w:val="21"/>
              </w:rPr>
              <w:t>床症状或体征的，为感染艾滋病病毒；如果同时出现了明显临床症状或体</w:t>
            </w:r>
            <w:r>
              <w:rPr>
                <w:spacing w:val="-6"/>
                <w:sz w:val="21"/>
              </w:rPr>
              <w:t>征的，为患艾滋病。</w:t>
            </w:r>
          </w:p>
        </w:tc>
      </w:tr>
      <w:tr>
        <w:trPr>
          <w:trHeight w:val="729" w:hRule="atLeast"/>
        </w:trPr>
        <w:tc>
          <w:tcPr>
            <w:tcW w:w="936" w:type="dxa"/>
          </w:tcPr>
          <w:p>
            <w:pPr>
              <w:pStyle w:val="TableParagraph"/>
              <w:spacing w:before="142"/>
              <w:ind w:left="200"/>
              <w:rPr>
                <w:b/>
                <w:sz w:val="21"/>
              </w:rPr>
            </w:pPr>
            <w:r>
              <w:rPr>
                <w:b/>
                <w:sz w:val="21"/>
              </w:rPr>
              <w:t>7.20</w:t>
            </w:r>
          </w:p>
        </w:tc>
        <w:tc>
          <w:tcPr>
            <w:tcW w:w="1998" w:type="dxa"/>
          </w:tcPr>
          <w:p>
            <w:pPr>
              <w:pStyle w:val="TableParagraph"/>
              <w:spacing w:before="142"/>
              <w:ind w:left="313"/>
              <w:rPr>
                <w:b/>
                <w:sz w:val="21"/>
              </w:rPr>
            </w:pPr>
            <w:r>
              <w:rPr>
                <w:b/>
                <w:sz w:val="21"/>
              </w:rPr>
              <w:t>遗传性疾病</w:t>
            </w:r>
          </w:p>
        </w:tc>
        <w:tc>
          <w:tcPr>
            <w:tcW w:w="7144" w:type="dxa"/>
          </w:tcPr>
          <w:p>
            <w:pPr>
              <w:pStyle w:val="TableParagraph"/>
              <w:spacing w:line="310" w:lineRule="atLeast" w:before="107"/>
              <w:ind w:right="302"/>
              <w:rPr>
                <w:sz w:val="21"/>
              </w:rPr>
            </w:pPr>
            <w:r>
              <w:rPr>
                <w:spacing w:val="-7"/>
                <w:sz w:val="21"/>
              </w:rPr>
              <w:t>指生殖细胞或受精卵的遗传物质</w:t>
            </w:r>
            <w:r>
              <w:rPr>
                <w:spacing w:val="-3"/>
                <w:sz w:val="21"/>
              </w:rPr>
              <w:t>（染色体和基因</w:t>
            </w:r>
            <w:r>
              <w:rPr>
                <w:spacing w:val="-48"/>
                <w:sz w:val="21"/>
              </w:rPr>
              <w:t>）</w:t>
            </w:r>
            <w:r>
              <w:rPr>
                <w:spacing w:val="-3"/>
                <w:sz w:val="21"/>
              </w:rPr>
              <w:t>发生突变或畸变所引起的疾病，通常具有由亲代传至后代的垂直传递的特征。</w:t>
            </w:r>
          </w:p>
        </w:tc>
      </w:tr>
    </w:tbl>
    <w:p>
      <w:pPr>
        <w:spacing w:after="0" w:line="310" w:lineRule="atLeast"/>
        <w:rPr>
          <w:sz w:val="21"/>
        </w:rPr>
        <w:sectPr>
          <w:pgSz w:w="11910" w:h="16840"/>
          <w:pgMar w:header="0" w:footer="926" w:top="1160" w:bottom="1040" w:left="820" w:right="7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6"/>
        <w:gridCol w:w="2098"/>
        <w:gridCol w:w="7042"/>
      </w:tblGrid>
      <w:tr>
        <w:trPr>
          <w:trHeight w:val="1041" w:hRule="atLeast"/>
        </w:trPr>
        <w:tc>
          <w:tcPr>
            <w:tcW w:w="936" w:type="dxa"/>
          </w:tcPr>
          <w:p>
            <w:pPr>
              <w:pStyle w:val="TableParagraph"/>
              <w:spacing w:line="209" w:lineRule="exact"/>
              <w:ind w:left="200"/>
              <w:rPr>
                <w:b/>
                <w:sz w:val="21"/>
              </w:rPr>
            </w:pPr>
            <w:r>
              <w:rPr>
                <w:b/>
                <w:sz w:val="21"/>
              </w:rPr>
              <w:t>7.21</w:t>
            </w:r>
          </w:p>
        </w:tc>
        <w:tc>
          <w:tcPr>
            <w:tcW w:w="2098" w:type="dxa"/>
          </w:tcPr>
          <w:p>
            <w:pPr>
              <w:pStyle w:val="TableParagraph"/>
              <w:spacing w:line="209" w:lineRule="exact"/>
              <w:ind w:left="313"/>
              <w:rPr>
                <w:b/>
                <w:sz w:val="21"/>
              </w:rPr>
            </w:pPr>
            <w:r>
              <w:rPr>
                <w:b/>
                <w:sz w:val="21"/>
              </w:rPr>
              <w:t>先天性畸形、变形</w:t>
            </w:r>
          </w:p>
          <w:p>
            <w:pPr>
              <w:pStyle w:val="TableParagraph"/>
              <w:spacing w:before="37"/>
              <w:ind w:left="313"/>
              <w:rPr>
                <w:b/>
                <w:sz w:val="21"/>
              </w:rPr>
            </w:pPr>
            <w:r>
              <w:rPr>
                <w:b/>
                <w:sz w:val="21"/>
              </w:rPr>
              <w:t>或染色体异常</w:t>
            </w:r>
          </w:p>
        </w:tc>
        <w:tc>
          <w:tcPr>
            <w:tcW w:w="7042" w:type="dxa"/>
          </w:tcPr>
          <w:p>
            <w:pPr>
              <w:pStyle w:val="TableParagraph"/>
              <w:spacing w:line="209" w:lineRule="exact"/>
              <w:ind w:left="106"/>
              <w:rPr>
                <w:sz w:val="21"/>
              </w:rPr>
            </w:pPr>
            <w:r>
              <w:rPr>
                <w:sz w:val="21"/>
              </w:rPr>
              <w:t>指被保险人出生时就具有的畸形、变形或染色体异常。先天性畸形、变形</w:t>
            </w:r>
          </w:p>
          <w:p>
            <w:pPr>
              <w:pStyle w:val="TableParagraph"/>
              <w:spacing w:before="37"/>
              <w:ind w:left="106"/>
              <w:rPr>
                <w:sz w:val="21"/>
              </w:rPr>
            </w:pPr>
            <w:r>
              <w:rPr>
                <w:sz w:val="21"/>
              </w:rPr>
              <w:t>和染色体异常依照世界卫生组织《疾病和有关健康问题的国际统计分类》</w:t>
            </w:r>
          </w:p>
          <w:p>
            <w:pPr>
              <w:pStyle w:val="TableParagraph"/>
              <w:spacing w:before="36"/>
              <w:ind w:left="106"/>
              <w:rPr>
                <w:sz w:val="21"/>
              </w:rPr>
            </w:pPr>
            <w:r>
              <w:rPr>
                <w:sz w:val="21"/>
              </w:rPr>
              <w:t>（ICD-10）确定。</w:t>
            </w:r>
          </w:p>
        </w:tc>
      </w:tr>
      <w:tr>
        <w:trPr>
          <w:trHeight w:val="3538" w:hRule="atLeast"/>
        </w:trPr>
        <w:tc>
          <w:tcPr>
            <w:tcW w:w="936" w:type="dxa"/>
          </w:tcPr>
          <w:p>
            <w:pPr>
              <w:pStyle w:val="TableParagraph"/>
              <w:spacing w:before="140"/>
              <w:ind w:left="200"/>
              <w:rPr>
                <w:b/>
                <w:sz w:val="21"/>
              </w:rPr>
            </w:pPr>
            <w:r>
              <w:rPr>
                <w:b/>
                <w:sz w:val="21"/>
              </w:rPr>
              <w:t>7.22</w:t>
            </w:r>
          </w:p>
        </w:tc>
        <w:tc>
          <w:tcPr>
            <w:tcW w:w="2098" w:type="dxa"/>
          </w:tcPr>
          <w:p>
            <w:pPr>
              <w:pStyle w:val="TableParagraph"/>
              <w:spacing w:before="140"/>
              <w:ind w:left="313"/>
              <w:rPr>
                <w:b/>
                <w:sz w:val="21"/>
              </w:rPr>
            </w:pPr>
            <w:r>
              <w:rPr>
                <w:b/>
                <w:sz w:val="21"/>
              </w:rPr>
              <w:t>净保险费</w:t>
            </w:r>
          </w:p>
        </w:tc>
        <w:tc>
          <w:tcPr>
            <w:tcW w:w="7042" w:type="dxa"/>
          </w:tcPr>
          <w:p>
            <w:pPr>
              <w:pStyle w:val="TableParagraph"/>
              <w:spacing w:line="273" w:lineRule="auto" w:before="140"/>
              <w:ind w:left="106" w:right="303"/>
              <w:rPr>
                <w:sz w:val="21"/>
              </w:rPr>
            </w:pPr>
            <w:r>
              <w:rPr>
                <w:spacing w:val="-8"/>
                <w:sz w:val="21"/>
              </w:rPr>
              <w:t>净保险费指不包含公司营业费用、佣金等其他费用的保险费。其计算公式</w:t>
            </w:r>
            <w:r>
              <w:rPr>
                <w:spacing w:val="-6"/>
                <w:w w:val="100"/>
                <w:sz w:val="21"/>
              </w:rPr>
              <w:t>为保险费×</w:t>
            </w:r>
            <w:r>
              <w:rPr>
                <w:spacing w:val="-1"/>
                <w:w w:val="100"/>
                <w:sz w:val="21"/>
              </w:rPr>
              <w:t>（</w:t>
            </w:r>
            <w:r>
              <w:rPr>
                <w:w w:val="100"/>
                <w:sz w:val="21"/>
              </w:rPr>
              <w:t>1</w:t>
            </w:r>
            <w:r>
              <w:rPr>
                <w:spacing w:val="-3"/>
                <w:w w:val="100"/>
                <w:sz w:val="21"/>
              </w:rPr>
              <w:t>-</w:t>
            </w:r>
            <w:r>
              <w:rPr>
                <w:w w:val="100"/>
                <w:sz w:val="21"/>
              </w:rPr>
              <w:t>35</w:t>
            </w:r>
            <w:r>
              <w:rPr>
                <w:spacing w:val="-3"/>
                <w:w w:val="100"/>
                <w:sz w:val="21"/>
              </w:rPr>
              <w:t>％</w:t>
            </w:r>
            <w:r>
              <w:rPr>
                <w:spacing w:val="-106"/>
                <w:w w:val="100"/>
                <w:sz w:val="21"/>
              </w:rPr>
              <w:t>）</w:t>
            </w:r>
            <w:r>
              <w:rPr>
                <w:w w:val="100"/>
                <w:sz w:val="21"/>
              </w:rPr>
              <w:t>。</w:t>
            </w:r>
          </w:p>
          <w:p>
            <w:pPr>
              <w:pStyle w:val="TableParagraph"/>
              <w:spacing w:before="7"/>
              <w:ind w:left="106"/>
              <w:rPr>
                <w:sz w:val="21"/>
              </w:rPr>
            </w:pPr>
            <w:r>
              <w:rPr>
                <w:sz w:val="21"/>
              </w:rPr>
              <w:t>未满期净保险费的计算分两种情况：</w:t>
            </w:r>
          </w:p>
          <w:p>
            <w:pPr>
              <w:pStyle w:val="TableParagraph"/>
              <w:spacing w:before="36"/>
              <w:ind w:left="106"/>
              <w:rPr>
                <w:sz w:val="21"/>
              </w:rPr>
            </w:pPr>
            <w:r>
              <w:rPr>
                <w:sz w:val="21"/>
              </w:rPr>
              <w:t>（1）您为被保险人首次投保或非连续投保本保险的：</w:t>
            </w:r>
          </w:p>
          <w:p>
            <w:pPr>
              <w:pStyle w:val="TableParagraph"/>
              <w:spacing w:before="36"/>
              <w:ind w:left="106"/>
              <w:rPr>
                <w:sz w:val="21"/>
              </w:rPr>
            </w:pPr>
            <w:r>
              <w:rPr>
                <w:sz w:val="21"/>
              </w:rPr>
              <w:t>如果保险经过日数≤等待期日数，未满期净保险费=净保险费；</w:t>
            </w:r>
          </w:p>
          <w:p>
            <w:pPr>
              <w:pStyle w:val="TableParagraph"/>
              <w:spacing w:line="273" w:lineRule="auto" w:before="36"/>
              <w:ind w:left="106" w:right="303"/>
              <w:jc w:val="both"/>
              <w:rPr>
                <w:sz w:val="21"/>
              </w:rPr>
            </w:pPr>
            <w:r>
              <w:rPr>
                <w:spacing w:val="-10"/>
                <w:sz w:val="21"/>
              </w:rPr>
              <w:t>如果保险经过日数＞等待期日数，未满期净保险费=净保险费×</w:t>
            </w:r>
            <w:r>
              <w:rPr>
                <w:sz w:val="21"/>
              </w:rPr>
              <w:t>[1</w:t>
            </w:r>
            <w:r>
              <w:rPr>
                <w:spacing w:val="-2"/>
                <w:sz w:val="21"/>
              </w:rPr>
              <w:t>－(保险</w:t>
            </w:r>
            <w:r>
              <w:rPr>
                <w:spacing w:val="-1"/>
                <w:sz w:val="21"/>
              </w:rPr>
              <w:t>经过日数-等待期日数) </w:t>
            </w:r>
            <w:r>
              <w:rPr>
                <w:sz w:val="21"/>
              </w:rPr>
              <w:t>/ （</w:t>
            </w:r>
            <w:r>
              <w:rPr>
                <w:spacing w:val="-3"/>
                <w:sz w:val="21"/>
              </w:rPr>
              <w:t>保险期间的日数-等待期日数</w:t>
            </w:r>
            <w:r>
              <w:rPr>
                <w:sz w:val="21"/>
              </w:rPr>
              <w:t>）]</w:t>
            </w:r>
            <w:r>
              <w:rPr>
                <w:spacing w:val="-1"/>
                <w:sz w:val="21"/>
              </w:rPr>
              <w:t>，经过日数</w:t>
            </w:r>
            <w:r>
              <w:rPr>
                <w:spacing w:val="-18"/>
                <w:sz w:val="21"/>
              </w:rPr>
              <w:t>不足 </w:t>
            </w:r>
            <w:r>
              <w:rPr>
                <w:sz w:val="21"/>
              </w:rPr>
              <w:t>1</w:t>
            </w:r>
            <w:r>
              <w:rPr>
                <w:spacing w:val="-22"/>
                <w:sz w:val="21"/>
              </w:rPr>
              <w:t> 日的按 </w:t>
            </w:r>
            <w:r>
              <w:rPr>
                <w:sz w:val="21"/>
              </w:rPr>
              <w:t>1</w:t>
            </w:r>
            <w:r>
              <w:rPr>
                <w:spacing w:val="-12"/>
                <w:sz w:val="21"/>
              </w:rPr>
              <w:t> 日计算。</w:t>
            </w:r>
          </w:p>
          <w:p>
            <w:pPr>
              <w:pStyle w:val="TableParagraph"/>
              <w:spacing w:before="7"/>
              <w:ind w:left="106"/>
              <w:rPr>
                <w:sz w:val="21"/>
              </w:rPr>
            </w:pPr>
            <w:r>
              <w:rPr>
                <w:sz w:val="21"/>
              </w:rPr>
              <w:t>（2）您为被保险人连续投保本保险的：</w:t>
            </w:r>
          </w:p>
          <w:p>
            <w:pPr>
              <w:pStyle w:val="TableParagraph"/>
              <w:spacing w:line="310" w:lineRule="atLeast" w:before="2"/>
              <w:ind w:left="106" w:right="303"/>
              <w:rPr>
                <w:sz w:val="21"/>
              </w:rPr>
            </w:pPr>
            <w:r>
              <w:rPr>
                <w:spacing w:val="-3"/>
                <w:w w:val="100"/>
                <w:sz w:val="21"/>
              </w:rPr>
              <w:t>未满期净保险费=净保险费</w:t>
            </w:r>
            <w:r>
              <w:rPr>
                <w:w w:val="100"/>
                <w:sz w:val="21"/>
              </w:rPr>
              <w:t>×（1－</w:t>
            </w:r>
            <w:r>
              <w:rPr>
                <w:spacing w:val="-3"/>
                <w:w w:val="100"/>
                <w:sz w:val="21"/>
              </w:rPr>
              <w:t>保险经过日数</w:t>
            </w:r>
            <w:r>
              <w:rPr>
                <w:w w:val="100"/>
                <w:sz w:val="21"/>
              </w:rPr>
              <w:t>/</w:t>
            </w:r>
            <w:r>
              <w:rPr>
                <w:sz w:val="21"/>
              </w:rPr>
              <w:t> </w:t>
            </w:r>
            <w:r>
              <w:rPr>
                <w:spacing w:val="-3"/>
                <w:w w:val="100"/>
                <w:sz w:val="21"/>
              </w:rPr>
              <w:t>保险期间的日数</w:t>
            </w:r>
            <w:r>
              <w:rPr>
                <w:spacing w:val="-106"/>
                <w:w w:val="100"/>
                <w:sz w:val="21"/>
              </w:rPr>
              <w:t>）</w:t>
            </w:r>
            <w:r>
              <w:rPr>
                <w:spacing w:val="-2"/>
                <w:w w:val="100"/>
                <w:sz w:val="21"/>
              </w:rPr>
              <w:t>，经</w:t>
            </w:r>
            <w:r>
              <w:rPr>
                <w:spacing w:val="-11"/>
                <w:sz w:val="21"/>
              </w:rPr>
              <w:t>过日数不足 </w:t>
            </w:r>
            <w:r>
              <w:rPr>
                <w:sz w:val="21"/>
              </w:rPr>
              <w:t>1</w:t>
            </w:r>
            <w:r>
              <w:rPr>
                <w:spacing w:val="-22"/>
                <w:sz w:val="21"/>
              </w:rPr>
              <w:t> 日的按 </w:t>
            </w:r>
            <w:r>
              <w:rPr>
                <w:sz w:val="21"/>
              </w:rPr>
              <w:t>1</w:t>
            </w:r>
            <w:r>
              <w:rPr>
                <w:spacing w:val="-12"/>
                <w:sz w:val="21"/>
              </w:rPr>
              <w:t> 日计算。</w:t>
            </w:r>
          </w:p>
        </w:tc>
      </w:tr>
    </w:tbl>
    <w:sectPr>
      <w:pgSz w:w="11910" w:h="16840"/>
      <w:pgMar w:header="0" w:footer="862" w:top="1480" w:bottom="1040" w:left="82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18"/>
      </w:rPr>
    </w:pPr>
    <w:r>
      <w:rPr/>
      <w:pict>
        <v:shapetype id="_x0000_t202" o:spt="202" coordsize="21600,21600" path="m,l,21600r21600,l21600,xe">
          <v:stroke joinstyle="miter"/>
          <v:path gradientshapeok="t" o:connecttype="rect"/>
        </v:shapetype>
        <v:shape style="position:absolute;margin-left:60.560001pt;margin-top:784.623474pt;width:26.05pt;height:14pt;mso-position-horizontal-relative:page;mso-position-vertical-relative:page;z-index:-32608" type="#_x0000_t202" filled="false" stroked="false">
          <v:textbox inset="0,0,0,0">
            <w:txbxContent>
              <w:p>
                <w:pPr>
                  <w:spacing w:line="260" w:lineRule="exact" w:before="0"/>
                  <w:ind w:left="20" w:right="0" w:firstLine="0"/>
                  <w:jc w:val="left"/>
                  <w:rPr>
                    <w:sz w:val="24"/>
                  </w:rPr>
                </w:pPr>
                <w:r>
                  <w:rPr>
                    <w:sz w:val="24"/>
                  </w:rPr>
                  <w:t>-</w:t>
                </w:r>
                <w:r>
                  <w:rPr/>
                  <w:fldChar w:fldCharType="begin"/>
                </w:r>
                <w:r>
                  <w:rPr>
                    <w:sz w:val="24"/>
                  </w:rPr>
                  <w:instrText> PAGE </w:instrText>
                </w:r>
                <w:r>
                  <w:rPr/>
                  <w:fldChar w:fldCharType="separate"/>
                </w:r>
                <w:r>
                  <w:rPr/>
                  <w:t>10</w:t>
                </w:r>
                <w:r>
                  <w:rPr/>
                  <w:fldChar w:fldCharType="end"/>
                </w:r>
                <w:r>
                  <w:rPr>
                    <w:sz w:val="24"/>
                  </w:rPr>
                  <w:t>-</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508.73999pt;margin-top:784.623474pt;width:26pt;height:14pt;mso-position-horizontal-relative:page;mso-position-vertical-relative:page;z-index:-32584" type="#_x0000_t202" filled="false" stroked="false">
          <v:textbox inset="0,0,0,0">
            <w:txbxContent>
              <w:p>
                <w:pPr>
                  <w:spacing w:line="260" w:lineRule="exact" w:before="0"/>
                  <w:ind w:left="20" w:right="0" w:firstLine="0"/>
                  <w:jc w:val="left"/>
                  <w:rPr>
                    <w:sz w:val="24"/>
                  </w:rPr>
                </w:pPr>
                <w:r>
                  <w:rPr>
                    <w:sz w:val="24"/>
                  </w:rPr>
                  <w:t>-</w:t>
                </w:r>
                <w:r>
                  <w:rPr/>
                  <w:fldChar w:fldCharType="begin"/>
                </w:r>
                <w:r>
                  <w:rPr>
                    <w:sz w:val="24"/>
                  </w:rPr>
                  <w:instrText> PAGE </w:instrText>
                </w:r>
                <w:r>
                  <w:rPr/>
                  <w:fldChar w:fldCharType="separate"/>
                </w:r>
                <w:r>
                  <w:rPr/>
                  <w:t>11</w:t>
                </w:r>
                <w:r>
                  <w:rPr/>
                  <w:fldChar w:fldCharType="end"/>
                </w:r>
                <w:r>
                  <w:rPr>
                    <w:sz w:val="24"/>
                  </w:rPr>
                  <w:t>-</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6"/>
      <w:numFmt w:val="decimal"/>
      <w:lvlText w:val="%1"/>
      <w:lvlJc w:val="left"/>
      <w:pPr>
        <w:ind w:left="1257" w:hanging="1050"/>
        <w:jc w:val="left"/>
      </w:pPr>
      <w:rPr>
        <w:rFonts w:hint="default"/>
      </w:rPr>
    </w:lvl>
    <w:lvl w:ilvl="1">
      <w:start w:val="1"/>
      <w:numFmt w:val="decimal"/>
      <w:lvlText w:val="%1.%2"/>
      <w:lvlJc w:val="left"/>
      <w:pPr>
        <w:ind w:left="1257" w:hanging="1050"/>
        <w:jc w:val="left"/>
      </w:pPr>
      <w:rPr>
        <w:rFonts w:hint="default" w:ascii="宋体" w:hAnsi="宋体" w:eastAsia="宋体" w:cs="宋体"/>
        <w:b/>
        <w:bCs/>
        <w:w w:val="99"/>
        <w:sz w:val="21"/>
        <w:szCs w:val="21"/>
      </w:rPr>
    </w:lvl>
    <w:lvl w:ilvl="2">
      <w:start w:val="0"/>
      <w:numFmt w:val="bullet"/>
      <w:lvlText w:val="•"/>
      <w:lvlJc w:val="left"/>
      <w:pPr>
        <w:ind w:left="1555" w:hanging="1050"/>
      </w:pPr>
      <w:rPr>
        <w:rFonts w:hint="default"/>
      </w:rPr>
    </w:lvl>
    <w:lvl w:ilvl="3">
      <w:start w:val="0"/>
      <w:numFmt w:val="bullet"/>
      <w:lvlText w:val="•"/>
      <w:lvlJc w:val="left"/>
      <w:pPr>
        <w:ind w:left="1702" w:hanging="1050"/>
      </w:pPr>
      <w:rPr>
        <w:rFonts w:hint="default"/>
      </w:rPr>
    </w:lvl>
    <w:lvl w:ilvl="4">
      <w:start w:val="0"/>
      <w:numFmt w:val="bullet"/>
      <w:lvlText w:val="•"/>
      <w:lvlJc w:val="left"/>
      <w:pPr>
        <w:ind w:left="1850" w:hanging="1050"/>
      </w:pPr>
      <w:rPr>
        <w:rFonts w:hint="default"/>
      </w:rPr>
    </w:lvl>
    <w:lvl w:ilvl="5">
      <w:start w:val="0"/>
      <w:numFmt w:val="bullet"/>
      <w:lvlText w:val="•"/>
      <w:lvlJc w:val="left"/>
      <w:pPr>
        <w:ind w:left="1997" w:hanging="1050"/>
      </w:pPr>
      <w:rPr>
        <w:rFonts w:hint="default"/>
      </w:rPr>
    </w:lvl>
    <w:lvl w:ilvl="6">
      <w:start w:val="0"/>
      <w:numFmt w:val="bullet"/>
      <w:lvlText w:val="•"/>
      <w:lvlJc w:val="left"/>
      <w:pPr>
        <w:ind w:left="2145" w:hanging="1050"/>
      </w:pPr>
      <w:rPr>
        <w:rFonts w:hint="default"/>
      </w:rPr>
    </w:lvl>
    <w:lvl w:ilvl="7">
      <w:start w:val="0"/>
      <w:numFmt w:val="bullet"/>
      <w:lvlText w:val="•"/>
      <w:lvlJc w:val="left"/>
      <w:pPr>
        <w:ind w:left="2292" w:hanging="1050"/>
      </w:pPr>
      <w:rPr>
        <w:rFonts w:hint="default"/>
      </w:rPr>
    </w:lvl>
    <w:lvl w:ilvl="8">
      <w:start w:val="0"/>
      <w:numFmt w:val="bullet"/>
      <w:lvlText w:val="•"/>
      <w:lvlJc w:val="left"/>
      <w:pPr>
        <w:ind w:left="2440" w:hanging="1050"/>
      </w:pPr>
      <w:rPr>
        <w:rFonts w:hint="default"/>
      </w:rPr>
    </w:lvl>
  </w:abstractNum>
  <w:abstractNum w:abstractNumId="4">
    <w:multiLevelType w:val="hybridMultilevel"/>
    <w:lvl w:ilvl="0">
      <w:start w:val="4"/>
      <w:numFmt w:val="decimal"/>
      <w:lvlText w:val="%1"/>
      <w:lvlJc w:val="left"/>
      <w:pPr>
        <w:ind w:left="1257" w:hanging="1050"/>
        <w:jc w:val="left"/>
      </w:pPr>
      <w:rPr>
        <w:rFonts w:hint="default"/>
      </w:rPr>
    </w:lvl>
    <w:lvl w:ilvl="1">
      <w:start w:val="1"/>
      <w:numFmt w:val="decimal"/>
      <w:lvlText w:val="%1.%2"/>
      <w:lvlJc w:val="left"/>
      <w:pPr>
        <w:ind w:left="1257" w:hanging="1050"/>
        <w:jc w:val="left"/>
      </w:pPr>
      <w:rPr>
        <w:rFonts w:hint="default" w:ascii="宋体" w:hAnsi="宋体" w:eastAsia="宋体" w:cs="宋体"/>
        <w:b/>
        <w:bCs/>
        <w:w w:val="99"/>
        <w:sz w:val="21"/>
        <w:szCs w:val="21"/>
      </w:rPr>
    </w:lvl>
    <w:lvl w:ilvl="2">
      <w:start w:val="0"/>
      <w:numFmt w:val="bullet"/>
      <w:lvlText w:val="•"/>
      <w:lvlJc w:val="left"/>
      <w:pPr>
        <w:ind w:left="3005" w:hanging="1050"/>
      </w:pPr>
      <w:rPr>
        <w:rFonts w:hint="default"/>
      </w:rPr>
    </w:lvl>
    <w:lvl w:ilvl="3">
      <w:start w:val="0"/>
      <w:numFmt w:val="bullet"/>
      <w:lvlText w:val="•"/>
      <w:lvlJc w:val="left"/>
      <w:pPr>
        <w:ind w:left="3877" w:hanging="1050"/>
      </w:pPr>
      <w:rPr>
        <w:rFonts w:hint="default"/>
      </w:rPr>
    </w:lvl>
    <w:lvl w:ilvl="4">
      <w:start w:val="0"/>
      <w:numFmt w:val="bullet"/>
      <w:lvlText w:val="•"/>
      <w:lvlJc w:val="left"/>
      <w:pPr>
        <w:ind w:left="4750" w:hanging="1050"/>
      </w:pPr>
      <w:rPr>
        <w:rFonts w:hint="default"/>
      </w:rPr>
    </w:lvl>
    <w:lvl w:ilvl="5">
      <w:start w:val="0"/>
      <w:numFmt w:val="bullet"/>
      <w:lvlText w:val="•"/>
      <w:lvlJc w:val="left"/>
      <w:pPr>
        <w:ind w:left="5623" w:hanging="1050"/>
      </w:pPr>
      <w:rPr>
        <w:rFonts w:hint="default"/>
      </w:rPr>
    </w:lvl>
    <w:lvl w:ilvl="6">
      <w:start w:val="0"/>
      <w:numFmt w:val="bullet"/>
      <w:lvlText w:val="•"/>
      <w:lvlJc w:val="left"/>
      <w:pPr>
        <w:ind w:left="6495" w:hanging="1050"/>
      </w:pPr>
      <w:rPr>
        <w:rFonts w:hint="default"/>
      </w:rPr>
    </w:lvl>
    <w:lvl w:ilvl="7">
      <w:start w:val="0"/>
      <w:numFmt w:val="bullet"/>
      <w:lvlText w:val="•"/>
      <w:lvlJc w:val="left"/>
      <w:pPr>
        <w:ind w:left="7368" w:hanging="1050"/>
      </w:pPr>
      <w:rPr>
        <w:rFonts w:hint="default"/>
      </w:rPr>
    </w:lvl>
    <w:lvl w:ilvl="8">
      <w:start w:val="0"/>
      <w:numFmt w:val="bullet"/>
      <w:lvlText w:val="•"/>
      <w:lvlJc w:val="left"/>
      <w:pPr>
        <w:ind w:left="8241" w:hanging="1050"/>
      </w:pPr>
      <w:rPr>
        <w:rFonts w:hint="default"/>
      </w:rPr>
    </w:lvl>
  </w:abstractNum>
  <w:abstractNum w:abstractNumId="3">
    <w:multiLevelType w:val="hybridMultilevel"/>
    <w:lvl w:ilvl="0">
      <w:start w:val="3"/>
      <w:numFmt w:val="decimal"/>
      <w:lvlText w:val="%1"/>
      <w:lvlJc w:val="left"/>
      <w:pPr>
        <w:ind w:left="1257" w:hanging="1050"/>
        <w:jc w:val="left"/>
      </w:pPr>
      <w:rPr>
        <w:rFonts w:hint="default"/>
      </w:rPr>
    </w:lvl>
    <w:lvl w:ilvl="1">
      <w:start w:val="1"/>
      <w:numFmt w:val="decimal"/>
      <w:lvlText w:val="%1.%2"/>
      <w:lvlJc w:val="left"/>
      <w:pPr>
        <w:ind w:left="3149" w:hanging="1050"/>
        <w:jc w:val="left"/>
      </w:pPr>
      <w:rPr>
        <w:rFonts w:hint="default" w:ascii="宋体" w:hAnsi="宋体" w:eastAsia="宋体" w:cs="宋体"/>
        <w:b/>
        <w:bCs/>
        <w:w w:val="99"/>
        <w:sz w:val="21"/>
        <w:szCs w:val="21"/>
      </w:rPr>
    </w:lvl>
    <w:lvl w:ilvl="2">
      <w:start w:val="0"/>
      <w:numFmt w:val="bullet"/>
      <w:lvlText w:val="•"/>
      <w:lvlJc w:val="left"/>
      <w:pPr>
        <w:ind w:left="3900" w:hanging="1050"/>
      </w:pPr>
      <w:rPr>
        <w:rFonts w:hint="default"/>
      </w:rPr>
    </w:lvl>
    <w:lvl w:ilvl="3">
      <w:start w:val="0"/>
      <w:numFmt w:val="bullet"/>
      <w:lvlText w:val="•"/>
      <w:lvlJc w:val="left"/>
      <w:pPr>
        <w:ind w:left="4661" w:hanging="1050"/>
      </w:pPr>
      <w:rPr>
        <w:rFonts w:hint="default"/>
      </w:rPr>
    </w:lvl>
    <w:lvl w:ilvl="4">
      <w:start w:val="0"/>
      <w:numFmt w:val="bullet"/>
      <w:lvlText w:val="•"/>
      <w:lvlJc w:val="left"/>
      <w:pPr>
        <w:ind w:left="5422" w:hanging="1050"/>
      </w:pPr>
      <w:rPr>
        <w:rFonts w:hint="default"/>
      </w:rPr>
    </w:lvl>
    <w:lvl w:ilvl="5">
      <w:start w:val="0"/>
      <w:numFmt w:val="bullet"/>
      <w:lvlText w:val="•"/>
      <w:lvlJc w:val="left"/>
      <w:pPr>
        <w:ind w:left="6182" w:hanging="1050"/>
      </w:pPr>
      <w:rPr>
        <w:rFonts w:hint="default"/>
      </w:rPr>
    </w:lvl>
    <w:lvl w:ilvl="6">
      <w:start w:val="0"/>
      <w:numFmt w:val="bullet"/>
      <w:lvlText w:val="•"/>
      <w:lvlJc w:val="left"/>
      <w:pPr>
        <w:ind w:left="6943" w:hanging="1050"/>
      </w:pPr>
      <w:rPr>
        <w:rFonts w:hint="default"/>
      </w:rPr>
    </w:lvl>
    <w:lvl w:ilvl="7">
      <w:start w:val="0"/>
      <w:numFmt w:val="bullet"/>
      <w:lvlText w:val="•"/>
      <w:lvlJc w:val="left"/>
      <w:pPr>
        <w:ind w:left="7704" w:hanging="1050"/>
      </w:pPr>
      <w:rPr>
        <w:rFonts w:hint="default"/>
      </w:rPr>
    </w:lvl>
    <w:lvl w:ilvl="8">
      <w:start w:val="0"/>
      <w:numFmt w:val="bullet"/>
      <w:lvlText w:val="•"/>
      <w:lvlJc w:val="left"/>
      <w:pPr>
        <w:ind w:left="8464" w:hanging="1050"/>
      </w:pPr>
      <w:rPr>
        <w:rFonts w:hint="default"/>
      </w:rPr>
    </w:lvl>
  </w:abstractNum>
  <w:abstractNum w:abstractNumId="2">
    <w:multiLevelType w:val="hybridMultilevel"/>
    <w:lvl w:ilvl="0">
      <w:start w:val="4"/>
      <w:numFmt w:val="decimal"/>
      <w:lvlText w:val="%1"/>
      <w:lvlJc w:val="left"/>
      <w:pPr>
        <w:ind w:left="1388" w:hanging="423"/>
        <w:jc w:val="left"/>
      </w:pPr>
      <w:rPr>
        <w:rFonts w:hint="default"/>
      </w:rPr>
    </w:lvl>
    <w:lvl w:ilvl="1">
      <w:start w:val="2"/>
      <w:numFmt w:val="decimal"/>
      <w:lvlText w:val="%1.%2"/>
      <w:lvlJc w:val="left"/>
      <w:pPr>
        <w:ind w:left="1388" w:hanging="423"/>
        <w:jc w:val="left"/>
      </w:pPr>
      <w:rPr>
        <w:rFonts w:hint="default" w:ascii="宋体" w:hAnsi="宋体" w:eastAsia="宋体" w:cs="宋体"/>
        <w:spacing w:val="-1"/>
        <w:w w:val="100"/>
        <w:sz w:val="21"/>
        <w:szCs w:val="21"/>
      </w:rPr>
    </w:lvl>
    <w:lvl w:ilvl="2">
      <w:start w:val="0"/>
      <w:numFmt w:val="bullet"/>
      <w:lvlText w:val="•"/>
      <w:lvlJc w:val="left"/>
      <w:pPr>
        <w:ind w:left="1635" w:hanging="423"/>
      </w:pPr>
      <w:rPr>
        <w:rFonts w:hint="default"/>
      </w:rPr>
    </w:lvl>
    <w:lvl w:ilvl="3">
      <w:start w:val="0"/>
      <w:numFmt w:val="bullet"/>
      <w:lvlText w:val="•"/>
      <w:lvlJc w:val="left"/>
      <w:pPr>
        <w:ind w:left="1762" w:hanging="423"/>
      </w:pPr>
      <w:rPr>
        <w:rFonts w:hint="default"/>
      </w:rPr>
    </w:lvl>
    <w:lvl w:ilvl="4">
      <w:start w:val="0"/>
      <w:numFmt w:val="bullet"/>
      <w:lvlText w:val="•"/>
      <w:lvlJc w:val="left"/>
      <w:pPr>
        <w:ind w:left="1890" w:hanging="423"/>
      </w:pPr>
      <w:rPr>
        <w:rFonts w:hint="default"/>
      </w:rPr>
    </w:lvl>
    <w:lvl w:ilvl="5">
      <w:start w:val="0"/>
      <w:numFmt w:val="bullet"/>
      <w:lvlText w:val="•"/>
      <w:lvlJc w:val="left"/>
      <w:pPr>
        <w:ind w:left="2017" w:hanging="423"/>
      </w:pPr>
      <w:rPr>
        <w:rFonts w:hint="default"/>
      </w:rPr>
    </w:lvl>
    <w:lvl w:ilvl="6">
      <w:start w:val="0"/>
      <w:numFmt w:val="bullet"/>
      <w:lvlText w:val="•"/>
      <w:lvlJc w:val="left"/>
      <w:pPr>
        <w:ind w:left="2145" w:hanging="423"/>
      </w:pPr>
      <w:rPr>
        <w:rFonts w:hint="default"/>
      </w:rPr>
    </w:lvl>
    <w:lvl w:ilvl="7">
      <w:start w:val="0"/>
      <w:numFmt w:val="bullet"/>
      <w:lvlText w:val="•"/>
      <w:lvlJc w:val="left"/>
      <w:pPr>
        <w:ind w:left="2272" w:hanging="423"/>
      </w:pPr>
      <w:rPr>
        <w:rFonts w:hint="default"/>
      </w:rPr>
    </w:lvl>
    <w:lvl w:ilvl="8">
      <w:start w:val="0"/>
      <w:numFmt w:val="bullet"/>
      <w:lvlText w:val="•"/>
      <w:lvlJc w:val="left"/>
      <w:pPr>
        <w:ind w:left="2400" w:hanging="423"/>
      </w:pPr>
      <w:rPr>
        <w:rFonts w:hint="default"/>
      </w:rPr>
    </w:lvl>
  </w:abstractNum>
  <w:abstractNum w:abstractNumId="1">
    <w:multiLevelType w:val="hybridMultilevel"/>
    <w:lvl w:ilvl="0">
      <w:start w:val="7"/>
      <w:numFmt w:val="decimal"/>
      <w:lvlText w:val="%1"/>
      <w:lvlJc w:val="left"/>
      <w:pPr>
        <w:ind w:left="684" w:hanging="526"/>
        <w:jc w:val="left"/>
      </w:pPr>
      <w:rPr>
        <w:rFonts w:hint="default"/>
      </w:rPr>
    </w:lvl>
    <w:lvl w:ilvl="1">
      <w:start w:val="19"/>
      <w:numFmt w:val="decimal"/>
      <w:lvlText w:val="%1.%2"/>
      <w:lvlJc w:val="left"/>
      <w:pPr>
        <w:ind w:left="684" w:hanging="526"/>
        <w:jc w:val="left"/>
      </w:pPr>
      <w:rPr>
        <w:rFonts w:hint="default" w:ascii="宋体" w:hAnsi="宋体" w:eastAsia="宋体" w:cs="宋体"/>
        <w:w w:val="100"/>
        <w:sz w:val="21"/>
        <w:szCs w:val="21"/>
      </w:rPr>
    </w:lvl>
    <w:lvl w:ilvl="2">
      <w:start w:val="0"/>
      <w:numFmt w:val="bullet"/>
      <w:lvlText w:val="•"/>
      <w:lvlJc w:val="left"/>
      <w:pPr>
        <w:ind w:left="1195" w:hanging="526"/>
      </w:pPr>
      <w:rPr>
        <w:rFonts w:hint="default"/>
      </w:rPr>
    </w:lvl>
    <w:lvl w:ilvl="3">
      <w:start w:val="0"/>
      <w:numFmt w:val="bullet"/>
      <w:lvlText w:val="•"/>
      <w:lvlJc w:val="left"/>
      <w:pPr>
        <w:ind w:left="1453" w:hanging="526"/>
      </w:pPr>
      <w:rPr>
        <w:rFonts w:hint="default"/>
      </w:rPr>
    </w:lvl>
    <w:lvl w:ilvl="4">
      <w:start w:val="0"/>
      <w:numFmt w:val="bullet"/>
      <w:lvlText w:val="•"/>
      <w:lvlJc w:val="left"/>
      <w:pPr>
        <w:ind w:left="1711" w:hanging="526"/>
      </w:pPr>
      <w:rPr>
        <w:rFonts w:hint="default"/>
      </w:rPr>
    </w:lvl>
    <w:lvl w:ilvl="5">
      <w:start w:val="0"/>
      <w:numFmt w:val="bullet"/>
      <w:lvlText w:val="•"/>
      <w:lvlJc w:val="left"/>
      <w:pPr>
        <w:ind w:left="1969" w:hanging="526"/>
      </w:pPr>
      <w:rPr>
        <w:rFonts w:hint="default"/>
      </w:rPr>
    </w:lvl>
    <w:lvl w:ilvl="6">
      <w:start w:val="0"/>
      <w:numFmt w:val="bullet"/>
      <w:lvlText w:val="•"/>
      <w:lvlJc w:val="left"/>
      <w:pPr>
        <w:ind w:left="2226" w:hanging="526"/>
      </w:pPr>
      <w:rPr>
        <w:rFonts w:hint="default"/>
      </w:rPr>
    </w:lvl>
    <w:lvl w:ilvl="7">
      <w:start w:val="0"/>
      <w:numFmt w:val="bullet"/>
      <w:lvlText w:val="•"/>
      <w:lvlJc w:val="left"/>
      <w:pPr>
        <w:ind w:left="2484" w:hanging="526"/>
      </w:pPr>
      <w:rPr>
        <w:rFonts w:hint="default"/>
      </w:rPr>
    </w:lvl>
    <w:lvl w:ilvl="8">
      <w:start w:val="0"/>
      <w:numFmt w:val="bullet"/>
      <w:lvlText w:val="•"/>
      <w:lvlJc w:val="left"/>
      <w:pPr>
        <w:ind w:left="2742" w:hanging="526"/>
      </w:pPr>
      <w:rPr>
        <w:rFonts w:hint="default"/>
      </w:rPr>
    </w:lvl>
  </w:abstractNum>
  <w:abstractNum w:abstractNumId="0">
    <w:multiLevelType w:val="hybridMultilevel"/>
    <w:lvl w:ilvl="0">
      <w:start w:val="0"/>
      <w:numFmt w:val="bullet"/>
      <w:lvlText w:val=""/>
      <w:lvlJc w:val="left"/>
      <w:pPr>
        <w:ind w:left="1633" w:hanging="420"/>
      </w:pPr>
      <w:rPr>
        <w:rFonts w:hint="default" w:ascii="Wingdings" w:hAnsi="Wingdings" w:eastAsia="Wingdings" w:cs="Wingdings"/>
        <w:w w:val="100"/>
        <w:sz w:val="21"/>
        <w:szCs w:val="21"/>
      </w:rPr>
    </w:lvl>
    <w:lvl w:ilvl="1">
      <w:start w:val="0"/>
      <w:numFmt w:val="bullet"/>
      <w:lvlText w:val="•"/>
      <w:lvlJc w:val="left"/>
      <w:pPr>
        <w:ind w:left="2500" w:hanging="420"/>
      </w:pPr>
      <w:rPr>
        <w:rFonts w:hint="default"/>
      </w:rPr>
    </w:lvl>
    <w:lvl w:ilvl="2">
      <w:start w:val="0"/>
      <w:numFmt w:val="bullet"/>
      <w:lvlText w:val="•"/>
      <w:lvlJc w:val="left"/>
      <w:pPr>
        <w:ind w:left="3361" w:hanging="420"/>
      </w:pPr>
      <w:rPr>
        <w:rFonts w:hint="default"/>
      </w:rPr>
    </w:lvl>
    <w:lvl w:ilvl="3">
      <w:start w:val="0"/>
      <w:numFmt w:val="bullet"/>
      <w:lvlText w:val="•"/>
      <w:lvlJc w:val="left"/>
      <w:pPr>
        <w:ind w:left="4221" w:hanging="420"/>
      </w:pPr>
      <w:rPr>
        <w:rFonts w:hint="default"/>
      </w:rPr>
    </w:lvl>
    <w:lvl w:ilvl="4">
      <w:start w:val="0"/>
      <w:numFmt w:val="bullet"/>
      <w:lvlText w:val="•"/>
      <w:lvlJc w:val="left"/>
      <w:pPr>
        <w:ind w:left="5082" w:hanging="420"/>
      </w:pPr>
      <w:rPr>
        <w:rFonts w:hint="default"/>
      </w:rPr>
    </w:lvl>
    <w:lvl w:ilvl="5">
      <w:start w:val="0"/>
      <w:numFmt w:val="bullet"/>
      <w:lvlText w:val="•"/>
      <w:lvlJc w:val="left"/>
      <w:pPr>
        <w:ind w:left="5943" w:hanging="420"/>
      </w:pPr>
      <w:rPr>
        <w:rFonts w:hint="default"/>
      </w:rPr>
    </w:lvl>
    <w:lvl w:ilvl="6">
      <w:start w:val="0"/>
      <w:numFmt w:val="bullet"/>
      <w:lvlText w:val="•"/>
      <w:lvlJc w:val="left"/>
      <w:pPr>
        <w:ind w:left="6803" w:hanging="420"/>
      </w:pPr>
      <w:rPr>
        <w:rFonts w:hint="default"/>
      </w:rPr>
    </w:lvl>
    <w:lvl w:ilvl="7">
      <w:start w:val="0"/>
      <w:numFmt w:val="bullet"/>
      <w:lvlText w:val="•"/>
      <w:lvlJc w:val="left"/>
      <w:pPr>
        <w:ind w:left="7664" w:hanging="420"/>
      </w:pPr>
      <w:rPr>
        <w:rFonts w:hint="default"/>
      </w:rPr>
    </w:lvl>
    <w:lvl w:ilvl="8">
      <w:start w:val="0"/>
      <w:numFmt w:val="bullet"/>
      <w:lvlText w:val="•"/>
      <w:lvlJc w:val="left"/>
      <w:pPr>
        <w:ind w:left="8525" w:hanging="42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45"/>
      <w:ind w:left="207"/>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754"/>
      <w:outlineLvl w:val="3"/>
    </w:pPr>
    <w:rPr>
      <w:rFonts w:ascii="宋体" w:hAnsi="宋体" w:eastAsia="宋体" w:cs="宋体"/>
      <w:b/>
      <w:bCs/>
      <w:sz w:val="21"/>
      <w:szCs w:val="21"/>
    </w:rPr>
  </w:style>
  <w:style w:styleId="ListParagraph" w:type="paragraph">
    <w:name w:val="List Paragraph"/>
    <w:basedOn w:val="Normal"/>
    <w:uiPriority w:val="1"/>
    <w:qFormat/>
    <w:pPr>
      <w:spacing w:before="10"/>
      <w:ind w:left="1633" w:hanging="420"/>
    </w:pPr>
    <w:rPr>
      <w:rFonts w:ascii="宋体" w:hAnsi="宋体" w:eastAsia="宋体" w:cs="宋体"/>
    </w:rPr>
  </w:style>
  <w:style w:styleId="TableParagraph" w:type="paragraph">
    <w:name w:val="Table Paragraph"/>
    <w:basedOn w:val="Normal"/>
    <w:uiPriority w:val="1"/>
    <w:qFormat/>
    <w:pPr>
      <w:ind w:left="20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2018-10-19T23:07:02Z</dcterms:created>
  <dcterms:modified xsi:type="dcterms:W3CDTF">2018-10-19T23:07:02Z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2017-04-10T00:00:00Z</vt:filetime>
  </property>
  <property fmtid="{D5CDD505-2E9C-101B-9397-08002B2CF9AE}" pid="3" name="Creator">
    <vt:lpwstr>Microsoft® Word 2010</vt:lpwstr>
  </property>
  <property fmtid="{D5CDD505-2E9C-101B-9397-08002B2CF9AE}" pid="4" name="LastSaved">
    <vt:filetime>2018-10-19T00:00:00Z</vt:filetime>
  </property>
</Properties>
</file>