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59" w:right="0" w:firstLine="0"/>
        <w:jc w:val="left"/>
        <w:rPr>
          <w:sz w:val="44"/>
        </w:rPr>
      </w:pPr>
      <w:r>
        <w:rPr>
          <w:sz w:val="44"/>
        </w:rPr>
        <w:t>光大永明人寿保险有限公司</w:t>
      </w:r>
    </w:p>
    <w:p>
      <w:pPr>
        <w:spacing w:line="384" w:lineRule="exact" w:before="0"/>
        <w:ind w:left="1264" w:right="0" w:firstLine="0"/>
        <w:jc w:val="left"/>
        <w:rPr>
          <w:sz w:val="30"/>
        </w:rPr>
      </w:pPr>
      <w:r>
        <w:rPr>
          <w:sz w:val="30"/>
        </w:rPr>
        <w:t>光大永明附加鸿运相传终身重大疾病保险 </w:t>
      </w:r>
      <w:r>
        <w:rPr>
          <w:rFonts w:ascii="Times New Roman" w:eastAsia="Times New Roman"/>
          <w:b/>
          <w:sz w:val="30"/>
        </w:rPr>
        <w:t>A </w:t>
      </w:r>
      <w:r>
        <w:rPr>
          <w:sz w:val="30"/>
        </w:rPr>
        <w:t>款</w:t>
      </w:r>
    </w:p>
    <w:p>
      <w:pPr>
        <w:pStyle w:val="BodyText"/>
        <w:spacing w:before="1"/>
        <w:rPr>
          <w:sz w:val="27"/>
        </w:rPr>
      </w:pPr>
    </w:p>
    <w:p>
      <w:pPr>
        <w:spacing w:line="268" w:lineRule="auto" w:before="0"/>
        <w:ind w:left="117" w:right="165" w:firstLine="0"/>
        <w:jc w:val="left"/>
        <w:rPr>
          <w:sz w:val="24"/>
        </w:rPr>
      </w:pPr>
      <w:r>
        <w:rPr>
          <w:sz w:val="24"/>
        </w:rPr>
        <w:t>感谢您选择了光大永明人寿。为了帮助您更好的理解本条款，在阅读本条款前， 请您注意阅读提示和名词说明。</w:t>
      </w:r>
    </w:p>
    <w:p>
      <w:pPr>
        <w:pStyle w:val="BodyText"/>
        <w:spacing w:before="8"/>
        <w:rPr>
          <w:sz w:val="23"/>
        </w:rPr>
      </w:pPr>
    </w:p>
    <w:p>
      <w:pPr>
        <w:spacing w:before="1"/>
        <w:ind w:left="3173" w:right="3271" w:firstLine="0"/>
        <w:jc w:val="center"/>
        <w:rPr>
          <w:sz w:val="28"/>
        </w:rPr>
      </w:pPr>
      <w:r>
        <w:rPr/>
        <w:pict>
          <v:line style="position:absolute;mso-position-horizontal-relative:page;mso-position-vertical-relative:paragraph;z-index:0;mso-wrap-distance-left:0;mso-wrap-distance-right:0" from="89.879997pt,20.181887pt" to="512.519997pt,20.181887pt" stroked="true" strokeweight=".48pt" strokecolor="#000000">
            <v:stroke dashstyle="solid"/>
            <w10:wrap type="topAndBottom"/>
          </v:line>
        </w:pict>
      </w:r>
      <w:r>
        <w:rPr>
          <w:sz w:val="28"/>
        </w:rPr>
        <w:t>阅读提示</w:t>
      </w:r>
    </w:p>
    <w:p>
      <w:pPr>
        <w:spacing w:before="27"/>
        <w:ind w:left="3249" w:right="3271" w:firstLine="0"/>
        <w:jc w:val="center"/>
        <w:rPr>
          <w:sz w:val="24"/>
        </w:rPr>
      </w:pPr>
      <w:r>
        <w:rPr>
          <w:sz w:val="24"/>
        </w:rPr>
        <w:t>您所享有的重要权益</w:t>
      </w:r>
    </w:p>
    <w:p>
      <w:pPr>
        <w:pStyle w:val="BodyText"/>
        <w:spacing w:before="11"/>
        <w:rPr>
          <w:sz w:val="10"/>
        </w:rPr>
      </w:pPr>
    </w:p>
    <w:p>
      <w:pPr>
        <w:pStyle w:val="BodyText"/>
        <w:tabs>
          <w:tab w:pos="7244" w:val="left" w:leader="none"/>
          <w:tab w:pos="7750" w:val="left" w:leader="none"/>
          <w:tab w:pos="8257" w:val="left" w:leader="none"/>
        </w:tabs>
        <w:spacing w:line="369" w:lineRule="auto" w:before="43"/>
        <w:ind w:left="225" w:right="248" w:hanging="2"/>
        <w:jc w:val="center"/>
        <w:rPr>
          <w:sz w:val="24"/>
        </w:rPr>
      </w:pPr>
      <w:r>
        <w:rPr/>
        <w:t>本附加合同所提供的保障</w:t>
      </w:r>
      <w:r>
        <w:rPr>
          <w:rFonts w:ascii="Times New Roman" w:hAnsi="Times New Roman" w:eastAsia="Times New Roman"/>
        </w:rPr>
        <w:t>............................................………………………</w:t>
        <w:tab/>
      </w:r>
      <w:r>
        <w:rPr/>
        <w:t>第</w:t>
        <w:tab/>
        <w:t>七</w:t>
        <w:tab/>
        <w:t>条签收保险合同后十天内，您可以要求退还保险费</w:t>
      </w:r>
      <w:r>
        <w:rPr>
          <w:rFonts w:ascii="Times New Roman" w:hAnsi="Times New Roman" w:eastAsia="Times New Roman"/>
        </w:rPr>
        <w:t>..........................……..</w:t>
        <w:tab/>
      </w:r>
      <w:r>
        <w:rPr/>
        <w:t>第 十</w:t>
      </w:r>
      <w:r>
        <w:rPr>
          <w:spacing w:val="43"/>
        </w:rPr>
        <w:t> </w:t>
      </w:r>
      <w:r>
        <w:rPr/>
        <w:t>八</w:t>
      </w:r>
      <w:r>
        <w:rPr>
          <w:spacing w:val="21"/>
        </w:rPr>
        <w:t> </w:t>
      </w:r>
      <w:r>
        <w:rPr/>
        <w:t>条</w:t>
      </w:r>
      <w:r>
        <w:rPr>
          <w:sz w:val="24"/>
        </w:rPr>
        <w:t>您应当特别注意的事项</w:t>
      </w:r>
    </w:p>
    <w:p>
      <w:pPr>
        <w:pStyle w:val="BodyText"/>
        <w:spacing w:line="384" w:lineRule="auto" w:before="56"/>
        <w:ind w:left="225" w:right="248"/>
        <w:jc w:val="both"/>
      </w:pPr>
      <w:r>
        <w:rPr/>
        <w:t>在某些情况下，我们不承担保险责任</w:t>
      </w:r>
      <w:r>
        <w:rPr>
          <w:rFonts w:ascii="Times New Roman" w:hAnsi="Times New Roman" w:eastAsia="Times New Roman"/>
        </w:rPr>
        <w:t>................................ ............... .............… </w:t>
      </w:r>
      <w:r>
        <w:rPr/>
        <w:t>第  八  条如何申领保险金</w:t>
      </w:r>
      <w:r>
        <w:rPr>
          <w:rFonts w:ascii="Times New Roman" w:hAnsi="Times New Roman" w:eastAsia="Times New Roman"/>
        </w:rPr>
        <w:t>.................................................. ............... ............... .............…. </w:t>
      </w:r>
      <w:r>
        <w:rPr/>
        <w:t>第  十  条您有解除合同的权利，请您慎重决定</w:t>
      </w:r>
      <w:r>
        <w:rPr>
          <w:rFonts w:ascii="Times New Roman" w:hAnsi="Times New Roman" w:eastAsia="Times New Roman"/>
        </w:rPr>
        <w:t>................................ ............... .............….    </w:t>
      </w:r>
      <w:r>
        <w:rPr/>
        <w:t>第 十 八 条</w:t>
      </w:r>
    </w:p>
    <w:p>
      <w:pPr>
        <w:pStyle w:val="BodyText"/>
        <w:spacing w:before="0"/>
        <w:rPr>
          <w:sz w:val="22"/>
        </w:rPr>
      </w:pPr>
    </w:p>
    <w:p>
      <w:pPr>
        <w:pStyle w:val="BodyText"/>
        <w:spacing w:before="5"/>
        <w:rPr>
          <w:sz w:val="23"/>
        </w:rPr>
      </w:pPr>
    </w:p>
    <w:p>
      <w:pPr>
        <w:spacing w:before="0"/>
        <w:ind w:left="3173" w:right="3271" w:firstLine="0"/>
        <w:jc w:val="center"/>
        <w:rPr>
          <w:sz w:val="28"/>
        </w:rPr>
      </w:pPr>
      <w:r>
        <w:rPr/>
        <w:pict>
          <v:line style="position:absolute;mso-position-horizontal-relative:page;mso-position-vertical-relative:paragraph;z-index:1048;mso-wrap-distance-left:0;mso-wrap-distance-right:0" from="89.879997pt,20.131863pt" to="514.199997pt,20.131863pt" stroked="true" strokeweight=".48pt" strokecolor="#000000">
            <v:stroke dashstyle="solid"/>
            <w10:wrap type="topAndBottom"/>
          </v:line>
        </w:pict>
      </w:r>
      <w:r>
        <w:rPr>
          <w:sz w:val="28"/>
        </w:rPr>
        <w:t>名词说明</w:t>
      </w:r>
    </w:p>
    <w:p>
      <w:pPr>
        <w:pStyle w:val="BodyText"/>
        <w:tabs>
          <w:tab w:pos="2011" w:val="left" w:leader="none"/>
        </w:tabs>
        <w:spacing w:before="5"/>
        <w:ind w:left="225"/>
        <w:jc w:val="both"/>
      </w:pPr>
      <w:r>
        <w:rPr/>
        <w:t>我们</w:t>
        <w:tab/>
        <w:t>：</w:t>
      </w:r>
      <w:r>
        <w:rPr>
          <w:spacing w:val="-80"/>
        </w:rPr>
        <w:t> </w:t>
      </w:r>
      <w:r>
        <w:rPr/>
        <w:t>指光大永明人寿保险有限公司。</w:t>
      </w:r>
    </w:p>
    <w:p>
      <w:pPr>
        <w:pStyle w:val="BodyText"/>
        <w:tabs>
          <w:tab w:pos="2011" w:val="left" w:leader="none"/>
        </w:tabs>
        <w:spacing w:before="75"/>
        <w:ind w:left="225"/>
        <w:jc w:val="both"/>
      </w:pPr>
      <w:r>
        <w:rPr/>
        <w:t>您</w:t>
        <w:tab/>
        <w:t>：</w:t>
      </w:r>
      <w:r>
        <w:rPr>
          <w:spacing w:val="-80"/>
        </w:rPr>
        <w:t> </w:t>
      </w:r>
      <w:r>
        <w:rPr/>
        <w:t>指投保人。</w:t>
      </w:r>
    </w:p>
    <w:p>
      <w:pPr>
        <w:pStyle w:val="BodyText"/>
        <w:spacing w:before="74"/>
        <w:ind w:left="225"/>
        <w:jc w:val="both"/>
      </w:pPr>
      <w:r>
        <w:rPr/>
        <w:t>保险条款        ： 指本条款。</w:t>
      </w:r>
    </w:p>
    <w:p>
      <w:pPr>
        <w:spacing w:after="0"/>
        <w:jc w:val="both"/>
        <w:sectPr>
          <w:footerReference w:type="default" r:id="rId5"/>
          <w:type w:val="continuous"/>
          <w:pgSz w:w="11900" w:h="16840"/>
          <w:pgMar w:footer="998"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r>
            <w:fldChar w:fldCharType="begin"/>
          </w:r>
          <w:r>
            <w:instrText>TOC \o "1-2" \h \z \u </w:instrText>
          </w:r>
          <w:r>
            <w:fldChar w:fldCharType="separate"/>
          </w:r>
          <w:hyperlink w:history="true" w:anchor="_TOC_250026">
            <w:r>
              <w:rPr/>
              <w:t>第一部分</w:t>
              <w:tab/>
              <w:t>您与我们的合同</w:t>
              <w:tab/>
            </w:r>
            <w:r>
              <w:rPr>
                <w:rFonts w:ascii="Times New Roman" w:eastAsia="Times New Roman"/>
                <w:b/>
              </w:rPr>
              <w:t>1</w:t>
            </w:r>
          </w:hyperlink>
        </w:p>
        <w:p>
          <w:pPr>
            <w:pStyle w:val="TOC2"/>
            <w:tabs>
              <w:tab w:pos="1857" w:val="left" w:leader="none"/>
              <w:tab w:pos="8491" w:val="right" w:leader="dot"/>
            </w:tabs>
            <w:rPr>
              <w:rFonts w:ascii="Times New Roman" w:eastAsia="Times New Roman"/>
            </w:rPr>
          </w:pPr>
          <w:hyperlink w:history="true" w:anchor="_TOC_250025">
            <w:r>
              <w:rPr/>
              <w:t>第一条</w:t>
              <w:tab/>
              <w:t>附加保险合同的构成</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4">
            <w:r>
              <w:rPr/>
              <w:t>第二条</w:t>
              <w:tab/>
              <w:t>受益人的指定与变更</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3">
            <w:r>
              <w:rPr/>
              <w:t>第三条</w:t>
              <w:tab/>
              <w:t>保险责任的开始</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2">
            <w:r>
              <w:rPr/>
              <w:t>第四条</w:t>
              <w:tab/>
              <w:t>保险期间</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1">
            <w:r>
              <w:rPr/>
              <w:t>第五条</w:t>
              <w:tab/>
              <w:t>保险合同的中止</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0">
            <w:r>
              <w:rPr/>
              <w:t>第六条</w:t>
              <w:tab/>
              <w:t>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b/>
            </w:rPr>
          </w:pPr>
          <w:hyperlink w:history="true" w:anchor="_TOC_250019">
            <w:r>
              <w:rPr/>
              <w:t>第二部分</w:t>
              <w:tab/>
              <w:t>我们提供的保障</w:t>
              <w:tab/>
            </w:r>
            <w:r>
              <w:rPr>
                <w:rFonts w:ascii="Times New Roman" w:eastAsia="Times New Roman"/>
                <w:b/>
              </w:rPr>
              <w:t>2</w:t>
            </w:r>
          </w:hyperlink>
        </w:p>
        <w:p>
          <w:pPr>
            <w:pStyle w:val="TOC2"/>
            <w:tabs>
              <w:tab w:pos="1857" w:val="left" w:leader="none"/>
              <w:tab w:pos="8491" w:val="right" w:leader="dot"/>
            </w:tabs>
            <w:rPr>
              <w:rFonts w:ascii="Times New Roman" w:eastAsia="Times New Roman"/>
            </w:rPr>
          </w:pPr>
          <w:hyperlink w:history="true" w:anchor="_TOC_250018">
            <w:r>
              <w:rPr/>
              <w:t>第七条</w:t>
              <w:tab/>
              <w:t>保险责任</w:t>
              <w:tab/>
            </w:r>
            <w:r>
              <w:rPr>
                <w:rFonts w:ascii="Times New Roman" w:eastAsia="Times New Roman"/>
              </w:rPr>
              <w:t>2</w:t>
            </w:r>
          </w:hyperlink>
        </w:p>
        <w:p>
          <w:pPr>
            <w:pStyle w:val="TOC2"/>
            <w:tabs>
              <w:tab w:pos="1857" w:val="left" w:leader="none"/>
              <w:tab w:pos="8491" w:val="right" w:leader="dot"/>
            </w:tabs>
            <w:rPr>
              <w:rFonts w:ascii="Times New Roman" w:eastAsia="Times New Roman"/>
            </w:rPr>
          </w:pPr>
          <w:hyperlink w:history="true" w:anchor="_TOC_250017">
            <w:r>
              <w:rPr/>
              <w:t>第八条</w:t>
              <w:tab/>
              <w:t>责任免除</w:t>
              <w:tab/>
            </w:r>
            <w:r>
              <w:rPr>
                <w:rFonts w:ascii="Times New Roman" w:eastAsia="Times New Roman"/>
              </w:rPr>
              <w:t>2</w:t>
            </w:r>
          </w:hyperlink>
        </w:p>
        <w:p>
          <w:pPr>
            <w:pStyle w:val="TOC2"/>
            <w:tabs>
              <w:tab w:pos="1857" w:val="left" w:leader="none"/>
              <w:tab w:pos="8491" w:val="right" w:leader="dot"/>
            </w:tabs>
            <w:rPr>
              <w:rFonts w:ascii="Times New Roman" w:eastAsia="Times New Roman"/>
            </w:rPr>
          </w:pPr>
          <w:hyperlink w:history="true" w:anchor="_TOC_250016">
            <w:r>
              <w:rPr/>
              <w:t>第九条</w:t>
              <w:tab/>
              <w:t>保险金额及其变更</w:t>
              <w:tab/>
            </w:r>
            <w:r>
              <w:rPr>
                <w:rFonts w:ascii="Times New Roman" w:eastAsia="Times New Roman"/>
              </w:rPr>
              <w:t>3</w:t>
            </w:r>
          </w:hyperlink>
        </w:p>
        <w:p>
          <w:pPr>
            <w:pStyle w:val="TOC1"/>
            <w:tabs>
              <w:tab w:pos="1197" w:val="left" w:leader="none"/>
              <w:tab w:pos="8491" w:val="right" w:leader="dot"/>
            </w:tabs>
            <w:rPr>
              <w:rFonts w:ascii="Times New Roman" w:eastAsia="Times New Roman"/>
              <w:b/>
            </w:rPr>
          </w:pPr>
          <w:hyperlink w:history="true" w:anchor="_TOC_250015">
            <w:r>
              <w:rPr/>
              <w:t>第三部分</w:t>
              <w:tab/>
              <w:t>如何领取保险金</w:t>
              <w:tab/>
            </w:r>
            <w:r>
              <w:rPr>
                <w:rFonts w:ascii="Times New Roman" w:eastAsia="Times New Roman"/>
                <w:b/>
              </w:rPr>
              <w:t>3</w:t>
            </w:r>
          </w:hyperlink>
        </w:p>
        <w:p>
          <w:pPr>
            <w:pStyle w:val="TOC2"/>
            <w:tabs>
              <w:tab w:pos="1857" w:val="left" w:leader="none"/>
              <w:tab w:pos="8491" w:val="right" w:leader="dot"/>
            </w:tabs>
            <w:rPr>
              <w:rFonts w:ascii="Times New Roman" w:eastAsia="Times New Roman"/>
            </w:rPr>
          </w:pPr>
          <w:hyperlink w:history="true" w:anchor="_TOC_250014">
            <w:r>
              <w:rPr/>
              <w:t>第十条</w:t>
              <w:tab/>
              <w:t>保险金的申领</w:t>
              <w:tab/>
            </w:r>
            <w:r>
              <w:rPr>
                <w:rFonts w:ascii="Times New Roman" w:eastAsia="Times New Roman"/>
              </w:rPr>
              <w:t>3</w:t>
            </w:r>
          </w:hyperlink>
        </w:p>
        <w:p>
          <w:pPr>
            <w:pStyle w:val="TOC2"/>
            <w:tabs>
              <w:tab w:pos="1917" w:val="left" w:leader="none"/>
              <w:tab w:pos="8491" w:val="right" w:leader="dot"/>
            </w:tabs>
            <w:rPr>
              <w:rFonts w:ascii="Times New Roman" w:eastAsia="Times New Roman"/>
            </w:rPr>
          </w:pPr>
          <w:hyperlink w:history="true" w:anchor="_TOC_250013">
            <w:r>
              <w:rPr/>
              <w:t>第十一条</w:t>
              <w:tab/>
              <w:t>欠款的扣除</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12">
            <w:r>
              <w:rPr/>
              <w:t>第四部分</w:t>
              <w:tab/>
              <w:t>保险费的交纳</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11">
            <w:r>
              <w:rPr/>
              <w:t>第十二条</w:t>
              <w:tab/>
              <w:t>保险费的交纳</w:t>
              <w:tab/>
            </w:r>
            <w:r>
              <w:rPr>
                <w:rFonts w:ascii="Times New Roman" w:eastAsia="Times New Roman"/>
              </w:rPr>
              <w:t>3</w:t>
            </w:r>
          </w:hyperlink>
        </w:p>
        <w:p>
          <w:pPr>
            <w:pStyle w:val="TOC2"/>
            <w:tabs>
              <w:tab w:pos="1917" w:val="left" w:leader="none"/>
              <w:tab w:pos="8490" w:val="right" w:leader="dot"/>
            </w:tabs>
            <w:rPr>
              <w:rFonts w:ascii="Times New Roman" w:eastAsia="Times New Roman"/>
            </w:rPr>
          </w:pPr>
          <w:hyperlink w:history="true" w:anchor="_TOC_250010">
            <w:r>
              <w:rPr/>
              <w:t>第十三条</w:t>
              <w:tab/>
              <w:t>宽限期</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09">
            <w:r>
              <w:rPr/>
              <w:t>第十四条</w:t>
              <w:tab/>
              <w:t>保险费率调整</w:t>
              <w:tab/>
            </w:r>
            <w:r>
              <w:rPr>
                <w:rFonts w:ascii="Times New Roman" w:eastAsia="Times New Roman"/>
              </w:rPr>
              <w:t>4</w:t>
            </w:r>
          </w:hyperlink>
        </w:p>
        <w:p>
          <w:pPr>
            <w:pStyle w:val="TOC1"/>
            <w:tabs>
              <w:tab w:pos="1197" w:val="left" w:leader="none"/>
              <w:tab w:pos="8491" w:val="right" w:leader="dot"/>
            </w:tabs>
            <w:rPr>
              <w:rFonts w:ascii="Times New Roman" w:eastAsia="Times New Roman"/>
              <w:b/>
            </w:rPr>
          </w:pPr>
          <w:hyperlink w:history="true" w:anchor="_TOC_250008">
            <w:r>
              <w:rPr/>
              <w:t>第五部分</w:t>
              <w:tab/>
              <w:t>您所拥有的重要权益</w:t>
              <w:tab/>
            </w:r>
            <w:r>
              <w:rPr>
                <w:rFonts w:ascii="Times New Roman" w:eastAsia="Times New Roman"/>
                <w:b/>
              </w:rPr>
              <w:t>4</w:t>
            </w:r>
          </w:hyperlink>
        </w:p>
        <w:p>
          <w:pPr>
            <w:pStyle w:val="TOC2"/>
            <w:tabs>
              <w:tab w:pos="1917" w:val="left" w:leader="none"/>
              <w:tab w:pos="8490" w:val="right" w:leader="dot"/>
            </w:tabs>
            <w:rPr>
              <w:rFonts w:ascii="Times New Roman" w:eastAsia="Times New Roman"/>
            </w:rPr>
          </w:pPr>
          <w:hyperlink w:history="true" w:anchor="_TOC_250007">
            <w:r>
              <w:rPr/>
              <w:t>第十五条</w:t>
              <w:tab/>
              <w:t>自动垫交</w:t>
              <w:tab/>
            </w:r>
            <w:r>
              <w:rPr>
                <w:rFonts w:ascii="Times New Roman" w:eastAsia="Times New Roman"/>
              </w:rPr>
              <w:t>4</w:t>
            </w:r>
          </w:hyperlink>
        </w:p>
        <w:p>
          <w:pPr>
            <w:pStyle w:val="TOC2"/>
            <w:tabs>
              <w:tab w:pos="1917" w:val="left" w:leader="none"/>
              <w:tab w:pos="8490" w:val="right" w:leader="dot"/>
            </w:tabs>
            <w:rPr>
              <w:rFonts w:ascii="Times New Roman" w:eastAsia="Times New Roman"/>
            </w:rPr>
          </w:pPr>
          <w:hyperlink w:history="true" w:anchor="_TOC_250006">
            <w:r>
              <w:rPr/>
              <w:t>第十六条</w:t>
              <w:tab/>
              <w:t>保险单借款</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05">
            <w:r>
              <w:rPr/>
              <w:t>第十七条</w:t>
              <w:tab/>
              <w:t>合同效力的恢复</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04">
            <w:r>
              <w:rPr/>
              <w:t>第十八条</w:t>
              <w:tab/>
              <w:t>合同解除权</w:t>
              <w:tab/>
            </w:r>
            <w:r>
              <w:rPr>
                <w:rFonts w:ascii="Times New Roman" w:eastAsia="Times New Roman"/>
              </w:rPr>
              <w:t>5</w:t>
            </w:r>
          </w:hyperlink>
        </w:p>
        <w:p>
          <w:pPr>
            <w:pStyle w:val="TOC1"/>
            <w:tabs>
              <w:tab w:pos="1197" w:val="left" w:leader="none"/>
              <w:tab w:pos="8490" w:val="right" w:leader="dot"/>
            </w:tabs>
            <w:rPr>
              <w:rFonts w:ascii="Times New Roman" w:eastAsia="Times New Roman"/>
              <w:b/>
            </w:rPr>
          </w:pPr>
          <w:hyperlink w:history="true" w:anchor="_TOC_250003">
            <w:r>
              <w:rPr/>
              <w:t>第六部分</w:t>
              <w:tab/>
              <w:t>其他事项</w:t>
              <w:tab/>
            </w:r>
            <w:r>
              <w:rPr>
                <w:rFonts w:ascii="Times New Roman" w:eastAsia="Times New Roman"/>
                <w:b/>
              </w:rPr>
              <w:t>5</w:t>
            </w:r>
          </w:hyperlink>
        </w:p>
        <w:p>
          <w:pPr>
            <w:pStyle w:val="TOC2"/>
            <w:tabs>
              <w:tab w:pos="1917" w:val="left" w:leader="none"/>
              <w:tab w:pos="8491" w:val="right" w:leader="dot"/>
            </w:tabs>
            <w:rPr>
              <w:rFonts w:ascii="Times New Roman" w:eastAsia="Times New Roman"/>
            </w:rPr>
          </w:pPr>
          <w:hyperlink w:history="true" w:anchor="_TOC_250002">
            <w:r>
              <w:rPr/>
              <w:t>第十九条</w:t>
              <w:tab/>
              <w:t>适用主合同条款</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01">
            <w:r>
              <w:rPr/>
              <w:t>第二十条</w:t>
              <w:tab/>
              <w:t>就医须知</w:t>
              <w:tab/>
            </w:r>
            <w:r>
              <w:rPr>
                <w:rFonts w:ascii="Times New Roman" w:eastAsia="Times New Roman"/>
              </w:rPr>
              <w:t>5</w:t>
            </w:r>
          </w:hyperlink>
        </w:p>
        <w:p>
          <w:pPr>
            <w:pStyle w:val="TOC1"/>
            <w:tabs>
              <w:tab w:pos="1197" w:val="left" w:leader="none"/>
              <w:tab w:pos="8490" w:val="right" w:leader="dot"/>
            </w:tabs>
            <w:rPr>
              <w:rFonts w:ascii="Times New Roman" w:eastAsia="Times New Roman"/>
              <w:b/>
            </w:rPr>
          </w:pPr>
          <w:hyperlink w:history="true" w:anchor="_TOC_250000">
            <w:r>
              <w:rPr/>
              <w:t>第七部分</w:t>
              <w:tab/>
              <w:t>名词释义</w:t>
              <w:tab/>
            </w:r>
            <w:r>
              <w:rPr>
                <w:rFonts w:ascii="Times New Roman" w:eastAsia="Times New Roman"/>
                <w:b/>
              </w:rPr>
              <w:t>6</w:t>
            </w:r>
          </w:hyperlink>
        </w:p>
        <w:p>
          <w:pPr/>
          <w:r>
            <w:fldChar w:fldCharType="end"/>
          </w:r>
        </w:p>
      </w:sdtContent>
    </w:sdt>
    <w:p>
      <w:pPr>
        <w:spacing w:after="0"/>
        <w:sectPr>
          <w:pgSz w:w="11900" w:h="16840"/>
          <w:pgMar w:header="0" w:footer="998" w:top="1500" w:bottom="1180" w:left="1680" w:right="1620"/>
        </w:sectPr>
      </w:pPr>
    </w:p>
    <w:p>
      <w:pPr>
        <w:pStyle w:val="BodyText"/>
        <w:spacing w:before="7"/>
        <w:rPr>
          <w:rFonts w:ascii="Times New Roman"/>
          <w:b/>
          <w:sz w:val="35"/>
        </w:rPr>
      </w:pPr>
    </w:p>
    <w:p>
      <w:pPr>
        <w:pStyle w:val="Heading1"/>
        <w:tabs>
          <w:tab w:pos="3885" w:val="left" w:leader="none"/>
        </w:tabs>
      </w:pPr>
      <w:bookmarkStart w:name="_TOC_250026" w:id="1"/>
      <w:bookmarkEnd w:id="1"/>
      <w:r>
        <w:rPr/>
        <w:t>第一部分</w:t>
        <w:tab/>
        <w:t>您与我们的合同</w:t>
      </w:r>
    </w:p>
    <w:p>
      <w:pPr>
        <w:pStyle w:val="BodyText"/>
        <w:rPr>
          <w:rFonts w:ascii="黑体"/>
          <w:sz w:val="35"/>
        </w:rPr>
      </w:pPr>
    </w:p>
    <w:p>
      <w:pPr>
        <w:pStyle w:val="Heading2"/>
      </w:pPr>
      <w:bookmarkStart w:name="_TOC_250025" w:id="2"/>
      <w:bookmarkEnd w:id="2"/>
      <w:r>
        <w:rPr/>
        <w:t>第一条 附加保险合同的构成</w:t>
      </w:r>
    </w:p>
    <w:p>
      <w:pPr>
        <w:pStyle w:val="BodyText"/>
        <w:spacing w:before="5"/>
        <w:rPr>
          <w:sz w:val="29"/>
        </w:rPr>
      </w:pPr>
    </w:p>
    <w:p>
      <w:pPr>
        <w:pStyle w:val="BodyText"/>
        <w:spacing w:line="282" w:lineRule="exact" w:before="0"/>
        <w:ind w:left="537"/>
      </w:pPr>
      <w:r>
        <w:rPr/>
        <w:t>本附加保险合同（以下简称</w:t>
      </w:r>
      <w:r>
        <w:rPr>
          <w:rFonts w:ascii="Times New Roman" w:hAnsi="Times New Roman" w:eastAsia="Times New Roman"/>
        </w:rPr>
        <w:t>“</w:t>
      </w:r>
      <w:r>
        <w:rPr/>
        <w:t>本附加合同</w:t>
      </w:r>
      <w:r>
        <w:rPr>
          <w:rFonts w:ascii="Times New Roman" w:hAnsi="Times New Roman" w:eastAsia="Times New Roman"/>
        </w:rPr>
        <w:t>”</w:t>
      </w:r>
      <w:r>
        <w:rPr/>
        <w:t>）可附加于我们规定的主保险合同（以下简称</w:t>
      </w:r>
    </w:p>
    <w:p>
      <w:pPr>
        <w:pStyle w:val="BodyText"/>
        <w:spacing w:line="225" w:lineRule="auto" w:before="7"/>
        <w:ind w:left="117" w:right="96"/>
      </w:pPr>
      <w:r>
        <w:rPr>
          <w:rFonts w:ascii="Times New Roman" w:hAnsi="Times New Roman" w:eastAsia="Times New Roman"/>
        </w:rPr>
        <w:t>“</w:t>
      </w:r>
      <w:r>
        <w:rPr/>
        <w:t>主合同</w:t>
      </w:r>
      <w:r>
        <w:rPr>
          <w:rFonts w:ascii="Times New Roman" w:hAnsi="Times New Roman" w:eastAsia="Times New Roman"/>
        </w:rPr>
        <w:t>”</w:t>
      </w:r>
      <w:r>
        <w:rPr/>
        <w:t>）上。主合同所包含的条款、投保单及与本附加合同有关的其他投保文件、合法有效的声明、批注和其他书面协议，凡与本附加合同相关者，均为本附加合同的构成部分。</w:t>
      </w:r>
    </w:p>
    <w:p>
      <w:pPr>
        <w:pStyle w:val="BodyText"/>
        <w:spacing w:line="272" w:lineRule="exact" w:before="0"/>
        <w:ind w:left="537"/>
      </w:pPr>
      <w:r>
        <w:rPr/>
        <w:t>若主合同的条款与本附加合同冲突时，以本附加合同为准。</w:t>
      </w:r>
    </w:p>
    <w:p>
      <w:pPr>
        <w:pStyle w:val="BodyText"/>
        <w:spacing w:before="10"/>
        <w:rPr>
          <w:sz w:val="27"/>
        </w:rPr>
      </w:pPr>
    </w:p>
    <w:p>
      <w:pPr>
        <w:pStyle w:val="Heading2"/>
      </w:pPr>
      <w:bookmarkStart w:name="_TOC_250024" w:id="3"/>
      <w:bookmarkEnd w:id="3"/>
      <w:r>
        <w:rPr/>
        <w:t>第二条 受益人的指定与变更</w:t>
      </w:r>
    </w:p>
    <w:p>
      <w:pPr>
        <w:pStyle w:val="BodyText"/>
        <w:spacing w:before="6"/>
        <w:rPr>
          <w:sz w:val="29"/>
        </w:rPr>
      </w:pPr>
    </w:p>
    <w:p>
      <w:pPr>
        <w:pStyle w:val="BodyText"/>
        <w:spacing w:before="0"/>
        <w:ind w:left="537"/>
      </w:pPr>
      <w:r>
        <w:rPr/>
        <w:t>本附加合同的重大疾病保险金受益人应为被保险人本人。</w:t>
      </w:r>
    </w:p>
    <w:p>
      <w:pPr>
        <w:pStyle w:val="BodyText"/>
        <w:spacing w:before="9"/>
        <w:rPr>
          <w:sz w:val="27"/>
        </w:rPr>
      </w:pPr>
    </w:p>
    <w:p>
      <w:pPr>
        <w:pStyle w:val="Heading2"/>
      </w:pPr>
      <w:bookmarkStart w:name="_TOC_250023" w:id="4"/>
      <w:bookmarkEnd w:id="4"/>
      <w:r>
        <w:rPr/>
        <w:t>第三条 保险责任的开始</w:t>
      </w:r>
    </w:p>
    <w:p>
      <w:pPr>
        <w:pStyle w:val="BodyText"/>
        <w:spacing w:before="9"/>
        <w:rPr>
          <w:sz w:val="29"/>
        </w:rPr>
      </w:pPr>
    </w:p>
    <w:p>
      <w:pPr>
        <w:pStyle w:val="BodyText"/>
        <w:spacing w:line="237" w:lineRule="auto" w:before="0"/>
        <w:ind w:left="117" w:right="82" w:firstLine="420"/>
      </w:pPr>
      <w:r>
        <w:rPr/>
        <w:t>我们在收取首期保险费并同意承保后，将签发保险单或批注作为保险凭证。我们自本附加合同生效日零时起承担保险责任。</w:t>
      </w:r>
    </w:p>
    <w:p>
      <w:pPr>
        <w:pStyle w:val="BodyText"/>
        <w:spacing w:line="237" w:lineRule="auto" w:before="0"/>
        <w:ind w:left="117" w:right="82" w:firstLine="420"/>
      </w:pPr>
      <w:r>
        <w:rPr/>
        <w:t>如果本附加合同与主险合同同时投保，则本附加合同的生效日与主合同相同。如果您在主合同有效期内投保本附加合同，则本附加合同生效日以批注所载的日期为准。</w:t>
      </w:r>
    </w:p>
    <w:p>
      <w:pPr>
        <w:pStyle w:val="BodyText"/>
        <w:spacing w:line="237" w:lineRule="auto" w:before="0"/>
        <w:ind w:left="117" w:right="82" w:firstLine="420"/>
      </w:pPr>
      <w:r>
        <w:rPr/>
        <w:t>本附加合同的保险单周年日、保险单年度、保险费到期日均以本附加合同生效日为基础计算。</w:t>
      </w:r>
    </w:p>
    <w:p>
      <w:pPr>
        <w:pStyle w:val="BodyText"/>
        <w:spacing w:before="7"/>
        <w:rPr>
          <w:sz w:val="27"/>
        </w:rPr>
      </w:pPr>
    </w:p>
    <w:p>
      <w:pPr>
        <w:pStyle w:val="Heading2"/>
      </w:pPr>
      <w:bookmarkStart w:name="_TOC_250022" w:id="5"/>
      <w:bookmarkEnd w:id="5"/>
      <w:r>
        <w:rPr/>
        <w:t>第四条 保险期间</w:t>
      </w:r>
    </w:p>
    <w:p>
      <w:pPr>
        <w:pStyle w:val="BodyText"/>
        <w:spacing w:before="6"/>
        <w:rPr>
          <w:sz w:val="29"/>
        </w:rPr>
      </w:pPr>
    </w:p>
    <w:p>
      <w:pPr>
        <w:pStyle w:val="BodyText"/>
        <w:spacing w:before="0"/>
        <w:ind w:left="537"/>
      </w:pPr>
      <w:r>
        <w:rPr/>
        <w:t>本附加合同的保险期间由您与我们约定，并在保险单上载明。</w:t>
      </w:r>
    </w:p>
    <w:p>
      <w:pPr>
        <w:pStyle w:val="BodyText"/>
        <w:spacing w:before="8"/>
        <w:rPr>
          <w:sz w:val="27"/>
        </w:rPr>
      </w:pPr>
    </w:p>
    <w:p>
      <w:pPr>
        <w:pStyle w:val="Heading2"/>
        <w:spacing w:before="1"/>
      </w:pPr>
      <w:bookmarkStart w:name="_TOC_250021" w:id="6"/>
      <w:bookmarkEnd w:id="6"/>
      <w:r>
        <w:rPr/>
        <w:t>第五条 保险合同的中止</w:t>
      </w:r>
    </w:p>
    <w:p>
      <w:pPr>
        <w:pStyle w:val="BodyText"/>
        <w:spacing w:before="7"/>
        <w:rPr>
          <w:sz w:val="29"/>
        </w:rPr>
      </w:pPr>
    </w:p>
    <w:p>
      <w:pPr>
        <w:pStyle w:val="BodyText"/>
        <w:spacing w:line="264" w:lineRule="auto" w:before="0"/>
        <w:ind w:left="117" w:right="82" w:firstLine="420"/>
      </w:pPr>
      <w:r>
        <w:rPr/>
        <w:t>若本附加合同因其他条款所列情况而导致效力中止，在效力中止期间，我们不承担保险责任。</w:t>
      </w:r>
    </w:p>
    <w:p>
      <w:pPr>
        <w:pStyle w:val="BodyText"/>
        <w:rPr>
          <w:sz w:val="28"/>
        </w:rPr>
      </w:pPr>
    </w:p>
    <w:p>
      <w:pPr>
        <w:pStyle w:val="Heading2"/>
      </w:pPr>
      <w:bookmarkStart w:name="_TOC_250020" w:id="7"/>
      <w:bookmarkEnd w:id="7"/>
      <w:r>
        <w:rPr/>
        <w:t>第六条 保险合同的终止</w:t>
      </w:r>
    </w:p>
    <w:p>
      <w:pPr>
        <w:pStyle w:val="BodyText"/>
        <w:spacing w:before="11"/>
        <w:rPr>
          <w:sz w:val="29"/>
        </w:rPr>
      </w:pPr>
    </w:p>
    <w:p>
      <w:pPr>
        <w:pStyle w:val="BodyText"/>
        <w:spacing w:before="0"/>
        <w:ind w:left="537"/>
      </w:pPr>
      <w:r>
        <w:rPr/>
        <w:t>发生下列情况之一时，本附加合同终止：</w:t>
      </w:r>
    </w:p>
    <w:p>
      <w:pPr>
        <w:pStyle w:val="ListParagraph"/>
        <w:numPr>
          <w:ilvl w:val="0"/>
          <w:numId w:val="1"/>
        </w:numPr>
        <w:tabs>
          <w:tab w:pos="957" w:val="left" w:leader="none"/>
          <w:tab w:pos="958" w:val="left" w:leader="none"/>
        </w:tabs>
        <w:spacing w:line="240" w:lineRule="auto" w:before="36" w:after="0"/>
        <w:ind w:left="957" w:right="0" w:hanging="420"/>
        <w:jc w:val="left"/>
        <w:rPr>
          <w:sz w:val="21"/>
        </w:rPr>
      </w:pPr>
      <w:r>
        <w:rPr>
          <w:sz w:val="21"/>
        </w:rPr>
        <w:t>您申请解除本附加合同；</w:t>
      </w:r>
    </w:p>
    <w:p>
      <w:pPr>
        <w:pStyle w:val="ListParagraph"/>
        <w:numPr>
          <w:ilvl w:val="0"/>
          <w:numId w:val="1"/>
        </w:numPr>
        <w:tabs>
          <w:tab w:pos="957" w:val="left" w:leader="none"/>
          <w:tab w:pos="958" w:val="left" w:leader="none"/>
        </w:tabs>
        <w:spacing w:line="256" w:lineRule="auto" w:before="20" w:after="0"/>
        <w:ind w:left="957" w:right="114"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被保险人患本附加合同约定的重大疾病后；</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本附加合同满期；</w:t>
      </w:r>
    </w:p>
    <w:p>
      <w:pPr>
        <w:spacing w:after="0" w:line="240" w:lineRule="auto"/>
        <w:jc w:val="left"/>
        <w:rPr>
          <w:sz w:val="21"/>
        </w:rPr>
        <w:sectPr>
          <w:headerReference w:type="default" r:id="rId6"/>
          <w:footerReference w:type="default" r:id="rId7"/>
          <w:pgSz w:w="11900" w:h="16840"/>
          <w:pgMar w:header="896" w:footer="1008" w:top="1280" w:bottom="1200" w:left="1680" w:right="1600"/>
          <w:pgNumType w:start="1"/>
        </w:sectPr>
      </w:pPr>
    </w:p>
    <w:p>
      <w:pPr>
        <w:pStyle w:val="ListParagraph"/>
        <w:numPr>
          <w:ilvl w:val="0"/>
          <w:numId w:val="1"/>
        </w:numPr>
        <w:tabs>
          <w:tab w:pos="957" w:val="left" w:leader="none"/>
          <w:tab w:pos="958" w:val="left" w:leader="none"/>
        </w:tabs>
        <w:spacing w:line="240" w:lineRule="auto" w:before="119"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主合同减额交清；</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主合同终止。</w:t>
      </w:r>
    </w:p>
    <w:p>
      <w:pPr>
        <w:pStyle w:val="BodyText"/>
        <w:spacing w:before="0"/>
        <w:rPr>
          <w:sz w:val="22"/>
        </w:rPr>
      </w:pPr>
    </w:p>
    <w:p>
      <w:pPr>
        <w:pStyle w:val="BodyText"/>
        <w:spacing w:before="8"/>
        <w:rPr>
          <w:sz w:val="25"/>
        </w:rPr>
      </w:pPr>
    </w:p>
    <w:p>
      <w:pPr>
        <w:pStyle w:val="Heading1"/>
        <w:tabs>
          <w:tab w:pos="3885" w:val="left" w:leader="none"/>
        </w:tabs>
      </w:pPr>
      <w:bookmarkStart w:name="_TOC_250019" w:id="8"/>
      <w:bookmarkEnd w:id="8"/>
      <w:r>
        <w:rPr/>
        <w:t>第二部分</w:t>
        <w:tab/>
        <w:t>我们提供的保障</w:t>
      </w:r>
    </w:p>
    <w:p>
      <w:pPr>
        <w:pStyle w:val="BodyText"/>
        <w:rPr>
          <w:rFonts w:ascii="黑体"/>
          <w:sz w:val="35"/>
        </w:rPr>
      </w:pPr>
    </w:p>
    <w:p>
      <w:pPr>
        <w:pStyle w:val="Heading2"/>
        <w:tabs>
          <w:tab w:pos="1617" w:val="left" w:leader="none"/>
        </w:tabs>
      </w:pPr>
      <w:bookmarkStart w:name="_TOC_250018" w:id="9"/>
      <w:bookmarkEnd w:id="9"/>
      <w:r>
        <w:rPr/>
        <w:t>第七条</w:t>
        <w:tab/>
        <w:t>保险责任</w:t>
      </w:r>
    </w:p>
    <w:p>
      <w:pPr>
        <w:pStyle w:val="BodyText"/>
        <w:spacing w:before="5"/>
        <w:rPr>
          <w:sz w:val="29"/>
        </w:rPr>
      </w:pPr>
    </w:p>
    <w:p>
      <w:pPr>
        <w:pStyle w:val="BodyText"/>
        <w:spacing w:line="256" w:lineRule="auto" w:before="1"/>
        <w:ind w:left="537" w:right="3460"/>
      </w:pPr>
      <w:r>
        <w:rPr/>
        <w:t>在本附加合同有效期内，我们承担下列保险责任： 一、重大疾病保险金</w:t>
      </w:r>
    </w:p>
    <w:p>
      <w:pPr>
        <w:pStyle w:val="BodyText"/>
        <w:spacing w:line="273" w:lineRule="auto" w:before="22"/>
        <w:ind w:left="117" w:right="114" w:firstLine="420"/>
        <w:jc w:val="both"/>
      </w:pPr>
      <w:r>
        <w:rPr>
          <w:spacing w:val="-1"/>
        </w:rPr>
        <w:t>被保险人经诊断于本附加合同生效</w:t>
      </w:r>
      <w:r>
        <w:rPr/>
        <w:t>（或复效</w:t>
      </w:r>
      <w:r>
        <w:rPr>
          <w:spacing w:val="-9"/>
        </w:rPr>
        <w:t>）</w:t>
      </w:r>
      <w:r>
        <w:rPr/>
        <w:t>一百八十天后初次患有本附加合同约定的</w:t>
      </w:r>
      <w:r>
        <w:rPr>
          <w:spacing w:val="-2"/>
        </w:rPr>
        <w:t>一项或多项重大疾病，并且被保险人仍生存时，我们将按本附加合同的保险金额向被保险人给付重大疾病保险金，本附加合同终止。</w:t>
      </w:r>
    </w:p>
    <w:p>
      <w:pPr>
        <w:pStyle w:val="BodyText"/>
        <w:spacing w:line="273" w:lineRule="auto" w:before="7"/>
        <w:ind w:left="117" w:right="114" w:firstLine="420"/>
        <w:jc w:val="both"/>
      </w:pPr>
      <w:r>
        <w:rPr>
          <w:spacing w:val="-3"/>
        </w:rPr>
        <w:t>我们给付“重大疾病保险金”后，主合同的保险金额按给付的“重大疾病保险金”等额</w:t>
      </w:r>
      <w:r>
        <w:rPr>
          <w:spacing w:val="-5"/>
        </w:rPr>
        <w:t>减少。主合同约定的各项保险责任、保险单上载明的现金价值及续期保险费均按减少后的保险金额计算。</w:t>
      </w:r>
    </w:p>
    <w:p>
      <w:pPr>
        <w:pStyle w:val="BodyText"/>
        <w:spacing w:before="7"/>
        <w:ind w:left="537"/>
      </w:pPr>
      <w:r>
        <w:rPr/>
        <w:t>二、保险费返还</w:t>
      </w:r>
    </w:p>
    <w:p>
      <w:pPr>
        <w:pStyle w:val="BodyText"/>
        <w:spacing w:line="273" w:lineRule="auto" w:before="36"/>
        <w:ind w:left="117" w:right="114" w:firstLine="420"/>
        <w:jc w:val="both"/>
      </w:pPr>
      <w:r>
        <w:rPr>
          <w:spacing w:val="-1"/>
        </w:rPr>
        <w:t>被保险人经诊断于本附加合同生效</w:t>
      </w:r>
      <w:r>
        <w:rPr/>
        <w:t>（或复效</w:t>
      </w:r>
      <w:r>
        <w:rPr>
          <w:spacing w:val="-9"/>
        </w:rPr>
        <w:t>）</w:t>
      </w:r>
      <w:r>
        <w:rPr/>
        <w:t>一百八十天内初次患有本附加合同约定的</w:t>
      </w:r>
      <w:r>
        <w:rPr>
          <w:spacing w:val="-2"/>
        </w:rPr>
        <w:t>一项或多项重大疾病，我们向您无息返还已交保险费</w:t>
      </w:r>
      <w:r>
        <w:rPr/>
        <w:t>（复效情况下返还最后一次申请复效时所交保险费</w:t>
      </w:r>
      <w:r>
        <w:rPr>
          <w:spacing w:val="-106"/>
        </w:rPr>
        <w:t>）</w:t>
      </w:r>
      <w:r>
        <w:rPr/>
        <w:t>，本附加合同终止。</w:t>
      </w:r>
    </w:p>
    <w:p>
      <w:pPr>
        <w:pStyle w:val="BodyText"/>
        <w:spacing w:before="11"/>
        <w:rPr>
          <w:sz w:val="26"/>
        </w:rPr>
      </w:pPr>
    </w:p>
    <w:p>
      <w:pPr>
        <w:pStyle w:val="Heading2"/>
        <w:tabs>
          <w:tab w:pos="1617" w:val="left" w:leader="none"/>
        </w:tabs>
        <w:spacing w:before="1"/>
      </w:pPr>
      <w:bookmarkStart w:name="_TOC_250017" w:id="10"/>
      <w:bookmarkEnd w:id="10"/>
      <w:r>
        <w:rPr/>
        <w:t>第八条</w:t>
        <w:tab/>
        <w:t>责任免除</w:t>
      </w:r>
    </w:p>
    <w:p>
      <w:pPr>
        <w:pStyle w:val="BodyText"/>
        <w:spacing w:before="1"/>
        <w:rPr>
          <w:sz w:val="31"/>
        </w:rPr>
      </w:pPr>
    </w:p>
    <w:p>
      <w:pPr>
        <w:pStyle w:val="BodyText"/>
        <w:spacing w:line="273" w:lineRule="auto" w:before="1"/>
        <w:ind w:left="117" w:right="68" w:firstLine="420"/>
        <w:rPr>
          <w:rFonts w:ascii="黑体" w:eastAsia="黑体" w:hint="eastAsia"/>
        </w:rPr>
      </w:pPr>
      <w:r>
        <w:rPr>
          <w:rFonts w:ascii="黑体" w:eastAsia="黑体" w:hint="eastAsia"/>
        </w:rPr>
        <w:t>因下列情形之一，导致被保险人发生疾病、达到疾病状态或进行手术的，我们不承担保险责任：</w:t>
      </w:r>
    </w:p>
    <w:p>
      <w:pPr>
        <w:pStyle w:val="ListParagraph"/>
        <w:numPr>
          <w:ilvl w:val="0"/>
          <w:numId w:val="2"/>
        </w:numPr>
        <w:tabs>
          <w:tab w:pos="957" w:val="left" w:leader="none"/>
          <w:tab w:pos="958" w:val="left" w:leader="none"/>
        </w:tabs>
        <w:spacing w:line="240" w:lineRule="auto" w:before="8"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您、受益人对被保险人的故意杀害、故意伤害；</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被保险人故意自伤、故意犯罪或拒捕；</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被保险人服用、吸食或注射毒品；</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被保险人酒后驾驶、无合法有效驾驶证驾驶，或驾驶无有效行驶证的机动车；</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被保险人感染艾滋病病毒或患艾滋病；</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战争、军事冲突、暴乱或武装叛乱；</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核爆炸、核辐射或核污染；</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遗传性疾病</w:t>
      </w:r>
      <w:r>
        <w:rPr>
          <w:rFonts w:ascii="Arial" w:eastAsia="Arial"/>
          <w:position w:val="11"/>
          <w:sz w:val="11"/>
        </w:rPr>
        <w:t>1</w:t>
      </w:r>
      <w:r>
        <w:rPr>
          <w:rFonts w:ascii="黑体" w:eastAsia="黑体" w:hint="eastAsia"/>
          <w:sz w:val="21"/>
        </w:rPr>
        <w:t>，先天性畸形、变形或染色体异常</w:t>
      </w:r>
      <w:r>
        <w:rPr>
          <w:rFonts w:ascii="Arial" w:eastAsia="Arial"/>
          <w:position w:val="11"/>
          <w:sz w:val="11"/>
        </w:rPr>
        <w:t>2</w:t>
      </w:r>
      <w:r>
        <w:rPr>
          <w:rFonts w:ascii="Arial" w:eastAsia="Arial"/>
          <w:spacing w:val="10"/>
          <w:position w:val="11"/>
          <w:sz w:val="11"/>
        </w:rPr>
        <w:t> </w:t>
      </w:r>
      <w:r>
        <w:rPr>
          <w:rFonts w:ascii="黑体" w:eastAsia="黑体" w:hint="eastAsia"/>
          <w:sz w:val="21"/>
        </w:rPr>
        <w:t>。</w:t>
      </w:r>
    </w:p>
    <w:p>
      <w:pPr>
        <w:pStyle w:val="BodyText"/>
        <w:spacing w:line="273" w:lineRule="auto" w:before="22"/>
        <w:ind w:left="117" w:right="75" w:firstLine="420"/>
        <w:rPr>
          <w:rFonts w:ascii="黑体" w:eastAsia="黑体" w:hint="eastAsia"/>
        </w:rPr>
      </w:pPr>
      <w:r>
        <w:rPr>
          <w:rFonts w:ascii="黑体" w:eastAsia="黑体" w:hint="eastAsia"/>
        </w:rPr>
        <w:t>发生上述情形之一，本附加合同终止。除法律及本附加合同另有规定外，我们将按【合同的解除权】第二款处理。</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r>
        <w:rPr/>
        <w:pict>
          <v:line style="position:absolute;mso-position-horizontal-relative:page;mso-position-vertical-relative:paragraph;z-index:1072;mso-wrap-distance-left:0;mso-wrap-distance-right:0" from="89.879997pt,15.372578pt" to="233.879997pt,15.372578pt" stroked="true" strokeweight=".54pt" strokecolor="#000000">
            <v:stroke dashstyle="solid"/>
            <w10:wrap type="topAndBottom"/>
          </v:line>
        </w:pict>
      </w:r>
    </w:p>
    <w:p>
      <w:pPr>
        <w:spacing w:line="237" w:lineRule="auto" w:before="32"/>
        <w:ind w:left="117" w:right="113" w:hanging="1"/>
        <w:jc w:val="left"/>
        <w:rPr>
          <w:sz w:val="18"/>
        </w:rPr>
      </w:pPr>
      <w:r>
        <w:rPr>
          <w:rFonts w:ascii="Courier New" w:eastAsia="Courier New"/>
          <w:position w:val="9"/>
          <w:sz w:val="9"/>
        </w:rPr>
        <w:t>1 </w:t>
      </w:r>
      <w:r>
        <w:rPr>
          <w:sz w:val="18"/>
        </w:rPr>
        <w:t>遗传性疾病：指生殖细胞或受精卵的遗传物质（染色体和基因）发生突变或畸变所引起的疾病，通常具有由亲代传至后代的垂直传递的特征。</w:t>
      </w:r>
    </w:p>
    <w:p>
      <w:pPr>
        <w:spacing w:line="237" w:lineRule="auto" w:before="0"/>
        <w:ind w:left="117" w:right="114" w:hanging="1"/>
        <w:jc w:val="left"/>
        <w:rPr>
          <w:sz w:val="18"/>
        </w:rPr>
      </w:pPr>
      <w:r>
        <w:rPr>
          <w:rFonts w:ascii="Courier New" w:eastAsia="Courier New"/>
          <w:position w:val="9"/>
          <w:sz w:val="9"/>
        </w:rPr>
        <w:t>2 </w:t>
      </w:r>
      <w:r>
        <w:rPr>
          <w:spacing w:val="-5"/>
          <w:sz w:val="18"/>
        </w:rPr>
        <w:t>先天性畸形、变形或染色体异常：指被保险人出生时就具有的畸形、变形或染色体异常。先天性畸形、变</w:t>
      </w:r>
      <w:r>
        <w:rPr>
          <w:spacing w:val="-8"/>
          <w:w w:val="95"/>
          <w:sz w:val="18"/>
        </w:rPr>
        <w:t>形和染色体异常依照世界卫生组织《疾病和有关健康问题的国际统计分类》</w:t>
      </w:r>
      <w:r>
        <w:rPr>
          <w:w w:val="95"/>
          <w:sz w:val="18"/>
        </w:rPr>
        <w:t>（</w:t>
      </w:r>
      <w:r>
        <w:rPr>
          <w:rFonts w:ascii="Courier New" w:eastAsia="Courier New"/>
          <w:w w:val="95"/>
          <w:sz w:val="18"/>
        </w:rPr>
        <w:t>ICD-10</w:t>
      </w:r>
      <w:r>
        <w:rPr>
          <w:w w:val="95"/>
          <w:sz w:val="18"/>
        </w:rPr>
        <w:t>）确定。</w:t>
      </w:r>
    </w:p>
    <w:p>
      <w:pPr>
        <w:spacing w:after="0" w:line="237" w:lineRule="auto"/>
        <w:jc w:val="left"/>
        <w:rPr>
          <w:sz w:val="18"/>
        </w:rPr>
        <w:sectPr>
          <w:pgSz w:w="11900" w:h="16840"/>
          <w:pgMar w:header="896" w:footer="1008" w:top="1280" w:bottom="1200" w:left="1680" w:right="1600"/>
        </w:sectPr>
      </w:pPr>
    </w:p>
    <w:p>
      <w:pPr>
        <w:pStyle w:val="BodyText"/>
        <w:spacing w:before="1"/>
        <w:rPr>
          <w:sz w:val="16"/>
        </w:rPr>
      </w:pPr>
    </w:p>
    <w:p>
      <w:pPr>
        <w:pStyle w:val="Heading2"/>
        <w:tabs>
          <w:tab w:pos="1617" w:val="left" w:leader="none"/>
        </w:tabs>
        <w:spacing w:before="7"/>
      </w:pPr>
      <w:bookmarkStart w:name="_TOC_250016" w:id="11"/>
      <w:bookmarkEnd w:id="11"/>
      <w:r>
        <w:rPr/>
        <w:t>第九条</w:t>
        <w:tab/>
        <w:t>保险金额及其变更</w:t>
      </w:r>
    </w:p>
    <w:p>
      <w:pPr>
        <w:pStyle w:val="BodyText"/>
        <w:spacing w:before="0"/>
        <w:rPr>
          <w:sz w:val="31"/>
        </w:rPr>
      </w:pPr>
    </w:p>
    <w:p>
      <w:pPr>
        <w:pStyle w:val="BodyText"/>
        <w:spacing w:before="1"/>
        <w:ind w:left="529"/>
      </w:pPr>
      <w:r>
        <w:rPr/>
        <w:t>本附加合同所称保险金额由您和我们约定，并在保险单或批注上载明。</w:t>
      </w:r>
    </w:p>
    <w:p>
      <w:pPr>
        <w:pStyle w:val="BodyText"/>
        <w:spacing w:line="273" w:lineRule="auto" w:before="37"/>
        <w:ind w:left="109" w:right="115" w:firstLine="420"/>
        <w:jc w:val="both"/>
      </w:pPr>
      <w:r>
        <w:rPr>
          <w:spacing w:val="-2"/>
        </w:rPr>
        <w:t>在本附加合同有效期内，您可以依我们的规定申请减少保险金额，本附加合同的保险金</w:t>
      </w:r>
      <w:r>
        <w:rPr>
          <w:spacing w:val="-4"/>
        </w:rPr>
        <w:t>额以减少后的金额为准。减少后的保险金额不得低于申请减额时我们的最低承保金额，其减少的部分视为您解除合同，我们将退还给您减少部分所对应的当时的现金价值。</w:t>
      </w:r>
    </w:p>
    <w:p>
      <w:pPr>
        <w:pStyle w:val="BodyText"/>
        <w:spacing w:before="8"/>
      </w:pPr>
    </w:p>
    <w:p>
      <w:pPr>
        <w:pStyle w:val="Heading1"/>
        <w:tabs>
          <w:tab w:pos="3885" w:val="left" w:leader="none"/>
        </w:tabs>
      </w:pPr>
      <w:bookmarkStart w:name="_TOC_250015" w:id="12"/>
      <w:bookmarkEnd w:id="12"/>
      <w:r>
        <w:rPr/>
        <w:t>第三部分</w:t>
        <w:tab/>
        <w:t>如何领取保险金</w:t>
      </w:r>
    </w:p>
    <w:p>
      <w:pPr>
        <w:pStyle w:val="BodyText"/>
        <w:rPr>
          <w:rFonts w:ascii="黑体"/>
          <w:sz w:val="35"/>
        </w:rPr>
      </w:pPr>
    </w:p>
    <w:p>
      <w:pPr>
        <w:pStyle w:val="Heading2"/>
        <w:tabs>
          <w:tab w:pos="1617" w:val="left" w:leader="none"/>
        </w:tabs>
      </w:pPr>
      <w:bookmarkStart w:name="_TOC_250014" w:id="13"/>
      <w:bookmarkEnd w:id="13"/>
      <w:r>
        <w:rPr/>
        <w:t>第十条</w:t>
        <w:tab/>
        <w:t>保险金的申领</w:t>
      </w:r>
    </w:p>
    <w:p>
      <w:pPr>
        <w:pStyle w:val="BodyText"/>
        <w:spacing w:before="0"/>
        <w:rPr>
          <w:sz w:val="31"/>
        </w:rPr>
      </w:pPr>
    </w:p>
    <w:p>
      <w:pPr>
        <w:pStyle w:val="BodyText"/>
        <w:spacing w:line="273" w:lineRule="auto" w:before="0"/>
        <w:ind w:left="117" w:right="116" w:firstLine="420"/>
        <w:jc w:val="both"/>
      </w:pPr>
      <w:r>
        <w:rPr>
          <w:spacing w:val="-1"/>
        </w:rPr>
        <w:t>若被保险人初次患重大疾病且申请理赔时仍生存，需由被保险人填写保险金给付申请书并凭下列证明材料向我们申请理赔：</w:t>
      </w:r>
    </w:p>
    <w:p>
      <w:pPr>
        <w:pStyle w:val="ListParagraph"/>
        <w:numPr>
          <w:ilvl w:val="0"/>
          <w:numId w:val="3"/>
        </w:numPr>
        <w:tabs>
          <w:tab w:pos="1377" w:val="left" w:leader="none"/>
          <w:tab w:pos="1378" w:val="left" w:leader="none"/>
        </w:tabs>
        <w:spacing w:line="240" w:lineRule="auto" w:before="7" w:after="0"/>
        <w:ind w:left="957" w:right="0" w:hanging="420"/>
        <w:jc w:val="left"/>
        <w:rPr>
          <w:sz w:val="21"/>
        </w:rPr>
      </w:pPr>
      <w:r>
        <w:rPr>
          <w:sz w:val="21"/>
        </w:rPr>
        <w:t>本附加合同；</w:t>
      </w:r>
    </w:p>
    <w:p>
      <w:pPr>
        <w:pStyle w:val="ListParagraph"/>
        <w:numPr>
          <w:ilvl w:val="0"/>
          <w:numId w:val="3"/>
        </w:numPr>
        <w:tabs>
          <w:tab w:pos="1377" w:val="left" w:leader="none"/>
          <w:tab w:pos="1378" w:val="left" w:leader="none"/>
        </w:tabs>
        <w:spacing w:line="240" w:lineRule="auto" w:before="21" w:after="0"/>
        <w:ind w:left="957" w:right="0" w:hanging="420"/>
        <w:jc w:val="left"/>
        <w:rPr>
          <w:sz w:val="21"/>
        </w:rPr>
      </w:pPr>
      <w:r>
        <w:rPr>
          <w:sz w:val="21"/>
        </w:rPr>
        <w:t>被保险人的身份证明；</w:t>
      </w:r>
    </w:p>
    <w:p>
      <w:pPr>
        <w:pStyle w:val="ListParagraph"/>
        <w:numPr>
          <w:ilvl w:val="0"/>
          <w:numId w:val="3"/>
        </w:numPr>
        <w:tabs>
          <w:tab w:pos="1377" w:val="left" w:leader="none"/>
          <w:tab w:pos="1378" w:val="left" w:leader="none"/>
        </w:tabs>
        <w:spacing w:line="256" w:lineRule="auto" w:before="21" w:after="0"/>
        <w:ind w:left="957" w:right="116" w:hanging="420"/>
        <w:jc w:val="left"/>
        <w:rPr>
          <w:sz w:val="21"/>
        </w:rPr>
      </w:pPr>
      <w:r>
        <w:rPr>
          <w:spacing w:val="-1"/>
          <w:sz w:val="21"/>
        </w:rPr>
        <w:t>定点医疗机构的专科医生出具的附有病理显微镜检查、血液检验及其他科学方法检验报告的被保险人疾病诊断证明；</w:t>
      </w:r>
    </w:p>
    <w:p>
      <w:pPr>
        <w:pStyle w:val="ListParagraph"/>
        <w:numPr>
          <w:ilvl w:val="0"/>
          <w:numId w:val="3"/>
        </w:numPr>
        <w:tabs>
          <w:tab w:pos="1377" w:val="left" w:leader="none"/>
          <w:tab w:pos="1378" w:val="left" w:leader="none"/>
        </w:tabs>
        <w:spacing w:line="240" w:lineRule="auto" w:before="22" w:after="0"/>
        <w:ind w:left="957" w:right="0" w:hanging="420"/>
        <w:jc w:val="left"/>
        <w:rPr>
          <w:sz w:val="21"/>
        </w:rPr>
      </w:pPr>
      <w:r>
        <w:rPr>
          <w:sz w:val="21"/>
        </w:rPr>
        <w:t>我们所需的并且权利索赔人能够提供的与事故有关的其他材料。</w:t>
      </w:r>
    </w:p>
    <w:p>
      <w:pPr>
        <w:pStyle w:val="BodyText"/>
        <w:spacing w:before="5"/>
        <w:rPr>
          <w:sz w:val="25"/>
        </w:rPr>
      </w:pPr>
    </w:p>
    <w:p>
      <w:pPr>
        <w:pStyle w:val="BodyText"/>
        <w:spacing w:line="273" w:lineRule="auto" w:before="1"/>
        <w:ind w:left="117" w:right="100" w:firstLine="420"/>
        <w:jc w:val="both"/>
      </w:pPr>
      <w:r>
        <w:rPr/>
        <w:t>我们收到申请人保险金给付申请书及本条所列的证明材料后，对确属保险责任范围的， 在与申请人达成有关给付保险金数额的协议后十天内，履行给付保险金责任；对不属于保险责任范围的，向申请人发出拒绝给付保险金通知书。</w:t>
      </w:r>
    </w:p>
    <w:p>
      <w:pPr>
        <w:pStyle w:val="BodyText"/>
        <w:spacing w:line="237" w:lineRule="auto" w:before="0"/>
        <w:ind w:left="117" w:right="141" w:firstLine="420"/>
        <w:jc w:val="both"/>
      </w:pPr>
      <w:r>
        <w:rPr>
          <w:spacing w:val="-2"/>
        </w:rPr>
        <w:t>我们自收到申请人的保险金给付申请书及本条所列的证明材料之日起六十天内，对属于</w:t>
      </w:r>
      <w:r>
        <w:rPr>
          <w:spacing w:val="-4"/>
        </w:rPr>
        <w:t>保险责任而给付保险金的数额暂时不能确定的，根据已有的证明材料，按可以确定的最低数额先予支付，我们最终确定给付保险金数额后，再支付相应的差额。</w:t>
      </w:r>
    </w:p>
    <w:p>
      <w:pPr>
        <w:pStyle w:val="BodyText"/>
        <w:spacing w:before="0"/>
        <w:rPr>
          <w:sz w:val="20"/>
        </w:rPr>
      </w:pPr>
    </w:p>
    <w:p>
      <w:pPr>
        <w:pStyle w:val="BodyText"/>
        <w:spacing w:before="12"/>
        <w:rPr>
          <w:sz w:val="26"/>
        </w:rPr>
      </w:pPr>
    </w:p>
    <w:p>
      <w:pPr>
        <w:pStyle w:val="Heading2"/>
        <w:tabs>
          <w:tab w:pos="1977" w:val="left" w:leader="none"/>
        </w:tabs>
      </w:pPr>
      <w:bookmarkStart w:name="_TOC_250013" w:id="14"/>
      <w:bookmarkEnd w:id="14"/>
      <w:r>
        <w:rPr/>
        <w:t>第十一条</w:t>
        <w:tab/>
        <w:t>欠款的扣除</w:t>
      </w:r>
    </w:p>
    <w:p>
      <w:pPr>
        <w:pStyle w:val="BodyText"/>
        <w:spacing w:before="7"/>
        <w:rPr>
          <w:sz w:val="29"/>
        </w:rPr>
      </w:pPr>
    </w:p>
    <w:p>
      <w:pPr>
        <w:pStyle w:val="BodyText"/>
        <w:spacing w:line="273" w:lineRule="auto" w:before="0"/>
        <w:ind w:left="117" w:right="138" w:firstLine="420"/>
        <w:jc w:val="both"/>
      </w:pPr>
      <w:r>
        <w:rPr>
          <w:spacing w:val="-3"/>
        </w:rPr>
        <w:t>我们给付各项保险金或退还现金价值时，如果您有尚未偿还的保险单借款或尚未交纳的</w:t>
      </w:r>
      <w:r>
        <w:rPr>
          <w:spacing w:val="0"/>
        </w:rPr>
        <w:t>保险费</w:t>
      </w:r>
      <w:r>
        <w:rPr>
          <w:spacing w:val="1"/>
        </w:rPr>
        <w:t>（</w:t>
      </w:r>
      <w:r>
        <w:rPr/>
        <w:t>包括主合同、本附加合同自动垫交的保险费</w:t>
      </w:r>
      <w:r>
        <w:rPr>
          <w:spacing w:val="-104"/>
        </w:rPr>
        <w:t>）</w:t>
      </w:r>
      <w:r>
        <w:rPr/>
        <w:t>，我们将在扣除上述欠款及利息后再给付。</w:t>
      </w:r>
    </w:p>
    <w:p>
      <w:pPr>
        <w:pStyle w:val="BodyText"/>
        <w:spacing w:before="0"/>
        <w:rPr>
          <w:sz w:val="23"/>
        </w:rPr>
      </w:pPr>
    </w:p>
    <w:p>
      <w:pPr>
        <w:pStyle w:val="Heading1"/>
        <w:tabs>
          <w:tab w:pos="4066" w:val="left" w:leader="none"/>
        </w:tabs>
        <w:ind w:left="1780"/>
      </w:pPr>
      <w:bookmarkStart w:name="_TOC_250012" w:id="15"/>
      <w:bookmarkEnd w:id="15"/>
      <w:r>
        <w:rPr/>
        <w:t>第四部分</w:t>
        <w:tab/>
        <w:t>保险费的交纳</w:t>
      </w:r>
    </w:p>
    <w:p>
      <w:pPr>
        <w:pStyle w:val="BodyText"/>
        <w:rPr>
          <w:rFonts w:ascii="黑体"/>
          <w:sz w:val="35"/>
        </w:rPr>
      </w:pPr>
    </w:p>
    <w:p>
      <w:pPr>
        <w:pStyle w:val="Heading2"/>
        <w:tabs>
          <w:tab w:pos="1977" w:val="left" w:leader="none"/>
        </w:tabs>
      </w:pPr>
      <w:bookmarkStart w:name="_TOC_250011" w:id="16"/>
      <w:bookmarkEnd w:id="16"/>
      <w:r>
        <w:rPr/>
        <w:t>第十二条</w:t>
        <w:tab/>
        <w:t>保险费的交纳</w:t>
      </w:r>
    </w:p>
    <w:p>
      <w:pPr>
        <w:pStyle w:val="BodyText"/>
        <w:spacing w:before="1"/>
        <w:rPr>
          <w:sz w:val="31"/>
        </w:rPr>
      </w:pPr>
    </w:p>
    <w:p>
      <w:pPr>
        <w:pStyle w:val="BodyText"/>
        <w:spacing w:line="273" w:lineRule="auto" w:before="0"/>
        <w:ind w:left="117" w:right="114" w:firstLine="420"/>
        <w:jc w:val="both"/>
      </w:pPr>
      <w:r>
        <w:rPr>
          <w:spacing w:val="-2"/>
        </w:rPr>
        <w:t>本附加合同的交费方式由您与我们约定，并在保险单上载明。如果您选择分期交纳保险费，在交纳首期保险费以后，您应按照约定在每个保险费到期日向我们交纳续期保险费。</w:t>
      </w:r>
    </w:p>
    <w:p>
      <w:pPr>
        <w:spacing w:after="0" w:line="273" w:lineRule="auto"/>
        <w:jc w:val="both"/>
        <w:sectPr>
          <w:pgSz w:w="11900" w:h="16840"/>
          <w:pgMar w:header="896" w:footer="1008" w:top="1280" w:bottom="1200" w:left="1680" w:right="1600"/>
        </w:sectPr>
      </w:pPr>
    </w:p>
    <w:p>
      <w:pPr>
        <w:pStyle w:val="BodyText"/>
        <w:spacing w:before="1"/>
        <w:rPr>
          <w:sz w:val="16"/>
        </w:rPr>
      </w:pPr>
    </w:p>
    <w:p>
      <w:pPr>
        <w:pStyle w:val="Heading2"/>
        <w:tabs>
          <w:tab w:pos="1977" w:val="left" w:leader="none"/>
        </w:tabs>
        <w:spacing w:before="7"/>
      </w:pPr>
      <w:bookmarkStart w:name="_TOC_250010" w:id="17"/>
      <w:bookmarkEnd w:id="17"/>
      <w:r>
        <w:rPr/>
        <w:t>第十三条</w:t>
        <w:tab/>
        <w:t>宽限期</w:t>
      </w:r>
    </w:p>
    <w:p>
      <w:pPr>
        <w:pStyle w:val="BodyText"/>
        <w:spacing w:before="0"/>
        <w:rPr>
          <w:sz w:val="31"/>
        </w:rPr>
      </w:pPr>
    </w:p>
    <w:p>
      <w:pPr>
        <w:pStyle w:val="BodyText"/>
        <w:spacing w:line="273" w:lineRule="auto" w:before="1"/>
        <w:ind w:left="117" w:right="114" w:firstLine="420"/>
        <w:jc w:val="both"/>
      </w:pPr>
      <w:r>
        <w:rPr>
          <w:spacing w:val="-2"/>
        </w:rPr>
        <w:t>自交纳首期保险费后，每个保险费到期日次日起六十天为宽限期。宽限期内发生保险事故，我们仍承担保险责任，但我们给付的保险金将扣除您未交纳的保险费。</w:t>
      </w:r>
    </w:p>
    <w:p>
      <w:pPr>
        <w:pStyle w:val="BodyText"/>
        <w:spacing w:line="273" w:lineRule="auto" w:before="8"/>
        <w:ind w:left="117" w:right="114" w:firstLine="422"/>
        <w:jc w:val="both"/>
      </w:pPr>
      <w:r>
        <w:rPr>
          <w:spacing w:val="-4"/>
        </w:rPr>
        <w:t>请您特别注意：如果您没有选择保险费自动垫交，且在宽限期结束时，您仍未交纳保险</w:t>
      </w:r>
      <w:r>
        <w:rPr>
          <w:spacing w:val="-5"/>
        </w:rPr>
        <w:t>费，则自宽限期结束的次日起本附加合同效力中止。合同效力中止期间，我们不承担保险责任。您可以在宽限期结束前到我公司办理选择保险费自动垫交手续，我们将按保险费自动垫交条款处理。</w:t>
      </w:r>
    </w:p>
    <w:p>
      <w:pPr>
        <w:pStyle w:val="BodyText"/>
        <w:spacing w:before="12"/>
        <w:rPr>
          <w:sz w:val="26"/>
        </w:rPr>
      </w:pPr>
    </w:p>
    <w:p>
      <w:pPr>
        <w:pStyle w:val="Heading2"/>
        <w:tabs>
          <w:tab w:pos="1977" w:val="left" w:leader="none"/>
        </w:tabs>
      </w:pPr>
      <w:bookmarkStart w:name="_TOC_250009" w:id="18"/>
      <w:bookmarkEnd w:id="18"/>
      <w:r>
        <w:rPr/>
        <w:t>第十四条</w:t>
        <w:tab/>
        <w:t>保险费率调整</w:t>
      </w:r>
    </w:p>
    <w:p>
      <w:pPr>
        <w:pStyle w:val="BodyText"/>
        <w:spacing w:before="12"/>
        <w:rPr>
          <w:sz w:val="30"/>
        </w:rPr>
      </w:pPr>
    </w:p>
    <w:p>
      <w:pPr>
        <w:pStyle w:val="BodyText"/>
        <w:spacing w:line="273" w:lineRule="auto" w:before="1"/>
        <w:ind w:left="117" w:right="114" w:firstLine="420"/>
        <w:jc w:val="both"/>
      </w:pPr>
      <w:r>
        <w:rPr>
          <w:spacing w:val="-2"/>
        </w:rPr>
        <w:t>在本附加合同的保险期内，我们保留提高或降低保险费率的权利。保险费率的调整针对所有被保险人或同一投保年龄的所有被保险人。</w:t>
      </w:r>
    </w:p>
    <w:p>
      <w:pPr>
        <w:pStyle w:val="BodyText"/>
        <w:spacing w:line="273" w:lineRule="auto" w:before="8"/>
        <w:ind w:left="117" w:right="114" w:firstLine="420"/>
        <w:jc w:val="both"/>
      </w:pPr>
      <w:r>
        <w:rPr>
          <w:spacing w:val="-2"/>
        </w:rPr>
        <w:t>我们进行保险费率调整后，将以书面形式于保险单周年日前通知您。您须按调整后的保险费率，以投保时的年龄为计算基础，交纳续期保险费。</w:t>
      </w:r>
    </w:p>
    <w:p>
      <w:pPr>
        <w:pStyle w:val="BodyText"/>
        <w:spacing w:before="9"/>
      </w:pPr>
    </w:p>
    <w:p>
      <w:pPr>
        <w:pStyle w:val="Heading1"/>
        <w:tabs>
          <w:tab w:pos="3524" w:val="left" w:leader="none"/>
        </w:tabs>
        <w:ind w:left="1238"/>
      </w:pPr>
      <w:bookmarkStart w:name="_TOC_250008" w:id="19"/>
      <w:bookmarkEnd w:id="19"/>
      <w:r>
        <w:rPr/>
        <w:t>第五部分</w:t>
        <w:tab/>
        <w:t>您所拥有的重要权益</w:t>
      </w:r>
    </w:p>
    <w:p>
      <w:pPr>
        <w:pStyle w:val="BodyText"/>
        <w:rPr>
          <w:rFonts w:ascii="黑体"/>
          <w:sz w:val="35"/>
        </w:rPr>
      </w:pPr>
    </w:p>
    <w:p>
      <w:pPr>
        <w:pStyle w:val="Heading2"/>
        <w:tabs>
          <w:tab w:pos="1617" w:val="left" w:leader="none"/>
        </w:tabs>
      </w:pPr>
      <w:bookmarkStart w:name="_TOC_250007" w:id="20"/>
      <w:bookmarkEnd w:id="20"/>
      <w:r>
        <w:rPr/>
        <w:t>第十五条</w:t>
        <w:tab/>
        <w:t>自动垫交</w:t>
      </w:r>
    </w:p>
    <w:p>
      <w:pPr>
        <w:pStyle w:val="BodyText"/>
        <w:spacing w:before="8"/>
        <w:rPr>
          <w:sz w:val="29"/>
        </w:rPr>
      </w:pPr>
    </w:p>
    <w:p>
      <w:pPr>
        <w:pStyle w:val="BodyText"/>
        <w:spacing w:line="237" w:lineRule="auto" w:before="0"/>
        <w:ind w:left="117" w:right="135" w:firstLine="420"/>
        <w:jc w:val="both"/>
      </w:pPr>
      <w:r>
        <w:rPr>
          <w:spacing w:val="-3"/>
        </w:rPr>
        <w:t>如果您选择了保险费自动垫交，在宽限期结束时您仍未交纳续期保险费，我们将以主合</w:t>
      </w:r>
      <w:r>
        <w:rPr/>
        <w:t>同及本附加合同的现金价值净值之和自动垫交本附加合同的续期保险费，保险合同继续有</w:t>
      </w:r>
      <w:r>
        <w:rPr>
          <w:spacing w:val="-6"/>
        </w:rPr>
        <w:t>效。若主合同及本附加合同的现金价值净值之和不足以垫交全部到期保险费，则按当时现金价值净值折算可垫交的天数，自动垫交部分续期保险费。</w:t>
      </w:r>
    </w:p>
    <w:p>
      <w:pPr>
        <w:pStyle w:val="BodyText"/>
        <w:spacing w:before="17"/>
        <w:ind w:left="537"/>
      </w:pPr>
      <w:r>
        <w:rPr/>
        <w:t>所垫交的保险费将按照保险单借款利率计算利息。</w:t>
      </w:r>
    </w:p>
    <w:p>
      <w:pPr>
        <w:pStyle w:val="BodyText"/>
        <w:spacing w:line="237" w:lineRule="auto" w:before="19"/>
        <w:ind w:left="117" w:right="139" w:firstLine="420"/>
        <w:jc w:val="both"/>
      </w:pPr>
      <w:r>
        <w:rPr/>
        <w:t>当主合同及本附加合同的现金价值净值之和为零时，主合同及本附加合同效力同时中止。</w:t>
      </w:r>
    </w:p>
    <w:p>
      <w:pPr>
        <w:pStyle w:val="BodyText"/>
        <w:spacing w:line="237" w:lineRule="auto" w:before="0"/>
        <w:ind w:left="117" w:right="141" w:firstLine="420"/>
        <w:jc w:val="both"/>
      </w:pPr>
      <w:r>
        <w:rPr>
          <w:spacing w:val="-2"/>
        </w:rPr>
        <w:t>您可以在宽限期结束前到我公司办理取消保险费自动垫交手续，则本附加合同自宽限期结束的次日起效力中止。</w:t>
      </w:r>
    </w:p>
    <w:p>
      <w:pPr>
        <w:pStyle w:val="BodyText"/>
        <w:spacing w:before="9"/>
        <w:rPr>
          <w:sz w:val="27"/>
        </w:rPr>
      </w:pPr>
    </w:p>
    <w:p>
      <w:pPr>
        <w:pStyle w:val="Heading2"/>
        <w:tabs>
          <w:tab w:pos="1977" w:val="left" w:leader="none"/>
        </w:tabs>
      </w:pPr>
      <w:bookmarkStart w:name="_TOC_250006" w:id="21"/>
      <w:bookmarkEnd w:id="21"/>
      <w:r>
        <w:rPr/>
        <w:t>第十六条</w:t>
        <w:tab/>
        <w:t>保险单借款</w:t>
      </w:r>
    </w:p>
    <w:p>
      <w:pPr>
        <w:pStyle w:val="BodyText"/>
        <w:spacing w:before="7"/>
        <w:rPr>
          <w:sz w:val="29"/>
        </w:rPr>
      </w:pPr>
    </w:p>
    <w:p>
      <w:pPr>
        <w:pStyle w:val="BodyText"/>
        <w:spacing w:line="264" w:lineRule="auto" w:before="0"/>
        <w:ind w:left="117" w:right="114" w:firstLine="420"/>
        <w:jc w:val="both"/>
      </w:pPr>
      <w:r>
        <w:rPr>
          <w:spacing w:val="-2"/>
        </w:rPr>
        <w:t>在本附加合同有效期内，您可以书面形式向我们申请保险单借款。累积借款金额最高不</w:t>
      </w:r>
      <w:r>
        <w:rPr>
          <w:spacing w:val="-5"/>
        </w:rPr>
        <w:t>得超过主合同及本附加合同当时现金价值净值之和的 </w:t>
      </w:r>
      <w:r>
        <w:rPr>
          <w:rFonts w:ascii="Times New Roman" w:eastAsia="Times New Roman"/>
        </w:rPr>
        <w:t>80%</w:t>
      </w:r>
      <w:r>
        <w:rPr>
          <w:spacing w:val="-6"/>
        </w:rPr>
        <w:t>。在保险单借款期间，将按我们定期公布的保险单借款利率计算保险单借款利息。</w:t>
      </w:r>
    </w:p>
    <w:p>
      <w:pPr>
        <w:pStyle w:val="BodyText"/>
        <w:spacing w:line="273" w:lineRule="auto" w:before="16"/>
        <w:ind w:left="117" w:right="114" w:firstLine="422"/>
        <w:jc w:val="both"/>
      </w:pPr>
      <w:r>
        <w:rPr>
          <w:spacing w:val="-3"/>
        </w:rPr>
        <w:t>请您特别注意：当主合同及本附加合同现金价值净值之和为零时，主合同及本附加合同效力同时中止 。</w:t>
      </w:r>
    </w:p>
    <w:p>
      <w:pPr>
        <w:spacing w:after="0" w:line="273" w:lineRule="auto"/>
        <w:jc w:val="both"/>
        <w:sectPr>
          <w:pgSz w:w="11900" w:h="16840"/>
          <w:pgMar w:header="896" w:footer="1008" w:top="1280" w:bottom="1200" w:left="1680" w:right="1600"/>
        </w:sectPr>
      </w:pPr>
    </w:p>
    <w:p>
      <w:pPr>
        <w:pStyle w:val="BodyText"/>
        <w:spacing w:before="1"/>
        <w:rPr>
          <w:sz w:val="16"/>
        </w:rPr>
      </w:pPr>
    </w:p>
    <w:p>
      <w:pPr>
        <w:pStyle w:val="Heading2"/>
        <w:tabs>
          <w:tab w:pos="1977" w:val="left" w:leader="none"/>
        </w:tabs>
        <w:spacing w:before="7"/>
      </w:pPr>
      <w:bookmarkStart w:name="_TOC_250005" w:id="22"/>
      <w:bookmarkEnd w:id="22"/>
      <w:r>
        <w:rPr/>
        <w:t>第十七条</w:t>
        <w:tab/>
        <w:t>合同效力的恢复</w:t>
      </w:r>
    </w:p>
    <w:p>
      <w:pPr>
        <w:pStyle w:val="BodyText"/>
        <w:spacing w:before="2"/>
        <w:rPr>
          <w:sz w:val="29"/>
        </w:rPr>
      </w:pPr>
    </w:p>
    <w:p>
      <w:pPr>
        <w:pStyle w:val="BodyText"/>
        <w:spacing w:line="264" w:lineRule="auto" w:before="1"/>
        <w:ind w:left="117" w:right="200" w:firstLine="420"/>
        <w:jc w:val="both"/>
      </w:pPr>
      <w:r>
        <w:rPr/>
        <w:t>您可自本附加合同效力中止后两年内，填写复效申请书并按我们要求</w:t>
      </w:r>
      <w:r>
        <w:rPr>
          <w:sz w:val="24"/>
        </w:rPr>
        <w:t>进行体检或</w:t>
      </w:r>
      <w:r>
        <w:rPr/>
        <w:t>提供被保险人健康声明书，经我们审核通过，自您补交所欠保险费、借款及利息的次日零时起， 本附加合同效力恢复。</w:t>
      </w:r>
    </w:p>
    <w:p>
      <w:pPr>
        <w:pStyle w:val="BodyText"/>
        <w:spacing w:line="273" w:lineRule="auto" w:before="16"/>
        <w:ind w:left="117" w:right="168" w:firstLine="420"/>
      </w:pPr>
      <w:r>
        <w:rPr/>
        <w:t>您与我们在本附加合同效力中止之日起满两年，仍未达成复效协议的，本附加合同即自行终止。</w:t>
      </w:r>
    </w:p>
    <w:p>
      <w:pPr>
        <w:pStyle w:val="BodyText"/>
        <w:spacing w:before="12"/>
        <w:rPr>
          <w:sz w:val="26"/>
        </w:rPr>
      </w:pPr>
    </w:p>
    <w:p>
      <w:pPr>
        <w:pStyle w:val="Heading2"/>
        <w:tabs>
          <w:tab w:pos="1977" w:val="left" w:leader="none"/>
        </w:tabs>
      </w:pPr>
      <w:bookmarkStart w:name="_TOC_250004" w:id="23"/>
      <w:bookmarkEnd w:id="23"/>
      <w:r>
        <w:rPr/>
        <w:t>第十八条</w:t>
        <w:tab/>
        <w:t>合同解除权</w:t>
      </w:r>
    </w:p>
    <w:p>
      <w:pPr>
        <w:pStyle w:val="BodyText"/>
        <w:spacing w:before="8"/>
        <w:rPr>
          <w:sz w:val="29"/>
        </w:rPr>
      </w:pPr>
    </w:p>
    <w:p>
      <w:pPr>
        <w:pStyle w:val="BodyText"/>
        <w:spacing w:line="237" w:lineRule="auto" w:before="1"/>
        <w:ind w:left="117" w:right="200" w:firstLine="420"/>
      </w:pPr>
      <w:r>
        <w:rPr/>
        <w:t>在本附加合同有效期内，您可随时申请解除本附加合同。我们收到解除合同申请书时， 本附加合同终止。</w:t>
      </w:r>
    </w:p>
    <w:p>
      <w:pPr>
        <w:pStyle w:val="BodyText"/>
        <w:spacing w:line="237" w:lineRule="auto" w:before="0"/>
        <w:ind w:left="117" w:right="214" w:firstLine="420"/>
      </w:pPr>
      <w:r>
        <w:rPr>
          <w:spacing w:val="-10"/>
        </w:rPr>
        <w:t>一、 您在签收本附加合同次日起十天内，要求解除本附加合同的，我们无息退还已收保险费，若被保险人经我们体检，须扣除体检费。</w:t>
      </w:r>
    </w:p>
    <w:p>
      <w:pPr>
        <w:pStyle w:val="BodyText"/>
        <w:spacing w:line="237" w:lineRule="auto" w:before="0"/>
        <w:ind w:left="117" w:right="214" w:firstLine="420"/>
      </w:pPr>
      <w:r>
        <w:rPr>
          <w:spacing w:val="-10"/>
        </w:rPr>
        <w:t>二、 您在签收本附加合同之日起十天后，要求解除本附加合同的，我们将于收到本条第三款所列证明材料后三十天内向您退还本附加合同终止时的现金价值。</w:t>
      </w:r>
    </w:p>
    <w:p>
      <w:pPr>
        <w:pStyle w:val="BodyText"/>
        <w:tabs>
          <w:tab w:pos="1437" w:val="left" w:leader="none"/>
        </w:tabs>
        <w:spacing w:line="271" w:lineRule="exact" w:before="0"/>
        <w:ind w:left="537"/>
      </w:pPr>
      <w:r>
        <w:rPr/>
        <w:t>三、</w:t>
        <w:tab/>
        <w:t>您要求解除本附加合同时，应提供下列证明材料：</w:t>
      </w:r>
    </w:p>
    <w:p>
      <w:pPr>
        <w:pStyle w:val="ListParagraph"/>
        <w:numPr>
          <w:ilvl w:val="0"/>
          <w:numId w:val="4"/>
        </w:numPr>
        <w:tabs>
          <w:tab w:pos="1377" w:val="left" w:leader="none"/>
          <w:tab w:pos="1378" w:val="left" w:leader="none"/>
        </w:tabs>
        <w:spacing w:line="280" w:lineRule="exact" w:before="0" w:after="0"/>
        <w:ind w:left="1377" w:right="0" w:hanging="840"/>
        <w:jc w:val="left"/>
        <w:rPr>
          <w:sz w:val="21"/>
        </w:rPr>
      </w:pPr>
      <w:r>
        <w:rPr>
          <w:sz w:val="21"/>
        </w:rPr>
        <w:t>保险单及其他保险凭证；</w:t>
      </w:r>
    </w:p>
    <w:p>
      <w:pPr>
        <w:pStyle w:val="ListParagraph"/>
        <w:numPr>
          <w:ilvl w:val="0"/>
          <w:numId w:val="4"/>
        </w:numPr>
        <w:tabs>
          <w:tab w:pos="1377" w:val="left" w:leader="none"/>
          <w:tab w:pos="1378" w:val="left" w:leader="none"/>
        </w:tabs>
        <w:spacing w:line="272" w:lineRule="exact" w:before="0" w:after="0"/>
        <w:ind w:left="1377" w:right="0" w:hanging="840"/>
        <w:jc w:val="left"/>
        <w:rPr>
          <w:sz w:val="21"/>
        </w:rPr>
      </w:pPr>
      <w:r>
        <w:rPr>
          <w:sz w:val="21"/>
        </w:rPr>
        <w:t>解除合同申请书；</w:t>
      </w:r>
    </w:p>
    <w:p>
      <w:pPr>
        <w:pStyle w:val="ListParagraph"/>
        <w:numPr>
          <w:ilvl w:val="0"/>
          <w:numId w:val="4"/>
        </w:numPr>
        <w:tabs>
          <w:tab w:pos="1377" w:val="left" w:leader="none"/>
          <w:tab w:pos="1378" w:val="left" w:leader="none"/>
        </w:tabs>
        <w:spacing w:line="272" w:lineRule="exact" w:before="0" w:after="0"/>
        <w:ind w:left="1377" w:right="0" w:hanging="840"/>
        <w:jc w:val="left"/>
        <w:rPr>
          <w:sz w:val="21"/>
        </w:rPr>
      </w:pPr>
      <w:r>
        <w:rPr>
          <w:sz w:val="21"/>
        </w:rPr>
        <w:t>最近一次交费凭证；</w:t>
      </w:r>
    </w:p>
    <w:p>
      <w:pPr>
        <w:pStyle w:val="ListParagraph"/>
        <w:numPr>
          <w:ilvl w:val="0"/>
          <w:numId w:val="4"/>
        </w:numPr>
        <w:tabs>
          <w:tab w:pos="1377" w:val="left" w:leader="none"/>
          <w:tab w:pos="1378" w:val="left" w:leader="none"/>
        </w:tabs>
        <w:spacing w:line="282" w:lineRule="exact" w:before="0" w:after="0"/>
        <w:ind w:left="1377" w:right="0" w:hanging="840"/>
        <w:jc w:val="left"/>
        <w:rPr>
          <w:sz w:val="21"/>
        </w:rPr>
      </w:pPr>
      <w:r>
        <w:rPr>
          <w:sz w:val="21"/>
        </w:rPr>
        <w:t>您的身份证明。</w:t>
      </w:r>
    </w:p>
    <w:p>
      <w:pPr>
        <w:pStyle w:val="BodyText"/>
        <w:spacing w:before="2"/>
      </w:pPr>
    </w:p>
    <w:p>
      <w:pPr>
        <w:pStyle w:val="Heading1"/>
        <w:tabs>
          <w:tab w:pos="4427" w:val="left" w:leader="none"/>
        </w:tabs>
        <w:ind w:left="2142"/>
      </w:pPr>
      <w:bookmarkStart w:name="_TOC_250003" w:id="24"/>
      <w:bookmarkEnd w:id="24"/>
      <w:r>
        <w:rPr/>
        <w:t>第六部分</w:t>
        <w:tab/>
        <w:t>其他事项</w:t>
      </w:r>
    </w:p>
    <w:p>
      <w:pPr>
        <w:pStyle w:val="BodyText"/>
        <w:rPr>
          <w:rFonts w:ascii="黑体"/>
          <w:sz w:val="35"/>
        </w:rPr>
      </w:pPr>
    </w:p>
    <w:p>
      <w:pPr>
        <w:pStyle w:val="Heading2"/>
        <w:tabs>
          <w:tab w:pos="1977" w:val="left" w:leader="none"/>
        </w:tabs>
      </w:pPr>
      <w:bookmarkStart w:name="_TOC_250002" w:id="25"/>
      <w:bookmarkEnd w:id="25"/>
      <w:r>
        <w:rPr/>
        <w:t>第十九条</w:t>
        <w:tab/>
        <w:t>适用主合同条款</w:t>
      </w:r>
    </w:p>
    <w:p>
      <w:pPr>
        <w:pStyle w:val="BodyText"/>
        <w:spacing w:before="0"/>
        <w:rPr>
          <w:sz w:val="31"/>
        </w:rPr>
      </w:pPr>
    </w:p>
    <w:p>
      <w:pPr>
        <w:pStyle w:val="BodyText"/>
        <w:spacing w:before="1"/>
        <w:ind w:left="537"/>
      </w:pPr>
      <w:r>
        <w:rPr/>
        <w:t>主合同的下列各项条款，适用于本附加合同：</w:t>
      </w:r>
    </w:p>
    <w:p>
      <w:pPr>
        <w:pStyle w:val="ListParagraph"/>
        <w:numPr>
          <w:ilvl w:val="0"/>
          <w:numId w:val="5"/>
        </w:numPr>
        <w:tabs>
          <w:tab w:pos="1377" w:val="left" w:leader="none"/>
          <w:tab w:pos="1378" w:val="left" w:leader="none"/>
        </w:tabs>
        <w:spacing w:line="282" w:lineRule="exact" w:before="17" w:after="0"/>
        <w:ind w:left="1377" w:right="0" w:hanging="840"/>
        <w:jc w:val="left"/>
        <w:rPr>
          <w:sz w:val="21"/>
        </w:rPr>
      </w:pPr>
      <w:r>
        <w:rPr>
          <w:sz w:val="21"/>
        </w:rPr>
        <w:t>保险事故通知</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索赔时效</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失踪处理</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司法鉴定</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合同内容变更</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告知义务</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年龄计算及错误处理</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住所或通讯地址变更</w:t>
      </w:r>
    </w:p>
    <w:p>
      <w:pPr>
        <w:pStyle w:val="ListParagraph"/>
        <w:numPr>
          <w:ilvl w:val="0"/>
          <w:numId w:val="5"/>
        </w:numPr>
        <w:tabs>
          <w:tab w:pos="1377" w:val="left" w:leader="none"/>
          <w:tab w:pos="1378" w:val="left" w:leader="none"/>
        </w:tabs>
        <w:spacing w:line="282" w:lineRule="exact" w:before="0" w:after="0"/>
        <w:ind w:left="1377" w:right="0" w:hanging="840"/>
        <w:jc w:val="left"/>
        <w:rPr>
          <w:sz w:val="21"/>
        </w:rPr>
      </w:pPr>
      <w:r>
        <w:rPr>
          <w:sz w:val="21"/>
        </w:rPr>
        <w:t>争议处理</w:t>
      </w:r>
    </w:p>
    <w:p>
      <w:pPr>
        <w:pStyle w:val="BodyText"/>
        <w:spacing w:before="6"/>
        <w:rPr>
          <w:sz w:val="26"/>
        </w:rPr>
      </w:pPr>
    </w:p>
    <w:p>
      <w:pPr>
        <w:pStyle w:val="Heading2"/>
        <w:tabs>
          <w:tab w:pos="1557" w:val="left" w:leader="none"/>
        </w:tabs>
        <w:spacing w:before="1"/>
      </w:pPr>
      <w:bookmarkStart w:name="_TOC_250001" w:id="26"/>
      <w:bookmarkEnd w:id="26"/>
      <w:r>
        <w:rPr/>
        <w:t>第二十条</w:t>
        <w:tab/>
        <w:t>就医须知</w:t>
      </w:r>
    </w:p>
    <w:p>
      <w:pPr>
        <w:pStyle w:val="BodyText"/>
        <w:spacing w:before="1"/>
        <w:rPr>
          <w:sz w:val="31"/>
        </w:rPr>
      </w:pPr>
    </w:p>
    <w:p>
      <w:pPr>
        <w:pStyle w:val="BodyText"/>
        <w:spacing w:line="273" w:lineRule="auto" w:before="0"/>
        <w:ind w:left="117" w:right="110" w:firstLine="420"/>
      </w:pPr>
      <w:r>
        <w:rPr>
          <w:spacing w:val="-6"/>
        </w:rPr>
        <w:t>被保险人须在定点医疗机构接受治疗，但被保险人紧急抢救不受此限制，在病情稳定后， 应转入定点医疗机构继续治疗。</w:t>
      </w:r>
    </w:p>
    <w:p>
      <w:pPr>
        <w:spacing w:after="0" w:line="273" w:lineRule="auto"/>
        <w:sectPr>
          <w:pgSz w:w="11900" w:h="16840"/>
          <w:pgMar w:header="896" w:footer="1008" w:top="1280" w:bottom="1200" w:left="1680" w:right="1500"/>
        </w:sectPr>
      </w:pPr>
    </w:p>
    <w:p>
      <w:pPr>
        <w:pStyle w:val="BodyText"/>
        <w:spacing w:before="10"/>
        <w:rPr>
          <w:sz w:val="13"/>
        </w:rPr>
      </w:pPr>
    </w:p>
    <w:p>
      <w:pPr>
        <w:pStyle w:val="Heading1"/>
        <w:tabs>
          <w:tab w:pos="4503" w:val="left" w:leader="none"/>
        </w:tabs>
        <w:spacing w:line="461" w:lineRule="exact"/>
        <w:ind w:left="2066"/>
      </w:pPr>
      <w:bookmarkStart w:name="_TOC_250000" w:id="27"/>
      <w:bookmarkEnd w:id="27"/>
      <w:r>
        <w:rPr/>
        <w:t>第七部分</w:t>
        <w:tab/>
        <w:t>名词释义</w:t>
      </w:r>
    </w:p>
    <w:p>
      <w:pPr>
        <w:pStyle w:val="BodyText"/>
        <w:rPr>
          <w:rFonts w:ascii="黑体"/>
          <w:sz w:val="27"/>
        </w:rPr>
      </w:pPr>
    </w:p>
    <w:p>
      <w:pPr>
        <w:pStyle w:val="BodyText"/>
        <w:spacing w:line="273" w:lineRule="auto" w:before="0"/>
        <w:ind w:left="539" w:right="176" w:hanging="423"/>
        <w:jc w:val="both"/>
      </w:pPr>
      <w:r>
        <w:rPr>
          <w:spacing w:val="-3"/>
        </w:rPr>
        <w:t>定点医疗机构：我们为被保险人提供多家不同层次的专业医疗机构名单，供被保险人在此范围内选择，定点医疗机构名单请见合同附件。</w:t>
      </w:r>
    </w:p>
    <w:p>
      <w:pPr>
        <w:pStyle w:val="BodyText"/>
        <w:spacing w:line="256" w:lineRule="auto" w:before="7"/>
        <w:ind w:left="539" w:right="176" w:hanging="423"/>
        <w:jc w:val="both"/>
      </w:pPr>
      <w:r>
        <w:rPr>
          <w:spacing w:val="-6"/>
        </w:rPr>
        <w:t>专科医生：专科医生应当同时满足以下四项资格条件：</w:t>
      </w:r>
      <w:r>
        <w:rPr/>
        <w:t>（</w:t>
      </w:r>
      <w:r>
        <w:rPr>
          <w:rFonts w:ascii="Times New Roman" w:eastAsia="Times New Roman"/>
          <w:spacing w:val="-1"/>
        </w:rPr>
        <w:t>1</w:t>
      </w:r>
      <w:r>
        <w:rPr>
          <w:spacing w:val="-5"/>
        </w:rPr>
        <w:t>）</w:t>
      </w:r>
      <w:r>
        <w:rPr>
          <w:spacing w:val="-1"/>
        </w:rPr>
        <w:t>具有有效的中华人民共和国《医</w:t>
      </w:r>
      <w:r>
        <w:rPr>
          <w:spacing w:val="-32"/>
        </w:rPr>
        <w:t>师资格证书》；</w:t>
      </w:r>
      <w:r>
        <w:rPr/>
        <w:t>（</w:t>
      </w:r>
      <w:r>
        <w:rPr>
          <w:rFonts w:ascii="Times New Roman" w:eastAsia="Times New Roman"/>
        </w:rPr>
        <w:t>2</w:t>
      </w:r>
      <w:r>
        <w:rPr>
          <w:spacing w:val="-5"/>
        </w:rPr>
        <w:t>）</w:t>
      </w:r>
      <w:r>
        <w:rPr>
          <w:spacing w:val="-7"/>
        </w:rPr>
        <w:t>具有有效的中华人民共和国《医师执业证书》，并按期到相关部门登</w:t>
      </w:r>
      <w:r>
        <w:rPr>
          <w:spacing w:val="-33"/>
        </w:rPr>
        <w:t>记注册；</w:t>
      </w:r>
      <w:r>
        <w:rPr/>
        <w:t>（</w:t>
      </w:r>
      <w:r>
        <w:rPr>
          <w:rFonts w:ascii="Times New Roman" w:eastAsia="Times New Roman"/>
          <w:spacing w:val="-1"/>
        </w:rPr>
        <w:t>3</w:t>
      </w:r>
      <w:r>
        <w:rPr>
          <w:spacing w:val="-7"/>
        </w:rPr>
        <w:t>）</w:t>
      </w:r>
      <w:r>
        <w:rPr>
          <w:spacing w:val="-1"/>
        </w:rPr>
        <w:t>具有有效的中华人民共和国主治医师或主治医师以上职称的《医师职称证</w:t>
      </w:r>
      <w:r>
        <w:rPr>
          <w:spacing w:val="-71"/>
        </w:rPr>
        <w:t>书》；</w:t>
      </w:r>
      <w:r>
        <w:rPr/>
        <w:t>（</w:t>
      </w:r>
      <w:r>
        <w:rPr>
          <w:rFonts w:ascii="Times New Roman" w:eastAsia="Times New Roman"/>
          <w:spacing w:val="-1"/>
        </w:rPr>
        <w:t>4</w:t>
      </w:r>
      <w:r>
        <w:rPr/>
        <w:t>）</w:t>
      </w:r>
      <w:r>
        <w:rPr>
          <w:spacing w:val="-1"/>
        </w:rPr>
        <w:t>在二级或二级以上医院的相应科室从事临床工作三年以上。</w:t>
      </w:r>
    </w:p>
    <w:p>
      <w:pPr>
        <w:pStyle w:val="BodyText"/>
        <w:spacing w:line="273" w:lineRule="auto" w:before="5"/>
        <w:ind w:left="957" w:right="172" w:hanging="840"/>
      </w:pPr>
      <w:r>
        <w:rPr/>
        <w:t>重大疾病：被保险人发生符合以下疾病定义所述条件的疾病，应当由专科医生明确诊断。</w:t>
      </w:r>
      <w:r>
        <w:rPr>
          <w:spacing w:val="-4"/>
        </w:rPr>
        <w:t>根据中国保险行业协会制定的《重大疾病保险的疾病定义使用规范》，本合同的重</w:t>
      </w:r>
    </w:p>
    <w:p>
      <w:pPr>
        <w:pStyle w:val="BodyText"/>
        <w:spacing w:line="273" w:lineRule="auto" w:before="8"/>
        <w:ind w:left="537" w:right="176"/>
      </w:pPr>
      <w:r>
        <w:rPr>
          <w:spacing w:val="-13"/>
        </w:rPr>
        <w:t>大疾病分为两种类型：《重大疾病保险的疾病定义使用规范》范围以内的疾病种类；《重大疾病保险的疾病定义使用规范》范围以外的疾病种类。</w:t>
      </w:r>
    </w:p>
    <w:p>
      <w:pPr>
        <w:pStyle w:val="BodyText"/>
        <w:spacing w:before="8"/>
        <w:ind w:left="477"/>
      </w:pPr>
      <w:r>
        <w:rPr/>
        <w:t>一、《重大疾病保险的疾病定义使用规范》范围以内的疾病种类：</w:t>
      </w:r>
    </w:p>
    <w:p>
      <w:pPr>
        <w:pStyle w:val="BodyText"/>
        <w:tabs>
          <w:tab w:pos="1063" w:val="left" w:leader="none"/>
        </w:tabs>
        <w:spacing w:before="37"/>
        <w:ind w:left="477"/>
      </w:pPr>
      <w:r>
        <w:rPr>
          <w:rFonts w:ascii="Courier New" w:eastAsia="Courier New"/>
        </w:rPr>
        <w:t>1</w:t>
      </w:r>
      <w:r>
        <w:rPr/>
        <w:t>、</w:t>
        <w:tab/>
        <w:t>恶性肿瘤：</w:t>
      </w:r>
    </w:p>
    <w:p>
      <w:pPr>
        <w:pStyle w:val="BodyText"/>
        <w:spacing w:line="273" w:lineRule="auto"/>
        <w:ind w:left="476" w:right="117" w:firstLine="420"/>
        <w:jc w:val="both"/>
      </w:pPr>
      <w:r>
        <w:rPr/>
        <w:t>指恶性细胞不受控制的进行性增长和扩散，浸润和破坏周围正常组织，可以经血管淋巴管和体腔扩散转移到身体其它部位的疾病。经病理学检查结果明确诊断，临床诊断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pStyle w:val="BodyText"/>
        <w:spacing w:line="244" w:lineRule="exact" w:before="0"/>
        <w:ind w:left="896"/>
      </w:pPr>
      <w:r>
        <w:rPr/>
        <w:t>下列疾病不在保障范围内：</w:t>
      </w:r>
    </w:p>
    <w:p>
      <w:pPr>
        <w:pStyle w:val="BodyText"/>
        <w:spacing w:before="37"/>
        <w:ind w:left="896"/>
      </w:pPr>
      <w:r>
        <w:rPr>
          <w:w w:val="95"/>
        </w:rPr>
        <w:t>（</w:t>
      </w:r>
      <w:r>
        <w:rPr>
          <w:rFonts w:ascii="Courier New" w:eastAsia="Courier New"/>
          <w:w w:val="95"/>
        </w:rPr>
        <w:t>1</w:t>
      </w:r>
      <w:r>
        <w:rPr>
          <w:w w:val="95"/>
        </w:rPr>
        <w:t>）原位癌；</w:t>
      </w:r>
    </w:p>
    <w:p>
      <w:pPr>
        <w:pStyle w:val="BodyText"/>
        <w:ind w:left="896"/>
      </w:pPr>
      <w:r>
        <w:rPr>
          <w:w w:val="95"/>
        </w:rPr>
        <w:t>（</w:t>
      </w:r>
      <w:r>
        <w:rPr>
          <w:rFonts w:ascii="Courier New" w:eastAsia="Courier New"/>
          <w:w w:val="95"/>
        </w:rPr>
        <w:t>2</w:t>
      </w:r>
      <w:r>
        <w:rPr>
          <w:w w:val="95"/>
        </w:rPr>
        <w:t>）相当于 </w:t>
      </w:r>
      <w:r>
        <w:rPr>
          <w:rFonts w:ascii="Courier New" w:eastAsia="Courier New"/>
          <w:w w:val="95"/>
        </w:rPr>
        <w:t>Binet </w:t>
      </w:r>
      <w:r>
        <w:rPr>
          <w:w w:val="95"/>
        </w:rPr>
        <w:t>分期方案 </w:t>
      </w:r>
      <w:r>
        <w:rPr>
          <w:rFonts w:ascii="Courier New" w:eastAsia="Courier New"/>
          <w:w w:val="95"/>
        </w:rPr>
        <w:t>A </w:t>
      </w:r>
      <w:r>
        <w:rPr>
          <w:w w:val="95"/>
        </w:rPr>
        <w:t>期程度的慢性淋巴细胞白血病；</w:t>
      </w:r>
    </w:p>
    <w:p>
      <w:pPr>
        <w:pStyle w:val="BodyText"/>
        <w:ind w:left="896"/>
      </w:pPr>
      <w:r>
        <w:rPr>
          <w:w w:val="95"/>
        </w:rPr>
        <w:t>（</w:t>
      </w:r>
      <w:r>
        <w:rPr>
          <w:rFonts w:ascii="Courier New" w:eastAsia="Courier New"/>
          <w:w w:val="95"/>
        </w:rPr>
        <w:t>3</w:t>
      </w:r>
      <w:r>
        <w:rPr>
          <w:w w:val="95"/>
        </w:rPr>
        <w:t>）</w:t>
      </w:r>
      <w:r>
        <w:rPr>
          <w:spacing w:val="-10"/>
          <w:w w:val="95"/>
        </w:rPr>
        <w:t>相当于 </w:t>
      </w:r>
      <w:r>
        <w:rPr>
          <w:rFonts w:ascii="Courier New" w:eastAsia="Courier New"/>
          <w:w w:val="95"/>
        </w:rPr>
        <w:t>Ann Arbor</w:t>
      </w:r>
      <w:r>
        <w:rPr>
          <w:rFonts w:ascii="Courier New" w:eastAsia="Courier New"/>
          <w:spacing w:val="-60"/>
          <w:w w:val="95"/>
        </w:rPr>
        <w:t> </w:t>
      </w:r>
      <w:r>
        <w:rPr>
          <w:spacing w:val="-8"/>
          <w:w w:val="95"/>
        </w:rPr>
        <w:t>分期方案 </w:t>
      </w:r>
      <w:r>
        <w:rPr>
          <w:rFonts w:ascii="Courier New" w:eastAsia="Courier New"/>
          <w:w w:val="95"/>
        </w:rPr>
        <w:t>I</w:t>
      </w:r>
      <w:r>
        <w:rPr>
          <w:rFonts w:ascii="Courier New" w:eastAsia="Courier New"/>
          <w:spacing w:val="-60"/>
          <w:w w:val="95"/>
        </w:rPr>
        <w:t> </w:t>
      </w:r>
      <w:r>
        <w:rPr>
          <w:w w:val="95"/>
        </w:rPr>
        <w:t>期程度的何杰金氏病；</w:t>
      </w:r>
    </w:p>
    <w:p>
      <w:pPr>
        <w:pStyle w:val="BodyText"/>
        <w:ind w:left="896"/>
      </w:pPr>
      <w:r>
        <w:rPr/>
        <w:t>（</w:t>
      </w:r>
      <w:r>
        <w:rPr>
          <w:rFonts w:ascii="Courier New" w:eastAsia="Courier New"/>
          <w:spacing w:val="-1"/>
          <w:w w:val="83"/>
        </w:rPr>
        <w:t>4</w:t>
      </w:r>
      <w:r>
        <w:rPr/>
        <w:t>）皮肤癌（不包括恶性黑色素瘤及已发生转移的皮肤癌</w:t>
      </w:r>
      <w:r>
        <w:rPr>
          <w:spacing w:val="-106"/>
        </w:rPr>
        <w:t>）</w:t>
      </w:r>
      <w:r>
        <w:rPr/>
        <w:t>；</w:t>
      </w:r>
    </w:p>
    <w:p>
      <w:pPr>
        <w:pStyle w:val="BodyText"/>
        <w:ind w:left="896"/>
      </w:pPr>
      <w:r>
        <w:rPr>
          <w:w w:val="95"/>
          <w:position w:val="1"/>
        </w:rPr>
        <w:t>（</w:t>
      </w:r>
      <w:r>
        <w:rPr>
          <w:rFonts w:ascii="Courier New" w:eastAsia="Courier New"/>
          <w:w w:val="95"/>
          <w:position w:val="1"/>
        </w:rPr>
        <w:t>5</w:t>
      </w:r>
      <w:r>
        <w:rPr>
          <w:w w:val="95"/>
          <w:position w:val="1"/>
        </w:rPr>
        <w:t>）</w:t>
      </w:r>
      <w:r>
        <w:rPr>
          <w:rFonts w:ascii="Courier New" w:eastAsia="Courier New"/>
          <w:w w:val="95"/>
          <w:position w:val="1"/>
        </w:rPr>
        <w:t>TNM </w:t>
      </w:r>
      <w:r>
        <w:rPr>
          <w:w w:val="95"/>
          <w:position w:val="1"/>
        </w:rPr>
        <w:t>分期为 </w:t>
      </w:r>
      <w:r>
        <w:rPr>
          <w:rFonts w:ascii="Courier New" w:eastAsia="Courier New"/>
          <w:w w:val="95"/>
          <w:position w:val="1"/>
        </w:rPr>
        <w:t>T</w:t>
      </w:r>
      <w:r>
        <w:rPr>
          <w:rFonts w:ascii="Courier New" w:eastAsia="Courier New"/>
          <w:w w:val="95"/>
          <w:sz w:val="11"/>
        </w:rPr>
        <w:t>1</w:t>
      </w:r>
      <w:r>
        <w:rPr>
          <w:rFonts w:ascii="Courier New" w:eastAsia="Courier New"/>
          <w:w w:val="95"/>
          <w:position w:val="1"/>
        </w:rPr>
        <w:t>N</w:t>
      </w:r>
      <w:r>
        <w:rPr>
          <w:rFonts w:ascii="Courier New" w:eastAsia="Courier New"/>
          <w:w w:val="95"/>
          <w:sz w:val="11"/>
        </w:rPr>
        <w:t>0</w:t>
      </w:r>
      <w:r>
        <w:rPr>
          <w:rFonts w:ascii="Courier New" w:eastAsia="Courier New"/>
          <w:w w:val="95"/>
          <w:position w:val="1"/>
        </w:rPr>
        <w:t>M</w:t>
      </w:r>
      <w:r>
        <w:rPr>
          <w:rFonts w:ascii="Courier New" w:eastAsia="Courier New"/>
          <w:w w:val="95"/>
          <w:sz w:val="11"/>
        </w:rPr>
        <w:t>0 </w:t>
      </w:r>
      <w:r>
        <w:rPr>
          <w:w w:val="95"/>
          <w:position w:val="1"/>
        </w:rPr>
        <w:t>期或更轻分期的前列腺癌；</w:t>
      </w:r>
    </w:p>
    <w:p>
      <w:pPr>
        <w:pStyle w:val="BodyText"/>
        <w:spacing w:before="4"/>
        <w:ind w:left="896"/>
      </w:pPr>
      <w:r>
        <w:rPr>
          <w:w w:val="95"/>
        </w:rPr>
        <w:t>（</w:t>
      </w:r>
      <w:r>
        <w:rPr>
          <w:rFonts w:ascii="Courier New" w:eastAsia="Courier New"/>
          <w:w w:val="95"/>
        </w:rPr>
        <w:t>6</w:t>
      </w:r>
      <w:r>
        <w:rPr>
          <w:w w:val="95"/>
        </w:rPr>
        <w:t>）感染艾滋病病毒或患艾滋病期间所患恶性肿瘤。</w:t>
      </w:r>
    </w:p>
    <w:p>
      <w:pPr>
        <w:pStyle w:val="BodyText"/>
        <w:ind w:left="477"/>
      </w:pPr>
      <w:r>
        <w:rPr>
          <w:rFonts w:ascii="Courier New" w:eastAsia="Courier New"/>
        </w:rPr>
        <w:t>2</w:t>
      </w:r>
      <w:r>
        <w:rPr/>
        <w:t>、 急性心肌梗塞：</w:t>
      </w:r>
    </w:p>
    <w:p>
      <w:pPr>
        <w:pStyle w:val="BodyText"/>
        <w:spacing w:line="273" w:lineRule="auto"/>
        <w:ind w:left="476" w:right="176" w:firstLine="478"/>
        <w:jc w:val="both"/>
      </w:pPr>
      <w:r>
        <w:rPr>
          <w:spacing w:val="-1"/>
        </w:rPr>
        <w:t>指因冠状动脉阻塞导致的相应区域供血不足造成部分心肌坏死。须满足下列至少三项条件：</w:t>
      </w:r>
    </w:p>
    <w:p>
      <w:pPr>
        <w:pStyle w:val="BodyText"/>
        <w:spacing w:before="8"/>
        <w:ind w:left="835"/>
      </w:pPr>
      <w:r>
        <w:rPr>
          <w:w w:val="95"/>
        </w:rPr>
        <w:t>（</w:t>
      </w:r>
      <w:r>
        <w:rPr>
          <w:rFonts w:ascii="Courier New" w:eastAsia="Courier New"/>
          <w:w w:val="95"/>
        </w:rPr>
        <w:t>1</w:t>
      </w:r>
      <w:r>
        <w:rPr>
          <w:w w:val="95"/>
        </w:rPr>
        <w:t>）典型临床表现，例如急性胸痛等；</w:t>
      </w:r>
    </w:p>
    <w:p>
      <w:pPr>
        <w:pStyle w:val="BodyText"/>
        <w:ind w:left="835"/>
      </w:pPr>
      <w:r>
        <w:rPr>
          <w:w w:val="95"/>
        </w:rPr>
        <w:t>（</w:t>
      </w:r>
      <w:r>
        <w:rPr>
          <w:rFonts w:ascii="Courier New" w:eastAsia="Courier New"/>
          <w:w w:val="95"/>
        </w:rPr>
        <w:t>2</w:t>
      </w:r>
      <w:r>
        <w:rPr>
          <w:w w:val="95"/>
        </w:rPr>
        <w:t>）新近的心电图改变提示急性心肌梗塞；</w:t>
      </w:r>
    </w:p>
    <w:p>
      <w:pPr>
        <w:pStyle w:val="BodyText"/>
        <w:ind w:left="835"/>
      </w:pPr>
      <w:r>
        <w:rPr>
          <w:w w:val="95"/>
        </w:rPr>
        <w:t>（</w:t>
      </w:r>
      <w:r>
        <w:rPr>
          <w:rFonts w:ascii="Courier New" w:eastAsia="Courier New"/>
          <w:w w:val="95"/>
        </w:rPr>
        <w:t>3</w:t>
      </w:r>
      <w:r>
        <w:rPr>
          <w:w w:val="95"/>
        </w:rPr>
        <w:t>）心肌酶或肌钙蛋白有诊断意义的升高，或呈符合急性心肌梗塞的动态性变化；</w:t>
      </w:r>
    </w:p>
    <w:p>
      <w:pPr>
        <w:pStyle w:val="BodyText"/>
        <w:ind w:left="835"/>
      </w:pPr>
      <w:r>
        <w:rPr>
          <w:w w:val="95"/>
        </w:rPr>
        <w:t>（</w:t>
      </w:r>
      <w:r>
        <w:rPr>
          <w:rFonts w:ascii="Courier New" w:eastAsia="Courier New"/>
          <w:w w:val="95"/>
        </w:rPr>
        <w:t>4</w:t>
      </w:r>
      <w:r>
        <w:rPr>
          <w:w w:val="95"/>
        </w:rPr>
        <w:t>）发病 </w:t>
      </w:r>
      <w:r>
        <w:rPr>
          <w:rFonts w:ascii="Courier New" w:eastAsia="Courier New"/>
          <w:w w:val="95"/>
        </w:rPr>
        <w:t>90 </w:t>
      </w:r>
      <w:r>
        <w:rPr>
          <w:w w:val="95"/>
        </w:rPr>
        <w:t>天后，经检查证实左心室功能降低，如左心室射血分数低于 </w:t>
      </w:r>
      <w:r>
        <w:rPr>
          <w:rFonts w:ascii="Courier New" w:eastAsia="Courier New"/>
          <w:w w:val="95"/>
        </w:rPr>
        <w:t>50%</w:t>
      </w:r>
      <w:r>
        <w:rPr>
          <w:w w:val="95"/>
        </w:rPr>
        <w:t>。</w:t>
      </w:r>
    </w:p>
    <w:p>
      <w:pPr>
        <w:pStyle w:val="BodyText"/>
        <w:ind w:left="477"/>
      </w:pPr>
      <w:r>
        <w:rPr>
          <w:rFonts w:ascii="Courier New" w:eastAsia="Courier New"/>
        </w:rPr>
        <w:t>3</w:t>
      </w:r>
      <w:r>
        <w:rPr/>
        <w:t>、 脑中风后遗症：</w:t>
      </w:r>
    </w:p>
    <w:p>
      <w:pPr>
        <w:pStyle w:val="BodyText"/>
        <w:spacing w:line="256" w:lineRule="auto"/>
        <w:ind w:left="476" w:right="17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BodyText"/>
        <w:spacing w:before="21"/>
        <w:ind w:left="835"/>
      </w:pPr>
      <w:r>
        <w:rPr>
          <w:w w:val="95"/>
        </w:rPr>
        <w:t>（</w:t>
      </w:r>
      <w:r>
        <w:rPr>
          <w:rFonts w:ascii="Courier New" w:eastAsia="Courier New"/>
          <w:w w:val="95"/>
        </w:rPr>
        <w:t>1</w:t>
      </w:r>
      <w:r>
        <w:rPr>
          <w:w w:val="95"/>
        </w:rPr>
        <w:t>）一肢或一肢以上肢体机能完全丧失；</w:t>
      </w:r>
    </w:p>
    <w:p>
      <w:pPr>
        <w:pStyle w:val="BodyText"/>
        <w:ind w:left="835"/>
      </w:pPr>
      <w:r>
        <w:rPr>
          <w:w w:val="95"/>
        </w:rPr>
        <w:t>（</w:t>
      </w:r>
      <w:r>
        <w:rPr>
          <w:rFonts w:ascii="Courier New" w:eastAsia="Courier New"/>
          <w:w w:val="95"/>
        </w:rPr>
        <w:t>2</w:t>
      </w:r>
      <w:r>
        <w:rPr>
          <w:w w:val="95"/>
        </w:rPr>
        <w:t>）语言能力或咀嚼吞咽能力完全丧失；</w:t>
      </w:r>
    </w:p>
    <w:p>
      <w:pPr>
        <w:pStyle w:val="BodyText"/>
        <w:spacing w:line="242" w:lineRule="auto"/>
        <w:ind w:left="1255" w:right="176" w:hanging="42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4"/>
        <w:ind w:left="477"/>
      </w:pPr>
      <w:r>
        <w:rPr>
          <w:rFonts w:ascii="Courier New" w:eastAsia="Courier New"/>
        </w:rPr>
        <w:t>4</w:t>
      </w:r>
      <w:r>
        <w:rPr/>
        <w:t>、 重大器官移植术或造血干细胞移植术：</w:t>
      </w:r>
    </w:p>
    <w:p>
      <w:pPr>
        <w:pStyle w:val="BodyText"/>
        <w:spacing w:line="273" w:lineRule="auto"/>
        <w:ind w:left="476" w:right="17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w:t>
      </w:r>
    </w:p>
    <w:p>
      <w:pPr>
        <w:spacing w:after="0" w:line="273" w:lineRule="auto"/>
        <w:jc w:val="both"/>
        <w:sectPr>
          <w:pgSz w:w="11900" w:h="16840"/>
          <w:pgMar w:header="896" w:footer="1008" w:top="1280" w:bottom="1200" w:left="1680" w:right="1540"/>
        </w:sectPr>
      </w:pPr>
    </w:p>
    <w:p>
      <w:pPr>
        <w:pStyle w:val="BodyText"/>
        <w:spacing w:before="133"/>
        <w:ind w:left="476"/>
      </w:pPr>
      <w:r>
        <w:rPr/>
        <w:t>植手术。</w:t>
      </w:r>
    </w:p>
    <w:p>
      <w:pPr>
        <w:pStyle w:val="BodyText"/>
        <w:spacing w:before="36"/>
        <w:ind w:left="477"/>
      </w:pPr>
      <w:r>
        <w:rPr>
          <w:rFonts w:ascii="Courier New" w:eastAsia="Courier New"/>
          <w:w w:val="83"/>
        </w:rPr>
        <w:t>5</w:t>
      </w:r>
      <w:r>
        <w:rPr>
          <w:spacing w:val="-7"/>
        </w:rPr>
        <w:t>、  冠状动脉搭桥术</w:t>
      </w:r>
      <w:r>
        <w:rPr>
          <w:spacing w:val="0"/>
        </w:rPr>
        <w:t>（</w:t>
      </w:r>
      <w:r>
        <w:rPr/>
        <w:t>或称冠状动脉旁路移植术</w:t>
      </w:r>
      <w:r>
        <w:rPr>
          <w:spacing w:val="-106"/>
        </w:rPr>
        <w:t>）</w:t>
      </w:r>
      <w:r>
        <w:rPr/>
        <w:t>：</w:t>
      </w:r>
    </w:p>
    <w:p>
      <w:pPr>
        <w:pStyle w:val="BodyText"/>
        <w:spacing w:line="273" w:lineRule="auto"/>
        <w:ind w:left="896" w:right="110" w:firstLine="61"/>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7"/>
        <w:ind w:left="476"/>
      </w:pPr>
      <w:r>
        <w:rPr/>
        <w:t>腔镜手术不在保障范围内。</w:t>
      </w:r>
    </w:p>
    <w:p>
      <w:pPr>
        <w:pStyle w:val="BodyText"/>
        <w:spacing w:before="36"/>
        <w:ind w:left="477"/>
      </w:pPr>
      <w:r>
        <w:rPr>
          <w:rFonts w:ascii="Courier New" w:eastAsia="Courier New"/>
          <w:w w:val="83"/>
        </w:rPr>
        <w:t>6</w:t>
      </w:r>
      <w:r>
        <w:rPr>
          <w:spacing w:val="-7"/>
        </w:rPr>
        <w:t>、  终末期肾病</w:t>
      </w:r>
      <w:r>
        <w:rPr>
          <w:spacing w:val="0"/>
        </w:rPr>
        <w:t>（</w:t>
      </w:r>
      <w:r>
        <w:rPr/>
        <w:t>或称慢性肾功能衰竭尿毒症期</w:t>
      </w:r>
      <w:r>
        <w:rPr>
          <w:spacing w:val="-106"/>
        </w:rPr>
        <w:t>）</w:t>
      </w:r>
      <w:r>
        <w:rPr/>
        <w:t>：</w:t>
      </w:r>
    </w:p>
    <w:p>
      <w:pPr>
        <w:pStyle w:val="BodyText"/>
        <w:spacing w:line="242" w:lineRule="auto"/>
        <w:ind w:left="476" w:right="139" w:firstLine="478"/>
      </w:pPr>
      <w:r>
        <w:rPr/>
        <w:t>指双肾功能慢性不可逆性衰竭，达到尿毒症期，经诊断后已经进行了至少 </w:t>
      </w:r>
      <w:r>
        <w:rPr>
          <w:rFonts w:ascii="Courier New" w:eastAsia="Courier New"/>
        </w:rPr>
        <w:t>90 </w:t>
      </w:r>
      <w:r>
        <w:rPr/>
        <w:t>天的规律性透析治疗或实施了肾脏移植手术。</w:t>
      </w:r>
    </w:p>
    <w:p>
      <w:pPr>
        <w:pStyle w:val="BodyText"/>
        <w:spacing w:before="35"/>
        <w:ind w:left="477"/>
      </w:pPr>
      <w:r>
        <w:rPr>
          <w:rFonts w:ascii="Courier New" w:eastAsia="Courier New"/>
        </w:rPr>
        <w:t>7</w:t>
      </w:r>
      <w:r>
        <w:rPr/>
        <w:t>、 多个肢体缺失：</w:t>
      </w:r>
    </w:p>
    <w:p>
      <w:pPr>
        <w:pStyle w:val="BodyText"/>
        <w:spacing w:line="273" w:lineRule="auto"/>
        <w:ind w:left="476" w:right="41" w:firstLine="420"/>
      </w:pPr>
      <w:r>
        <w:rPr/>
        <w:t>指因疾病或意外伤害导致两个或两个以上肢体自腕关节或踝关节近端（靠近躯干端） 以上完全性断离。</w:t>
      </w:r>
    </w:p>
    <w:p>
      <w:pPr>
        <w:pStyle w:val="BodyText"/>
        <w:spacing w:before="7"/>
        <w:ind w:left="477"/>
      </w:pPr>
      <w:r>
        <w:rPr>
          <w:rFonts w:ascii="Courier New" w:eastAsia="Courier New"/>
        </w:rPr>
        <w:t>8</w:t>
      </w:r>
      <w:r>
        <w:rPr/>
        <w:t>、 急性或亚急性重症肝炎：</w:t>
      </w:r>
    </w:p>
    <w:p>
      <w:pPr>
        <w:pStyle w:val="BodyText"/>
        <w:spacing w:line="273" w:lineRule="auto"/>
        <w:ind w:left="476" w:right="169" w:firstLine="478"/>
      </w:pPr>
      <w:r>
        <w:rPr/>
        <w:t>指因肝炎病毒感染引起肝脏组织弥漫性坏死，导致急性肝功能衰竭，且经血清学或病毒学检查证实，并须满足下列全部条件：</w:t>
      </w:r>
    </w:p>
    <w:p>
      <w:pPr>
        <w:pStyle w:val="BodyText"/>
        <w:spacing w:before="7"/>
        <w:ind w:left="835"/>
      </w:pPr>
      <w:r>
        <w:rPr>
          <w:w w:val="95"/>
        </w:rPr>
        <w:t>（</w:t>
      </w:r>
      <w:r>
        <w:rPr>
          <w:rFonts w:ascii="Courier New" w:eastAsia="Courier New"/>
          <w:w w:val="95"/>
        </w:rPr>
        <w:t>1</w:t>
      </w:r>
      <w:r>
        <w:rPr>
          <w:w w:val="95"/>
        </w:rPr>
        <w:t>）重度黄疸或黄疸迅速加重；</w:t>
      </w:r>
    </w:p>
    <w:p>
      <w:pPr>
        <w:pStyle w:val="BodyText"/>
        <w:ind w:left="835"/>
      </w:pPr>
      <w:r>
        <w:rPr>
          <w:w w:val="95"/>
        </w:rPr>
        <w:t>（</w:t>
      </w:r>
      <w:r>
        <w:rPr>
          <w:rFonts w:ascii="Courier New" w:eastAsia="Courier New"/>
          <w:w w:val="95"/>
        </w:rPr>
        <w:t>2</w:t>
      </w:r>
      <w:r>
        <w:rPr>
          <w:w w:val="95"/>
        </w:rPr>
        <w:t>）肝性脑病；</w:t>
      </w:r>
    </w:p>
    <w:p>
      <w:pPr>
        <w:pStyle w:val="BodyText"/>
        <w:ind w:left="835"/>
      </w:pPr>
      <w:r>
        <w:rPr>
          <w:w w:val="95"/>
        </w:rPr>
        <w:t>（</w:t>
      </w:r>
      <w:r>
        <w:rPr>
          <w:rFonts w:ascii="Courier New" w:eastAsia="Courier New"/>
          <w:w w:val="95"/>
        </w:rPr>
        <w:t>3</w:t>
      </w:r>
      <w:r>
        <w:rPr>
          <w:w w:val="95"/>
        </w:rPr>
        <w:t>）</w:t>
      </w:r>
      <w:r>
        <w:rPr>
          <w:rFonts w:ascii="Courier New" w:eastAsia="Courier New"/>
          <w:w w:val="95"/>
        </w:rPr>
        <w:t>B  </w:t>
      </w:r>
      <w:r>
        <w:rPr>
          <w:w w:val="95"/>
        </w:rPr>
        <w:t>超或其它影像学检查显示肝脏体积急速萎缩；</w:t>
      </w:r>
    </w:p>
    <w:p>
      <w:pPr>
        <w:pStyle w:val="BodyText"/>
        <w:ind w:left="835"/>
      </w:pPr>
      <w:r>
        <w:rPr>
          <w:w w:val="95"/>
        </w:rPr>
        <w:t>（</w:t>
      </w:r>
      <w:r>
        <w:rPr>
          <w:rFonts w:ascii="Courier New" w:eastAsia="Courier New"/>
          <w:w w:val="95"/>
        </w:rPr>
        <w:t>4</w:t>
      </w:r>
      <w:r>
        <w:rPr>
          <w:w w:val="95"/>
        </w:rPr>
        <w:t>）肝功能指标进行性恶化。</w:t>
      </w:r>
    </w:p>
    <w:p>
      <w:pPr>
        <w:pStyle w:val="BodyText"/>
        <w:ind w:left="477"/>
      </w:pPr>
      <w:r>
        <w:rPr>
          <w:rFonts w:ascii="Courier New" w:eastAsia="Courier New"/>
        </w:rPr>
        <w:t>9</w:t>
      </w:r>
      <w:r>
        <w:rPr/>
        <w:t>、 良性脑肿瘤：</w:t>
      </w:r>
    </w:p>
    <w:p>
      <w:pPr>
        <w:pStyle w:val="BodyText"/>
        <w:spacing w:line="256" w:lineRule="auto"/>
        <w:ind w:left="476" w:right="202" w:firstLine="478"/>
        <w:jc w:val="both"/>
      </w:pPr>
      <w:r>
        <w:rPr/>
        <w:t>指脑的良性肿瘤，已经引起颅内压增高，临床表现为视神经乳头水肿、精神症状、</w:t>
      </w:r>
      <w:r>
        <w:rPr>
          <w:spacing w:val="0"/>
        </w:rPr>
        <w:t>癫痫及运动感觉障碍等，并危及生命。须由头颅断层扫描</w:t>
      </w:r>
      <w:r>
        <w:rPr>
          <w:spacing w:val="1"/>
        </w:rPr>
        <w:t>（</w:t>
      </w:r>
      <w:r>
        <w:rPr>
          <w:rFonts w:ascii="Courier New" w:eastAsia="Courier New"/>
          <w:spacing w:val="-1"/>
          <w:w w:val="83"/>
        </w:rPr>
        <w:t>C</w:t>
      </w:r>
      <w:r>
        <w:rPr>
          <w:rFonts w:ascii="Courier New" w:eastAsia="Courier New"/>
          <w:w w:val="83"/>
        </w:rPr>
        <w:t>T</w:t>
      </w:r>
      <w:r>
        <w:rPr>
          <w:spacing w:val="-104"/>
        </w:rPr>
        <w:t>）</w:t>
      </w:r>
      <w:r>
        <w:rPr/>
        <w:t>、核磁共振检查</w:t>
      </w:r>
      <w:r>
        <w:rPr>
          <w:spacing w:val="1"/>
        </w:rPr>
        <w:t>（</w:t>
      </w:r>
      <w:r>
        <w:rPr>
          <w:rFonts w:ascii="Courier New" w:eastAsia="Courier New"/>
          <w:spacing w:val="-1"/>
          <w:w w:val="83"/>
        </w:rPr>
        <w:t>M</w:t>
      </w:r>
      <w:r>
        <w:rPr>
          <w:rFonts w:ascii="Courier New" w:eastAsia="Courier New"/>
          <w:w w:val="83"/>
        </w:rPr>
        <w:t>RI</w:t>
      </w:r>
      <w:r>
        <w:rPr/>
        <w:t>）</w:t>
      </w:r>
      <w:r>
        <w:rPr>
          <w:w w:val="95"/>
        </w:rPr>
        <w:t>或正电子发射断层扫描（</w:t>
      </w:r>
      <w:r>
        <w:rPr>
          <w:rFonts w:ascii="Courier New" w:eastAsia="Courier New"/>
          <w:w w:val="95"/>
        </w:rPr>
        <w:t>PET</w:t>
      </w:r>
      <w:r>
        <w:rPr>
          <w:w w:val="95"/>
        </w:rPr>
        <w:t>）等影像学检查证实，并须满足下列至少一项条件：</w:t>
      </w:r>
    </w:p>
    <w:p>
      <w:pPr>
        <w:pStyle w:val="BodyText"/>
        <w:spacing w:line="295" w:lineRule="exact" w:before="0"/>
        <w:ind w:left="896"/>
      </w:pPr>
      <w:r>
        <w:rPr>
          <w:w w:val="95"/>
        </w:rPr>
        <w:t>（</w:t>
      </w:r>
      <w:r>
        <w:rPr>
          <w:rFonts w:ascii="Courier New" w:eastAsia="Courier New"/>
          <w:w w:val="95"/>
        </w:rPr>
        <w:t>1</w:t>
      </w:r>
      <w:r>
        <w:rPr>
          <w:w w:val="95"/>
        </w:rPr>
        <w:t>）实际实施了开颅进行的脑肿瘤完全切除或部分切除的手术；</w:t>
      </w:r>
    </w:p>
    <w:p>
      <w:pPr>
        <w:pStyle w:val="BodyText"/>
        <w:spacing w:before="4"/>
        <w:ind w:left="896"/>
      </w:pPr>
      <w:r>
        <w:rPr>
          <w:w w:val="95"/>
        </w:rPr>
        <w:t>（</w:t>
      </w:r>
      <w:r>
        <w:rPr>
          <w:rFonts w:ascii="Courier New" w:eastAsia="Courier New"/>
          <w:w w:val="95"/>
        </w:rPr>
        <w:t>2</w:t>
      </w:r>
      <w:r>
        <w:rPr>
          <w:w w:val="95"/>
        </w:rPr>
        <w:t>）实际实施了对脑肿瘤进行的放射治疗。</w:t>
      </w:r>
    </w:p>
    <w:p>
      <w:pPr>
        <w:pStyle w:val="BodyText"/>
        <w:ind w:left="896"/>
      </w:pPr>
      <w:r>
        <w:rPr/>
        <w:t>脑垂体瘤、脑囊肿、脑血管性疾病不在保障范围内。</w:t>
      </w:r>
    </w:p>
    <w:p>
      <w:pPr>
        <w:pStyle w:val="BodyText"/>
        <w:spacing w:before="36"/>
        <w:ind w:left="477"/>
      </w:pPr>
      <w:r>
        <w:rPr>
          <w:rFonts w:ascii="Courier New" w:eastAsia="Courier New"/>
        </w:rPr>
        <w:t>10</w:t>
      </w:r>
      <w:r>
        <w:rPr/>
        <w:t>、 慢性肝功能衰竭失代偿期：</w:t>
      </w:r>
    </w:p>
    <w:p>
      <w:pPr>
        <w:pStyle w:val="BodyText"/>
        <w:ind w:left="957"/>
      </w:pPr>
      <w:r>
        <w:rPr/>
        <w:t>指因慢性肝脏疾病导致肝功能衰竭。须满足下列全部条件：</w:t>
      </w:r>
    </w:p>
    <w:p>
      <w:pPr>
        <w:pStyle w:val="BodyText"/>
        <w:spacing w:before="37"/>
        <w:ind w:left="957"/>
      </w:pPr>
      <w:r>
        <w:rPr>
          <w:w w:val="95"/>
        </w:rPr>
        <w:t>（</w:t>
      </w:r>
      <w:r>
        <w:rPr>
          <w:rFonts w:ascii="Courier New" w:eastAsia="Courier New"/>
          <w:w w:val="95"/>
        </w:rPr>
        <w:t>1</w:t>
      </w:r>
      <w:r>
        <w:rPr>
          <w:w w:val="95"/>
        </w:rPr>
        <w:t>）持续性黄疸；</w:t>
      </w:r>
    </w:p>
    <w:p>
      <w:pPr>
        <w:pStyle w:val="BodyText"/>
        <w:ind w:left="957"/>
      </w:pPr>
      <w:r>
        <w:rPr>
          <w:w w:val="95"/>
        </w:rPr>
        <w:t>（</w:t>
      </w:r>
      <w:r>
        <w:rPr>
          <w:rFonts w:ascii="Courier New" w:eastAsia="Courier New"/>
          <w:w w:val="95"/>
        </w:rPr>
        <w:t>2</w:t>
      </w:r>
      <w:r>
        <w:rPr>
          <w:w w:val="95"/>
        </w:rPr>
        <w:t>）腹水；</w:t>
      </w:r>
    </w:p>
    <w:p>
      <w:pPr>
        <w:pStyle w:val="BodyText"/>
        <w:ind w:left="957"/>
      </w:pPr>
      <w:r>
        <w:rPr>
          <w:w w:val="95"/>
        </w:rPr>
        <w:t>（</w:t>
      </w:r>
      <w:r>
        <w:rPr>
          <w:rFonts w:ascii="Courier New" w:eastAsia="Courier New"/>
          <w:w w:val="95"/>
        </w:rPr>
        <w:t>3</w:t>
      </w:r>
      <w:r>
        <w:rPr>
          <w:w w:val="95"/>
        </w:rPr>
        <w:t>）肝性脑病；</w:t>
      </w:r>
    </w:p>
    <w:p>
      <w:pPr>
        <w:pStyle w:val="BodyText"/>
        <w:spacing w:line="242" w:lineRule="auto"/>
        <w:ind w:left="896" w:right="2616" w:firstLine="61"/>
      </w:pPr>
      <w:r>
        <w:rPr>
          <w:w w:val="95"/>
        </w:rPr>
        <w:t>（</w:t>
      </w:r>
      <w:r>
        <w:rPr>
          <w:rFonts w:ascii="Courier New" w:eastAsia="Courier New"/>
          <w:w w:val="95"/>
        </w:rPr>
        <w:t>4</w:t>
      </w:r>
      <w:r>
        <w:rPr>
          <w:w w:val="95"/>
        </w:rPr>
        <w:t>）充血性脾肿大伴脾功能亢进或食管胃底静脉曲张。 </w:t>
      </w:r>
      <w:r>
        <w:rPr/>
        <w:t>因酗酒或药物滥用导致的肝功能衰竭不在保障范围内。</w:t>
      </w:r>
    </w:p>
    <w:p>
      <w:pPr>
        <w:pStyle w:val="BodyText"/>
        <w:spacing w:before="34"/>
        <w:ind w:left="477"/>
      </w:pPr>
      <w:r>
        <w:rPr>
          <w:rFonts w:ascii="Courier New" w:eastAsia="Courier New"/>
          <w:w w:val="95"/>
        </w:rPr>
        <w:t>11</w:t>
      </w:r>
      <w:r>
        <w:rPr>
          <w:w w:val="95"/>
        </w:rPr>
        <w:t>、 深度昏迷：</w:t>
      </w:r>
    </w:p>
    <w:p>
      <w:pPr>
        <w:pStyle w:val="BodyText"/>
        <w:spacing w:line="242" w:lineRule="auto"/>
        <w:ind w:left="476" w:right="214" w:firstLine="478"/>
        <w:jc w:val="both"/>
      </w:pPr>
      <w:r>
        <w:rPr>
          <w:spacing w:val="2"/>
          <w:w w:val="95"/>
        </w:rPr>
        <w:t>指因疾病或意外伤害导致意识丧失</w:t>
      </w:r>
      <w:r>
        <w:rPr>
          <w:rFonts w:ascii="Courier New" w:eastAsia="Courier New"/>
          <w:spacing w:val="5"/>
          <w:w w:val="95"/>
        </w:rPr>
        <w:t>,</w:t>
      </w:r>
      <w:r>
        <w:rPr>
          <w:spacing w:val="2"/>
          <w:w w:val="95"/>
        </w:rPr>
        <w:t>对外界刺激和体内需求均无反应</w:t>
      </w:r>
      <w:r>
        <w:rPr>
          <w:rFonts w:ascii="Courier New" w:eastAsia="Courier New"/>
          <w:spacing w:val="5"/>
          <w:w w:val="95"/>
        </w:rPr>
        <w:t>,</w:t>
      </w:r>
      <w:r>
        <w:rPr>
          <w:spacing w:val="1"/>
          <w:w w:val="95"/>
        </w:rPr>
        <w:t>昏迷程度按  照格拉斯哥昏迷分级（</w:t>
      </w:r>
      <w:r>
        <w:rPr>
          <w:rFonts w:ascii="Courier New" w:eastAsia="Courier New"/>
          <w:spacing w:val="1"/>
          <w:w w:val="95"/>
        </w:rPr>
        <w:t>Glasgow</w:t>
      </w:r>
      <w:r>
        <w:rPr>
          <w:rFonts w:ascii="Courier New" w:eastAsia="Courier New"/>
          <w:spacing w:val="0"/>
          <w:w w:val="95"/>
        </w:rPr>
        <w:t> </w:t>
      </w:r>
      <w:r>
        <w:rPr>
          <w:rFonts w:ascii="Courier New" w:eastAsia="Courier New"/>
          <w:w w:val="95"/>
        </w:rPr>
        <w:t>coma scale</w:t>
      </w:r>
      <w:r>
        <w:rPr>
          <w:w w:val="95"/>
        </w:rPr>
        <w:t>）</w:t>
      </w:r>
      <w:r>
        <w:rPr>
          <w:spacing w:val="-9"/>
          <w:w w:val="95"/>
        </w:rPr>
        <w:t>结果为 </w:t>
      </w:r>
      <w:r>
        <w:rPr>
          <w:rFonts w:ascii="Courier New" w:eastAsia="Courier New"/>
          <w:w w:val="95"/>
        </w:rPr>
        <w:t>5</w:t>
      </w:r>
      <w:r>
        <w:rPr>
          <w:rFonts w:ascii="Courier New" w:eastAsia="Courier New"/>
          <w:spacing w:val="-57"/>
          <w:w w:val="95"/>
        </w:rPr>
        <w:t> </w:t>
      </w:r>
      <w:r>
        <w:rPr>
          <w:spacing w:val="-12"/>
          <w:w w:val="95"/>
        </w:rPr>
        <w:t>分或 </w:t>
      </w:r>
      <w:r>
        <w:rPr>
          <w:rFonts w:ascii="Courier New" w:eastAsia="Courier New"/>
          <w:w w:val="95"/>
        </w:rPr>
        <w:t>5</w:t>
      </w:r>
      <w:r>
        <w:rPr>
          <w:rFonts w:ascii="Courier New" w:eastAsia="Courier New"/>
          <w:spacing w:val="-55"/>
          <w:w w:val="95"/>
        </w:rPr>
        <w:t> </w:t>
      </w:r>
      <w:r>
        <w:rPr>
          <w:w w:val="95"/>
        </w:rPr>
        <w:t>分以下，且已经持续使用</w:t>
      </w:r>
      <w:r>
        <w:rPr>
          <w:spacing w:val="-6"/>
        </w:rPr>
        <w:t>呼吸机及其它生命维持系统 </w:t>
      </w:r>
      <w:r>
        <w:rPr>
          <w:rFonts w:ascii="Courier New" w:eastAsia="Courier New"/>
        </w:rPr>
        <w:t>96</w:t>
      </w:r>
      <w:r>
        <w:rPr>
          <w:rFonts w:ascii="Courier New" w:eastAsia="Courier New"/>
          <w:spacing w:val="-96"/>
        </w:rPr>
        <w:t> </w:t>
      </w:r>
      <w:r>
        <w:rPr/>
        <w:t>小时以上。</w:t>
      </w:r>
    </w:p>
    <w:p>
      <w:pPr>
        <w:pStyle w:val="BodyText"/>
        <w:spacing w:before="1"/>
        <w:ind w:left="896"/>
      </w:pPr>
      <w:r>
        <w:rPr/>
        <w:t>因酗酒或药物滥用导致的深度昏迷不在保障范围内。</w:t>
      </w:r>
    </w:p>
    <w:p>
      <w:pPr>
        <w:pStyle w:val="BodyText"/>
        <w:spacing w:before="37"/>
        <w:ind w:left="477"/>
      </w:pPr>
      <w:r>
        <w:rPr>
          <w:rFonts w:ascii="Courier New" w:eastAsia="Courier New"/>
          <w:w w:val="95"/>
        </w:rPr>
        <w:t>12</w:t>
      </w:r>
      <w:r>
        <w:rPr>
          <w:w w:val="95"/>
        </w:rPr>
        <w:t>、 双耳失聪：</w:t>
      </w:r>
    </w:p>
    <w:p>
      <w:pPr>
        <w:pStyle w:val="BodyText"/>
        <w:ind w:left="896"/>
        <w:rPr>
          <w:rFonts w:ascii="Courier New" w:eastAsia="Courier New"/>
        </w:rPr>
      </w:pPr>
      <w:r>
        <w:rPr>
          <w:spacing w:val="-4"/>
          <w:w w:val="95"/>
        </w:rPr>
        <w:t>指因疾病或意外伤害导致双耳听力永久不可逆性丧失，在</w:t>
      </w:r>
      <w:r>
        <w:rPr>
          <w:rFonts w:ascii="Courier New" w:eastAsia="Courier New"/>
          <w:w w:val="95"/>
        </w:rPr>
        <w:t>500 </w:t>
      </w:r>
      <w:r>
        <w:rPr>
          <w:spacing w:val="-35"/>
          <w:w w:val="95"/>
        </w:rPr>
        <w:t>赫兹、</w:t>
      </w:r>
      <w:r>
        <w:rPr>
          <w:rFonts w:ascii="Courier New" w:eastAsia="Courier New"/>
          <w:w w:val="95"/>
        </w:rPr>
        <w:t>1000 </w:t>
      </w:r>
      <w:r>
        <w:rPr>
          <w:spacing w:val="-2"/>
          <w:w w:val="95"/>
        </w:rPr>
        <w:t>赫兹和 </w:t>
      </w:r>
      <w:r>
        <w:rPr>
          <w:rFonts w:ascii="Courier New" w:eastAsia="Courier New"/>
          <w:w w:val="95"/>
        </w:rPr>
        <w:t>2000</w:t>
      </w:r>
    </w:p>
    <w:p>
      <w:pPr>
        <w:pStyle w:val="BodyText"/>
        <w:spacing w:line="242" w:lineRule="auto"/>
        <w:ind w:left="476" w:right="214"/>
      </w:pPr>
      <w:r>
        <w:rPr>
          <w:spacing w:val="-8"/>
        </w:rPr>
        <w:t>赫兹语音频率下，平均听阈大于 </w:t>
      </w:r>
      <w:r>
        <w:rPr>
          <w:rFonts w:ascii="Courier New" w:eastAsia="Courier New"/>
        </w:rPr>
        <w:t>90</w:t>
      </w:r>
      <w:r>
        <w:rPr>
          <w:rFonts w:ascii="Courier New" w:eastAsia="Courier New"/>
          <w:spacing w:val="-95"/>
        </w:rPr>
        <w:t> </w:t>
      </w:r>
      <w:r>
        <w:rPr>
          <w:spacing w:val="-7"/>
        </w:rPr>
        <w:t>分贝，且经纯音听力测试、声导抗检测或听觉诱发电位检测等证实。</w:t>
      </w:r>
    </w:p>
    <w:p>
      <w:pPr>
        <w:pStyle w:val="BodyText"/>
        <w:spacing w:before="35"/>
        <w:ind w:left="477"/>
      </w:pPr>
      <w:r>
        <w:rPr>
          <w:rFonts w:ascii="Courier New" w:eastAsia="Courier New"/>
          <w:w w:val="95"/>
        </w:rPr>
        <w:t>13</w:t>
      </w:r>
      <w:r>
        <w:rPr>
          <w:w w:val="95"/>
        </w:rPr>
        <w:t>、 双目失明：</w:t>
      </w:r>
    </w:p>
    <w:p>
      <w:pPr>
        <w:pStyle w:val="BodyText"/>
        <w:ind w:left="955"/>
      </w:pPr>
      <w:r>
        <w:rPr/>
        <w:t>指因疾病或意外伤害导致双眼视力永久不可逆性丧失，双眼中较好眼须满足下列至</w:t>
      </w:r>
    </w:p>
    <w:p>
      <w:pPr>
        <w:spacing w:after="0"/>
        <w:sectPr>
          <w:pgSz w:w="11900" w:h="16840"/>
          <w:pgMar w:header="896" w:footer="1008" w:top="1280" w:bottom="1200" w:left="1680" w:right="1500"/>
        </w:sectPr>
      </w:pPr>
    </w:p>
    <w:p>
      <w:pPr>
        <w:pStyle w:val="BodyText"/>
        <w:spacing w:before="133"/>
        <w:ind w:left="476"/>
      </w:pPr>
      <w:r>
        <w:rPr/>
        <w:t>少一项条件：</w:t>
      </w:r>
    </w:p>
    <w:p>
      <w:pPr>
        <w:pStyle w:val="BodyText"/>
        <w:spacing w:before="36"/>
        <w:ind w:left="896"/>
      </w:pPr>
      <w:r>
        <w:rPr>
          <w:w w:val="95"/>
        </w:rPr>
        <w:t>（</w:t>
      </w:r>
      <w:r>
        <w:rPr>
          <w:rFonts w:ascii="Courier New" w:eastAsia="Courier New"/>
          <w:w w:val="95"/>
        </w:rPr>
        <w:t>1</w:t>
      </w:r>
      <w:r>
        <w:rPr>
          <w:w w:val="95"/>
        </w:rPr>
        <w:t>）眼球缺失或摘除；</w:t>
      </w:r>
    </w:p>
    <w:p>
      <w:pPr>
        <w:pStyle w:val="BodyText"/>
        <w:ind w:left="896"/>
      </w:pPr>
      <w:r>
        <w:rPr/>
        <w:t>（</w:t>
      </w:r>
      <w:r>
        <w:rPr>
          <w:rFonts w:ascii="Courier New" w:eastAsia="Courier New"/>
          <w:w w:val="83"/>
        </w:rPr>
        <w:t>2</w:t>
      </w:r>
      <w:r>
        <w:rPr>
          <w:spacing w:val="-38"/>
        </w:rPr>
        <w:t>）</w:t>
      </w:r>
      <w:r>
        <w:rPr>
          <w:spacing w:val="-9"/>
        </w:rPr>
        <w:t>矫正视力低于 </w:t>
      </w:r>
      <w:r>
        <w:rPr>
          <w:rFonts w:ascii="Courier New" w:eastAsia="Courier New"/>
          <w:w w:val="83"/>
        </w:rPr>
        <w:t>0</w:t>
      </w:r>
      <w:r>
        <w:rPr>
          <w:rFonts w:ascii="Courier New" w:eastAsia="Courier New"/>
          <w:spacing w:val="-1"/>
          <w:w w:val="83"/>
        </w:rPr>
        <w:t>.</w:t>
      </w:r>
      <w:r>
        <w:rPr>
          <w:rFonts w:ascii="Courier New" w:eastAsia="Courier New"/>
          <w:w w:val="83"/>
        </w:rPr>
        <w:t>0</w:t>
      </w:r>
      <w:r>
        <w:rPr>
          <w:rFonts w:ascii="Courier New" w:eastAsia="Courier New"/>
          <w:spacing w:val="-38"/>
          <w:w w:val="83"/>
        </w:rPr>
        <w:t>2</w:t>
      </w:r>
      <w:r>
        <w:rPr/>
        <w:t>（</w:t>
      </w:r>
      <w:r>
        <w:rPr>
          <w:spacing w:val="-4"/>
        </w:rPr>
        <w:t>采用国际标准视力表，如果使用其它视力表应进行换算</w:t>
      </w:r>
      <w:r>
        <w:rPr>
          <w:spacing w:val="-105"/>
        </w:rPr>
        <w:t>）</w:t>
      </w:r>
      <w:r>
        <w:rPr/>
        <w:t>；</w:t>
      </w:r>
    </w:p>
    <w:p>
      <w:pPr>
        <w:pStyle w:val="BodyText"/>
        <w:ind w:left="896"/>
      </w:pPr>
      <w:r>
        <w:rPr/>
        <w:t>（</w:t>
      </w:r>
      <w:r>
        <w:rPr>
          <w:rFonts w:ascii="Courier New" w:eastAsia="Courier New"/>
        </w:rPr>
        <w:t>3</w:t>
      </w:r>
      <w:r>
        <w:rPr/>
        <w:t>）</w:t>
      </w:r>
      <w:r>
        <w:rPr>
          <w:spacing w:val="-11"/>
        </w:rPr>
        <w:t>视野半径小于 </w:t>
      </w:r>
      <w:r>
        <w:rPr>
          <w:rFonts w:ascii="Courier New" w:eastAsia="Courier New"/>
        </w:rPr>
        <w:t>5</w:t>
      </w:r>
      <w:r>
        <w:rPr>
          <w:rFonts w:ascii="Courier New" w:eastAsia="Courier New"/>
          <w:spacing w:val="-96"/>
        </w:rPr>
        <w:t> </w:t>
      </w:r>
      <w:r>
        <w:rPr/>
        <w:t>度。</w:t>
      </w:r>
    </w:p>
    <w:p>
      <w:pPr>
        <w:pStyle w:val="BodyText"/>
        <w:ind w:left="477"/>
      </w:pPr>
      <w:r>
        <w:rPr>
          <w:rFonts w:ascii="Courier New" w:eastAsia="Courier New"/>
          <w:w w:val="95"/>
        </w:rPr>
        <w:t>14</w:t>
      </w:r>
      <w:r>
        <w:rPr>
          <w:w w:val="95"/>
        </w:rPr>
        <w:t>、 瘫痪：</w:t>
      </w:r>
    </w:p>
    <w:p>
      <w:pPr>
        <w:pStyle w:val="BodyText"/>
        <w:spacing w:line="256" w:lineRule="auto"/>
        <w:ind w:left="476" w:right="213" w:firstLine="420"/>
        <w:jc w:val="both"/>
      </w:pPr>
      <w:r>
        <w:rPr/>
        <w:t>指因疾病或意外伤害导致两肢或两肢以上肢体机能永久完全丧失。肢体机能永久完</w:t>
      </w:r>
      <w:r>
        <w:rPr>
          <w:spacing w:val="-8"/>
        </w:rPr>
        <w:t>全丧失，指疾病确诊 </w:t>
      </w:r>
      <w:r>
        <w:rPr>
          <w:rFonts w:ascii="Courier New" w:eastAsia="Courier New"/>
        </w:rPr>
        <w:t>180</w:t>
      </w:r>
      <w:r>
        <w:rPr>
          <w:rFonts w:ascii="Courier New" w:eastAsia="Courier New"/>
          <w:spacing w:val="-94"/>
        </w:rPr>
        <w:t> </w:t>
      </w:r>
      <w:r>
        <w:rPr>
          <w:spacing w:val="-8"/>
        </w:rPr>
        <w:t>天后或意外伤害发生 </w:t>
      </w:r>
      <w:r>
        <w:rPr>
          <w:rFonts w:ascii="Courier New" w:eastAsia="Courier New"/>
        </w:rPr>
        <w:t>180</w:t>
      </w:r>
      <w:r>
        <w:rPr>
          <w:rFonts w:ascii="Courier New" w:eastAsia="Courier New"/>
          <w:spacing w:val="-94"/>
        </w:rPr>
        <w:t> </w:t>
      </w:r>
      <w:r>
        <w:rPr/>
        <w:t>天后，每肢三大关节中的两大关节仍然完全僵硬，或不能随意识活动。</w:t>
      </w:r>
    </w:p>
    <w:p>
      <w:pPr>
        <w:pStyle w:val="BodyText"/>
        <w:spacing w:before="22"/>
        <w:ind w:left="477"/>
      </w:pPr>
      <w:r>
        <w:rPr>
          <w:rFonts w:ascii="Courier New" w:eastAsia="Courier New"/>
        </w:rPr>
        <w:t>15</w:t>
      </w:r>
      <w:r>
        <w:rPr/>
        <w:t>、 心脏瓣膜手术：</w:t>
      </w:r>
    </w:p>
    <w:p>
      <w:pPr>
        <w:pStyle w:val="BodyText"/>
        <w:ind w:left="896"/>
      </w:pPr>
      <w:r>
        <w:rPr/>
        <w:t>指为治疗心脏瓣膜疾病，实际实施了开胸进行的心脏瓣膜置换或修复的手术。</w:t>
      </w:r>
    </w:p>
    <w:p>
      <w:pPr>
        <w:pStyle w:val="BodyText"/>
        <w:spacing w:before="36"/>
        <w:ind w:left="477"/>
      </w:pPr>
      <w:r>
        <w:rPr>
          <w:rFonts w:ascii="Courier New" w:eastAsia="Courier New"/>
        </w:rPr>
        <w:t>16</w:t>
      </w:r>
      <w:r>
        <w:rPr/>
        <w:t>、 严重阿尔茨海默病：</w:t>
      </w:r>
    </w:p>
    <w:p>
      <w:pPr>
        <w:pStyle w:val="BodyText"/>
        <w:spacing w:line="261" w:lineRule="auto"/>
        <w:ind w:left="476" w:right="157" w:firstLine="478"/>
        <w:jc w:val="both"/>
      </w:pPr>
      <w:r>
        <w:rPr>
          <w:spacing w:val="-2"/>
        </w:rPr>
        <w:t>指因大脑进行性、不可逆性改变导致智能严重衰退或丧失，临床表现为明显的认知能力障碍、行为异常和社交能力减退，其日常生活必须持续受到他人监护。须由头颅断层扫描（</w:t>
      </w:r>
      <w:r>
        <w:rPr>
          <w:rFonts w:ascii="Courier New" w:eastAsia="Courier New"/>
          <w:spacing w:val="-2"/>
          <w:w w:val="83"/>
        </w:rPr>
        <w:t>C</w:t>
      </w:r>
      <w:r>
        <w:rPr>
          <w:rFonts w:ascii="Courier New" w:eastAsia="Courier New"/>
          <w:spacing w:val="-1"/>
          <w:w w:val="83"/>
        </w:rPr>
        <w:t>T</w:t>
      </w:r>
      <w:r>
        <w:rPr>
          <w:spacing w:val="-106"/>
        </w:rPr>
        <w:t>）</w:t>
      </w:r>
      <w:r>
        <w:rPr/>
        <w:t>、核磁共振检查（</w:t>
      </w:r>
      <w:r>
        <w:rPr>
          <w:rFonts w:ascii="Courier New" w:eastAsia="Courier New"/>
          <w:w w:val="83"/>
        </w:rPr>
        <w:t>M</w:t>
      </w:r>
      <w:r>
        <w:rPr>
          <w:rFonts w:ascii="Courier New" w:eastAsia="Courier New"/>
          <w:spacing w:val="-1"/>
          <w:w w:val="83"/>
        </w:rPr>
        <w:t>RI</w:t>
      </w:r>
      <w:r>
        <w:rPr/>
        <w:t>）或正电子发射断层扫描（</w:t>
      </w:r>
      <w:r>
        <w:rPr>
          <w:rFonts w:ascii="Courier New" w:eastAsia="Courier New"/>
          <w:w w:val="83"/>
        </w:rPr>
        <w:t>P</w:t>
      </w:r>
      <w:r>
        <w:rPr>
          <w:rFonts w:ascii="Courier New" w:eastAsia="Courier New"/>
          <w:spacing w:val="-1"/>
          <w:w w:val="83"/>
        </w:rPr>
        <w:t>ET</w:t>
      </w:r>
      <w:r>
        <w:rPr/>
        <w:t>）等影像学检查证实，且自主生活能力完全丧失，无法独立完成六项基本日常生活活动中的三项或三项以上。</w:t>
      </w:r>
    </w:p>
    <w:p>
      <w:pPr>
        <w:pStyle w:val="BodyText"/>
        <w:spacing w:before="18"/>
        <w:ind w:left="896"/>
      </w:pPr>
      <w:r>
        <w:rPr/>
        <w:t>神经官能症和精神疾病不在保障范围内。</w:t>
      </w:r>
    </w:p>
    <w:p>
      <w:pPr>
        <w:pStyle w:val="BodyText"/>
        <w:spacing w:before="37"/>
        <w:ind w:left="477"/>
      </w:pPr>
      <w:r>
        <w:rPr>
          <w:rFonts w:ascii="Courier New" w:eastAsia="Courier New"/>
          <w:w w:val="95"/>
        </w:rPr>
        <w:t>17</w:t>
      </w:r>
      <w:r>
        <w:rPr>
          <w:w w:val="95"/>
        </w:rPr>
        <w:t>、 严重脑损伤：</w:t>
      </w:r>
    </w:p>
    <w:p>
      <w:pPr>
        <w:pStyle w:val="BodyText"/>
        <w:spacing w:line="252" w:lineRule="auto"/>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71"/>
        </w:rPr>
        <w:t> </w:t>
      </w:r>
      <w:r>
        <w:rPr/>
        <w:t>天后，仍遗留下列一种或一种以上障碍：</w:t>
      </w:r>
    </w:p>
    <w:p>
      <w:pPr>
        <w:pStyle w:val="BodyText"/>
        <w:spacing w:before="26"/>
        <w:ind w:left="896"/>
      </w:pPr>
      <w:r>
        <w:rPr>
          <w:w w:val="95"/>
        </w:rPr>
        <w:t>（</w:t>
      </w:r>
      <w:r>
        <w:rPr>
          <w:rFonts w:ascii="Courier New" w:eastAsia="Courier New"/>
          <w:w w:val="95"/>
        </w:rPr>
        <w:t>1</w:t>
      </w:r>
      <w:r>
        <w:rPr>
          <w:w w:val="95"/>
        </w:rPr>
        <w:t>）一肢或一肢以上肢体机能完全丧失；</w:t>
      </w:r>
    </w:p>
    <w:p>
      <w:pPr>
        <w:pStyle w:val="BodyText"/>
        <w:ind w:left="896"/>
      </w:pPr>
      <w:r>
        <w:rPr>
          <w:w w:val="95"/>
        </w:rPr>
        <w:t>（</w:t>
      </w:r>
      <w:r>
        <w:rPr>
          <w:rFonts w:ascii="Courier New" w:eastAsia="Courier New"/>
          <w:w w:val="95"/>
        </w:rPr>
        <w:t>2</w:t>
      </w:r>
      <w:r>
        <w:rPr>
          <w:w w:val="95"/>
        </w:rPr>
        <w:t>）语言能力或咀嚼吞咽能力完全丧失；</w:t>
      </w:r>
    </w:p>
    <w:p>
      <w:pPr>
        <w:pStyle w:val="BodyText"/>
        <w:spacing w:line="242" w:lineRule="auto"/>
        <w:ind w:left="1255" w:right="216" w:hanging="42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5"/>
        <w:ind w:left="477"/>
      </w:pPr>
      <w:r>
        <w:rPr>
          <w:rFonts w:ascii="Courier New" w:eastAsia="Courier New"/>
        </w:rPr>
        <w:t>18</w:t>
      </w:r>
      <w:r>
        <w:rPr/>
        <w:t>、 严重帕金森病：</w:t>
      </w:r>
    </w:p>
    <w:p>
      <w:pPr>
        <w:pStyle w:val="BodyText"/>
        <w:spacing w:line="273" w:lineRule="auto"/>
        <w:ind w:left="476" w:right="170" w:firstLine="478"/>
      </w:pPr>
      <w:r>
        <w:rPr/>
        <w:t>是一种中枢神经系统的退行性疾病，临床表现为震颤麻痹、共济失调等。须满足下列全部条件：</w:t>
      </w:r>
    </w:p>
    <w:p>
      <w:pPr>
        <w:pStyle w:val="BodyText"/>
        <w:spacing w:before="7"/>
        <w:ind w:left="896"/>
      </w:pPr>
      <w:r>
        <w:rPr>
          <w:w w:val="95"/>
        </w:rPr>
        <w:t>（</w:t>
      </w:r>
      <w:r>
        <w:rPr>
          <w:rFonts w:ascii="Courier New" w:eastAsia="Courier New"/>
          <w:w w:val="95"/>
        </w:rPr>
        <w:t>1</w:t>
      </w:r>
      <w:r>
        <w:rPr>
          <w:w w:val="95"/>
        </w:rPr>
        <w:t>）药物治疗无法控制病情；</w:t>
      </w:r>
    </w:p>
    <w:p>
      <w:pPr>
        <w:pStyle w:val="BodyText"/>
        <w:spacing w:line="242" w:lineRule="auto"/>
        <w:ind w:left="1316" w:right="216" w:hanging="420"/>
      </w:pPr>
      <w:r>
        <w:rPr>
          <w:spacing w:val="-11"/>
          <w:w w:val="95"/>
        </w:rPr>
        <w:t>（</w:t>
      </w:r>
      <w:r>
        <w:rPr>
          <w:rFonts w:ascii="Courier New" w:eastAsia="Courier New"/>
          <w:spacing w:val="-11"/>
          <w:w w:val="95"/>
        </w:rPr>
        <w:t>2</w:t>
      </w:r>
      <w:r>
        <w:rPr>
          <w:spacing w:val="-11"/>
          <w:w w:val="95"/>
        </w:rPr>
        <w:t>）</w:t>
      </w:r>
      <w:r>
        <w:rPr>
          <w:spacing w:val="-3"/>
          <w:w w:val="95"/>
        </w:rPr>
        <w:t>自主生活能力完全丧失，无法独立完成六项基本日常生活活动中的三项或三项  </w:t>
      </w:r>
      <w:r>
        <w:rPr>
          <w:spacing w:val="-3"/>
        </w:rPr>
        <w:t>以上。</w:t>
      </w:r>
    </w:p>
    <w:p>
      <w:pPr>
        <w:pStyle w:val="BodyText"/>
        <w:spacing w:before="34"/>
        <w:ind w:left="959"/>
      </w:pPr>
      <w:r>
        <w:rPr/>
        <w:t>继发性帕金森综合征不在保障范围内。</w:t>
      </w:r>
    </w:p>
    <w:p>
      <w:pPr>
        <w:pStyle w:val="BodyText"/>
        <w:spacing w:before="36"/>
        <w:ind w:left="477"/>
      </w:pPr>
      <w:r>
        <w:rPr>
          <w:rFonts w:ascii="Courier New" w:hAnsi="Courier New" w:eastAsia="Courier New"/>
        </w:rPr>
        <w:t>19</w:t>
      </w:r>
      <w:r>
        <w:rPr/>
        <w:t>、 严重Ⅲ度烧伤：</w:t>
      </w:r>
    </w:p>
    <w:p>
      <w:pPr>
        <w:pStyle w:val="BodyText"/>
        <w:spacing w:line="242" w:lineRule="auto"/>
        <w:ind w:left="476" w:right="216" w:firstLine="420"/>
      </w:pPr>
      <w:r>
        <w:rPr>
          <w:w w:val="95"/>
        </w:rPr>
        <w:t>指烧伤程度为Ⅲ度，且Ⅲ度烧伤的面积达到全身体表面积的 </w:t>
      </w:r>
      <w:r>
        <w:rPr>
          <w:rFonts w:ascii="Courier New" w:hAnsi="Courier New" w:eastAsia="Courier New"/>
          <w:w w:val="95"/>
        </w:rPr>
        <w:t>20</w:t>
      </w:r>
      <w:r>
        <w:rPr>
          <w:w w:val="95"/>
        </w:rPr>
        <w:t>％或 </w:t>
      </w:r>
      <w:r>
        <w:rPr>
          <w:rFonts w:ascii="Courier New" w:hAnsi="Courier New" w:eastAsia="Courier New"/>
          <w:w w:val="95"/>
        </w:rPr>
        <w:t>20</w:t>
      </w:r>
      <w:r>
        <w:rPr>
          <w:w w:val="95"/>
        </w:rPr>
        <w:t>％以上。体表</w:t>
      </w:r>
      <w:r>
        <w:rPr/>
        <w:t>面积根据《中国新九分法》计算。</w:t>
      </w:r>
    </w:p>
    <w:p>
      <w:pPr>
        <w:pStyle w:val="BodyText"/>
        <w:spacing w:before="35"/>
        <w:ind w:left="477"/>
      </w:pPr>
      <w:r>
        <w:rPr>
          <w:rFonts w:ascii="Courier New" w:eastAsia="Courier New"/>
        </w:rPr>
        <w:t>20</w:t>
      </w:r>
      <w:r>
        <w:rPr/>
        <w:t>、 严重原发性肺动脉高压：</w:t>
      </w:r>
    </w:p>
    <w:p>
      <w:pPr>
        <w:pStyle w:val="BodyText"/>
        <w:spacing w:line="256" w:lineRule="auto"/>
        <w:ind w:left="476" w:right="213" w:firstLine="420"/>
        <w:jc w:val="both"/>
      </w:pPr>
      <w:r>
        <w:rPr/>
        <w:t>指不明原因的肺动脉压力持续性增高，进行性发展而导致的慢性疾病，已经造成永</w:t>
      </w:r>
      <w:r>
        <w:rPr>
          <w:spacing w:val="-6"/>
        </w:rPr>
        <w:t>久不可逆性的体力活动能力受限，达到美国纽约心脏病学会心功能状态分级 </w:t>
      </w:r>
      <w:r>
        <w:rPr>
          <w:rFonts w:ascii="Courier New" w:eastAsia="Courier New"/>
        </w:rPr>
        <w:t>IV</w:t>
      </w:r>
      <w:r>
        <w:rPr>
          <w:rFonts w:ascii="Courier New" w:eastAsia="Courier New"/>
          <w:spacing w:val="-94"/>
        </w:rPr>
        <w:t> </w:t>
      </w:r>
      <w:r>
        <w:rPr>
          <w:spacing w:val="-9"/>
        </w:rPr>
        <w:t>级，且静</w:t>
      </w:r>
      <w:r>
        <w:rPr>
          <w:spacing w:val="-9"/>
          <w:w w:val="95"/>
        </w:rPr>
        <w:t>息状态下肺动脉平均压超过 </w:t>
      </w:r>
      <w:r>
        <w:rPr>
          <w:rFonts w:ascii="Courier New" w:eastAsia="Courier New"/>
          <w:w w:val="95"/>
        </w:rPr>
        <w:t>30mmHg</w:t>
      </w:r>
      <w:r>
        <w:rPr>
          <w:w w:val="95"/>
        </w:rPr>
        <w:t>。</w:t>
      </w:r>
    </w:p>
    <w:p>
      <w:pPr>
        <w:pStyle w:val="BodyText"/>
        <w:spacing w:line="295" w:lineRule="exact" w:before="0"/>
        <w:ind w:left="477"/>
      </w:pPr>
      <w:r>
        <w:rPr>
          <w:rFonts w:ascii="Courier New" w:eastAsia="Courier New"/>
        </w:rPr>
        <w:t>21</w:t>
      </w:r>
      <w:r>
        <w:rPr/>
        <w:t>、 严重运动神经元病：</w:t>
      </w:r>
    </w:p>
    <w:p>
      <w:pPr>
        <w:pStyle w:val="BodyText"/>
        <w:spacing w:line="273" w:lineRule="auto" w:before="4"/>
        <w:ind w:left="476" w:right="213"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pgSz w:w="11900" w:h="16840"/>
          <w:pgMar w:header="896" w:footer="1008" w:top="1280" w:bottom="1200" w:left="1680" w:right="1500"/>
        </w:sectPr>
      </w:pPr>
    </w:p>
    <w:p>
      <w:pPr>
        <w:pStyle w:val="BodyText"/>
        <w:spacing w:before="133"/>
        <w:ind w:left="477"/>
      </w:pPr>
      <w:r>
        <w:rPr>
          <w:rFonts w:ascii="Courier New" w:eastAsia="Courier New"/>
        </w:rPr>
        <w:t>22</w:t>
      </w:r>
      <w:r>
        <w:rPr/>
        <w:t>、 语言能力丧失：</w:t>
      </w:r>
    </w:p>
    <w:p>
      <w:pPr>
        <w:pStyle w:val="BodyText"/>
        <w:spacing w:line="242" w:lineRule="auto"/>
        <w:ind w:left="476" w:right="153" w:firstLine="478"/>
      </w:pPr>
      <w:r>
        <w:rPr>
          <w:spacing w:val="-1"/>
        </w:rPr>
        <w:t>指因疾病或意外伤害导致完全丧失语言能力，经过积极治疗至少 </w:t>
      </w:r>
      <w:r>
        <w:rPr>
          <w:rFonts w:ascii="Courier New" w:eastAsia="Courier New"/>
        </w:rPr>
        <w:t>12 </w:t>
      </w:r>
      <w:r>
        <w:rPr/>
        <w:t>个月（声带完全切除不受此时间限制</w:t>
      </w:r>
      <w:r>
        <w:rPr>
          <w:spacing w:val="-106"/>
        </w:rPr>
        <w:t>）</w:t>
      </w:r>
      <w:r>
        <w:rPr/>
        <w:t>，仍无法通过现有医疗手段恢复。</w:t>
      </w:r>
    </w:p>
    <w:p>
      <w:pPr>
        <w:pStyle w:val="BodyText"/>
        <w:spacing w:before="35"/>
        <w:ind w:left="896"/>
      </w:pPr>
      <w:r>
        <w:rPr/>
        <w:t>精神心理因素所致的语言能力丧失不在保障范围内。</w:t>
      </w:r>
    </w:p>
    <w:p>
      <w:pPr>
        <w:pStyle w:val="BodyText"/>
        <w:spacing w:before="37"/>
        <w:ind w:left="477"/>
      </w:pPr>
      <w:r>
        <w:rPr>
          <w:rFonts w:ascii="Courier New" w:eastAsia="Courier New"/>
        </w:rPr>
        <w:t>23</w:t>
      </w:r>
      <w:r>
        <w:rPr/>
        <w:t>、 重型再生障碍性贫血：</w:t>
      </w:r>
    </w:p>
    <w:p>
      <w:pPr>
        <w:pStyle w:val="BodyText"/>
        <w:spacing w:line="273" w:lineRule="auto"/>
        <w:ind w:left="476" w:right="169" w:firstLine="478"/>
      </w:pPr>
      <w:r>
        <w:rPr/>
        <w:t>指因骨髓造血功能慢性持续性衰竭导致的贫血、中性粒细胞减少及血小板减少。须满足下列全部条件：</w:t>
      </w:r>
    </w:p>
    <w:p>
      <w:pPr>
        <w:pStyle w:val="BodyText"/>
        <w:spacing w:before="7"/>
        <w:ind w:left="896"/>
      </w:pPr>
      <w:r>
        <w:rPr>
          <w:w w:val="95"/>
        </w:rPr>
        <w:t>（</w:t>
      </w:r>
      <w:r>
        <w:rPr>
          <w:rFonts w:ascii="Courier New" w:eastAsia="Courier New"/>
          <w:w w:val="95"/>
        </w:rPr>
        <w:t>1</w:t>
      </w:r>
      <w:r>
        <w:rPr>
          <w:w w:val="95"/>
        </w:rPr>
        <w:t>）骨髓穿刺检查或骨髓活检结果支持诊断；</w:t>
      </w:r>
    </w:p>
    <w:p>
      <w:pPr>
        <w:pStyle w:val="BodyText"/>
        <w:ind w:left="896"/>
      </w:pPr>
      <w:r>
        <w:rPr>
          <w:w w:val="95"/>
        </w:rPr>
        <w:t>（</w:t>
      </w:r>
      <w:r>
        <w:rPr>
          <w:rFonts w:ascii="Courier New" w:eastAsia="Courier New"/>
          <w:w w:val="95"/>
        </w:rPr>
        <w:t>2</w:t>
      </w:r>
      <w:r>
        <w:rPr>
          <w:w w:val="95"/>
        </w:rPr>
        <w:t>）外周血象须具备以下三项条件：</w:t>
      </w:r>
    </w:p>
    <w:p>
      <w:pPr>
        <w:pStyle w:val="BodyText"/>
        <w:ind w:left="1316"/>
      </w:pPr>
      <w:r>
        <w:rPr>
          <w:w w:val="95"/>
        </w:rPr>
        <w:t>① 中性粒细胞绝对值≤</w:t>
      </w:r>
      <w:r>
        <w:rPr>
          <w:rFonts w:ascii="Courier New" w:hAnsi="Courier New" w:eastAsia="Courier New"/>
          <w:w w:val="95"/>
        </w:rPr>
        <w:t>0.5</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 </w:t>
      </w:r>
      <w:r>
        <w:rPr>
          <w:w w:val="95"/>
        </w:rPr>
        <w:t>；</w:t>
      </w:r>
    </w:p>
    <w:p>
      <w:pPr>
        <w:pStyle w:val="BodyText"/>
        <w:ind w:left="1316"/>
      </w:pPr>
      <w:r>
        <w:rPr/>
        <w:t>② 网织红细胞＜</w:t>
      </w:r>
      <w:r>
        <w:rPr>
          <w:rFonts w:ascii="Courier New" w:hAnsi="Courier New" w:eastAsia="Courier New"/>
        </w:rPr>
        <w:t>1%</w:t>
      </w:r>
      <w:r>
        <w:rPr/>
        <w:t>；</w:t>
      </w:r>
    </w:p>
    <w:p>
      <w:pPr>
        <w:pStyle w:val="BodyText"/>
        <w:ind w:left="1316"/>
      </w:pPr>
      <w:r>
        <w:rPr>
          <w:w w:val="95"/>
        </w:rPr>
        <w:t>③ 血小板绝对值≤</w:t>
      </w:r>
      <w:r>
        <w:rPr>
          <w:rFonts w:ascii="Courier New" w:hAnsi="Courier New" w:eastAsia="Courier New"/>
          <w:w w:val="95"/>
        </w:rPr>
        <w:t>20</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w:t>
      </w:r>
      <w:r>
        <w:rPr>
          <w:w w:val="95"/>
        </w:rPr>
        <w:t>。</w:t>
      </w:r>
    </w:p>
    <w:p>
      <w:pPr>
        <w:pStyle w:val="BodyText"/>
        <w:ind w:left="477"/>
      </w:pPr>
      <w:r>
        <w:rPr>
          <w:rFonts w:ascii="Courier New" w:eastAsia="Courier New"/>
          <w:w w:val="95"/>
        </w:rPr>
        <w:t>24</w:t>
      </w:r>
      <w:r>
        <w:rPr>
          <w:w w:val="95"/>
        </w:rPr>
        <w:t>、 主动脉手术：</w:t>
      </w:r>
    </w:p>
    <w:p>
      <w:pPr>
        <w:pStyle w:val="BodyText"/>
        <w:spacing w:line="273" w:lineRule="auto"/>
        <w:ind w:left="476" w:right="1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8"/>
        <w:rPr>
          <w:sz w:val="26"/>
        </w:rPr>
      </w:pPr>
    </w:p>
    <w:p>
      <w:pPr>
        <w:pStyle w:val="BodyText"/>
        <w:spacing w:before="0"/>
        <w:ind w:left="477"/>
      </w:pPr>
      <w:r>
        <w:rPr/>
        <w:t>二、《重大疾病保险的疾病定义使用规范》范围以外的疾病种类：</w:t>
      </w:r>
    </w:p>
    <w:p>
      <w:pPr>
        <w:pStyle w:val="BodyText"/>
        <w:spacing w:before="8"/>
        <w:rPr>
          <w:sz w:val="26"/>
        </w:rPr>
      </w:pPr>
    </w:p>
    <w:p>
      <w:pPr>
        <w:pStyle w:val="BodyText"/>
        <w:spacing w:before="0"/>
        <w:ind w:left="477"/>
      </w:pPr>
      <w:r>
        <w:rPr>
          <w:rFonts w:ascii="Courier New" w:eastAsia="Courier New"/>
        </w:rPr>
        <w:t>25</w:t>
      </w:r>
      <w:r>
        <w:rPr/>
        <w:t>、 原发性心肌病：</w:t>
      </w:r>
    </w:p>
    <w:p>
      <w:pPr>
        <w:pStyle w:val="BodyText"/>
        <w:spacing w:line="256" w:lineRule="auto"/>
        <w:ind w:left="476" w:right="213" w:firstLine="420"/>
        <w:jc w:val="both"/>
      </w:pPr>
      <w:r>
        <w:rPr/>
        <w:t>指经专科医生确诊被保险人因心肌病包括扩张型心肌病、肥厚型心肌病及限制型心</w:t>
      </w: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22"/>
        <w:ind w:left="476" w:right="41" w:firstLine="420"/>
      </w:pPr>
      <w:r>
        <w:rPr>
          <w:rFonts w:ascii="Courier New" w:eastAsia="Courier New"/>
        </w:rPr>
        <w:t>*</w:t>
      </w:r>
      <w:r>
        <w:rPr/>
        <w:t>纽约心脏病协会分类标准心功能四级是指尽管病人已进行了药物治疗及饮食调节， 但其在日常活动中仍出现心衰的症状，并且体检及实验室检查显示有心功能异常的证据。</w:t>
      </w:r>
    </w:p>
    <w:p>
      <w:pPr>
        <w:pStyle w:val="BodyText"/>
        <w:spacing w:before="34"/>
        <w:ind w:left="477"/>
      </w:pPr>
      <w:r>
        <w:rPr>
          <w:rFonts w:ascii="Courier New" w:eastAsia="Courier New"/>
        </w:rPr>
        <w:t>26</w:t>
      </w:r>
      <w:r>
        <w:rPr/>
        <w:t>、 脑动脉瘤开颅手术：</w:t>
      </w:r>
    </w:p>
    <w:p>
      <w:pPr>
        <w:pStyle w:val="BodyText"/>
        <w:ind w:left="896"/>
      </w:pPr>
      <w:r>
        <w:rPr/>
        <w:t>指确已进行开颅手术以夹闭、修复或切除脑动脉瘤。但不包括导管及血管内手术。</w:t>
      </w:r>
    </w:p>
    <w:p>
      <w:pPr>
        <w:pStyle w:val="BodyText"/>
        <w:spacing w:before="37"/>
        <w:ind w:left="477"/>
      </w:pPr>
      <w:r>
        <w:rPr>
          <w:rFonts w:ascii="Courier New" w:eastAsia="Courier New"/>
          <w:w w:val="95"/>
        </w:rPr>
        <w:t>27</w:t>
      </w:r>
      <w:r>
        <w:rPr>
          <w:w w:val="95"/>
        </w:rPr>
        <w:t>、 多发性硬化：</w:t>
      </w:r>
    </w:p>
    <w:p>
      <w:pPr>
        <w:pStyle w:val="BodyText"/>
        <w:spacing w:line="242" w:lineRule="auto"/>
        <w:ind w:left="600" w:right="214" w:hanging="123"/>
      </w:pPr>
      <w:r>
        <w:rPr>
          <w:rFonts w:ascii="Courier New" w:eastAsia="Courier New"/>
          <w:w w:val="95"/>
        </w:rPr>
        <w:t>28</w:t>
      </w:r>
      <w:r>
        <w:rPr>
          <w:spacing w:val="-1"/>
          <w:w w:val="95"/>
        </w:rPr>
        <w:t>、  指经诊断证实有典型中枢神经系统脱髓鞘病变及永久性神经功能障碍，且此不可逆</w:t>
      </w:r>
      <w:r>
        <w:rPr>
          <w:spacing w:val="-5"/>
        </w:rPr>
        <w:t>性神经功能障碍诊断需于第一次诊断 </w:t>
      </w:r>
      <w:r>
        <w:rPr>
          <w:rFonts w:ascii="Courier New" w:eastAsia="Courier New"/>
        </w:rPr>
        <w:t>6</w:t>
      </w:r>
      <w:r>
        <w:rPr>
          <w:rFonts w:ascii="Courier New" w:eastAsia="Courier New"/>
          <w:spacing w:val="-85"/>
        </w:rPr>
        <w:t> </w:t>
      </w:r>
      <w:r>
        <w:rPr>
          <w:spacing w:val="-7"/>
        </w:rPr>
        <w:t>个月后做出方有效。诊断须由专科检查确定</w:t>
      </w:r>
      <w:r>
        <w:rPr/>
        <w:t>（由</w:t>
      </w:r>
    </w:p>
    <w:p>
      <w:pPr>
        <w:pStyle w:val="BodyText"/>
        <w:spacing w:line="242" w:lineRule="auto" w:before="1"/>
        <w:ind w:left="600" w:right="159" w:hanging="1"/>
      </w:pPr>
      <w:r>
        <w:rPr>
          <w:rFonts w:ascii="Courier New" w:eastAsia="Courier New"/>
        </w:rPr>
        <w:t>CT </w:t>
      </w:r>
      <w:r>
        <w:rPr/>
        <w:t>检查或核磁共振等检查来确定有中枢神经系统的脱髓鞘病变）由输血或输液而感染艾滋病病毒：</w:t>
      </w:r>
    </w:p>
    <w:p>
      <w:pPr>
        <w:pStyle w:val="BodyText"/>
        <w:spacing w:line="252" w:lineRule="auto" w:before="35"/>
        <w:ind w:left="475" w:right="215" w:firstLine="420"/>
        <w:jc w:val="both"/>
      </w:pPr>
      <w:r>
        <w:rPr>
          <w:spacing w:val="-2"/>
          <w:w w:val="95"/>
        </w:rPr>
        <w:t>艾滋病病毒指人类免疫缺陷病毒，英文缩写为</w:t>
      </w:r>
      <w:r>
        <w:rPr>
          <w:rFonts w:ascii="Courier New" w:eastAsia="Courier New"/>
          <w:w w:val="95"/>
        </w:rPr>
        <w:t>HIV</w:t>
      </w:r>
      <w:r>
        <w:rPr>
          <w:spacing w:val="-6"/>
          <w:w w:val="95"/>
        </w:rPr>
        <w:t>。艾滋病指人类免疫缺陷病毒引起  的获得性免疫缺陷综合征，英文缩写为</w:t>
      </w:r>
      <w:r>
        <w:rPr>
          <w:rFonts w:ascii="Courier New" w:eastAsia="Courier New"/>
          <w:spacing w:val="-6"/>
          <w:w w:val="95"/>
        </w:rPr>
        <w:t>AIDS</w:t>
      </w:r>
      <w:r>
        <w:rPr>
          <w:spacing w:val="-6"/>
          <w:w w:val="95"/>
        </w:rPr>
        <w:t>。在人体血液或其它样本中检测到艾滋病病  </w:t>
      </w:r>
      <w:r>
        <w:rPr>
          <w:spacing w:val="-6"/>
        </w:rPr>
        <w:t>毒或其抗体呈阳性，没有出现临床症状或体征的，为感染艾滋病病毒；如果同时出现了明显临床症状或体征的，为患艾滋病。</w:t>
      </w:r>
    </w:p>
    <w:p>
      <w:pPr>
        <w:pStyle w:val="BodyText"/>
        <w:spacing w:before="26"/>
        <w:ind w:left="895"/>
      </w:pPr>
      <w:r>
        <w:rPr/>
        <w:t>由输血或输液而感染艾滋病病毒的病症须同时满足以下条件：</w:t>
      </w:r>
    </w:p>
    <w:p>
      <w:pPr>
        <w:pStyle w:val="ListParagraph"/>
        <w:numPr>
          <w:ilvl w:val="0"/>
          <w:numId w:val="6"/>
        </w:numPr>
        <w:tabs>
          <w:tab w:pos="1018" w:val="left" w:leader="none"/>
        </w:tabs>
        <w:spacing w:line="242" w:lineRule="auto" w:before="36" w:after="0"/>
        <w:ind w:left="1017" w:right="215" w:hanging="417"/>
        <w:jc w:val="left"/>
        <w:rPr>
          <w:sz w:val="21"/>
        </w:rPr>
      </w:pPr>
      <w:r>
        <w:rPr>
          <w:spacing w:val="-3"/>
          <w:sz w:val="21"/>
        </w:rPr>
        <w:t>被保险人在本合同生效</w:t>
      </w:r>
      <w:r>
        <w:rPr>
          <w:sz w:val="21"/>
        </w:rPr>
        <w:t>（或复效</w:t>
      </w:r>
      <w:r>
        <w:rPr>
          <w:spacing w:val="-26"/>
          <w:sz w:val="21"/>
        </w:rPr>
        <w:t>）</w:t>
      </w:r>
      <w:r>
        <w:rPr>
          <w:spacing w:val="-4"/>
          <w:sz w:val="21"/>
        </w:rPr>
        <w:t>一百八十天后，在中华人民共和国司法管辖区范围内因医疗而接受输血或输液，并因该次输血或输液而感染上述病毒；</w:t>
      </w:r>
    </w:p>
    <w:p>
      <w:pPr>
        <w:pStyle w:val="ListParagraph"/>
        <w:numPr>
          <w:ilvl w:val="0"/>
          <w:numId w:val="6"/>
        </w:numPr>
        <w:tabs>
          <w:tab w:pos="960" w:val="left" w:leader="none"/>
        </w:tabs>
        <w:spacing w:line="240" w:lineRule="auto" w:before="34" w:after="0"/>
        <w:ind w:left="959" w:right="0" w:hanging="359"/>
        <w:jc w:val="left"/>
        <w:rPr>
          <w:sz w:val="21"/>
        </w:rPr>
      </w:pPr>
      <w:r>
        <w:rPr>
          <w:sz w:val="21"/>
        </w:rPr>
        <w:t>医疗机构确认该项输血或输液医疗行为是在该医疗机构进行的；</w:t>
      </w:r>
    </w:p>
    <w:p>
      <w:pPr>
        <w:pStyle w:val="ListParagraph"/>
        <w:numPr>
          <w:ilvl w:val="0"/>
          <w:numId w:val="6"/>
        </w:numPr>
        <w:tabs>
          <w:tab w:pos="960" w:val="left" w:leader="none"/>
        </w:tabs>
        <w:spacing w:line="240" w:lineRule="auto" w:before="3" w:after="0"/>
        <w:ind w:left="959" w:right="0" w:hanging="360"/>
        <w:jc w:val="left"/>
        <w:rPr>
          <w:sz w:val="21"/>
        </w:rPr>
      </w:pPr>
      <w:r>
        <w:rPr>
          <w:sz w:val="21"/>
        </w:rPr>
        <w:t>被保险人并非地中海贫血患者、血友病或再生障碍性贫血患者；</w:t>
      </w:r>
    </w:p>
    <w:p>
      <w:pPr>
        <w:pStyle w:val="BodyText"/>
        <w:spacing w:line="273" w:lineRule="auto"/>
        <w:ind w:left="476" w:right="213" w:firstLine="420"/>
      </w:pPr>
      <w:r>
        <w:rPr/>
        <w:t>如果感染前可能治愈、或者被保险人在感染前选择不接受有效的疫苗，保险公司不承担给付保险金的责任。</w:t>
      </w:r>
    </w:p>
    <w:p>
      <w:pPr>
        <w:spacing w:after="0" w:line="273" w:lineRule="auto"/>
        <w:sectPr>
          <w:pgSz w:w="11900" w:h="16840"/>
          <w:pgMar w:header="896" w:footer="1008" w:top="1280" w:bottom="1200" w:left="1680" w:right="1500"/>
        </w:sectPr>
      </w:pPr>
    </w:p>
    <w:p>
      <w:pPr>
        <w:pStyle w:val="BodyText"/>
        <w:spacing w:before="133"/>
        <w:ind w:left="477"/>
      </w:pPr>
      <w:r>
        <w:rPr>
          <w:rFonts w:ascii="Courier New" w:eastAsia="Courier New"/>
        </w:rPr>
        <w:t>29</w:t>
      </w:r>
      <w:r>
        <w:rPr/>
        <w:t>、 急性坏死性胰腺炎：</w:t>
      </w:r>
    </w:p>
    <w:p>
      <w:pPr>
        <w:pStyle w:val="BodyText"/>
        <w:spacing w:line="273" w:lineRule="auto"/>
        <w:ind w:left="537" w:right="168" w:firstLine="420"/>
      </w:pPr>
      <w:r>
        <w:rPr/>
        <w:t>指由专科医生确诊为急性坏死性胰腺炎，需进行坏死组织清除、病灶切除或胰腺部分切除的手术治疗，但不包括因酒精中毒引起的急性坏死性胰腺炎。</w:t>
      </w:r>
    </w:p>
    <w:p>
      <w:pPr>
        <w:pStyle w:val="BodyText"/>
        <w:spacing w:before="7"/>
        <w:ind w:left="477"/>
      </w:pPr>
      <w:r>
        <w:rPr>
          <w:rFonts w:ascii="Courier New" w:eastAsia="Courier New"/>
        </w:rPr>
        <w:t>30</w:t>
      </w:r>
      <w:r>
        <w:rPr/>
        <w:t>、 严重的类风湿性关节炎：</w:t>
      </w:r>
    </w:p>
    <w:p>
      <w:pPr>
        <w:pStyle w:val="BodyText"/>
        <w:spacing w:line="273" w:lineRule="auto"/>
        <w:ind w:left="535" w:right="110" w:firstLine="420"/>
      </w:pPr>
      <w:r>
        <w:rPr>
          <w:spacing w:val="-8"/>
        </w:rPr>
        <w:t>广泛的关节损坏，临床上存在三个或三个以上下列关节的畸形：手、腕、肘、颈椎、</w:t>
      </w:r>
      <w:r>
        <w:rPr>
          <w:spacing w:val="-5"/>
        </w:rPr>
        <w:t>膝、踝、蹠－趾关节。并且由专科医生确认被保险人在无他人协助下无法独立完成以下</w:t>
      </w:r>
      <w:r>
        <w:rPr>
          <w:spacing w:val="-8"/>
        </w:rPr>
        <w:t>至少三项日常生活活动。上述畸形及功能异常须持续至少达 </w:t>
      </w:r>
      <w:r>
        <w:rPr>
          <w:rFonts w:ascii="Courier New" w:eastAsia="Courier New"/>
        </w:rPr>
        <w:t>180</w:t>
      </w:r>
      <w:r>
        <w:rPr>
          <w:rFonts w:ascii="Courier New" w:eastAsia="Courier New"/>
          <w:spacing w:val="-107"/>
        </w:rPr>
        <w:t> </w:t>
      </w:r>
      <w:r>
        <w:rPr/>
        <w:t>天。</w:t>
      </w:r>
    </w:p>
    <w:p>
      <w:pPr>
        <w:pStyle w:val="ListParagraph"/>
        <w:numPr>
          <w:ilvl w:val="1"/>
          <w:numId w:val="6"/>
        </w:numPr>
        <w:tabs>
          <w:tab w:pos="1377" w:val="left" w:leader="none"/>
          <w:tab w:pos="1378" w:val="left" w:leader="none"/>
        </w:tabs>
        <w:spacing w:line="278" w:lineRule="exact" w:before="0" w:after="0"/>
        <w:ind w:left="1377" w:right="0" w:hanging="655"/>
        <w:jc w:val="left"/>
        <w:rPr>
          <w:sz w:val="21"/>
        </w:rPr>
      </w:pPr>
      <w:r>
        <w:rPr>
          <w:spacing w:val="-1"/>
          <w:sz w:val="21"/>
        </w:rPr>
        <w:t>穿衣 自己能够穿衣及脱衣。</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移动 自己从一个房间到另一个房间。</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行动 自己上下床或上下轮椅。</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卫生 自己控制进行大小便。</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5"/>
          <w:sz w:val="21"/>
        </w:rPr>
        <w:t>进食 自己从已准备好的碗</w:t>
      </w:r>
      <w:r>
        <w:rPr>
          <w:rFonts w:ascii="Courier New" w:eastAsia="Courier New"/>
          <w:sz w:val="21"/>
        </w:rPr>
        <w:t>/</w:t>
      </w:r>
      <w:r>
        <w:rPr>
          <w:sz w:val="21"/>
        </w:rPr>
        <w:t>碟中摄取食物放入口中。</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洗澡 自己进行淋浴或盆浴。</w:t>
      </w:r>
    </w:p>
    <w:p>
      <w:pPr>
        <w:pStyle w:val="BodyText"/>
        <w:ind w:left="477"/>
      </w:pPr>
      <w:r>
        <w:rPr>
          <w:rFonts w:ascii="Courier New" w:eastAsia="Courier New"/>
        </w:rPr>
        <w:t>31</w:t>
      </w:r>
      <w:r>
        <w:rPr/>
        <w:t>、 肌营养不良症：</w:t>
      </w:r>
    </w:p>
    <w:p>
      <w:pPr>
        <w:pStyle w:val="BodyText"/>
        <w:spacing w:line="273" w:lineRule="auto"/>
        <w:ind w:left="476" w:right="213" w:firstLine="420"/>
      </w:pPr>
      <w:r>
        <w:rPr/>
        <w:t>是一组原发于肌肉的遗传性疾病。主要临床特征为受累骨骼肌肉的无力和萎缩。经专科医生确认符合以下四项诊断指标中的三项：</w:t>
      </w:r>
    </w:p>
    <w:p>
      <w:pPr>
        <w:pStyle w:val="ListParagraph"/>
        <w:numPr>
          <w:ilvl w:val="0"/>
          <w:numId w:val="7"/>
        </w:numPr>
        <w:tabs>
          <w:tab w:pos="1377" w:val="left" w:leader="none"/>
          <w:tab w:pos="1378" w:val="left" w:leader="none"/>
        </w:tabs>
        <w:spacing w:line="240" w:lineRule="auto" w:before="7" w:after="0"/>
        <w:ind w:left="1377" w:right="0" w:hanging="655"/>
        <w:jc w:val="left"/>
        <w:rPr>
          <w:sz w:val="21"/>
        </w:rPr>
      </w:pPr>
      <w:r>
        <w:rPr>
          <w:sz w:val="21"/>
        </w:rPr>
        <w:t>家族史中有其他成员患相同疾病；</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临床表现包括：无感觉神经紊乱，正常脑脊液及轻微腱反射的减退；</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典型的肌电图；</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临床推测必须有肌肉或组织检查加以证实。</w:t>
      </w:r>
    </w:p>
    <w:p>
      <w:pPr>
        <w:pStyle w:val="BodyText"/>
        <w:ind w:left="477"/>
      </w:pPr>
      <w:r>
        <w:rPr>
          <w:rFonts w:ascii="Courier New" w:eastAsia="Courier New"/>
        </w:rPr>
        <w:t>32</w:t>
      </w:r>
      <w:r>
        <w:rPr/>
        <w:t>、 系统性红斑狼疮性肾炎：</w:t>
      </w:r>
    </w:p>
    <w:p>
      <w:pPr>
        <w:pStyle w:val="BodyText"/>
        <w:spacing w:line="273" w:lineRule="auto"/>
        <w:ind w:left="476" w:right="261" w:firstLine="420"/>
      </w:pPr>
      <w:r>
        <w:rPr/>
        <w:t>指系统性红斑狼疮患者并发狼疮性肾炎而影响和损害肾脏功能，且肌酐清除率持续</w:t>
      </w:r>
      <w:r>
        <w:rPr>
          <w:w w:val="95"/>
        </w:rPr>
        <w:t>低于   </w:t>
      </w:r>
      <w:r>
        <w:rPr>
          <w:rFonts w:ascii="Courier New" w:eastAsia="Courier New"/>
          <w:w w:val="95"/>
        </w:rPr>
        <w:t>30ml/</w:t>
      </w:r>
      <w:r>
        <w:rPr>
          <w:w w:val="95"/>
        </w:rPr>
        <w:t>分。系统性红斑狼疮性肾炎的诊断必须经专科医生确诊，并满足下列条件：</w:t>
      </w:r>
    </w:p>
    <w:p>
      <w:pPr>
        <w:pStyle w:val="ListParagraph"/>
        <w:numPr>
          <w:ilvl w:val="0"/>
          <w:numId w:val="8"/>
        </w:numPr>
        <w:tabs>
          <w:tab w:pos="1377" w:val="left" w:leader="none"/>
          <w:tab w:pos="1378" w:val="left" w:leader="none"/>
        </w:tabs>
        <w:spacing w:line="278" w:lineRule="exact" w:before="0" w:after="0"/>
        <w:ind w:left="1377" w:right="0" w:hanging="655"/>
        <w:jc w:val="left"/>
        <w:rPr>
          <w:sz w:val="21"/>
        </w:rPr>
      </w:pPr>
      <w:r>
        <w:rPr>
          <w:sz w:val="21"/>
        </w:rPr>
        <w:t>临床表现至少具备下列条件的四个：</w:t>
      </w:r>
    </w:p>
    <w:p>
      <w:pPr>
        <w:pStyle w:val="ListParagraph"/>
        <w:numPr>
          <w:ilvl w:val="1"/>
          <w:numId w:val="8"/>
        </w:numPr>
        <w:tabs>
          <w:tab w:pos="2217" w:val="left" w:leader="none"/>
          <w:tab w:pos="2218" w:val="left" w:leader="none"/>
        </w:tabs>
        <w:spacing w:line="240" w:lineRule="auto" w:before="4" w:after="0"/>
        <w:ind w:left="1797" w:right="0" w:hanging="123"/>
        <w:jc w:val="left"/>
        <w:rPr>
          <w:sz w:val="21"/>
        </w:rPr>
      </w:pPr>
      <w:r>
        <w:rPr>
          <w:sz w:val="21"/>
        </w:rPr>
        <w:t>蝶形红斑或盘形红斑；</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光敏感；</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口鼻腔黏膜溃疡；</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非畸形性关节炎或多关节痛；</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胸膜炎或心包炎；</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癫痫或精神症状；</w:t>
      </w:r>
    </w:p>
    <w:p>
      <w:pPr>
        <w:pStyle w:val="ListParagraph"/>
        <w:numPr>
          <w:ilvl w:val="1"/>
          <w:numId w:val="8"/>
        </w:numPr>
        <w:tabs>
          <w:tab w:pos="2217" w:val="left" w:leader="none"/>
          <w:tab w:pos="2218" w:val="left" w:leader="none"/>
        </w:tabs>
        <w:spacing w:line="242" w:lineRule="auto" w:before="3" w:after="0"/>
        <w:ind w:left="1797" w:right="215" w:hanging="123"/>
        <w:jc w:val="left"/>
        <w:rPr>
          <w:sz w:val="21"/>
        </w:rPr>
      </w:pPr>
      <w:r>
        <w:rPr>
          <w:w w:val="95"/>
          <w:sz w:val="21"/>
        </w:rPr>
        <w:t>血象异常</w:t>
      </w:r>
      <w:r>
        <w:rPr>
          <w:rFonts w:ascii="Courier New" w:hAnsi="Courier New" w:eastAsia="Courier New"/>
          <w:w w:val="95"/>
          <w:sz w:val="21"/>
        </w:rPr>
        <w:t>(</w:t>
      </w:r>
      <w:r>
        <w:rPr>
          <w:spacing w:val="-8"/>
          <w:w w:val="95"/>
          <w:sz w:val="21"/>
        </w:rPr>
        <w:t>白细胞小于 </w:t>
      </w:r>
      <w:r>
        <w:rPr>
          <w:rFonts w:ascii="Courier New" w:hAnsi="Courier New" w:eastAsia="Courier New"/>
          <w:w w:val="95"/>
          <w:sz w:val="21"/>
        </w:rPr>
        <w:t>4</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9"/>
          <w:w w:val="95"/>
          <w:sz w:val="21"/>
        </w:rPr>
        <w:t> </w:t>
      </w:r>
      <w:r>
        <w:rPr>
          <w:spacing w:val="-7"/>
          <w:w w:val="95"/>
          <w:sz w:val="21"/>
        </w:rPr>
        <w:t>或血小板小于 </w:t>
      </w:r>
      <w:r>
        <w:rPr>
          <w:rFonts w:ascii="Courier New" w:hAnsi="Courier New" w:eastAsia="Courier New"/>
          <w:w w:val="95"/>
          <w:sz w:val="21"/>
        </w:rPr>
        <w:t>100</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9"/>
          <w:w w:val="95"/>
          <w:sz w:val="21"/>
        </w:rPr>
        <w:t> </w:t>
      </w:r>
      <w:r>
        <w:rPr>
          <w:w w:val="95"/>
          <w:sz w:val="21"/>
        </w:rPr>
        <w:t>或溶血性贫</w:t>
      </w:r>
      <w:r>
        <w:rPr>
          <w:spacing w:val="-1"/>
          <w:w w:val="95"/>
          <w:sz w:val="21"/>
        </w:rPr>
        <w:t>血</w:t>
      </w:r>
      <w:r>
        <w:rPr>
          <w:rFonts w:ascii="Courier New" w:hAnsi="Courier New" w:eastAsia="Courier New"/>
          <w:w w:val="95"/>
          <w:sz w:val="21"/>
        </w:rPr>
        <w:t>)</w:t>
      </w:r>
      <w:r>
        <w:rPr>
          <w:w w:val="95"/>
          <w:sz w:val="21"/>
        </w:rPr>
        <w:t>。</w:t>
      </w:r>
    </w:p>
    <w:p>
      <w:pPr>
        <w:pStyle w:val="ListParagraph"/>
        <w:numPr>
          <w:ilvl w:val="0"/>
          <w:numId w:val="8"/>
        </w:numPr>
        <w:tabs>
          <w:tab w:pos="1377" w:val="left" w:leader="none"/>
          <w:tab w:pos="1378" w:val="left" w:leader="none"/>
        </w:tabs>
        <w:spacing w:line="240" w:lineRule="auto" w:before="1" w:after="0"/>
        <w:ind w:left="1377" w:right="0" w:hanging="655"/>
        <w:jc w:val="left"/>
        <w:rPr>
          <w:sz w:val="21"/>
        </w:rPr>
      </w:pPr>
      <w:r>
        <w:rPr>
          <w:sz w:val="21"/>
        </w:rPr>
        <w:t>检测结果至少具备下列条件的两个：</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28"/>
          <w:w w:val="95"/>
          <w:sz w:val="21"/>
        </w:rPr>
        <w:t>抗 </w:t>
      </w:r>
      <w:r>
        <w:rPr>
          <w:rFonts w:ascii="Courier New" w:eastAsia="Courier New"/>
          <w:w w:val="95"/>
          <w:sz w:val="21"/>
        </w:rPr>
        <w:t>dsDNA</w:t>
      </w:r>
      <w:r>
        <w:rPr>
          <w:rFonts w:ascii="Courier New" w:eastAsia="Courier New"/>
          <w:spacing w:val="-74"/>
          <w:w w:val="95"/>
          <w:sz w:val="21"/>
        </w:rPr>
        <w:t> </w:t>
      </w:r>
      <w:r>
        <w:rPr>
          <w:w w:val="95"/>
          <w:sz w:val="21"/>
        </w:rPr>
        <w:t>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38"/>
          <w:sz w:val="21"/>
        </w:rPr>
        <w:t>抗 </w:t>
      </w:r>
      <w:r>
        <w:rPr>
          <w:rFonts w:ascii="Courier New" w:eastAsia="Courier New"/>
          <w:sz w:val="21"/>
        </w:rPr>
        <w:t>Sm</w:t>
      </w:r>
      <w:r>
        <w:rPr>
          <w:rFonts w:ascii="Courier New" w:eastAsia="Courier New"/>
          <w:spacing w:val="-96"/>
          <w:sz w:val="21"/>
        </w:rPr>
        <w:t> </w:t>
      </w:r>
      <w:r>
        <w:rPr>
          <w:sz w:val="21"/>
        </w:rPr>
        <w:t>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z w:val="21"/>
        </w:rPr>
        <w:t>抗核抗体阳性；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1"/>
          <w:w w:val="95"/>
          <w:sz w:val="21"/>
        </w:rPr>
        <w:t>皮肤狼疮带试验</w:t>
      </w:r>
      <w:r>
        <w:rPr>
          <w:rFonts w:ascii="Courier New" w:eastAsia="Courier New"/>
          <w:w w:val="95"/>
          <w:sz w:val="21"/>
        </w:rPr>
        <w:t>(</w:t>
      </w:r>
      <w:r>
        <w:rPr>
          <w:w w:val="95"/>
          <w:sz w:val="21"/>
        </w:rPr>
        <w:t>非病损部位</w:t>
      </w:r>
      <w:r>
        <w:rPr>
          <w:rFonts w:ascii="Courier New" w:eastAsia="Courier New"/>
          <w:w w:val="95"/>
          <w:sz w:val="21"/>
        </w:rPr>
        <w:t>)</w:t>
      </w:r>
      <w:r>
        <w:rPr>
          <w:w w:val="95"/>
          <w:sz w:val="21"/>
        </w:rPr>
        <w:t>或肾活检阳性；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rFonts w:ascii="Courier New" w:eastAsia="Courier New"/>
          <w:w w:val="95"/>
          <w:sz w:val="21"/>
        </w:rPr>
        <w:t>C3</w:t>
      </w:r>
      <w:r>
        <w:rPr>
          <w:rFonts w:ascii="Courier New" w:eastAsia="Courier New"/>
          <w:spacing w:val="-66"/>
          <w:w w:val="95"/>
          <w:sz w:val="21"/>
        </w:rPr>
        <w:t> </w:t>
      </w:r>
      <w:r>
        <w:rPr>
          <w:w w:val="95"/>
          <w:sz w:val="21"/>
        </w:rPr>
        <w:t>降低。</w:t>
      </w:r>
    </w:p>
    <w:p>
      <w:pPr>
        <w:pStyle w:val="BodyText"/>
        <w:ind w:left="477"/>
      </w:pPr>
      <w:r>
        <w:rPr>
          <w:rFonts w:ascii="Courier New" w:eastAsia="Courier New"/>
          <w:w w:val="95"/>
        </w:rPr>
        <w:t>33</w:t>
      </w:r>
      <w:r>
        <w:rPr>
          <w:w w:val="95"/>
        </w:rPr>
        <w:t>、 终末期肺病：</w:t>
      </w:r>
    </w:p>
    <w:p>
      <w:pPr>
        <w:pStyle w:val="BodyText"/>
        <w:spacing w:line="273" w:lineRule="auto"/>
        <w:ind w:left="537" w:right="169" w:firstLine="420"/>
      </w:pPr>
      <w:r>
        <w:rPr/>
        <w:t>指被保险人必须经专科医生确诊患有终末期肺病而出现慢性呼吸功能衰竭，其诊断标准包括以下各项：</w:t>
      </w:r>
    </w:p>
    <w:p>
      <w:pPr>
        <w:pStyle w:val="ListParagraph"/>
        <w:numPr>
          <w:ilvl w:val="0"/>
          <w:numId w:val="9"/>
        </w:numPr>
        <w:tabs>
          <w:tab w:pos="1377" w:val="left" w:leader="none"/>
          <w:tab w:pos="1378" w:val="left" w:leader="none"/>
        </w:tabs>
        <w:spacing w:line="240" w:lineRule="auto" w:before="7" w:after="0"/>
        <w:ind w:left="1377" w:right="0" w:hanging="655"/>
        <w:jc w:val="left"/>
        <w:rPr>
          <w:rFonts w:ascii="Courier New" w:eastAsia="Courier New"/>
          <w:sz w:val="21"/>
        </w:rPr>
      </w:pPr>
      <w:r>
        <w:rPr>
          <w:spacing w:val="-13"/>
          <w:sz w:val="21"/>
        </w:rPr>
        <w:t>肺功能测试其 </w:t>
      </w:r>
      <w:r>
        <w:rPr>
          <w:rFonts w:ascii="Courier New" w:eastAsia="Courier New"/>
          <w:sz w:val="21"/>
        </w:rPr>
        <w:t>FEV1</w:t>
      </w:r>
      <w:r>
        <w:rPr>
          <w:rFonts w:ascii="Courier New" w:eastAsia="Courier New"/>
          <w:spacing w:val="-107"/>
          <w:sz w:val="21"/>
        </w:rPr>
        <w:t> </w:t>
      </w:r>
      <w:r>
        <w:rPr>
          <w:spacing w:val="-18"/>
          <w:sz w:val="21"/>
        </w:rPr>
        <w:t>持续低于 </w:t>
      </w:r>
      <w:r>
        <w:rPr>
          <w:rFonts w:ascii="Courier New" w:eastAsia="Courier New"/>
          <w:sz w:val="21"/>
        </w:rPr>
        <w:t>1</w:t>
      </w:r>
      <w:r>
        <w:rPr>
          <w:rFonts w:ascii="Courier New" w:eastAsia="Courier New"/>
          <w:spacing w:val="-107"/>
          <w:sz w:val="21"/>
        </w:rPr>
        <w:t> </w:t>
      </w:r>
      <w:r>
        <w:rPr>
          <w:sz w:val="21"/>
        </w:rPr>
        <w:t>升</w:t>
      </w:r>
      <w:r>
        <w:rPr>
          <w:rFonts w:ascii="Courier New" w:eastAsia="Courier New"/>
          <w:sz w:val="21"/>
        </w:rPr>
        <w:t>;</w:t>
      </w:r>
    </w:p>
    <w:p>
      <w:pPr>
        <w:pStyle w:val="ListParagraph"/>
        <w:numPr>
          <w:ilvl w:val="0"/>
          <w:numId w:val="9"/>
        </w:numPr>
        <w:tabs>
          <w:tab w:pos="1377" w:val="left" w:leader="none"/>
          <w:tab w:pos="1378" w:val="left" w:leader="none"/>
        </w:tabs>
        <w:spacing w:line="240" w:lineRule="auto" w:before="3" w:after="0"/>
        <w:ind w:left="1377" w:right="0" w:hanging="655"/>
        <w:jc w:val="left"/>
        <w:rPr>
          <w:rFonts w:ascii="Courier New" w:eastAsia="Courier New"/>
          <w:sz w:val="21"/>
        </w:rPr>
      </w:pPr>
      <w:r>
        <w:rPr>
          <w:spacing w:val="0"/>
          <w:w w:val="90"/>
          <w:sz w:val="21"/>
        </w:rPr>
        <w:t>气道内阻力增加，至少达到  </w:t>
      </w:r>
      <w:r>
        <w:rPr>
          <w:rFonts w:ascii="Courier New" w:eastAsia="Courier New"/>
          <w:w w:val="90"/>
          <w:sz w:val="21"/>
        </w:rPr>
        <w:t>0.5kPa/l/s;</w:t>
      </w:r>
    </w:p>
    <w:p>
      <w:pPr>
        <w:spacing w:after="0" w:line="240" w:lineRule="auto"/>
        <w:jc w:val="left"/>
        <w:rPr>
          <w:rFonts w:ascii="Courier New" w:eastAsia="Courier New"/>
          <w:sz w:val="21"/>
        </w:rPr>
        <w:sectPr>
          <w:pgSz w:w="11900" w:h="16840"/>
          <w:pgMar w:header="896" w:footer="1008" w:top="1280" w:bottom="1200" w:left="1680" w:right="1500"/>
        </w:sectPr>
      </w:pPr>
    </w:p>
    <w:p>
      <w:pPr>
        <w:pStyle w:val="ListParagraph"/>
        <w:numPr>
          <w:ilvl w:val="0"/>
          <w:numId w:val="9"/>
        </w:numPr>
        <w:tabs>
          <w:tab w:pos="1377" w:val="left" w:leader="none"/>
          <w:tab w:pos="1378" w:val="left" w:leader="none"/>
        </w:tabs>
        <w:spacing w:line="240" w:lineRule="auto" w:before="133" w:after="0"/>
        <w:ind w:left="1377" w:right="0" w:hanging="655"/>
        <w:jc w:val="left"/>
        <w:rPr>
          <w:rFonts w:ascii="Courier New" w:eastAsia="Courier New"/>
          <w:sz w:val="21"/>
        </w:rPr>
      </w:pPr>
      <w:r>
        <w:rPr>
          <w:spacing w:val="-1"/>
          <w:w w:val="95"/>
          <w:sz w:val="21"/>
        </w:rPr>
        <w:t>动脉血气分析氧分压等于或低于 </w:t>
      </w:r>
      <w:r>
        <w:rPr>
          <w:rFonts w:ascii="Courier New" w:eastAsia="Courier New"/>
          <w:w w:val="95"/>
          <w:sz w:val="21"/>
        </w:rPr>
        <w:t>55mmHg;</w:t>
      </w:r>
    </w:p>
    <w:p>
      <w:pPr>
        <w:pStyle w:val="ListParagraph"/>
        <w:numPr>
          <w:ilvl w:val="0"/>
          <w:numId w:val="9"/>
        </w:numPr>
        <w:tabs>
          <w:tab w:pos="1377" w:val="left" w:leader="none"/>
          <w:tab w:pos="1378" w:val="left" w:leader="none"/>
        </w:tabs>
        <w:spacing w:line="240" w:lineRule="auto" w:before="3" w:after="0"/>
        <w:ind w:left="1377" w:right="0" w:hanging="655"/>
        <w:jc w:val="left"/>
        <w:rPr>
          <w:sz w:val="21"/>
        </w:rPr>
      </w:pPr>
      <w:r>
        <w:rPr>
          <w:w w:val="95"/>
          <w:sz w:val="21"/>
        </w:rPr>
        <w:t>残气容积占肺总量（</w:t>
      </w:r>
      <w:r>
        <w:rPr>
          <w:rFonts w:ascii="Courier New" w:eastAsia="Courier New"/>
          <w:w w:val="95"/>
          <w:sz w:val="21"/>
        </w:rPr>
        <w:t>TLC</w:t>
      </w:r>
      <w:r>
        <w:rPr>
          <w:w w:val="95"/>
          <w:sz w:val="21"/>
        </w:rPr>
        <w:t>）</w:t>
      </w:r>
      <w:r>
        <w:rPr>
          <w:spacing w:val="1"/>
          <w:w w:val="95"/>
          <w:sz w:val="21"/>
        </w:rPr>
        <w:t>的 </w:t>
      </w:r>
      <w:r>
        <w:rPr>
          <w:rFonts w:ascii="Courier New" w:eastAsia="Courier New"/>
          <w:w w:val="95"/>
          <w:sz w:val="21"/>
        </w:rPr>
        <w:t>60%</w:t>
      </w:r>
      <w:r>
        <w:rPr>
          <w:w w:val="95"/>
          <w:sz w:val="21"/>
        </w:rPr>
        <w:t>以上；</w:t>
      </w:r>
    </w:p>
    <w:p>
      <w:pPr>
        <w:pStyle w:val="ListParagraph"/>
        <w:numPr>
          <w:ilvl w:val="0"/>
          <w:numId w:val="9"/>
        </w:numPr>
        <w:tabs>
          <w:tab w:pos="1377" w:val="left" w:leader="none"/>
          <w:tab w:pos="1378" w:val="left" w:leader="none"/>
        </w:tabs>
        <w:spacing w:line="240" w:lineRule="auto" w:before="3" w:after="0"/>
        <w:ind w:left="1377" w:right="0" w:hanging="655"/>
        <w:jc w:val="left"/>
        <w:rPr>
          <w:sz w:val="21"/>
        </w:rPr>
      </w:pPr>
      <w:r>
        <w:rPr>
          <w:sz w:val="21"/>
        </w:rPr>
        <w:t>休息时出现呼吸困难。</w:t>
      </w:r>
    </w:p>
    <w:p>
      <w:pPr>
        <w:pStyle w:val="BodyText"/>
        <w:ind w:left="477"/>
      </w:pPr>
      <w:r>
        <w:rPr>
          <w:rFonts w:ascii="Courier New" w:eastAsia="Courier New"/>
          <w:w w:val="95"/>
        </w:rPr>
        <w:t>34</w:t>
      </w:r>
      <w:r>
        <w:rPr>
          <w:w w:val="95"/>
        </w:rPr>
        <w:t>、 重症肌无力：</w:t>
      </w:r>
    </w:p>
    <w:p>
      <w:pPr>
        <w:pStyle w:val="BodyText"/>
        <w:spacing w:line="261" w:lineRule="auto"/>
        <w:ind w:left="476" w:right="157" w:firstLine="420"/>
        <w:jc w:val="both"/>
      </w:pPr>
      <w:r>
        <w:rPr>
          <w:w w:val="95"/>
        </w:rPr>
        <w:t>指一种神经</w:t>
      </w:r>
      <w:r>
        <w:rPr>
          <w:rFonts w:ascii="Courier New" w:eastAsia="Courier New"/>
          <w:w w:val="95"/>
        </w:rPr>
        <w:t>-</w:t>
      </w:r>
      <w:r>
        <w:rPr>
          <w:w w:val="95"/>
        </w:rPr>
        <w:t>肌肉接头部位因乙酰胆硷受体减少而出现传递障碍的自身免疫性疾病，  </w:t>
      </w:r>
      <w:r>
        <w:rPr/>
        <w:t>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0"/>
        </w:numPr>
        <w:tabs>
          <w:tab w:pos="960" w:val="left" w:leader="none"/>
        </w:tabs>
        <w:spacing w:line="240" w:lineRule="auto" w:before="17" w:after="0"/>
        <w:ind w:left="844" w:right="0" w:hanging="245"/>
        <w:jc w:val="left"/>
        <w:rPr>
          <w:sz w:val="21"/>
        </w:rPr>
      </w:pPr>
      <w:r>
        <w:rPr>
          <w:sz w:val="21"/>
        </w:rPr>
        <w:t>经药物、胸腺手术治疗一年以上无法控制病情，丧失正常工作能力；</w:t>
      </w:r>
    </w:p>
    <w:p>
      <w:pPr>
        <w:pStyle w:val="ListParagraph"/>
        <w:numPr>
          <w:ilvl w:val="0"/>
          <w:numId w:val="10"/>
        </w:numPr>
        <w:tabs>
          <w:tab w:pos="960" w:val="left" w:leader="none"/>
        </w:tabs>
        <w:spacing w:line="242" w:lineRule="auto" w:before="3" w:after="0"/>
        <w:ind w:left="844" w:right="216" w:hanging="245"/>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10"/>
        </w:numPr>
        <w:tabs>
          <w:tab w:pos="960" w:val="left" w:leader="none"/>
        </w:tabs>
        <w:spacing w:line="240" w:lineRule="auto" w:before="35" w:after="0"/>
        <w:ind w:left="959" w:right="0" w:hanging="360"/>
        <w:jc w:val="left"/>
        <w:rPr>
          <w:sz w:val="21"/>
        </w:rPr>
      </w:pPr>
      <w:r>
        <w:rPr>
          <w:sz w:val="21"/>
        </w:rPr>
        <w:t>症状缓解、复发及恶化交替出现，临床接受新斯的明等抗胆碱酶药物治疗的历史。</w:t>
      </w:r>
    </w:p>
    <w:p>
      <w:pPr>
        <w:pStyle w:val="BodyText"/>
        <w:ind w:left="477"/>
      </w:pPr>
      <w:r>
        <w:rPr>
          <w:rFonts w:ascii="Courier New" w:eastAsia="Courier New"/>
        </w:rPr>
        <w:t>35</w:t>
      </w:r>
      <w:r>
        <w:rPr/>
        <w:t>、 主动脉夹层瘤：</w:t>
      </w:r>
    </w:p>
    <w:p>
      <w:pPr>
        <w:pStyle w:val="BodyText"/>
        <w:spacing w:line="261" w:lineRule="auto"/>
        <w:ind w:left="476" w:right="110" w:firstLine="420"/>
      </w:pPr>
      <w:r>
        <w:rPr>
          <w:spacing w:val="-4"/>
        </w:rPr>
        <w:t>指主动脉壁在受到某些病理因素的破坏后，高速、高压的主动脉血流将其内膜撕裂， 以致主动脉腔内的血流通过主动脉内膜的破裂口进入主动脉内壁而形成血肿。被保险人</w:t>
      </w:r>
      <w:r>
        <w:rPr>
          <w:spacing w:val="-4"/>
          <w:w w:val="95"/>
        </w:rPr>
        <w:t>需通过电脑断层扫描（</w:t>
      </w:r>
      <w:r>
        <w:rPr>
          <w:rFonts w:ascii="Courier New" w:eastAsia="Courier New"/>
          <w:spacing w:val="-4"/>
          <w:w w:val="95"/>
        </w:rPr>
        <w:t>CT</w:t>
      </w:r>
      <w:r>
        <w:rPr>
          <w:spacing w:val="-4"/>
          <w:w w:val="95"/>
        </w:rPr>
        <w:t>）、磁共振扫描（</w:t>
      </w:r>
      <w:r>
        <w:rPr>
          <w:rFonts w:ascii="Courier New" w:eastAsia="Courier New"/>
          <w:spacing w:val="-4"/>
          <w:w w:val="95"/>
        </w:rPr>
        <w:t>MRI</w:t>
      </w:r>
      <w:r>
        <w:rPr>
          <w:spacing w:val="-4"/>
          <w:w w:val="95"/>
        </w:rPr>
        <w:t>）、磁共振血管检验法（</w:t>
      </w:r>
      <w:r>
        <w:rPr>
          <w:rFonts w:ascii="Courier New" w:eastAsia="Courier New"/>
          <w:spacing w:val="-4"/>
          <w:w w:val="95"/>
        </w:rPr>
        <w:t>MRA</w:t>
      </w:r>
      <w:r>
        <w:rPr>
          <w:spacing w:val="-4"/>
          <w:w w:val="95"/>
        </w:rPr>
        <w:t>）或血管扫  </w:t>
      </w:r>
      <w:r>
        <w:rPr>
          <w:spacing w:val="-1"/>
          <w:w w:val="95"/>
        </w:rPr>
        <w:t>描等检查</w:t>
      </w:r>
      <w:r>
        <w:rPr>
          <w:rFonts w:ascii="Courier New" w:eastAsia="Courier New"/>
          <w:w w:val="95"/>
        </w:rPr>
        <w:t>,</w:t>
      </w:r>
      <w:r>
        <w:rPr>
          <w:w w:val="95"/>
        </w:rPr>
        <w:t>并须经专科医生确诊。</w:t>
      </w:r>
    </w:p>
    <w:p>
      <w:pPr>
        <w:pStyle w:val="BodyText"/>
        <w:spacing w:line="290" w:lineRule="exact" w:before="0"/>
        <w:ind w:left="477"/>
      </w:pPr>
      <w:r>
        <w:rPr>
          <w:rFonts w:ascii="Courier New" w:eastAsia="Courier New"/>
        </w:rPr>
        <w:t>36</w:t>
      </w:r>
      <w:r>
        <w:rPr/>
        <w:t>、 植物人：</w:t>
      </w:r>
    </w:p>
    <w:p>
      <w:pPr>
        <w:pStyle w:val="BodyText"/>
        <w:spacing w:line="273" w:lineRule="auto"/>
        <w:ind w:left="476" w:right="213" w:firstLine="420"/>
        <w:jc w:val="both"/>
      </w:pPr>
      <w:r>
        <w:rPr/>
        <w:t>指经专科医生确诊，大脑皮质全面坏死，意识完全丧失，但脑干仍保持完好，且此情况维持一个月以上。</w:t>
      </w:r>
    </w:p>
    <w:p>
      <w:pPr>
        <w:pStyle w:val="BodyText"/>
        <w:spacing w:before="4"/>
        <w:rPr>
          <w:sz w:val="24"/>
        </w:rPr>
      </w:pPr>
    </w:p>
    <w:p>
      <w:pPr>
        <w:pStyle w:val="BodyText"/>
        <w:spacing w:before="1"/>
        <w:ind w:left="117"/>
      </w:pPr>
      <w:r>
        <w:rPr/>
        <w:t>术语解释：</w:t>
      </w:r>
    </w:p>
    <w:p>
      <w:pPr>
        <w:pStyle w:val="BodyText"/>
        <w:spacing w:before="37"/>
        <w:ind w:left="537"/>
      </w:pPr>
      <w:r>
        <w:rPr/>
        <w:t>六项基本日常生活活动 ：</w:t>
      </w:r>
    </w:p>
    <w:p>
      <w:pPr>
        <w:pStyle w:val="BodyText"/>
        <w:spacing w:line="242" w:lineRule="auto" w:before="37"/>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5"/>
        <w:ind w:left="537"/>
      </w:pPr>
      <w:r>
        <w:rPr/>
        <w:t>肢体机能完全丧失：</w:t>
      </w:r>
    </w:p>
    <w:p>
      <w:pPr>
        <w:pStyle w:val="BodyText"/>
        <w:spacing w:line="273" w:lineRule="auto" w:before="37"/>
        <w:ind w:left="539" w:right="214" w:firstLine="420"/>
        <w:jc w:val="both"/>
      </w:pPr>
      <w:r>
        <w:rPr>
          <w:spacing w:val="-2"/>
        </w:rPr>
        <w:t>指肢体的三大关节中的两大关节僵硬，或不能随意识活动。肢体是指包括肩关节的整个上肢或包括髋关节的整个下肢。</w:t>
      </w:r>
    </w:p>
    <w:p>
      <w:pPr>
        <w:pStyle w:val="BodyText"/>
        <w:spacing w:before="7"/>
        <w:ind w:left="537"/>
      </w:pPr>
      <w:r>
        <w:rPr/>
        <w:t>语言能力或咀嚼吞咽能力完全丧失：</w:t>
      </w:r>
    </w:p>
    <w:p>
      <w:pPr>
        <w:pStyle w:val="BodyText"/>
        <w:spacing w:line="273" w:lineRule="auto" w:before="36"/>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7"/>
        <w:ind w:left="537" w:right="214" w:firstLine="420"/>
        <w:jc w:val="both"/>
      </w:pPr>
      <w:r>
        <w:rPr>
          <w:spacing w:val="-2"/>
        </w:rPr>
        <w:t>咀嚼吞咽能力完全丧失，指因牙齿以外的原因导致器质障碍或机能障碍，以致不能作咀嚼吞咽运动，除流质食物外不能摄取或吞咽的状态。</w:t>
      </w:r>
    </w:p>
    <w:p>
      <w:pPr>
        <w:pStyle w:val="BodyText"/>
        <w:spacing w:before="7"/>
        <w:ind w:left="537"/>
      </w:pPr>
      <w:r>
        <w:rPr/>
        <w:t>永久不可逆：</w:t>
      </w:r>
    </w:p>
    <w:p>
      <w:pPr>
        <w:pStyle w:val="BodyText"/>
        <w:spacing w:line="242" w:lineRule="auto" w:before="36"/>
        <w:ind w:left="539" w:right="214" w:firstLine="420"/>
        <w:jc w:val="both"/>
      </w:pPr>
      <w:r>
        <w:rPr>
          <w:spacing w:val="-5"/>
        </w:rPr>
        <w:t>指自疾病确诊或意外伤害发生之日起，经过积极治疗 </w:t>
      </w:r>
      <w:r>
        <w:rPr>
          <w:rFonts w:ascii="Courier New" w:eastAsia="Courier New"/>
        </w:rPr>
        <w:t>180</w:t>
      </w:r>
      <w:r>
        <w:rPr>
          <w:rFonts w:ascii="Courier New" w:eastAsia="Courier New"/>
          <w:spacing w:val="-105"/>
        </w:rPr>
        <w:t> </w:t>
      </w:r>
      <w:r>
        <w:rPr>
          <w:spacing w:val="-3"/>
        </w:rPr>
        <w:t>天后，仍无法通过现有医疗手段恢复。</w:t>
      </w:r>
    </w:p>
    <w:p>
      <w:pPr>
        <w:pStyle w:val="BodyText"/>
        <w:spacing w:before="34"/>
        <w:ind w:left="537"/>
      </w:pPr>
      <w:r>
        <w:rPr/>
        <w:t>感染艾滋病病毒或患艾滋病：</w:t>
      </w:r>
    </w:p>
    <w:p>
      <w:pPr>
        <w:pStyle w:val="BodyText"/>
        <w:spacing w:line="242" w:lineRule="auto" w:before="37"/>
        <w:ind w:left="539" w:right="216" w:firstLine="420"/>
        <w:jc w:val="both"/>
      </w:pPr>
      <w:r>
        <w:rPr>
          <w:w w:val="95"/>
        </w:rPr>
        <w:t>艾滋病病毒指人类免疫缺陷病毒，英文缩写为  </w:t>
      </w:r>
      <w:r>
        <w:rPr>
          <w:rFonts w:ascii="Courier New" w:eastAsia="Courier New"/>
          <w:w w:val="95"/>
        </w:rPr>
        <w:t>HIV</w:t>
      </w:r>
      <w:r>
        <w:rPr>
          <w:w w:val="95"/>
        </w:rPr>
        <w:t>。艾滋病指人类免疫缺陷病毒引起的获得性免疫缺陷综合征，英文缩写为 </w:t>
      </w:r>
      <w:r>
        <w:rPr>
          <w:rFonts w:ascii="Courier New" w:eastAsia="Courier New"/>
          <w:w w:val="95"/>
        </w:rPr>
        <w:t>AIDS</w:t>
      </w:r>
      <w:r>
        <w:rPr>
          <w:w w:val="95"/>
        </w:rPr>
        <w:t>。</w:t>
      </w:r>
    </w:p>
    <w:p>
      <w:pPr>
        <w:pStyle w:val="BodyText"/>
        <w:spacing w:line="273" w:lineRule="auto" w:before="1"/>
        <w:ind w:left="537" w:right="216" w:firstLine="420"/>
        <w:jc w:val="both"/>
      </w:pPr>
      <w:r>
        <w:rPr>
          <w:spacing w:val="-1"/>
        </w:rPr>
        <w:t>在人体血液或其它样本中检测到艾滋病病毒或其抗体呈阳性，没有出现临床症状或体征的，为感染艾滋病病毒；如果同时出现了明显临床症状或体征的，为患艾滋病。</w:t>
      </w:r>
    </w:p>
    <w:sectPr>
      <w:pgSz w:w="11900" w:h="16840"/>
      <w:pgMar w:header="896" w:footer="1008" w:top="1280" w:bottom="120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3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200012pt;margin-top:780.579651pt;width:82.65pt;height:12pt;mso-position-horizontal-relative:page;mso-position-vertical-relative:page;z-index:-137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11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840"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3816"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44" w:hanging="360"/>
        <w:jc w:val="left"/>
      </w:pPr>
      <w:rPr>
        <w:rFonts w:hint="default" w:ascii="Courier New" w:hAnsi="Courier New" w:eastAsia="Courier New" w:cs="Courier New"/>
        <w:spacing w:val="-1"/>
        <w:w w:val="83"/>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8" w:hanging="360"/>
      </w:pPr>
      <w:rPr>
        <w:rFonts w:hint="default"/>
      </w:rPr>
    </w:lvl>
    <w:lvl w:ilvl="7">
      <w:start w:val="0"/>
      <w:numFmt w:val="bullet"/>
      <w:lvlText w:val="•"/>
      <w:lvlJc w:val="left"/>
      <w:pPr>
        <w:ind w:left="6356" w:hanging="360"/>
      </w:pPr>
      <w:rPr>
        <w:rFonts w:hint="default"/>
      </w:rPr>
    </w:lvl>
    <w:lvl w:ilvl="8">
      <w:start w:val="0"/>
      <w:numFmt w:val="bullet"/>
      <w:lvlText w:val="•"/>
      <w:lvlJc w:val="left"/>
      <w:pPr>
        <w:ind w:left="7144" w:hanging="360"/>
      </w:pPr>
      <w:rPr>
        <w:rFonts w:hint="default"/>
      </w:rPr>
    </w:lvl>
  </w:abstractNum>
  <w:abstractNum w:abstractNumId="8">
    <w:multiLevelType w:val="hybridMultilevel"/>
    <w:lvl w:ilvl="0">
      <w:start w:val="1"/>
      <w:numFmt w:val="decimal"/>
      <w:lvlText w:val="%1）"/>
      <w:lvlJc w:val="left"/>
      <w:pPr>
        <w:ind w:left="1377" w:hanging="656"/>
        <w:jc w:val="left"/>
      </w:pPr>
      <w:rPr>
        <w:rFonts w:hint="default" w:ascii="Courier New" w:hAnsi="Courier New" w:eastAsia="Courier New" w:cs="Courier New"/>
        <w:spacing w:val="-74"/>
        <w:w w:val="83"/>
        <w:sz w:val="21"/>
        <w:szCs w:val="21"/>
      </w:rPr>
    </w:lvl>
    <w:lvl w:ilvl="1">
      <w:start w:val="0"/>
      <w:numFmt w:val="bullet"/>
      <w:lvlText w:val="•"/>
      <w:lvlJc w:val="left"/>
      <w:pPr>
        <w:ind w:left="2114" w:hanging="656"/>
      </w:pPr>
      <w:rPr>
        <w:rFonts w:hint="default"/>
      </w:rPr>
    </w:lvl>
    <w:lvl w:ilvl="2">
      <w:start w:val="0"/>
      <w:numFmt w:val="bullet"/>
      <w:lvlText w:val="•"/>
      <w:lvlJc w:val="left"/>
      <w:pPr>
        <w:ind w:left="2848" w:hanging="656"/>
      </w:pPr>
      <w:rPr>
        <w:rFonts w:hint="default"/>
      </w:rPr>
    </w:lvl>
    <w:lvl w:ilvl="3">
      <w:start w:val="0"/>
      <w:numFmt w:val="bullet"/>
      <w:lvlText w:val="•"/>
      <w:lvlJc w:val="left"/>
      <w:pPr>
        <w:ind w:left="3582" w:hanging="656"/>
      </w:pPr>
      <w:rPr>
        <w:rFonts w:hint="default"/>
      </w:rPr>
    </w:lvl>
    <w:lvl w:ilvl="4">
      <w:start w:val="0"/>
      <w:numFmt w:val="bullet"/>
      <w:lvlText w:val="•"/>
      <w:lvlJc w:val="left"/>
      <w:pPr>
        <w:ind w:left="4316" w:hanging="656"/>
      </w:pPr>
      <w:rPr>
        <w:rFonts w:hint="default"/>
      </w:rPr>
    </w:lvl>
    <w:lvl w:ilvl="5">
      <w:start w:val="0"/>
      <w:numFmt w:val="bullet"/>
      <w:lvlText w:val="•"/>
      <w:lvlJc w:val="left"/>
      <w:pPr>
        <w:ind w:left="5050" w:hanging="656"/>
      </w:pPr>
      <w:rPr>
        <w:rFonts w:hint="default"/>
      </w:rPr>
    </w:lvl>
    <w:lvl w:ilvl="6">
      <w:start w:val="0"/>
      <w:numFmt w:val="bullet"/>
      <w:lvlText w:val="•"/>
      <w:lvlJc w:val="left"/>
      <w:pPr>
        <w:ind w:left="5784" w:hanging="656"/>
      </w:pPr>
      <w:rPr>
        <w:rFonts w:hint="default"/>
      </w:rPr>
    </w:lvl>
    <w:lvl w:ilvl="7">
      <w:start w:val="0"/>
      <w:numFmt w:val="bullet"/>
      <w:lvlText w:val="•"/>
      <w:lvlJc w:val="left"/>
      <w:pPr>
        <w:ind w:left="6518" w:hanging="656"/>
      </w:pPr>
      <w:rPr>
        <w:rFonts w:hint="default"/>
      </w:rPr>
    </w:lvl>
    <w:lvl w:ilvl="8">
      <w:start w:val="0"/>
      <w:numFmt w:val="bullet"/>
      <w:lvlText w:val="•"/>
      <w:lvlJc w:val="left"/>
      <w:pPr>
        <w:ind w:left="7252" w:hanging="656"/>
      </w:pPr>
      <w:rPr>
        <w:rFonts w:hint="default"/>
      </w:rPr>
    </w:lvl>
  </w:abstractNum>
  <w:abstractNum w:abstractNumId="7">
    <w:multiLevelType w:val="hybridMultilevel"/>
    <w:lvl w:ilvl="0">
      <w:start w:val="1"/>
      <w:numFmt w:val="decimal"/>
      <w:lvlText w:val="%1）"/>
      <w:lvlJc w:val="left"/>
      <w:pPr>
        <w:ind w:left="1377" w:hanging="656"/>
        <w:jc w:val="left"/>
      </w:pPr>
      <w:rPr>
        <w:rFonts w:hint="default" w:ascii="Courier New" w:hAnsi="Courier New" w:eastAsia="Courier New" w:cs="Courier New"/>
        <w:spacing w:val="-1"/>
        <w:w w:val="83"/>
        <w:sz w:val="21"/>
        <w:szCs w:val="21"/>
      </w:rPr>
    </w:lvl>
    <w:lvl w:ilvl="1">
      <w:start w:val="1"/>
      <w:numFmt w:val="decimal"/>
      <w:lvlText w:val="%2."/>
      <w:lvlJc w:val="left"/>
      <w:pPr>
        <w:ind w:left="1797" w:hanging="543"/>
        <w:jc w:val="left"/>
      </w:pPr>
      <w:rPr>
        <w:rFonts w:hint="default" w:ascii="Courier New" w:hAnsi="Courier New" w:eastAsia="Courier New" w:cs="Courier New"/>
        <w:w w:val="83"/>
        <w:sz w:val="21"/>
        <w:szCs w:val="21"/>
      </w:rPr>
    </w:lvl>
    <w:lvl w:ilvl="2">
      <w:start w:val="0"/>
      <w:numFmt w:val="bullet"/>
      <w:lvlText w:val="•"/>
      <w:lvlJc w:val="left"/>
      <w:pPr>
        <w:ind w:left="2220" w:hanging="543"/>
      </w:pPr>
      <w:rPr>
        <w:rFonts w:hint="default"/>
      </w:rPr>
    </w:lvl>
    <w:lvl w:ilvl="3">
      <w:start w:val="0"/>
      <w:numFmt w:val="bullet"/>
      <w:lvlText w:val="•"/>
      <w:lvlJc w:val="left"/>
      <w:pPr>
        <w:ind w:left="3032" w:hanging="543"/>
      </w:pPr>
      <w:rPr>
        <w:rFonts w:hint="default"/>
      </w:rPr>
    </w:lvl>
    <w:lvl w:ilvl="4">
      <w:start w:val="0"/>
      <w:numFmt w:val="bullet"/>
      <w:lvlText w:val="•"/>
      <w:lvlJc w:val="left"/>
      <w:pPr>
        <w:ind w:left="3845" w:hanging="543"/>
      </w:pPr>
      <w:rPr>
        <w:rFonts w:hint="default"/>
      </w:rPr>
    </w:lvl>
    <w:lvl w:ilvl="5">
      <w:start w:val="0"/>
      <w:numFmt w:val="bullet"/>
      <w:lvlText w:val="•"/>
      <w:lvlJc w:val="left"/>
      <w:pPr>
        <w:ind w:left="4657" w:hanging="543"/>
      </w:pPr>
      <w:rPr>
        <w:rFonts w:hint="default"/>
      </w:rPr>
    </w:lvl>
    <w:lvl w:ilvl="6">
      <w:start w:val="0"/>
      <w:numFmt w:val="bullet"/>
      <w:lvlText w:val="•"/>
      <w:lvlJc w:val="left"/>
      <w:pPr>
        <w:ind w:left="5470" w:hanging="543"/>
      </w:pPr>
      <w:rPr>
        <w:rFonts w:hint="default"/>
      </w:rPr>
    </w:lvl>
    <w:lvl w:ilvl="7">
      <w:start w:val="0"/>
      <w:numFmt w:val="bullet"/>
      <w:lvlText w:val="•"/>
      <w:lvlJc w:val="left"/>
      <w:pPr>
        <w:ind w:left="6282" w:hanging="543"/>
      </w:pPr>
      <w:rPr>
        <w:rFonts w:hint="default"/>
      </w:rPr>
    </w:lvl>
    <w:lvl w:ilvl="8">
      <w:start w:val="0"/>
      <w:numFmt w:val="bullet"/>
      <w:lvlText w:val="•"/>
      <w:lvlJc w:val="left"/>
      <w:pPr>
        <w:ind w:left="7095" w:hanging="543"/>
      </w:pPr>
      <w:rPr>
        <w:rFonts w:hint="default"/>
      </w:rPr>
    </w:lvl>
  </w:abstractNum>
  <w:abstractNum w:abstractNumId="6">
    <w:multiLevelType w:val="hybridMultilevel"/>
    <w:lvl w:ilvl="0">
      <w:start w:val="1"/>
      <w:numFmt w:val="decimal"/>
      <w:lvlText w:val="%1）"/>
      <w:lvlJc w:val="left"/>
      <w:pPr>
        <w:ind w:left="1377" w:hanging="656"/>
        <w:jc w:val="left"/>
      </w:pPr>
      <w:rPr>
        <w:rFonts w:hint="default" w:ascii="Courier New" w:hAnsi="Courier New" w:eastAsia="Courier New" w:cs="Courier New"/>
        <w:spacing w:val="-1"/>
        <w:w w:val="83"/>
        <w:sz w:val="21"/>
        <w:szCs w:val="21"/>
      </w:rPr>
    </w:lvl>
    <w:lvl w:ilvl="1">
      <w:start w:val="0"/>
      <w:numFmt w:val="bullet"/>
      <w:lvlText w:val="•"/>
      <w:lvlJc w:val="left"/>
      <w:pPr>
        <w:ind w:left="2114" w:hanging="656"/>
      </w:pPr>
      <w:rPr>
        <w:rFonts w:hint="default"/>
      </w:rPr>
    </w:lvl>
    <w:lvl w:ilvl="2">
      <w:start w:val="0"/>
      <w:numFmt w:val="bullet"/>
      <w:lvlText w:val="•"/>
      <w:lvlJc w:val="left"/>
      <w:pPr>
        <w:ind w:left="2848" w:hanging="656"/>
      </w:pPr>
      <w:rPr>
        <w:rFonts w:hint="default"/>
      </w:rPr>
    </w:lvl>
    <w:lvl w:ilvl="3">
      <w:start w:val="0"/>
      <w:numFmt w:val="bullet"/>
      <w:lvlText w:val="•"/>
      <w:lvlJc w:val="left"/>
      <w:pPr>
        <w:ind w:left="3582" w:hanging="656"/>
      </w:pPr>
      <w:rPr>
        <w:rFonts w:hint="default"/>
      </w:rPr>
    </w:lvl>
    <w:lvl w:ilvl="4">
      <w:start w:val="0"/>
      <w:numFmt w:val="bullet"/>
      <w:lvlText w:val="•"/>
      <w:lvlJc w:val="left"/>
      <w:pPr>
        <w:ind w:left="4316" w:hanging="656"/>
      </w:pPr>
      <w:rPr>
        <w:rFonts w:hint="default"/>
      </w:rPr>
    </w:lvl>
    <w:lvl w:ilvl="5">
      <w:start w:val="0"/>
      <w:numFmt w:val="bullet"/>
      <w:lvlText w:val="•"/>
      <w:lvlJc w:val="left"/>
      <w:pPr>
        <w:ind w:left="5050" w:hanging="656"/>
      </w:pPr>
      <w:rPr>
        <w:rFonts w:hint="default"/>
      </w:rPr>
    </w:lvl>
    <w:lvl w:ilvl="6">
      <w:start w:val="0"/>
      <w:numFmt w:val="bullet"/>
      <w:lvlText w:val="•"/>
      <w:lvlJc w:val="left"/>
      <w:pPr>
        <w:ind w:left="5784" w:hanging="656"/>
      </w:pPr>
      <w:rPr>
        <w:rFonts w:hint="default"/>
      </w:rPr>
    </w:lvl>
    <w:lvl w:ilvl="7">
      <w:start w:val="0"/>
      <w:numFmt w:val="bullet"/>
      <w:lvlText w:val="•"/>
      <w:lvlJc w:val="left"/>
      <w:pPr>
        <w:ind w:left="6518" w:hanging="656"/>
      </w:pPr>
      <w:rPr>
        <w:rFonts w:hint="default"/>
      </w:rPr>
    </w:lvl>
    <w:lvl w:ilvl="8">
      <w:start w:val="0"/>
      <w:numFmt w:val="bullet"/>
      <w:lvlText w:val="•"/>
      <w:lvlJc w:val="left"/>
      <w:pPr>
        <w:ind w:left="7252" w:hanging="656"/>
      </w:pPr>
      <w:rPr>
        <w:rFonts w:hint="default"/>
      </w:rPr>
    </w:lvl>
  </w:abstractNum>
  <w:abstractNum w:abstractNumId="5">
    <w:multiLevelType w:val="hybridMultilevel"/>
    <w:lvl w:ilvl="0">
      <w:start w:val="1"/>
      <w:numFmt w:val="decimal"/>
      <w:lvlText w:val="%1）"/>
      <w:lvlJc w:val="left"/>
      <w:pPr>
        <w:ind w:left="1017" w:hanging="418"/>
        <w:jc w:val="left"/>
      </w:pPr>
      <w:rPr>
        <w:rFonts w:hint="default" w:ascii="Courier New" w:hAnsi="Courier New" w:eastAsia="Courier New" w:cs="Courier New"/>
        <w:spacing w:val="-1"/>
        <w:w w:val="83"/>
        <w:sz w:val="21"/>
        <w:szCs w:val="21"/>
      </w:rPr>
    </w:lvl>
    <w:lvl w:ilvl="1">
      <w:start w:val="1"/>
      <w:numFmt w:val="decimal"/>
      <w:lvlText w:val="%2）"/>
      <w:lvlJc w:val="left"/>
      <w:pPr>
        <w:ind w:left="1377" w:hanging="656"/>
        <w:jc w:val="left"/>
      </w:pPr>
      <w:rPr>
        <w:rFonts w:hint="default" w:ascii="Courier New" w:hAnsi="Courier New" w:eastAsia="Courier New" w:cs="Courier New"/>
        <w:spacing w:val="-1"/>
        <w:w w:val="83"/>
        <w:sz w:val="21"/>
        <w:szCs w:val="21"/>
      </w:rPr>
    </w:lvl>
    <w:lvl w:ilvl="2">
      <w:start w:val="0"/>
      <w:numFmt w:val="bullet"/>
      <w:lvlText w:val="•"/>
      <w:lvlJc w:val="left"/>
      <w:pPr>
        <w:ind w:left="2195" w:hanging="656"/>
      </w:pPr>
      <w:rPr>
        <w:rFonts w:hint="default"/>
      </w:rPr>
    </w:lvl>
    <w:lvl w:ilvl="3">
      <w:start w:val="0"/>
      <w:numFmt w:val="bullet"/>
      <w:lvlText w:val="•"/>
      <w:lvlJc w:val="left"/>
      <w:pPr>
        <w:ind w:left="3011" w:hanging="656"/>
      </w:pPr>
      <w:rPr>
        <w:rFonts w:hint="default"/>
      </w:rPr>
    </w:lvl>
    <w:lvl w:ilvl="4">
      <w:start w:val="0"/>
      <w:numFmt w:val="bullet"/>
      <w:lvlText w:val="•"/>
      <w:lvlJc w:val="left"/>
      <w:pPr>
        <w:ind w:left="3826" w:hanging="656"/>
      </w:pPr>
      <w:rPr>
        <w:rFonts w:hint="default"/>
      </w:rPr>
    </w:lvl>
    <w:lvl w:ilvl="5">
      <w:start w:val="0"/>
      <w:numFmt w:val="bullet"/>
      <w:lvlText w:val="•"/>
      <w:lvlJc w:val="left"/>
      <w:pPr>
        <w:ind w:left="4642" w:hanging="656"/>
      </w:pPr>
      <w:rPr>
        <w:rFonts w:hint="default"/>
      </w:rPr>
    </w:lvl>
    <w:lvl w:ilvl="6">
      <w:start w:val="0"/>
      <w:numFmt w:val="bullet"/>
      <w:lvlText w:val="•"/>
      <w:lvlJc w:val="left"/>
      <w:pPr>
        <w:ind w:left="5457" w:hanging="656"/>
      </w:pPr>
      <w:rPr>
        <w:rFonts w:hint="default"/>
      </w:rPr>
    </w:lvl>
    <w:lvl w:ilvl="7">
      <w:start w:val="0"/>
      <w:numFmt w:val="bullet"/>
      <w:lvlText w:val="•"/>
      <w:lvlJc w:val="left"/>
      <w:pPr>
        <w:ind w:left="6273" w:hanging="656"/>
      </w:pPr>
      <w:rPr>
        <w:rFonts w:hint="default"/>
      </w:rPr>
    </w:lvl>
    <w:lvl w:ilvl="8">
      <w:start w:val="0"/>
      <w:numFmt w:val="bullet"/>
      <w:lvlText w:val="•"/>
      <w:lvlJc w:val="left"/>
      <w:pPr>
        <w:ind w:left="7088" w:hanging="656"/>
      </w:pPr>
      <w:rPr>
        <w:rFonts w:hint="default"/>
      </w:rPr>
    </w:lvl>
  </w:abstractNum>
  <w:abstractNum w:abstractNumId="4">
    <w:multiLevelType w:val="hybridMultilevel"/>
    <w:lvl w:ilvl="0">
      <w:start w:val="1"/>
      <w:numFmt w:val="decimal"/>
      <w:lvlText w:val="%1."/>
      <w:lvlJc w:val="left"/>
      <w:pPr>
        <w:ind w:left="137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1420" w:hanging="840"/>
      </w:pPr>
      <w:rPr>
        <w:rFonts w:hint="default"/>
      </w:rPr>
    </w:lvl>
    <w:lvl w:ilvl="2">
      <w:start w:val="0"/>
      <w:numFmt w:val="bullet"/>
      <w:lvlText w:val="•"/>
      <w:lvlJc w:val="left"/>
      <w:pPr>
        <w:ind w:left="2226" w:hanging="840"/>
      </w:pPr>
      <w:rPr>
        <w:rFonts w:hint="default"/>
      </w:rPr>
    </w:lvl>
    <w:lvl w:ilvl="3">
      <w:start w:val="0"/>
      <w:numFmt w:val="bullet"/>
      <w:lvlText w:val="•"/>
      <w:lvlJc w:val="left"/>
      <w:pPr>
        <w:ind w:left="3033" w:hanging="840"/>
      </w:pPr>
      <w:rPr>
        <w:rFonts w:hint="default"/>
      </w:rPr>
    </w:lvl>
    <w:lvl w:ilvl="4">
      <w:start w:val="0"/>
      <w:numFmt w:val="bullet"/>
      <w:lvlText w:val="•"/>
      <w:lvlJc w:val="left"/>
      <w:pPr>
        <w:ind w:left="3840" w:hanging="840"/>
      </w:pPr>
      <w:rPr>
        <w:rFonts w:hint="default"/>
      </w:rPr>
    </w:lvl>
    <w:lvl w:ilvl="5">
      <w:start w:val="0"/>
      <w:numFmt w:val="bullet"/>
      <w:lvlText w:val="•"/>
      <w:lvlJc w:val="left"/>
      <w:pPr>
        <w:ind w:left="4646" w:hanging="840"/>
      </w:pPr>
      <w:rPr>
        <w:rFonts w:hint="default"/>
      </w:rPr>
    </w:lvl>
    <w:lvl w:ilvl="6">
      <w:start w:val="0"/>
      <w:numFmt w:val="bullet"/>
      <w:lvlText w:val="•"/>
      <w:lvlJc w:val="left"/>
      <w:pPr>
        <w:ind w:left="5453" w:hanging="840"/>
      </w:pPr>
      <w:rPr>
        <w:rFonts w:hint="default"/>
      </w:rPr>
    </w:lvl>
    <w:lvl w:ilvl="7">
      <w:start w:val="0"/>
      <w:numFmt w:val="bullet"/>
      <w:lvlText w:val="•"/>
      <w:lvlJc w:val="left"/>
      <w:pPr>
        <w:ind w:left="6260" w:hanging="840"/>
      </w:pPr>
      <w:rPr>
        <w:rFonts w:hint="default"/>
      </w:rPr>
    </w:lvl>
    <w:lvl w:ilvl="8">
      <w:start w:val="0"/>
      <w:numFmt w:val="bullet"/>
      <w:lvlText w:val="•"/>
      <w:lvlJc w:val="left"/>
      <w:pPr>
        <w:ind w:left="7066" w:hanging="840"/>
      </w:pPr>
      <w:rPr>
        <w:rFonts w:hint="default"/>
      </w:rPr>
    </w:lvl>
  </w:abstractNum>
  <w:abstractNum w:abstractNumId="3">
    <w:multiLevelType w:val="hybridMultilevel"/>
    <w:lvl w:ilvl="0">
      <w:start w:val="1"/>
      <w:numFmt w:val="decimal"/>
      <w:lvlText w:val="%1."/>
      <w:lvlJc w:val="left"/>
      <w:pPr>
        <w:ind w:left="137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2114" w:hanging="840"/>
      </w:pPr>
      <w:rPr>
        <w:rFonts w:hint="default"/>
      </w:rPr>
    </w:lvl>
    <w:lvl w:ilvl="2">
      <w:start w:val="0"/>
      <w:numFmt w:val="bullet"/>
      <w:lvlText w:val="•"/>
      <w:lvlJc w:val="left"/>
      <w:pPr>
        <w:ind w:left="2848" w:hanging="840"/>
      </w:pPr>
      <w:rPr>
        <w:rFonts w:hint="default"/>
      </w:rPr>
    </w:lvl>
    <w:lvl w:ilvl="3">
      <w:start w:val="0"/>
      <w:numFmt w:val="bullet"/>
      <w:lvlText w:val="•"/>
      <w:lvlJc w:val="left"/>
      <w:pPr>
        <w:ind w:left="3582" w:hanging="840"/>
      </w:pPr>
      <w:rPr>
        <w:rFonts w:hint="default"/>
      </w:rPr>
    </w:lvl>
    <w:lvl w:ilvl="4">
      <w:start w:val="0"/>
      <w:numFmt w:val="bullet"/>
      <w:lvlText w:val="•"/>
      <w:lvlJc w:val="left"/>
      <w:pPr>
        <w:ind w:left="4316" w:hanging="840"/>
      </w:pPr>
      <w:rPr>
        <w:rFonts w:hint="default"/>
      </w:rPr>
    </w:lvl>
    <w:lvl w:ilvl="5">
      <w:start w:val="0"/>
      <w:numFmt w:val="bullet"/>
      <w:lvlText w:val="•"/>
      <w:lvlJc w:val="left"/>
      <w:pPr>
        <w:ind w:left="5050" w:hanging="840"/>
      </w:pPr>
      <w:rPr>
        <w:rFonts w:hint="default"/>
      </w:rPr>
    </w:lvl>
    <w:lvl w:ilvl="6">
      <w:start w:val="0"/>
      <w:numFmt w:val="bullet"/>
      <w:lvlText w:val="•"/>
      <w:lvlJc w:val="left"/>
      <w:pPr>
        <w:ind w:left="5784" w:hanging="840"/>
      </w:pPr>
      <w:rPr>
        <w:rFonts w:hint="default"/>
      </w:rPr>
    </w:lvl>
    <w:lvl w:ilvl="7">
      <w:start w:val="0"/>
      <w:numFmt w:val="bullet"/>
      <w:lvlText w:val="•"/>
      <w:lvlJc w:val="left"/>
      <w:pPr>
        <w:ind w:left="6518" w:hanging="840"/>
      </w:pPr>
      <w:rPr>
        <w:rFonts w:hint="default"/>
      </w:rPr>
    </w:lvl>
    <w:lvl w:ilvl="8">
      <w:start w:val="0"/>
      <w:numFmt w:val="bullet"/>
      <w:lvlText w:val="•"/>
      <w:lvlJc w:val="left"/>
      <w:pPr>
        <w:ind w:left="7252" w:hanging="840"/>
      </w:pPr>
      <w:rPr>
        <w:rFonts w:hint="default"/>
      </w:rPr>
    </w:lvl>
  </w:abstractNum>
  <w:abstractNum w:abstractNumId="2">
    <w:multiLevelType w:val="hybridMultilevel"/>
    <w:lvl w:ilvl="0">
      <w:start w:val="1"/>
      <w:numFmt w:val="decimal"/>
      <w:lvlText w:val="%1."/>
      <w:lvlJc w:val="left"/>
      <w:pPr>
        <w:ind w:left="95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840"/>
      </w:pPr>
      <w:rPr>
        <w:rFonts w:hint="default"/>
      </w:rPr>
    </w:lvl>
    <w:lvl w:ilvl="2">
      <w:start w:val="0"/>
      <w:numFmt w:val="bullet"/>
      <w:lvlText w:val="•"/>
      <w:lvlJc w:val="left"/>
      <w:pPr>
        <w:ind w:left="2492" w:hanging="840"/>
      </w:pPr>
      <w:rPr>
        <w:rFonts w:hint="default"/>
      </w:rPr>
    </w:lvl>
    <w:lvl w:ilvl="3">
      <w:start w:val="0"/>
      <w:numFmt w:val="bullet"/>
      <w:lvlText w:val="•"/>
      <w:lvlJc w:val="left"/>
      <w:pPr>
        <w:ind w:left="3258" w:hanging="840"/>
      </w:pPr>
      <w:rPr>
        <w:rFonts w:hint="default"/>
      </w:rPr>
    </w:lvl>
    <w:lvl w:ilvl="4">
      <w:start w:val="0"/>
      <w:numFmt w:val="bullet"/>
      <w:lvlText w:val="•"/>
      <w:lvlJc w:val="left"/>
      <w:pPr>
        <w:ind w:left="4024" w:hanging="840"/>
      </w:pPr>
      <w:rPr>
        <w:rFonts w:hint="default"/>
      </w:rPr>
    </w:lvl>
    <w:lvl w:ilvl="5">
      <w:start w:val="0"/>
      <w:numFmt w:val="bullet"/>
      <w:lvlText w:val="•"/>
      <w:lvlJc w:val="left"/>
      <w:pPr>
        <w:ind w:left="4790" w:hanging="840"/>
      </w:pPr>
      <w:rPr>
        <w:rFonts w:hint="default"/>
      </w:rPr>
    </w:lvl>
    <w:lvl w:ilvl="6">
      <w:start w:val="0"/>
      <w:numFmt w:val="bullet"/>
      <w:lvlText w:val="•"/>
      <w:lvlJc w:val="left"/>
      <w:pPr>
        <w:ind w:left="5556" w:hanging="840"/>
      </w:pPr>
      <w:rPr>
        <w:rFonts w:hint="default"/>
      </w:rPr>
    </w:lvl>
    <w:lvl w:ilvl="7">
      <w:start w:val="0"/>
      <w:numFmt w:val="bullet"/>
      <w:lvlText w:val="•"/>
      <w:lvlJc w:val="left"/>
      <w:pPr>
        <w:ind w:left="6322" w:hanging="840"/>
      </w:pPr>
      <w:rPr>
        <w:rFonts w:hint="default"/>
      </w:rPr>
    </w:lvl>
    <w:lvl w:ilvl="8">
      <w:start w:val="0"/>
      <w:numFmt w:val="bullet"/>
      <w:lvlText w:val="•"/>
      <w:lvlJc w:val="left"/>
      <w:pPr>
        <w:ind w:left="7088" w:hanging="840"/>
      </w:pPr>
      <w:rPr>
        <w:rFonts w:hint="default"/>
      </w:rPr>
    </w:lvl>
  </w:abstractNum>
  <w:abstractNum w:abstractNumId="1">
    <w:multiLevelType w:val="hybridMultilevel"/>
    <w:lvl w:ilvl="0">
      <w:start w:val="1"/>
      <w:numFmt w:val="decimal"/>
      <w:lvlText w:val="%1."/>
      <w:lvlJc w:val="left"/>
      <w:pPr>
        <w:ind w:left="957" w:hanging="420"/>
        <w:jc w:val="left"/>
      </w:pPr>
      <w:rPr>
        <w:rFonts w:hint="default" w:ascii="Arial" w:hAnsi="Arial" w:eastAsia="Arial" w:cs="Arial"/>
        <w:spacing w:val="-35"/>
        <w:w w:val="89"/>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spacing w:before="3"/>
    </w:pPr>
    <w:rPr>
      <w:rFonts w:ascii="宋体" w:hAnsi="宋体" w:eastAsia="宋体" w:cs="宋体"/>
      <w:sz w:val="21"/>
      <w:szCs w:val="21"/>
    </w:rPr>
  </w:style>
  <w:style w:styleId="Heading1" w:type="paragraph">
    <w:name w:val="Heading 1"/>
    <w:basedOn w:val="Normal"/>
    <w:uiPriority w:val="1"/>
    <w:qFormat/>
    <w:pPr>
      <w:ind w:left="1599"/>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ListParagraph" w:type="paragraph">
    <w:name w:val="List Paragraph"/>
    <w:basedOn w:val="Normal"/>
    <w:uiPriority w:val="1"/>
    <w:qFormat/>
    <w:pPr>
      <w:spacing w:before="3"/>
      <w:ind w:left="137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2018-10-20T00:41:07Z</dcterms:created>
  <dcterms:modified xsi:type="dcterms:W3CDTF">2018-10-20T00:41:07Z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2009-05-20T00:00:00Z</vt:filetime>
  </property>
  <property fmtid="{D5CDD505-2E9C-101B-9397-08002B2CF9AE}" pid="3" name="LastSaved">
    <vt:filetime>2018-10-19T00:00:00Z</vt:filetime>
  </property>
</Properties>
</file>