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435" w:firstLine="0"/>
        <w:jc w:val="right"/>
        <w:rPr>
          <w:sz w:val="15"/>
        </w:rPr>
      </w:pPr>
      <w:r>
        <w:rPr/>
        <w:pict>
          <v:group style="position:absolute;margin-left:425.519989pt;margin-top:4.24979pt;width:138.4pt;height:83.05pt;mso-position-horizontal-relative:page;mso-position-vertical-relative:paragraph;z-index:-26872" coordorigin="8510,85" coordsize="2768,1661">
            <v:shape style="position:absolute;left:8510;top:84;width:2768;height:1661" type="#_x0000_t75" stroked="false">
              <v:imagedata r:id="rId5" o:title=""/>
            </v:shape>
            <v:shape style="position:absolute;left:9324;top:300;width:1138;height:1138" type="#_x0000_t75" stroked="false">
              <v:imagedata r:id="rId6" o:title=""/>
            </v:shape>
            <w10:wrap type="none"/>
          </v:group>
        </w:pict>
      </w:r>
      <w:r>
        <w:rPr>
          <w:sz w:val="15"/>
        </w:rPr>
        <w:t>东吴人寿[2016]疾病保险 006 号</w:t>
      </w:r>
    </w:p>
    <w:p>
      <w:pPr>
        <w:pStyle w:val="BodyText"/>
        <w:spacing w:before="12"/>
        <w:ind w:left="0"/>
        <w:rPr>
          <w:sz w:val="25"/>
        </w:rPr>
      </w:pPr>
    </w:p>
    <w:p>
      <w:pPr>
        <w:pStyle w:val="Heading1"/>
        <w:ind w:left="1808"/>
      </w:pPr>
      <w:r>
        <w:rPr/>
        <w:t>东吴附加福瑞一生提前给付重大疾病保险条款</w:t>
      </w:r>
    </w:p>
    <w:p>
      <w:pPr>
        <w:pStyle w:val="BodyText"/>
        <w:spacing w:before="15"/>
        <w:ind w:left="0"/>
        <w:rPr>
          <w:rFonts w:ascii="微软雅黑"/>
          <w:b/>
          <w:sz w:val="6"/>
        </w:rPr>
      </w:pPr>
    </w:p>
    <w:p>
      <w:pPr>
        <w:spacing w:after="0"/>
        <w:rPr>
          <w:rFonts w:ascii="微软雅黑"/>
          <w:sz w:val="6"/>
        </w:rPr>
        <w:sectPr>
          <w:type w:val="continuous"/>
          <w:pgSz w:w="11910" w:h="16840"/>
          <w:pgMar w:top="540" w:bottom="280" w:left="940" w:right="52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7"/>
        <w:ind w:left="0"/>
        <w:rPr>
          <w:rFonts w:ascii="微软雅黑"/>
          <w:b/>
          <w:sz w:val="14"/>
        </w:rPr>
      </w:pPr>
      <w:r>
        <w:rPr/>
        <w:br w:type="column"/>
      </w:r>
      <w:r>
        <w:rPr>
          <w:rFonts w:ascii="微软雅黑"/>
          <w:b/>
          <w:sz w:val="14"/>
        </w:rPr>
      </w:r>
    </w:p>
    <w:p>
      <w:pPr>
        <w:spacing w:before="0"/>
        <w:ind w:left="2271" w:right="0" w:firstLine="0"/>
        <w:jc w:val="left"/>
        <w:rPr>
          <w:sz w:val="15"/>
        </w:rPr>
      </w:pPr>
      <w:r>
        <w:rPr>
          <w:sz w:val="15"/>
        </w:rPr>
        <w:t>请扫描以查询验证条款</w:t>
      </w:r>
    </w:p>
    <w:p>
      <w:pPr>
        <w:spacing w:after="0"/>
        <w:jc w:val="left"/>
        <w:rPr>
          <w:sz w:val="15"/>
        </w:rPr>
        <w:sectPr>
          <w:type w:val="continuous"/>
          <w:pgSz w:w="11910" w:h="16840"/>
          <w:pgMar w:top="540" w:bottom="280" w:left="940" w:right="520"/>
          <w:cols w:num="2" w:equalWidth="0">
            <w:col w:w="5895" w:space="40"/>
            <w:col w:w="4515"/>
          </w:cols>
        </w:sectPr>
      </w:pPr>
    </w:p>
    <w:p>
      <w:pPr>
        <w:pStyle w:val="BodyText"/>
        <w:spacing w:before="4"/>
        <w:ind w:left="0"/>
        <w:rPr>
          <w:sz w:val="11"/>
        </w:rPr>
      </w:pPr>
    </w:p>
    <w:p>
      <w:pPr>
        <w:pStyle w:val="Heading3"/>
        <w:spacing w:before="36"/>
        <w:ind w:left="1743"/>
      </w:pPr>
      <w:r>
        <w:rPr/>
        <w:t>本阅读指引有助于您理解条款，对本附加合同内容的解释以条款为准。</w:t>
      </w:r>
    </w:p>
    <w:p>
      <w:pPr>
        <w:tabs>
          <w:tab w:pos="1256" w:val="left" w:leader="none"/>
        </w:tabs>
        <w:spacing w:before="175"/>
        <w:ind w:left="245" w:right="0" w:firstLine="0"/>
        <w:jc w:val="left"/>
        <w:rPr>
          <w:b/>
          <w:sz w:val="21"/>
        </w:rPr>
      </w:pPr>
      <w:r>
        <w:rPr/>
        <w:drawing>
          <wp:anchor distT="0" distB="0" distL="0" distR="0" allowOverlap="1" layoutInCell="1" locked="0" behindDoc="1" simplePos="0" relativeHeight="268408559">
            <wp:simplePos x="0" y="0"/>
            <wp:positionH relativeFrom="page">
              <wp:posOffset>664463</wp:posOffset>
            </wp:positionH>
            <wp:positionV relativeFrom="paragraph">
              <wp:posOffset>80996</wp:posOffset>
            </wp:positionV>
            <wp:extent cx="6336792" cy="79029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被保险人可以享受本附加合同提供的保障</w:t>
      </w:r>
      <w:r>
        <w:rPr>
          <w:spacing w:val="-1"/>
          <w:w w:val="170"/>
          <w:sz w:val="21"/>
        </w:rPr>
        <w:t>„„„„„„„„„„„„„„„„„„2.3</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2"/>
          <w:w w:val="100"/>
          <w:sz w:val="21"/>
        </w:rPr>
        <w:t>您有退保的权利</w:t>
      </w:r>
      <w:r>
        <w:rPr>
          <w:spacing w:val="-3"/>
          <w:w w:val="201"/>
          <w:sz w:val="21"/>
        </w:rPr>
        <w:t>„„„„„„„„„„„„„„„„„„„„„„„„„„„„„</w:t>
      </w:r>
      <w:r>
        <w:rPr>
          <w:w w:val="100"/>
          <w:sz w:val="21"/>
        </w:rPr>
        <w:t>6.1</w:t>
      </w:r>
    </w:p>
    <w:p>
      <w:pPr>
        <w:pStyle w:val="Heading3"/>
        <w:tabs>
          <w:tab w:pos="1256" w:val="left" w:leader="none"/>
        </w:tabs>
        <w:spacing w:before="22"/>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在某些情况下，我们不承担保险责任</w:t>
      </w:r>
      <w:r>
        <w:rPr>
          <w:spacing w:val="-1"/>
          <w:w w:val="17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00"/>
          <w:sz w:val="21"/>
        </w:rPr>
        <w:t>退保会给您造成一定的损失，请您慎重决策</w:t>
      </w:r>
      <w:r>
        <w:rPr>
          <w:spacing w:val="-3"/>
          <w:w w:val="201"/>
          <w:sz w:val="21"/>
        </w:rPr>
        <w:t>„„„„„„„„„„„„„„„„„</w:t>
      </w:r>
      <w:r>
        <w:rPr>
          <w:w w:val="100"/>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6"/>
        <w:ind w:left="0"/>
        <w:rPr>
          <w:sz w:val="25"/>
        </w:rPr>
      </w:pPr>
    </w:p>
    <w:p>
      <w:pPr>
        <w:pStyle w:val="Heading3"/>
        <w:tabs>
          <w:tab w:pos="1256" w:val="left" w:leader="none"/>
        </w:tabs>
        <w:spacing w:before="1"/>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9"/>
        <w:gridCol w:w="3259"/>
        <w:gridCol w:w="3695"/>
      </w:tblGrid>
      <w:tr>
        <w:trPr>
          <w:trHeight w:val="337" w:hRule="atLeast"/>
        </w:trPr>
        <w:tc>
          <w:tcPr>
            <w:tcW w:w="2709"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59" w:type="dxa"/>
            <w:tcBorders>
              <w:top w:val="single" w:sz="4" w:space="0" w:color="000000"/>
            </w:tcBorders>
          </w:tcPr>
          <w:p>
            <w:pPr>
              <w:pStyle w:val="TableParagraph"/>
              <w:spacing w:before="4"/>
              <w:ind w:left="238"/>
              <w:rPr>
                <w:b/>
                <w:sz w:val="21"/>
              </w:rPr>
            </w:pPr>
            <w:r>
              <w:rPr>
                <w:b/>
                <w:sz w:val="21"/>
              </w:rPr>
              <w:t>4.如何支付保障成本</w:t>
            </w:r>
          </w:p>
        </w:tc>
        <w:tc>
          <w:tcPr>
            <w:tcW w:w="3695" w:type="dxa"/>
            <w:tcBorders>
              <w:top w:val="single" w:sz="4" w:space="0" w:color="000000"/>
              <w:right w:val="single" w:sz="4" w:space="0" w:color="000000"/>
            </w:tcBorders>
          </w:tcPr>
          <w:p>
            <w:pPr>
              <w:pStyle w:val="TableParagraph"/>
              <w:spacing w:before="4"/>
              <w:ind w:left="241"/>
              <w:rPr>
                <w:sz w:val="21"/>
              </w:rPr>
            </w:pPr>
            <w:r>
              <w:rPr>
                <w:sz w:val="21"/>
              </w:rPr>
              <w:t>8.4 重大疾病</w:t>
            </w:r>
          </w:p>
        </w:tc>
      </w:tr>
      <w:tr>
        <w:trPr>
          <w:trHeight w:val="342" w:hRule="atLeast"/>
        </w:trPr>
        <w:tc>
          <w:tcPr>
            <w:tcW w:w="2709" w:type="dxa"/>
            <w:tcBorders>
              <w:left w:val="single" w:sz="4" w:space="0" w:color="000000"/>
            </w:tcBorders>
          </w:tcPr>
          <w:p>
            <w:pPr>
              <w:pStyle w:val="TableParagraph"/>
              <w:spacing w:line="270" w:lineRule="exact"/>
              <w:ind w:left="208"/>
              <w:rPr>
                <w:sz w:val="21"/>
              </w:rPr>
            </w:pPr>
            <w:r>
              <w:rPr>
                <w:sz w:val="21"/>
              </w:rPr>
              <w:t>1.1 保险合同构成</w:t>
            </w:r>
          </w:p>
        </w:tc>
        <w:tc>
          <w:tcPr>
            <w:tcW w:w="3259" w:type="dxa"/>
          </w:tcPr>
          <w:p>
            <w:pPr>
              <w:pStyle w:val="TableParagraph"/>
              <w:spacing w:before="9"/>
              <w:ind w:left="344"/>
              <w:rPr>
                <w:sz w:val="21"/>
              </w:rPr>
            </w:pPr>
            <w:r>
              <w:rPr>
                <w:sz w:val="21"/>
              </w:rPr>
              <w:t>4.1 保障成本</w:t>
            </w:r>
          </w:p>
        </w:tc>
        <w:tc>
          <w:tcPr>
            <w:tcW w:w="3695" w:type="dxa"/>
            <w:tcBorders>
              <w:right w:val="single" w:sz="4" w:space="0" w:color="000000"/>
            </w:tcBorders>
          </w:tcPr>
          <w:p>
            <w:pPr>
              <w:pStyle w:val="TableParagraph"/>
              <w:spacing w:before="9"/>
              <w:ind w:left="241"/>
              <w:rPr>
                <w:sz w:val="21"/>
              </w:rPr>
            </w:pPr>
            <w:r>
              <w:rPr>
                <w:sz w:val="21"/>
              </w:rPr>
              <w:t>8.5 初次发生</w:t>
            </w:r>
          </w:p>
        </w:tc>
      </w:tr>
      <w:tr>
        <w:trPr>
          <w:trHeight w:val="343" w:hRule="atLeast"/>
        </w:trPr>
        <w:tc>
          <w:tcPr>
            <w:tcW w:w="2709" w:type="dxa"/>
            <w:tcBorders>
              <w:left w:val="single" w:sz="4" w:space="0" w:color="000000"/>
            </w:tcBorders>
          </w:tcPr>
          <w:p>
            <w:pPr>
              <w:pStyle w:val="TableParagraph"/>
              <w:spacing w:line="269" w:lineRule="exact"/>
              <w:ind w:right="229"/>
              <w:jc w:val="right"/>
              <w:rPr>
                <w:sz w:val="21"/>
              </w:rPr>
            </w:pPr>
            <w:r>
              <w:rPr>
                <w:sz w:val="21"/>
              </w:rPr>
              <w:t>1.2 保险合同成立与生效</w:t>
            </w:r>
          </w:p>
        </w:tc>
        <w:tc>
          <w:tcPr>
            <w:tcW w:w="3259" w:type="dxa"/>
          </w:tcPr>
          <w:p>
            <w:pPr>
              <w:pStyle w:val="TableParagraph"/>
              <w:spacing w:before="11"/>
              <w:ind w:left="238"/>
              <w:rPr>
                <w:b/>
                <w:sz w:val="21"/>
              </w:rPr>
            </w:pPr>
            <w:r>
              <w:rPr>
                <w:b/>
                <w:sz w:val="21"/>
              </w:rPr>
              <w:t>5.合同效力的中止与恢复</w:t>
            </w:r>
          </w:p>
        </w:tc>
        <w:tc>
          <w:tcPr>
            <w:tcW w:w="3695" w:type="dxa"/>
            <w:tcBorders>
              <w:right w:val="single" w:sz="4" w:space="0" w:color="000000"/>
            </w:tcBorders>
          </w:tcPr>
          <w:p>
            <w:pPr>
              <w:pStyle w:val="TableParagraph"/>
              <w:spacing w:line="269" w:lineRule="exact"/>
              <w:ind w:left="241"/>
              <w:rPr>
                <w:sz w:val="21"/>
              </w:rPr>
            </w:pPr>
            <w:r>
              <w:rPr>
                <w:sz w:val="21"/>
              </w:rPr>
              <w:t>8.6 医院</w:t>
            </w:r>
          </w:p>
        </w:tc>
      </w:tr>
      <w:tr>
        <w:trPr>
          <w:trHeight w:val="343" w:hRule="atLeast"/>
        </w:trPr>
        <w:tc>
          <w:tcPr>
            <w:tcW w:w="2709" w:type="dxa"/>
            <w:tcBorders>
              <w:left w:val="single" w:sz="4" w:space="0" w:color="000000"/>
            </w:tcBorders>
          </w:tcPr>
          <w:p>
            <w:pPr>
              <w:pStyle w:val="TableParagraph"/>
              <w:spacing w:line="269" w:lineRule="exact"/>
              <w:ind w:left="213"/>
              <w:rPr>
                <w:sz w:val="21"/>
              </w:rPr>
            </w:pPr>
            <w:r>
              <w:rPr>
                <w:sz w:val="21"/>
              </w:rPr>
              <w:t>1.3 投保年龄</w:t>
            </w:r>
          </w:p>
        </w:tc>
        <w:tc>
          <w:tcPr>
            <w:tcW w:w="3259" w:type="dxa"/>
          </w:tcPr>
          <w:p>
            <w:pPr>
              <w:pStyle w:val="TableParagraph"/>
              <w:spacing w:before="10"/>
              <w:ind w:left="344"/>
              <w:rPr>
                <w:sz w:val="21"/>
              </w:rPr>
            </w:pPr>
            <w:r>
              <w:rPr>
                <w:sz w:val="21"/>
              </w:rPr>
              <w:t>5.1 宽限期</w:t>
            </w:r>
          </w:p>
        </w:tc>
        <w:tc>
          <w:tcPr>
            <w:tcW w:w="3695" w:type="dxa"/>
            <w:tcBorders>
              <w:right w:val="single" w:sz="4" w:space="0" w:color="000000"/>
            </w:tcBorders>
          </w:tcPr>
          <w:p>
            <w:pPr>
              <w:pStyle w:val="TableParagraph"/>
              <w:spacing w:line="269" w:lineRule="exact"/>
              <w:ind w:left="241"/>
              <w:rPr>
                <w:sz w:val="21"/>
              </w:rPr>
            </w:pPr>
            <w:r>
              <w:rPr>
                <w:sz w:val="21"/>
              </w:rPr>
              <w:t>8.7 专科医生</w:t>
            </w:r>
          </w:p>
        </w:tc>
      </w:tr>
      <w:tr>
        <w:trPr>
          <w:trHeight w:val="343" w:hRule="atLeast"/>
        </w:trPr>
        <w:tc>
          <w:tcPr>
            <w:tcW w:w="2709" w:type="dxa"/>
            <w:tcBorders>
              <w:left w:val="single" w:sz="4" w:space="0" w:color="000000"/>
            </w:tcBorders>
          </w:tcPr>
          <w:p>
            <w:pPr>
              <w:pStyle w:val="TableParagraph"/>
              <w:spacing w:line="269" w:lineRule="exact"/>
              <w:ind w:left="213"/>
              <w:rPr>
                <w:sz w:val="21"/>
              </w:rPr>
            </w:pPr>
            <w:r>
              <w:rPr>
                <w:sz w:val="21"/>
              </w:rPr>
              <w:t>1.4 犹豫期</w:t>
            </w:r>
          </w:p>
        </w:tc>
        <w:tc>
          <w:tcPr>
            <w:tcW w:w="3259" w:type="dxa"/>
          </w:tcPr>
          <w:p>
            <w:pPr>
              <w:pStyle w:val="TableParagraph"/>
              <w:spacing w:before="10"/>
              <w:ind w:left="344"/>
              <w:rPr>
                <w:sz w:val="21"/>
              </w:rPr>
            </w:pPr>
            <w:r>
              <w:rPr>
                <w:sz w:val="21"/>
              </w:rPr>
              <w:t>5.2 效力中止</w:t>
            </w:r>
          </w:p>
        </w:tc>
        <w:tc>
          <w:tcPr>
            <w:tcW w:w="3695" w:type="dxa"/>
            <w:tcBorders>
              <w:right w:val="single" w:sz="4" w:space="0" w:color="000000"/>
            </w:tcBorders>
          </w:tcPr>
          <w:p>
            <w:pPr>
              <w:pStyle w:val="TableParagraph"/>
              <w:spacing w:line="269" w:lineRule="exact"/>
              <w:ind w:left="241"/>
              <w:rPr>
                <w:sz w:val="21"/>
              </w:rPr>
            </w:pPr>
            <w:r>
              <w:rPr>
                <w:sz w:val="21"/>
              </w:rPr>
              <w:t>8.8 毒品</w:t>
            </w:r>
          </w:p>
        </w:tc>
      </w:tr>
      <w:tr>
        <w:trPr>
          <w:trHeight w:val="343" w:hRule="atLeast"/>
        </w:trPr>
        <w:tc>
          <w:tcPr>
            <w:tcW w:w="2709" w:type="dxa"/>
            <w:tcBorders>
              <w:left w:val="single" w:sz="4" w:space="0" w:color="000000"/>
            </w:tcBorders>
          </w:tcPr>
          <w:p>
            <w:pPr>
              <w:pStyle w:val="TableParagraph"/>
              <w:spacing w:line="269" w:lineRule="exact"/>
              <w:ind w:left="107"/>
              <w:rPr>
                <w:b/>
                <w:sz w:val="21"/>
              </w:rPr>
            </w:pPr>
            <w:r>
              <w:rPr>
                <w:b/>
                <w:sz w:val="21"/>
              </w:rPr>
              <w:t>2.我们提供的保障</w:t>
            </w:r>
          </w:p>
        </w:tc>
        <w:tc>
          <w:tcPr>
            <w:tcW w:w="3259" w:type="dxa"/>
          </w:tcPr>
          <w:p>
            <w:pPr>
              <w:pStyle w:val="TableParagraph"/>
              <w:spacing w:before="10"/>
              <w:ind w:left="344"/>
              <w:rPr>
                <w:sz w:val="21"/>
              </w:rPr>
            </w:pPr>
            <w:r>
              <w:rPr>
                <w:sz w:val="21"/>
              </w:rPr>
              <w:t>5.3 效力恢复</w:t>
            </w:r>
          </w:p>
        </w:tc>
        <w:tc>
          <w:tcPr>
            <w:tcW w:w="3695" w:type="dxa"/>
            <w:tcBorders>
              <w:right w:val="single" w:sz="4" w:space="0" w:color="000000"/>
            </w:tcBorders>
          </w:tcPr>
          <w:p>
            <w:pPr>
              <w:pStyle w:val="TableParagraph"/>
              <w:spacing w:line="269" w:lineRule="exact"/>
              <w:ind w:left="241"/>
              <w:rPr>
                <w:sz w:val="21"/>
              </w:rPr>
            </w:pPr>
            <w:r>
              <w:rPr>
                <w:sz w:val="21"/>
              </w:rPr>
              <w:t>8.9 酒后驾驶</w:t>
            </w:r>
          </w:p>
        </w:tc>
      </w:tr>
      <w:tr>
        <w:trPr>
          <w:trHeight w:val="343" w:hRule="atLeast"/>
        </w:trPr>
        <w:tc>
          <w:tcPr>
            <w:tcW w:w="2709" w:type="dxa"/>
            <w:tcBorders>
              <w:left w:val="single" w:sz="4" w:space="0" w:color="000000"/>
            </w:tcBorders>
          </w:tcPr>
          <w:p>
            <w:pPr>
              <w:pStyle w:val="TableParagraph"/>
              <w:spacing w:line="269" w:lineRule="exact"/>
              <w:ind w:left="213"/>
              <w:rPr>
                <w:sz w:val="21"/>
              </w:rPr>
            </w:pPr>
            <w:r>
              <w:rPr>
                <w:sz w:val="21"/>
              </w:rPr>
              <w:t>2.1 基本保险金额</w:t>
            </w:r>
          </w:p>
        </w:tc>
        <w:tc>
          <w:tcPr>
            <w:tcW w:w="3259" w:type="dxa"/>
          </w:tcPr>
          <w:p>
            <w:pPr>
              <w:pStyle w:val="TableParagraph"/>
              <w:spacing w:before="10"/>
              <w:ind w:left="238"/>
              <w:rPr>
                <w:b/>
                <w:sz w:val="21"/>
              </w:rPr>
            </w:pPr>
            <w:r>
              <w:rPr>
                <w:b/>
                <w:sz w:val="21"/>
              </w:rPr>
              <w:t>6.如何解除保险合同</w:t>
            </w:r>
          </w:p>
        </w:tc>
        <w:tc>
          <w:tcPr>
            <w:tcW w:w="3695" w:type="dxa"/>
            <w:tcBorders>
              <w:right w:val="single" w:sz="4" w:space="0" w:color="000000"/>
            </w:tcBorders>
          </w:tcPr>
          <w:p>
            <w:pPr>
              <w:pStyle w:val="TableParagraph"/>
              <w:spacing w:line="269" w:lineRule="exact"/>
              <w:ind w:left="241"/>
              <w:rPr>
                <w:sz w:val="21"/>
              </w:rPr>
            </w:pPr>
            <w:r>
              <w:rPr>
                <w:sz w:val="21"/>
              </w:rPr>
              <w:t>8.10 无合法有效驾驶证驾驶</w:t>
            </w:r>
          </w:p>
        </w:tc>
      </w:tr>
      <w:tr>
        <w:trPr>
          <w:trHeight w:val="343" w:hRule="atLeast"/>
        </w:trPr>
        <w:tc>
          <w:tcPr>
            <w:tcW w:w="2709" w:type="dxa"/>
            <w:tcBorders>
              <w:left w:val="single" w:sz="4" w:space="0" w:color="000000"/>
            </w:tcBorders>
          </w:tcPr>
          <w:p>
            <w:pPr>
              <w:pStyle w:val="TableParagraph"/>
              <w:spacing w:line="269" w:lineRule="exact"/>
              <w:ind w:left="208"/>
              <w:rPr>
                <w:sz w:val="21"/>
              </w:rPr>
            </w:pPr>
            <w:r>
              <w:rPr>
                <w:sz w:val="21"/>
              </w:rPr>
              <w:t>2.2 保险期间</w:t>
            </w:r>
          </w:p>
        </w:tc>
        <w:tc>
          <w:tcPr>
            <w:tcW w:w="3259" w:type="dxa"/>
          </w:tcPr>
          <w:p>
            <w:pPr>
              <w:pStyle w:val="TableParagraph"/>
              <w:spacing w:before="10"/>
              <w:ind w:left="344"/>
              <w:rPr>
                <w:sz w:val="21"/>
              </w:rPr>
            </w:pPr>
            <w:r>
              <w:rPr>
                <w:sz w:val="21"/>
              </w:rPr>
              <w:t>6.1 您解除合同的手续及风险</w:t>
            </w:r>
          </w:p>
        </w:tc>
        <w:tc>
          <w:tcPr>
            <w:tcW w:w="3695" w:type="dxa"/>
            <w:tcBorders>
              <w:right w:val="single" w:sz="4" w:space="0" w:color="000000"/>
            </w:tcBorders>
          </w:tcPr>
          <w:p>
            <w:pPr>
              <w:pStyle w:val="TableParagraph"/>
              <w:spacing w:line="269" w:lineRule="exact"/>
              <w:ind w:left="241"/>
              <w:rPr>
                <w:sz w:val="21"/>
              </w:rPr>
            </w:pPr>
            <w:r>
              <w:rPr>
                <w:sz w:val="21"/>
              </w:rPr>
              <w:t>8.11 无有效行驶证</w:t>
            </w:r>
          </w:p>
        </w:tc>
      </w:tr>
      <w:tr>
        <w:trPr>
          <w:trHeight w:val="342" w:hRule="atLeast"/>
        </w:trPr>
        <w:tc>
          <w:tcPr>
            <w:tcW w:w="2709" w:type="dxa"/>
            <w:tcBorders>
              <w:left w:val="single" w:sz="4" w:space="0" w:color="000000"/>
            </w:tcBorders>
          </w:tcPr>
          <w:p>
            <w:pPr>
              <w:pStyle w:val="TableParagraph"/>
              <w:spacing w:line="269" w:lineRule="exact"/>
              <w:ind w:left="213"/>
              <w:rPr>
                <w:sz w:val="21"/>
              </w:rPr>
            </w:pPr>
            <w:r>
              <w:rPr>
                <w:sz w:val="21"/>
              </w:rPr>
              <w:t>2.3 保险责任</w:t>
            </w:r>
          </w:p>
        </w:tc>
        <w:tc>
          <w:tcPr>
            <w:tcW w:w="3259" w:type="dxa"/>
          </w:tcPr>
          <w:p>
            <w:pPr>
              <w:pStyle w:val="TableParagraph"/>
              <w:spacing w:before="8"/>
              <w:ind w:left="238"/>
              <w:rPr>
                <w:b/>
                <w:sz w:val="21"/>
              </w:rPr>
            </w:pPr>
            <w:r>
              <w:rPr>
                <w:b/>
                <w:sz w:val="21"/>
              </w:rPr>
              <w:t>7.其他需要关注的事项</w:t>
            </w:r>
          </w:p>
        </w:tc>
        <w:tc>
          <w:tcPr>
            <w:tcW w:w="3695" w:type="dxa"/>
            <w:tcBorders>
              <w:right w:val="single" w:sz="4" w:space="0" w:color="000000"/>
            </w:tcBorders>
          </w:tcPr>
          <w:p>
            <w:pPr>
              <w:pStyle w:val="TableParagraph"/>
              <w:spacing w:line="269" w:lineRule="exact"/>
              <w:ind w:left="241"/>
              <w:rPr>
                <w:sz w:val="21"/>
              </w:rPr>
            </w:pPr>
            <w:r>
              <w:rPr>
                <w:sz w:val="21"/>
              </w:rPr>
              <w:t>8.12 感染艾滋病病毒或患艾滋病</w:t>
            </w:r>
          </w:p>
        </w:tc>
      </w:tr>
      <w:tr>
        <w:trPr>
          <w:trHeight w:val="343" w:hRule="atLeast"/>
        </w:trPr>
        <w:tc>
          <w:tcPr>
            <w:tcW w:w="2709" w:type="dxa"/>
            <w:tcBorders>
              <w:left w:val="single" w:sz="4" w:space="0" w:color="000000"/>
            </w:tcBorders>
          </w:tcPr>
          <w:p>
            <w:pPr>
              <w:pStyle w:val="TableParagraph"/>
              <w:spacing w:before="9"/>
              <w:ind w:left="213"/>
              <w:rPr>
                <w:sz w:val="21"/>
              </w:rPr>
            </w:pPr>
            <w:r>
              <w:rPr>
                <w:sz w:val="21"/>
              </w:rPr>
              <w:t>2.4 责任免除</w:t>
            </w:r>
          </w:p>
        </w:tc>
        <w:tc>
          <w:tcPr>
            <w:tcW w:w="3259" w:type="dxa"/>
          </w:tcPr>
          <w:p>
            <w:pPr>
              <w:pStyle w:val="TableParagraph"/>
              <w:spacing w:before="9"/>
              <w:ind w:left="344"/>
              <w:rPr>
                <w:sz w:val="21"/>
              </w:rPr>
            </w:pPr>
            <w:r>
              <w:rPr>
                <w:sz w:val="21"/>
              </w:rPr>
              <w:t>7.1 年龄错误</w:t>
            </w:r>
          </w:p>
        </w:tc>
        <w:tc>
          <w:tcPr>
            <w:tcW w:w="3695" w:type="dxa"/>
            <w:tcBorders>
              <w:right w:val="single" w:sz="4" w:space="0" w:color="000000"/>
            </w:tcBorders>
          </w:tcPr>
          <w:p>
            <w:pPr>
              <w:pStyle w:val="TableParagraph"/>
              <w:spacing w:line="270" w:lineRule="exact"/>
              <w:ind w:left="241"/>
              <w:rPr>
                <w:sz w:val="21"/>
              </w:rPr>
            </w:pPr>
            <w:r>
              <w:rPr>
                <w:sz w:val="21"/>
              </w:rPr>
              <w:t>8.13 遗传性疾病</w:t>
            </w:r>
          </w:p>
        </w:tc>
      </w:tr>
      <w:tr>
        <w:trPr>
          <w:trHeight w:val="350" w:hRule="atLeast"/>
        </w:trPr>
        <w:tc>
          <w:tcPr>
            <w:tcW w:w="2709" w:type="dxa"/>
            <w:tcBorders>
              <w:left w:val="single" w:sz="4" w:space="0" w:color="000000"/>
            </w:tcBorders>
          </w:tcPr>
          <w:p>
            <w:pPr>
              <w:pStyle w:val="TableParagraph"/>
              <w:spacing w:before="9"/>
              <w:ind w:right="227"/>
              <w:jc w:val="right"/>
              <w:rPr>
                <w:sz w:val="21"/>
              </w:rPr>
            </w:pPr>
            <w:r>
              <w:rPr>
                <w:sz w:val="21"/>
              </w:rPr>
              <w:t>2.5 基本保险金额的变更</w:t>
            </w:r>
          </w:p>
        </w:tc>
        <w:tc>
          <w:tcPr>
            <w:tcW w:w="3259" w:type="dxa"/>
          </w:tcPr>
          <w:p>
            <w:pPr>
              <w:pStyle w:val="TableParagraph"/>
              <w:spacing w:before="9"/>
              <w:ind w:left="344"/>
              <w:rPr>
                <w:sz w:val="21"/>
              </w:rPr>
            </w:pPr>
            <w:r>
              <w:rPr>
                <w:sz w:val="21"/>
              </w:rPr>
              <w:t>7.2 效力终止</w:t>
            </w:r>
          </w:p>
        </w:tc>
        <w:tc>
          <w:tcPr>
            <w:tcW w:w="3695" w:type="dxa"/>
            <w:tcBorders>
              <w:right w:val="single" w:sz="4" w:space="0" w:color="000000"/>
            </w:tcBorders>
          </w:tcPr>
          <w:p>
            <w:pPr>
              <w:pStyle w:val="TableParagraph"/>
              <w:spacing w:line="270" w:lineRule="exact"/>
              <w:ind w:left="241"/>
              <w:rPr>
                <w:sz w:val="21"/>
              </w:rPr>
            </w:pPr>
            <w:r>
              <w:rPr>
                <w:sz w:val="21"/>
              </w:rPr>
              <w:t>8.14</w:t>
            </w:r>
            <w:r>
              <w:rPr>
                <w:spacing w:val="-13"/>
                <w:sz w:val="21"/>
              </w:rPr>
              <w:t> 先天性畸形、变形或染色体异常</w:t>
            </w:r>
          </w:p>
        </w:tc>
      </w:tr>
      <w:tr>
        <w:trPr>
          <w:trHeight w:val="336" w:hRule="atLeast"/>
        </w:trPr>
        <w:tc>
          <w:tcPr>
            <w:tcW w:w="2709" w:type="dxa"/>
            <w:tcBorders>
              <w:left w:val="single" w:sz="4" w:space="0" w:color="000000"/>
            </w:tcBorders>
          </w:tcPr>
          <w:p>
            <w:pPr>
              <w:pStyle w:val="TableParagraph"/>
              <w:spacing w:before="2"/>
              <w:ind w:left="107"/>
              <w:rPr>
                <w:b/>
                <w:sz w:val="21"/>
              </w:rPr>
            </w:pPr>
            <w:r>
              <w:rPr>
                <w:b/>
                <w:sz w:val="21"/>
              </w:rPr>
              <w:t>3.如何申请领取保险金</w:t>
            </w:r>
          </w:p>
        </w:tc>
        <w:tc>
          <w:tcPr>
            <w:tcW w:w="3259" w:type="dxa"/>
          </w:tcPr>
          <w:p>
            <w:pPr>
              <w:pStyle w:val="TableParagraph"/>
              <w:spacing w:before="2"/>
              <w:ind w:left="344"/>
              <w:rPr>
                <w:sz w:val="21"/>
              </w:rPr>
            </w:pPr>
            <w:r>
              <w:rPr>
                <w:sz w:val="21"/>
              </w:rPr>
              <w:t>7.3 适用主合同条款</w:t>
            </w:r>
          </w:p>
        </w:tc>
        <w:tc>
          <w:tcPr>
            <w:tcW w:w="3695" w:type="dxa"/>
            <w:tcBorders>
              <w:right w:val="single" w:sz="4" w:space="0" w:color="000000"/>
            </w:tcBorders>
          </w:tcPr>
          <w:p>
            <w:pPr>
              <w:pStyle w:val="TableParagraph"/>
              <w:rPr>
                <w:rFonts w:ascii="Times New Roman"/>
                <w:sz w:val="20"/>
              </w:rPr>
            </w:pPr>
          </w:p>
        </w:tc>
      </w:tr>
      <w:tr>
        <w:trPr>
          <w:trHeight w:val="350" w:hRule="atLeast"/>
        </w:trPr>
        <w:tc>
          <w:tcPr>
            <w:tcW w:w="2709" w:type="dxa"/>
            <w:tcBorders>
              <w:left w:val="single" w:sz="4" w:space="0" w:color="000000"/>
            </w:tcBorders>
          </w:tcPr>
          <w:p>
            <w:pPr>
              <w:pStyle w:val="TableParagraph"/>
              <w:spacing w:before="9"/>
              <w:ind w:left="213"/>
              <w:rPr>
                <w:sz w:val="21"/>
              </w:rPr>
            </w:pPr>
            <w:r>
              <w:rPr>
                <w:sz w:val="21"/>
              </w:rPr>
              <w:t>3.1 受益人</w:t>
            </w:r>
          </w:p>
        </w:tc>
        <w:tc>
          <w:tcPr>
            <w:tcW w:w="3259" w:type="dxa"/>
          </w:tcPr>
          <w:p>
            <w:pPr>
              <w:pStyle w:val="TableParagraph"/>
              <w:spacing w:line="270" w:lineRule="exact"/>
              <w:ind w:left="238"/>
              <w:rPr>
                <w:b/>
                <w:sz w:val="21"/>
              </w:rPr>
            </w:pPr>
            <w:r>
              <w:rPr>
                <w:b/>
                <w:sz w:val="21"/>
              </w:rPr>
              <w:t>8.释义</w:t>
            </w:r>
          </w:p>
        </w:tc>
        <w:tc>
          <w:tcPr>
            <w:tcW w:w="3695" w:type="dxa"/>
            <w:tcBorders>
              <w:right w:val="single" w:sz="4" w:space="0" w:color="000000"/>
            </w:tcBorders>
          </w:tcPr>
          <w:p>
            <w:pPr>
              <w:pStyle w:val="TableParagraph"/>
              <w:rPr>
                <w:rFonts w:ascii="Times New Roman"/>
                <w:sz w:val="20"/>
              </w:rPr>
            </w:pPr>
          </w:p>
        </w:tc>
      </w:tr>
      <w:tr>
        <w:trPr>
          <w:trHeight w:val="334" w:hRule="atLeast"/>
        </w:trPr>
        <w:tc>
          <w:tcPr>
            <w:tcW w:w="2709" w:type="dxa"/>
            <w:tcBorders>
              <w:left w:val="single" w:sz="4" w:space="0" w:color="000000"/>
            </w:tcBorders>
          </w:tcPr>
          <w:p>
            <w:pPr>
              <w:pStyle w:val="TableParagraph"/>
              <w:spacing w:before="2"/>
              <w:ind w:left="213"/>
              <w:rPr>
                <w:sz w:val="21"/>
              </w:rPr>
            </w:pPr>
            <w:r>
              <w:rPr>
                <w:sz w:val="21"/>
              </w:rPr>
              <w:t>3.2 保险金申请</w:t>
            </w:r>
          </w:p>
        </w:tc>
        <w:tc>
          <w:tcPr>
            <w:tcW w:w="3259" w:type="dxa"/>
          </w:tcPr>
          <w:p>
            <w:pPr>
              <w:pStyle w:val="TableParagraph"/>
              <w:spacing w:before="2"/>
              <w:ind w:left="344"/>
              <w:rPr>
                <w:sz w:val="21"/>
              </w:rPr>
            </w:pPr>
            <w:r>
              <w:rPr>
                <w:sz w:val="21"/>
              </w:rPr>
              <w:t>8.1 周岁</w:t>
            </w:r>
          </w:p>
        </w:tc>
        <w:tc>
          <w:tcPr>
            <w:tcW w:w="3695" w:type="dxa"/>
            <w:tcBorders>
              <w:right w:val="single" w:sz="4" w:space="0" w:color="000000"/>
            </w:tcBorders>
          </w:tcPr>
          <w:p>
            <w:pPr>
              <w:pStyle w:val="TableParagraph"/>
              <w:rPr>
                <w:rFonts w:ascii="Times New Roman"/>
                <w:sz w:val="20"/>
              </w:rPr>
            </w:pPr>
          </w:p>
        </w:tc>
      </w:tr>
      <w:tr>
        <w:trPr>
          <w:trHeight w:val="343" w:hRule="atLeast"/>
        </w:trPr>
        <w:tc>
          <w:tcPr>
            <w:tcW w:w="2709" w:type="dxa"/>
            <w:tcBorders>
              <w:left w:val="single" w:sz="4" w:space="0" w:color="000000"/>
            </w:tcBorders>
          </w:tcPr>
          <w:p>
            <w:pPr>
              <w:pStyle w:val="TableParagraph"/>
              <w:spacing w:before="10"/>
              <w:ind w:left="213"/>
              <w:rPr>
                <w:sz w:val="21"/>
              </w:rPr>
            </w:pPr>
            <w:r>
              <w:rPr>
                <w:sz w:val="21"/>
              </w:rPr>
              <w:t>3.3 保险金给付</w:t>
            </w:r>
          </w:p>
        </w:tc>
        <w:tc>
          <w:tcPr>
            <w:tcW w:w="3259" w:type="dxa"/>
          </w:tcPr>
          <w:p>
            <w:pPr>
              <w:pStyle w:val="TableParagraph"/>
              <w:spacing w:line="269" w:lineRule="exact"/>
              <w:ind w:left="344"/>
              <w:rPr>
                <w:sz w:val="21"/>
              </w:rPr>
            </w:pPr>
            <w:r>
              <w:rPr>
                <w:sz w:val="21"/>
              </w:rPr>
              <w:t>8.2 有效身份证件</w:t>
            </w:r>
          </w:p>
        </w:tc>
        <w:tc>
          <w:tcPr>
            <w:tcW w:w="3695" w:type="dxa"/>
            <w:tcBorders>
              <w:right w:val="single" w:sz="4" w:space="0" w:color="000000"/>
            </w:tcBorders>
          </w:tcPr>
          <w:p>
            <w:pPr>
              <w:pStyle w:val="TableParagraph"/>
              <w:rPr>
                <w:rFonts w:ascii="Times New Roman"/>
                <w:sz w:val="20"/>
              </w:rPr>
            </w:pPr>
          </w:p>
        </w:tc>
      </w:tr>
      <w:tr>
        <w:trPr>
          <w:trHeight w:val="349" w:hRule="atLeast"/>
        </w:trPr>
        <w:tc>
          <w:tcPr>
            <w:tcW w:w="2709" w:type="dxa"/>
            <w:tcBorders>
              <w:left w:val="single" w:sz="4" w:space="0" w:color="000000"/>
              <w:bottom w:val="single" w:sz="4" w:space="0" w:color="000000"/>
            </w:tcBorders>
          </w:tcPr>
          <w:p>
            <w:pPr>
              <w:pStyle w:val="TableParagraph"/>
              <w:spacing w:before="10"/>
              <w:ind w:left="213"/>
              <w:rPr>
                <w:sz w:val="21"/>
              </w:rPr>
            </w:pPr>
            <w:r>
              <w:rPr>
                <w:sz w:val="21"/>
              </w:rPr>
              <w:t>3.4 诉讼时效</w:t>
            </w:r>
          </w:p>
        </w:tc>
        <w:tc>
          <w:tcPr>
            <w:tcW w:w="3259" w:type="dxa"/>
            <w:tcBorders>
              <w:bottom w:val="single" w:sz="4" w:space="0" w:color="000000"/>
            </w:tcBorders>
          </w:tcPr>
          <w:p>
            <w:pPr>
              <w:pStyle w:val="TableParagraph"/>
              <w:spacing w:line="269" w:lineRule="exact"/>
              <w:ind w:left="344"/>
              <w:rPr>
                <w:sz w:val="21"/>
              </w:rPr>
            </w:pPr>
            <w:r>
              <w:rPr>
                <w:sz w:val="21"/>
              </w:rPr>
              <w:t>8.3 意外伤害事故</w:t>
            </w:r>
          </w:p>
        </w:tc>
        <w:tc>
          <w:tcPr>
            <w:tcW w:w="3695"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40" w:bottom="280" w:left="940" w:right="52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ind w:left="1948"/>
      </w:pPr>
      <w:r>
        <w:rPr/>
        <w:t>东吴附加福瑞一生提前给付重大疾病保险条款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7"/>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5"/>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5" w:type="dxa"/>
            <w:tcBorders>
              <w:bottom w:val="single" w:sz="8" w:space="0" w:color="000000"/>
            </w:tcBorders>
          </w:tcPr>
          <w:p>
            <w:pPr>
              <w:pStyle w:val="TableParagraph"/>
              <w:rPr>
                <w:rFonts w:ascii="Times New Roman"/>
                <w:sz w:val="20"/>
              </w:rPr>
            </w:pPr>
          </w:p>
        </w:tc>
      </w:tr>
      <w:tr>
        <w:trPr>
          <w:trHeight w:val="1717"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保险合同构成</w:t>
            </w:r>
          </w:p>
        </w:tc>
        <w:tc>
          <w:tcPr>
            <w:tcW w:w="7345" w:type="dxa"/>
            <w:tcBorders>
              <w:top w:val="single" w:sz="8" w:space="0" w:color="000000"/>
            </w:tcBorders>
          </w:tcPr>
          <w:p>
            <w:pPr>
              <w:pStyle w:val="TableParagraph"/>
              <w:spacing w:before="11"/>
              <w:rPr>
                <w:sz w:val="22"/>
              </w:rPr>
            </w:pPr>
          </w:p>
          <w:p>
            <w:pPr>
              <w:pStyle w:val="TableParagraph"/>
              <w:spacing w:line="273" w:lineRule="auto"/>
              <w:ind w:left="126" w:right="109"/>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2184"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5" w:type="dxa"/>
          </w:tcPr>
          <w:p>
            <w:pPr>
              <w:pStyle w:val="TableParagraph"/>
              <w:spacing w:before="142"/>
              <w:ind w:left="126"/>
              <w:rPr>
                <w:sz w:val="21"/>
              </w:rPr>
            </w:pPr>
            <w:r>
              <w:rPr>
                <w:sz w:val="21"/>
              </w:rPr>
              <w:t>您提出保险申请、我们同意承保，本附加合同成立。</w:t>
            </w:r>
          </w:p>
          <w:p>
            <w:pPr>
              <w:pStyle w:val="TableParagraph"/>
              <w:spacing w:before="8"/>
              <w:rPr>
                <w:sz w:val="26"/>
              </w:rPr>
            </w:pPr>
          </w:p>
          <w:p>
            <w:pPr>
              <w:pStyle w:val="TableParagraph"/>
              <w:ind w:left="126"/>
              <w:rPr>
                <w:sz w:val="21"/>
              </w:rPr>
            </w:pPr>
            <w:r>
              <w:rPr>
                <w:sz w:val="21"/>
              </w:rPr>
              <w:t>如果本附加合同与主合同同时投保，本附加合同的生效日与主合同相同。</w:t>
            </w:r>
          </w:p>
          <w:p>
            <w:pPr>
              <w:pStyle w:val="TableParagraph"/>
              <w:spacing w:before="8"/>
              <w:rPr>
                <w:sz w:val="26"/>
              </w:rPr>
            </w:pPr>
          </w:p>
          <w:p>
            <w:pPr>
              <w:pStyle w:val="TableParagraph"/>
              <w:spacing w:line="273" w:lineRule="auto"/>
              <w:ind w:left="126" w:right="73"/>
              <w:rPr>
                <w:sz w:val="21"/>
              </w:rPr>
            </w:pPr>
            <w:r>
              <w:rPr>
                <w:sz w:val="21"/>
              </w:rPr>
              <w:t>如果您在主合同有效期内投保本附加合同，本附加合同自我们同意承保、收取首期保障成本并签发保险单开始生效，具体生效日以保险单所载的日期为准。</w:t>
            </w:r>
          </w:p>
        </w:tc>
      </w:tr>
      <w:tr>
        <w:trPr>
          <w:trHeight w:val="936" w:hRule="atLeast"/>
        </w:trPr>
        <w:tc>
          <w:tcPr>
            <w:tcW w:w="843" w:type="dxa"/>
          </w:tcPr>
          <w:p>
            <w:pPr>
              <w:pStyle w:val="TableParagraph"/>
              <w:spacing w:before="143"/>
              <w:ind w:right="108"/>
              <w:jc w:val="right"/>
              <w:rPr>
                <w:b/>
                <w:sz w:val="21"/>
              </w:rPr>
            </w:pPr>
            <w:r>
              <w:rPr>
                <w:b/>
                <w:sz w:val="21"/>
              </w:rPr>
              <w:t>1.3</w:t>
            </w:r>
          </w:p>
        </w:tc>
        <w:tc>
          <w:tcPr>
            <w:tcW w:w="1900" w:type="dxa"/>
          </w:tcPr>
          <w:p>
            <w:pPr>
              <w:pStyle w:val="TableParagraph"/>
              <w:spacing w:before="143"/>
              <w:ind w:left="110"/>
              <w:rPr>
                <w:b/>
                <w:sz w:val="21"/>
              </w:rPr>
            </w:pPr>
            <w:r>
              <w:rPr>
                <w:b/>
                <w:sz w:val="21"/>
              </w:rPr>
              <w:t>投保年龄</w:t>
            </w:r>
          </w:p>
        </w:tc>
        <w:tc>
          <w:tcPr>
            <w:tcW w:w="7345" w:type="dxa"/>
          </w:tcPr>
          <w:p>
            <w:pPr>
              <w:pStyle w:val="TableParagraph"/>
              <w:spacing w:before="143"/>
              <w:ind w:left="126"/>
              <w:rPr>
                <w:sz w:val="21"/>
              </w:rPr>
            </w:pPr>
            <w:r>
              <w:rPr>
                <w:sz w:val="21"/>
              </w:rPr>
              <w:t>指您投保时被保险人的年龄，本附加合同接受的投保年龄范围为出生满28天至</w:t>
            </w:r>
          </w:p>
          <w:p>
            <w:pPr>
              <w:pStyle w:val="TableParagraph"/>
              <w:spacing w:before="37"/>
              <w:ind w:left="126"/>
              <w:rPr>
                <w:sz w:val="21"/>
              </w:rPr>
            </w:pPr>
            <w:r>
              <w:rPr>
                <w:w w:val="100"/>
                <w:sz w:val="21"/>
              </w:rPr>
              <w:t>6</w:t>
            </w:r>
            <w:r>
              <w:rPr>
                <w:spacing w:val="-3"/>
                <w:w w:val="100"/>
                <w:sz w:val="21"/>
              </w:rPr>
              <w:t>0</w:t>
            </w:r>
            <w:r>
              <w:rPr>
                <w:b/>
                <w:w w:val="100"/>
                <w:sz w:val="21"/>
              </w:rPr>
              <w:t>周岁</w:t>
            </w:r>
            <w:r>
              <w:rPr>
                <w:spacing w:val="-3"/>
                <w:w w:val="100"/>
                <w:sz w:val="21"/>
              </w:rPr>
              <w:t>（</w:t>
            </w:r>
            <w:r>
              <w:rPr>
                <w:w w:val="100"/>
                <w:sz w:val="21"/>
              </w:rPr>
              <w:t>见8</w:t>
            </w:r>
            <w:r>
              <w:rPr>
                <w:spacing w:val="-3"/>
                <w:w w:val="100"/>
                <w:sz w:val="21"/>
              </w:rPr>
              <w:t>.</w:t>
            </w:r>
            <w:r>
              <w:rPr>
                <w:w w:val="100"/>
                <w:sz w:val="21"/>
              </w:rPr>
              <w:t>1</w:t>
            </w:r>
            <w:r>
              <w:rPr>
                <w:spacing w:val="-106"/>
                <w:w w:val="100"/>
                <w:sz w:val="21"/>
              </w:rPr>
              <w:t>）</w:t>
            </w:r>
            <w:r>
              <w:rPr>
                <w:w w:val="100"/>
                <w:sz w:val="21"/>
              </w:rPr>
              <w:t>。</w:t>
            </w:r>
          </w:p>
        </w:tc>
      </w:tr>
      <w:tr>
        <w:trPr>
          <w:trHeight w:val="2833" w:hRule="atLeast"/>
        </w:trPr>
        <w:tc>
          <w:tcPr>
            <w:tcW w:w="843" w:type="dxa"/>
          </w:tcPr>
          <w:p>
            <w:pPr>
              <w:pStyle w:val="TableParagraph"/>
              <w:spacing w:before="142"/>
              <w:ind w:right="108"/>
              <w:jc w:val="right"/>
              <w:rPr>
                <w:b/>
                <w:sz w:val="21"/>
              </w:rPr>
            </w:pPr>
            <w:r>
              <w:rPr>
                <w:b/>
                <w:sz w:val="21"/>
              </w:rPr>
              <w:t>1.4</w:t>
            </w:r>
          </w:p>
        </w:tc>
        <w:tc>
          <w:tcPr>
            <w:tcW w:w="1900" w:type="dxa"/>
          </w:tcPr>
          <w:p>
            <w:pPr>
              <w:pStyle w:val="TableParagraph"/>
              <w:spacing w:before="142"/>
              <w:ind w:left="110"/>
              <w:rPr>
                <w:b/>
                <w:sz w:val="21"/>
              </w:rPr>
            </w:pPr>
            <w:r>
              <w:rPr>
                <w:b/>
                <w:sz w:val="21"/>
              </w:rPr>
              <w:t>犹豫期</w:t>
            </w:r>
          </w:p>
        </w:tc>
        <w:tc>
          <w:tcPr>
            <w:tcW w:w="7345" w:type="dxa"/>
          </w:tcPr>
          <w:p>
            <w:pPr>
              <w:pStyle w:val="TableParagraph"/>
              <w:spacing w:line="273" w:lineRule="auto" w:before="142"/>
              <w:ind w:left="126" w:right="109"/>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w:t>
            </w:r>
            <w:r>
              <w:rPr>
                <w:spacing w:val="-8"/>
                <w:sz w:val="21"/>
              </w:rPr>
              <w:t>本附加合同，我们将已收取的本附加合同终止日之后的保障成本无息退还至主</w:t>
            </w:r>
            <w:r>
              <w:rPr>
                <w:spacing w:val="-5"/>
                <w:sz w:val="21"/>
              </w:rPr>
              <w:t>合同保单账户，主合同保单账户价值按退还的金额等额增加。</w:t>
            </w:r>
          </w:p>
          <w:p>
            <w:pPr>
              <w:pStyle w:val="TableParagraph"/>
              <w:spacing w:before="5"/>
              <w:rPr>
                <w:sz w:val="24"/>
              </w:rPr>
            </w:pPr>
          </w:p>
          <w:p>
            <w:pPr>
              <w:pStyle w:val="TableParagraph"/>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9"/>
              <w:jc w:val="both"/>
              <w:rPr>
                <w:sz w:val="21"/>
              </w:rPr>
            </w:pPr>
            <w:r>
              <w:rPr>
                <w:w w:val="100"/>
                <w:sz w:val="21"/>
              </w:rPr>
              <w:t>（见</w:t>
            </w:r>
            <w:r>
              <w:rPr>
                <w:spacing w:val="-53"/>
                <w:sz w:val="21"/>
              </w:rPr>
              <w:t> </w:t>
            </w:r>
            <w:r>
              <w:rPr>
                <w:spacing w:val="-3"/>
                <w:w w:val="100"/>
                <w:sz w:val="21"/>
              </w:rPr>
              <w:t>8</w:t>
            </w:r>
            <w:r>
              <w:rPr>
                <w:w w:val="100"/>
                <w:sz w:val="21"/>
              </w:rPr>
              <w:t>.2</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5" w:type="dxa"/>
            <w:tcBorders>
              <w:bottom w:val="single" w:sz="8" w:space="0" w:color="000000"/>
            </w:tcBorders>
          </w:tcPr>
          <w:p>
            <w:pPr>
              <w:pStyle w:val="TableParagraph"/>
              <w:rPr>
                <w:rFonts w:ascii="Times New Roman"/>
                <w:sz w:val="20"/>
              </w:rPr>
            </w:pPr>
          </w:p>
        </w:tc>
      </w:tr>
      <w:tr>
        <w:trPr>
          <w:trHeight w:val="1094"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基本保险金额</w:t>
            </w:r>
          </w:p>
        </w:tc>
        <w:tc>
          <w:tcPr>
            <w:tcW w:w="7345" w:type="dxa"/>
            <w:tcBorders>
              <w:top w:val="single" w:sz="8" w:space="0" w:color="000000"/>
            </w:tcBorders>
          </w:tcPr>
          <w:p>
            <w:pPr>
              <w:pStyle w:val="TableParagraph"/>
              <w:rPr>
                <w:sz w:val="23"/>
              </w:rPr>
            </w:pPr>
          </w:p>
          <w:p>
            <w:pPr>
              <w:pStyle w:val="TableParagraph"/>
              <w:spacing w:line="273" w:lineRule="auto"/>
              <w:ind w:left="99" w:right="87"/>
              <w:rPr>
                <w:sz w:val="21"/>
              </w:rPr>
            </w:pPr>
            <w:r>
              <w:rPr>
                <w:sz w:val="21"/>
              </w:rPr>
              <w:t>本附加合同的基本保险金额由您在投保时与我们约定并在保险单上载明。若该金额发生变更，则以变更后的金额为基本保险金额。</w:t>
            </w:r>
          </w:p>
        </w:tc>
      </w:tr>
      <w:tr>
        <w:trPr>
          <w:trHeight w:val="935"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保险期间</w:t>
            </w:r>
          </w:p>
        </w:tc>
        <w:tc>
          <w:tcPr>
            <w:tcW w:w="7345" w:type="dxa"/>
          </w:tcPr>
          <w:p>
            <w:pPr>
              <w:pStyle w:val="TableParagraph"/>
              <w:spacing w:line="273" w:lineRule="auto" w:before="142"/>
              <w:ind w:left="99" w:right="102"/>
              <w:rPr>
                <w:sz w:val="21"/>
              </w:rPr>
            </w:pPr>
            <w:r>
              <w:rPr>
                <w:sz w:val="21"/>
              </w:rPr>
              <w:t>本附加合同的保险期间为终身，自本附加合同生效日零时起至本附加合同约定终止时止。</w:t>
            </w:r>
          </w:p>
        </w:tc>
      </w:tr>
      <w:tr>
        <w:trPr>
          <w:trHeight w:val="417" w:hRule="atLeast"/>
        </w:trPr>
        <w:tc>
          <w:tcPr>
            <w:tcW w:w="843" w:type="dxa"/>
          </w:tcPr>
          <w:p>
            <w:pPr>
              <w:pStyle w:val="TableParagraph"/>
              <w:spacing w:line="255" w:lineRule="exact" w:before="142"/>
              <w:ind w:right="108"/>
              <w:jc w:val="right"/>
              <w:rPr>
                <w:b/>
                <w:sz w:val="21"/>
              </w:rPr>
            </w:pPr>
            <w:r>
              <w:rPr>
                <w:b/>
                <w:sz w:val="21"/>
              </w:rPr>
              <w:t>2.3</w:t>
            </w:r>
          </w:p>
        </w:tc>
        <w:tc>
          <w:tcPr>
            <w:tcW w:w="1900" w:type="dxa"/>
          </w:tcPr>
          <w:p>
            <w:pPr>
              <w:pStyle w:val="TableParagraph"/>
              <w:spacing w:line="255" w:lineRule="exact" w:before="142"/>
              <w:ind w:left="110"/>
              <w:rPr>
                <w:b/>
                <w:sz w:val="21"/>
              </w:rPr>
            </w:pPr>
            <w:r>
              <w:rPr>
                <w:b/>
                <w:sz w:val="21"/>
              </w:rPr>
              <w:t>保险责任</w:t>
            </w:r>
          </w:p>
        </w:tc>
        <w:tc>
          <w:tcPr>
            <w:tcW w:w="7345" w:type="dxa"/>
          </w:tcPr>
          <w:p>
            <w:pPr>
              <w:pStyle w:val="TableParagraph"/>
              <w:spacing w:line="255" w:lineRule="exact" w:before="142"/>
              <w:ind w:left="99"/>
              <w:rPr>
                <w:sz w:val="21"/>
              </w:rPr>
            </w:pPr>
            <w:r>
              <w:rPr>
                <w:sz w:val="21"/>
              </w:rPr>
              <w:t>在本附加合同有效期内，我们承担如下保险责任：</w:t>
            </w:r>
          </w:p>
        </w:tc>
      </w:tr>
    </w:tbl>
    <w:p>
      <w:pPr>
        <w:spacing w:after="0" w:line="255" w:lineRule="exact"/>
        <w:rPr>
          <w:sz w:val="21"/>
        </w:rPr>
        <w:sectPr>
          <w:pgSz w:w="11910" w:h="16840"/>
          <w:pgMar w:top="1120" w:bottom="280" w:left="800" w:right="800"/>
        </w:sectPr>
      </w:pPr>
    </w:p>
    <w:p>
      <w:pPr>
        <w:tabs>
          <w:tab w:pos="2534" w:val="left" w:leader="none"/>
        </w:tabs>
        <w:spacing w:line="333" w:lineRule="exact" w:before="0"/>
        <w:ind w:left="645" w:right="0" w:firstLine="0"/>
        <w:jc w:val="left"/>
        <w:rPr>
          <w:sz w:val="21"/>
        </w:rPr>
      </w:pPr>
      <w:r>
        <w:rPr>
          <w:rFonts w:ascii="Microsoft JhengHei" w:eastAsia="Microsoft JhengHei" w:hint="eastAsia"/>
          <w:b/>
          <w:position w:val="-1"/>
          <w:sz w:val="24"/>
        </w:rPr>
        <w:t>等待期</w:t>
        <w:tab/>
      </w:r>
      <w:r>
        <w:rPr>
          <w:sz w:val="21"/>
        </w:rPr>
        <w:t>在本</w:t>
      </w:r>
      <w:r>
        <w:rPr>
          <w:spacing w:val="-3"/>
          <w:sz w:val="21"/>
        </w:rPr>
        <w:t>附</w:t>
      </w:r>
      <w:r>
        <w:rPr>
          <w:sz w:val="21"/>
        </w:rPr>
        <w:t>加</w:t>
      </w:r>
      <w:r>
        <w:rPr>
          <w:spacing w:val="-3"/>
          <w:sz w:val="21"/>
        </w:rPr>
        <w:t>合</w:t>
      </w:r>
      <w:r>
        <w:rPr>
          <w:sz w:val="21"/>
        </w:rPr>
        <w:t>同</w:t>
      </w:r>
      <w:r>
        <w:rPr>
          <w:spacing w:val="-3"/>
          <w:sz w:val="21"/>
        </w:rPr>
        <w:t>生效</w:t>
      </w:r>
      <w:r>
        <w:rPr>
          <w:sz w:val="21"/>
        </w:rPr>
        <w:t>起</w:t>
      </w:r>
      <w:r>
        <w:rPr>
          <w:spacing w:val="-45"/>
          <w:sz w:val="21"/>
        </w:rPr>
        <w:t> </w:t>
      </w:r>
      <w:r>
        <w:rPr>
          <w:sz w:val="21"/>
        </w:rPr>
        <w:t>180</w:t>
      </w:r>
      <w:r>
        <w:rPr>
          <w:spacing w:val="-47"/>
          <w:sz w:val="21"/>
        </w:rPr>
        <w:t> </w:t>
      </w:r>
      <w:r>
        <w:rPr>
          <w:sz w:val="21"/>
        </w:rPr>
        <w:t>日</w:t>
      </w:r>
      <w:r>
        <w:rPr>
          <w:spacing w:val="-51"/>
          <w:sz w:val="21"/>
        </w:rPr>
        <w:t>内</w:t>
      </w:r>
      <w:r>
        <w:rPr>
          <w:spacing w:val="-3"/>
          <w:sz w:val="21"/>
        </w:rPr>
        <w:t>（</w:t>
      </w:r>
      <w:r>
        <w:rPr>
          <w:sz w:val="21"/>
        </w:rPr>
        <w:t>含</w:t>
      </w:r>
      <w:r>
        <w:rPr>
          <w:spacing w:val="-45"/>
          <w:sz w:val="21"/>
        </w:rPr>
        <w:t> </w:t>
      </w:r>
      <w:r>
        <w:rPr>
          <w:sz w:val="21"/>
        </w:rPr>
        <w:t>180</w:t>
      </w:r>
      <w:r>
        <w:rPr>
          <w:spacing w:val="-45"/>
          <w:sz w:val="21"/>
        </w:rPr>
        <w:t> </w:t>
      </w:r>
      <w:r>
        <w:rPr>
          <w:sz w:val="21"/>
        </w:rPr>
        <w:t>日</w:t>
      </w:r>
      <w:r>
        <w:rPr>
          <w:spacing w:val="-3"/>
          <w:sz w:val="21"/>
        </w:rPr>
        <w:t>当</w:t>
      </w:r>
      <w:r>
        <w:rPr>
          <w:sz w:val="21"/>
        </w:rPr>
        <w:t>日</w:t>
      </w:r>
      <w:r>
        <w:rPr>
          <w:spacing w:val="-80"/>
          <w:sz w:val="21"/>
        </w:rPr>
        <w:t>），</w:t>
      </w:r>
      <w:r>
        <w:rPr>
          <w:spacing w:val="-3"/>
          <w:sz w:val="21"/>
        </w:rPr>
        <w:t>被</w:t>
      </w:r>
      <w:r>
        <w:rPr>
          <w:sz w:val="21"/>
        </w:rPr>
        <w:t>保险</w:t>
      </w:r>
      <w:r>
        <w:rPr>
          <w:spacing w:val="-3"/>
          <w:sz w:val="21"/>
        </w:rPr>
        <w:t>人因</w:t>
      </w:r>
      <w:r>
        <w:rPr>
          <w:b/>
          <w:sz w:val="21"/>
        </w:rPr>
        <w:t>意外伤害事</w:t>
      </w:r>
      <w:r>
        <w:rPr>
          <w:b/>
          <w:spacing w:val="-51"/>
          <w:sz w:val="21"/>
        </w:rPr>
        <w:t>故</w:t>
      </w:r>
      <w:r>
        <w:rPr>
          <w:spacing w:val="-3"/>
          <w:sz w:val="21"/>
        </w:rPr>
        <w:t>（见</w:t>
      </w:r>
    </w:p>
    <w:p>
      <w:pPr>
        <w:pStyle w:val="BodyText"/>
        <w:spacing w:line="273" w:lineRule="auto" w:before="0"/>
        <w:ind w:left="2534" w:right="116"/>
        <w:jc w:val="both"/>
      </w:pPr>
      <w:r>
        <w:rPr>
          <w:w w:val="100"/>
        </w:rPr>
        <w:t>8.3</w:t>
      </w:r>
      <w:r>
        <w:rPr>
          <w:spacing w:val="-77"/>
          <w:w w:val="100"/>
        </w:rPr>
        <w:t>）</w:t>
      </w:r>
      <w:r>
        <w:rPr>
          <w:spacing w:val="-3"/>
          <w:w w:val="100"/>
        </w:rPr>
        <w:t>以外的原因患本附加合同约定的</w:t>
      </w:r>
      <w:r>
        <w:rPr>
          <w:b/>
          <w:spacing w:val="-20"/>
          <w:w w:val="100"/>
        </w:rPr>
        <w:t>重大疾病</w:t>
      </w:r>
      <w:r>
        <w:rPr>
          <w:spacing w:val="-3"/>
          <w:w w:val="100"/>
        </w:rPr>
        <w:t>（</w:t>
      </w:r>
      <w:r>
        <w:rPr>
          <w:w w:val="100"/>
        </w:rPr>
        <w:t>见</w:t>
      </w:r>
      <w:r>
        <w:rPr>
          <w:spacing w:val="-53"/>
        </w:rPr>
        <w:t> </w:t>
      </w:r>
      <w:r>
        <w:rPr>
          <w:spacing w:val="-2"/>
          <w:w w:val="100"/>
        </w:rPr>
        <w:t>8</w:t>
      </w:r>
      <w:r>
        <w:rPr>
          <w:w w:val="100"/>
        </w:rPr>
        <w:t>.4</w:t>
      </w:r>
      <w:r>
        <w:rPr>
          <w:spacing w:val="-77"/>
          <w:w w:val="100"/>
        </w:rPr>
        <w:t>）的</w:t>
      </w:r>
      <w:r>
        <w:rPr>
          <w:spacing w:val="-3"/>
          <w:w w:val="100"/>
        </w:rPr>
        <w:t>（无论一种或多种</w:t>
      </w:r>
      <w:r>
        <w:rPr>
          <w:spacing w:val="-106"/>
          <w:w w:val="100"/>
        </w:rPr>
        <w:t>）</w:t>
      </w:r>
      <w:r>
        <w:rPr>
          <w:w w:val="100"/>
        </w:rPr>
        <w:t>，</w:t>
      </w:r>
      <w:r>
        <w:rPr>
          <w:spacing w:val="-14"/>
        </w:rPr>
        <w:t>本附加合同终止。这 </w:t>
      </w:r>
      <w:r>
        <w:rPr/>
        <w:t>180</w:t>
      </w:r>
      <w:r>
        <w:rPr>
          <w:spacing w:val="-14"/>
        </w:rPr>
        <w:t> 日的时间称为等待期。等待期内我们不收取保障成本。</w:t>
      </w:r>
      <w:r>
        <w:rPr>
          <w:spacing w:val="-7"/>
        </w:rPr>
        <w:t>因意外伤害事故患上述疾病的，无等待期。</w:t>
      </w:r>
    </w:p>
    <w:p>
      <w:pPr>
        <w:pStyle w:val="BodyText"/>
        <w:spacing w:before="12"/>
        <w:ind w:left="0"/>
        <w:rPr>
          <w:sz w:val="24"/>
        </w:rPr>
      </w:pPr>
    </w:p>
    <w:p>
      <w:pPr>
        <w:pStyle w:val="BodyText"/>
        <w:spacing w:line="273" w:lineRule="auto" w:before="0"/>
        <w:ind w:left="2534" w:right="177"/>
      </w:pPr>
      <w:r>
        <w:rPr/>
        <w:t>如被保险人在等待期后发生本附加合同所约定的保险事故，我们按照下列方式给付保险金：</w:t>
      </w:r>
    </w:p>
    <w:p>
      <w:pPr>
        <w:pStyle w:val="BodyText"/>
        <w:spacing w:before="1"/>
        <w:ind w:left="0"/>
      </w:pPr>
    </w:p>
    <w:p>
      <w:pPr>
        <w:spacing w:after="0"/>
        <w:sectPr>
          <w:pgSz w:w="11910" w:h="16840"/>
          <w:pgMar w:top="1400" w:bottom="280" w:left="1220" w:right="820"/>
        </w:sectPr>
      </w:pPr>
    </w:p>
    <w:p>
      <w:pPr>
        <w:pStyle w:val="Heading2"/>
        <w:spacing w:line="172" w:lineRule="auto" w:before="56"/>
      </w:pPr>
      <w:r>
        <w:rPr/>
        <w:t>重大疾病保险金</w:t>
      </w:r>
    </w:p>
    <w:p>
      <w:pPr>
        <w:pStyle w:val="BodyText"/>
        <w:spacing w:line="266" w:lineRule="auto" w:before="43"/>
        <w:ind w:left="407" w:right="222"/>
        <w:jc w:val="both"/>
      </w:pPr>
      <w:r>
        <w:rPr/>
        <w:br w:type="column"/>
      </w:r>
      <w:r>
        <w:rPr>
          <w:spacing w:val="-2"/>
        </w:rPr>
        <w:t>被保险人</w:t>
      </w:r>
      <w:r>
        <w:rPr>
          <w:b/>
        </w:rPr>
        <w:t>初次发生</w:t>
      </w:r>
      <w:r>
        <w:rPr>
          <w:spacing w:val="-3"/>
        </w:rPr>
        <w:t>（</w:t>
      </w:r>
      <w:r>
        <w:rPr>
          <w:spacing w:val="-13"/>
        </w:rPr>
        <w:t>见 </w:t>
      </w:r>
      <w:r>
        <w:rPr>
          <w:rFonts w:ascii="Times New Roman" w:eastAsia="Times New Roman"/>
        </w:rPr>
        <w:t>8.5</w:t>
      </w:r>
      <w:r>
        <w:rPr/>
        <w:t>）</w:t>
      </w:r>
      <w:r>
        <w:rPr>
          <w:spacing w:val="-2"/>
        </w:rPr>
        <w:t>并被</w:t>
      </w:r>
      <w:r>
        <w:rPr>
          <w:b/>
        </w:rPr>
        <w:t>医院</w:t>
      </w:r>
      <w:r>
        <w:rPr>
          <w:spacing w:val="-3"/>
        </w:rPr>
        <w:t>（</w:t>
      </w:r>
      <w:r>
        <w:rPr>
          <w:spacing w:val="-13"/>
        </w:rPr>
        <w:t>见 </w:t>
      </w:r>
      <w:r>
        <w:rPr>
          <w:rFonts w:ascii="Times New Roman" w:eastAsia="Times New Roman"/>
        </w:rPr>
        <w:t>8.6</w:t>
      </w:r>
      <w:r>
        <w:rPr/>
        <w:t>）</w:t>
      </w:r>
      <w:r>
        <w:rPr>
          <w:spacing w:val="-3"/>
        </w:rPr>
        <w:t>的</w:t>
      </w:r>
      <w:r>
        <w:rPr>
          <w:b/>
        </w:rPr>
        <w:t>专科医生</w:t>
      </w:r>
      <w:r>
        <w:rPr/>
        <w:t>（</w:t>
      </w:r>
      <w:r>
        <w:rPr>
          <w:spacing w:val="-15"/>
        </w:rPr>
        <w:t>见 </w:t>
      </w:r>
      <w:r>
        <w:rPr>
          <w:rFonts w:ascii="Times New Roman" w:eastAsia="Times New Roman"/>
        </w:rPr>
        <w:t>8.7</w:t>
      </w:r>
      <w:r>
        <w:rPr/>
        <w:t>）</w:t>
      </w:r>
      <w:r>
        <w:rPr>
          <w:spacing w:val="-2"/>
        </w:rPr>
        <w:t>确诊为</w:t>
      </w:r>
      <w:r>
        <w:rPr>
          <w:spacing w:val="-6"/>
        </w:rPr>
        <w:t>本附加合同约定的重大疾病，我们按本附加合同基本保险金额给付重大疾病保</w:t>
      </w:r>
      <w:r>
        <w:rPr>
          <w:spacing w:val="-9"/>
        </w:rPr>
        <w:t>险金，本附加合同终止；主合同基本保险金额减少为扣除本附加合同基本保险</w:t>
      </w:r>
      <w:r>
        <w:rPr>
          <w:spacing w:val="-5"/>
        </w:rPr>
        <w:t>金额后的金额。</w:t>
      </w:r>
    </w:p>
    <w:p>
      <w:pPr>
        <w:spacing w:after="0" w:line="266" w:lineRule="auto"/>
        <w:jc w:val="both"/>
        <w:sectPr>
          <w:type w:val="continuous"/>
          <w:pgSz w:w="11910" w:h="16840"/>
          <w:pgMar w:top="540" w:bottom="280" w:left="1220" w:right="820"/>
          <w:cols w:num="2" w:equalWidth="0">
            <w:col w:w="2088" w:space="40"/>
            <w:col w:w="7742"/>
          </w:cols>
        </w:sectPr>
      </w:pPr>
    </w:p>
    <w:p>
      <w:pPr>
        <w:pStyle w:val="BodyText"/>
        <w:spacing w:before="12"/>
        <w:ind w:left="0"/>
      </w:pPr>
    </w:p>
    <w:p>
      <w:pPr>
        <w:spacing w:after="0"/>
        <w:sectPr>
          <w:type w:val="continuous"/>
          <w:pgSz w:w="11910" w:h="16840"/>
          <w:pgMar w:top="540" w:bottom="280" w:left="1220" w:right="820"/>
        </w:sectPr>
      </w:pPr>
    </w:p>
    <w:p>
      <w:pPr>
        <w:pStyle w:val="Heading2"/>
        <w:spacing w:line="172" w:lineRule="auto"/>
      </w:pPr>
      <w:r>
        <w:rPr/>
        <w:t>对主合同的影响</w:t>
      </w:r>
    </w:p>
    <w:p>
      <w:pPr>
        <w:pStyle w:val="BodyText"/>
        <w:spacing w:line="273" w:lineRule="auto" w:before="39"/>
        <w:ind w:left="406" w:right="177"/>
      </w:pPr>
      <w:r>
        <w:rPr/>
        <w:br w:type="column"/>
      </w:r>
      <w:r>
        <w:rPr/>
        <w:t>主合同约定的各项保险责任按减少的基本保险金额确定。当主合同基本保险金额减少至零时，主合同终止。</w:t>
      </w:r>
    </w:p>
    <w:p>
      <w:pPr>
        <w:spacing w:after="0" w:line="273" w:lineRule="auto"/>
        <w:sectPr>
          <w:type w:val="continuous"/>
          <w:pgSz w:w="11910" w:h="16840"/>
          <w:pgMar w:top="540" w:bottom="280" w:left="1220" w:right="820"/>
          <w:cols w:num="2" w:equalWidth="0">
            <w:col w:w="2088" w:space="40"/>
            <w:col w:w="7742"/>
          </w:cols>
        </w:sectPr>
      </w:pPr>
    </w:p>
    <w:p>
      <w:pPr>
        <w:pStyle w:val="BodyText"/>
        <w:spacing w:before="8"/>
        <w:ind w:left="0"/>
      </w:pPr>
    </w:p>
    <w:p>
      <w:pPr>
        <w:pStyle w:val="ListParagraph"/>
        <w:numPr>
          <w:ilvl w:val="1"/>
          <w:numId w:val="2"/>
        </w:numPr>
        <w:tabs>
          <w:tab w:pos="645" w:val="left" w:leader="none"/>
          <w:tab w:pos="646" w:val="left" w:leader="none"/>
          <w:tab w:pos="2534" w:val="left" w:leader="none"/>
        </w:tabs>
        <w:spacing w:line="273" w:lineRule="auto" w:before="36" w:after="0"/>
        <w:ind w:left="2534" w:right="224" w:hanging="2427"/>
        <w:jc w:val="left"/>
        <w:rPr>
          <w:sz w:val="21"/>
        </w:rPr>
      </w:pPr>
      <w:r>
        <w:rPr>
          <w:b/>
          <w:sz w:val="21"/>
        </w:rPr>
        <w:t>责任免除</w:t>
        <w:tab/>
      </w:r>
      <w:r>
        <w:rPr>
          <w:sz w:val="21"/>
          <w:shd w:fill="D9D9D9" w:color="auto" w:val="clear"/>
        </w:rPr>
        <w:t>因下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pacing w:val="-20"/>
          <w:sz w:val="21"/>
          <w:shd w:fill="D9D9D9" w:color="auto" w:val="clear"/>
        </w:rPr>
        <w:t>，</w:t>
      </w:r>
      <w:r>
        <w:rPr>
          <w:spacing w:val="-3"/>
          <w:sz w:val="21"/>
          <w:shd w:fill="D9D9D9" w:color="auto" w:val="clear"/>
        </w:rPr>
        <w:t>导</w:t>
      </w:r>
      <w:r>
        <w:rPr>
          <w:sz w:val="21"/>
          <w:shd w:fill="D9D9D9" w:color="auto" w:val="clear"/>
        </w:rPr>
        <w:t>致</w:t>
      </w:r>
      <w:r>
        <w:rPr>
          <w:spacing w:val="-3"/>
          <w:sz w:val="21"/>
          <w:shd w:fill="D9D9D9" w:color="auto" w:val="clear"/>
        </w:rPr>
        <w:t>被</w:t>
      </w:r>
      <w:r>
        <w:rPr>
          <w:sz w:val="21"/>
          <w:shd w:fill="D9D9D9" w:color="auto" w:val="clear"/>
        </w:rPr>
        <w:t>保险</w:t>
      </w:r>
      <w:r>
        <w:rPr>
          <w:spacing w:val="-3"/>
          <w:sz w:val="21"/>
          <w:shd w:fill="D9D9D9" w:color="auto" w:val="clear"/>
        </w:rPr>
        <w:t>人</w:t>
      </w:r>
      <w:r>
        <w:rPr>
          <w:sz w:val="21"/>
          <w:shd w:fill="D9D9D9" w:color="auto" w:val="clear"/>
        </w:rPr>
        <w:t>初</w:t>
      </w:r>
      <w:r>
        <w:rPr>
          <w:spacing w:val="-3"/>
          <w:sz w:val="21"/>
          <w:shd w:fill="D9D9D9" w:color="auto" w:val="clear"/>
        </w:rPr>
        <w:t>次</w:t>
      </w:r>
      <w:r>
        <w:rPr>
          <w:sz w:val="21"/>
          <w:shd w:fill="D9D9D9" w:color="auto" w:val="clear"/>
        </w:rPr>
        <w:t>发</w:t>
      </w:r>
      <w:r>
        <w:rPr>
          <w:spacing w:val="-3"/>
          <w:sz w:val="21"/>
          <w:shd w:fill="D9D9D9" w:color="auto" w:val="clear"/>
        </w:rPr>
        <w:t>生</w:t>
      </w:r>
      <w:r>
        <w:rPr>
          <w:sz w:val="21"/>
          <w:shd w:fill="D9D9D9" w:color="auto" w:val="clear"/>
        </w:rPr>
        <w:t>重</w:t>
      </w:r>
      <w:r>
        <w:rPr>
          <w:spacing w:val="-3"/>
          <w:sz w:val="21"/>
          <w:shd w:fill="D9D9D9" w:color="auto" w:val="clear"/>
        </w:rPr>
        <w:t>大</w:t>
      </w:r>
      <w:r>
        <w:rPr>
          <w:sz w:val="21"/>
          <w:shd w:fill="D9D9D9" w:color="auto" w:val="clear"/>
        </w:rPr>
        <w:t>疾</w:t>
      </w:r>
      <w:r>
        <w:rPr>
          <w:spacing w:val="-3"/>
          <w:sz w:val="21"/>
          <w:shd w:fill="D9D9D9" w:color="auto" w:val="clear"/>
        </w:rPr>
        <w:t>病</w:t>
      </w:r>
      <w:r>
        <w:rPr>
          <w:sz w:val="21"/>
          <w:shd w:fill="D9D9D9" w:color="auto" w:val="clear"/>
        </w:rPr>
        <w:t>的</w:t>
      </w:r>
      <w:r>
        <w:rPr>
          <w:spacing w:val="-20"/>
          <w:sz w:val="21"/>
          <w:shd w:fill="D9D9D9" w:color="auto" w:val="clear"/>
        </w:rPr>
        <w:t>，</w:t>
      </w:r>
      <w:r>
        <w:rPr>
          <w:spacing w:val="-3"/>
          <w:sz w:val="21"/>
          <w:shd w:fill="D9D9D9" w:color="auto" w:val="clear"/>
        </w:rPr>
        <w:t>我</w:t>
      </w:r>
      <w:r>
        <w:rPr>
          <w:sz w:val="21"/>
          <w:shd w:fill="D9D9D9" w:color="auto" w:val="clear"/>
        </w:rPr>
        <w:t>们</w:t>
      </w:r>
      <w:r>
        <w:rPr>
          <w:spacing w:val="-3"/>
          <w:sz w:val="21"/>
          <w:shd w:fill="D9D9D9" w:color="auto" w:val="clear"/>
        </w:rPr>
        <w:t>不</w:t>
      </w:r>
      <w:r>
        <w:rPr>
          <w:sz w:val="21"/>
          <w:shd w:fill="D9D9D9" w:color="auto" w:val="clear"/>
        </w:rPr>
        <w:t>承</w:t>
      </w:r>
      <w:r>
        <w:rPr>
          <w:spacing w:val="-3"/>
          <w:sz w:val="21"/>
          <w:shd w:fill="D9D9D9" w:color="auto" w:val="clear"/>
        </w:rPr>
        <w:t>担</w:t>
      </w:r>
      <w:r>
        <w:rPr>
          <w:sz w:val="21"/>
          <w:shd w:fill="D9D9D9" w:color="auto" w:val="clear"/>
        </w:rPr>
        <w:t>给</w:t>
      </w:r>
      <w:r>
        <w:rPr>
          <w:spacing w:val="-3"/>
          <w:sz w:val="21"/>
          <w:shd w:fill="D9D9D9" w:color="auto" w:val="clear"/>
        </w:rPr>
        <w:t>付保险</w:t>
      </w:r>
      <w:r>
        <w:rPr>
          <w:sz w:val="21"/>
          <w:shd w:fill="D9D9D9" w:color="auto" w:val="clear"/>
        </w:rPr>
        <w:t>金 的责</w:t>
      </w:r>
      <w:r>
        <w:rPr>
          <w:spacing w:val="-3"/>
          <w:sz w:val="21"/>
          <w:shd w:fill="D9D9D9" w:color="auto" w:val="clear"/>
        </w:rPr>
        <w:t>任</w:t>
      </w:r>
      <w:r>
        <w:rPr>
          <w:sz w:val="21"/>
          <w:shd w:fill="D9D9D9" w:color="auto" w:val="clear"/>
        </w:rPr>
        <w:t>：</w:t>
      </w:r>
    </w:p>
    <w:p>
      <w:pPr>
        <w:pStyle w:val="ListParagraph"/>
        <w:numPr>
          <w:ilvl w:val="2"/>
          <w:numId w:val="2"/>
        </w:numPr>
        <w:tabs>
          <w:tab w:pos="2957" w:val="left" w:leader="none"/>
        </w:tabs>
        <w:spacing w:line="240" w:lineRule="auto" w:before="7" w:after="0"/>
        <w:ind w:left="2954" w:right="0" w:hanging="420"/>
        <w:jc w:val="left"/>
        <w:rPr>
          <w:sz w:val="21"/>
        </w:rPr>
      </w:pPr>
      <w:r>
        <w:rPr>
          <w:spacing w:val="-3"/>
          <w:sz w:val="21"/>
          <w:shd w:fill="D9D9D9" w:color="auto" w:val="clear"/>
        </w:rPr>
        <w:t>投保人对被保险人的故意杀害、故意伤害；</w:t>
      </w:r>
    </w:p>
    <w:p>
      <w:pPr>
        <w:pStyle w:val="ListParagraph"/>
        <w:numPr>
          <w:ilvl w:val="2"/>
          <w:numId w:val="2"/>
        </w:numPr>
        <w:tabs>
          <w:tab w:pos="2957" w:val="left" w:leader="none"/>
        </w:tabs>
        <w:spacing w:line="240" w:lineRule="auto" w:before="36" w:after="0"/>
        <w:ind w:left="2954" w:right="0" w:hanging="420"/>
        <w:jc w:val="left"/>
        <w:rPr>
          <w:sz w:val="21"/>
        </w:rPr>
      </w:pPr>
      <w:r>
        <w:rPr>
          <w:spacing w:val="-3"/>
          <w:sz w:val="21"/>
          <w:shd w:fill="D9D9D9" w:color="auto" w:val="clear"/>
        </w:rPr>
        <w:t>被保险人故意自伤、故意犯罪或抗拒依法采取的刑事强制措施；</w:t>
      </w:r>
    </w:p>
    <w:p>
      <w:pPr>
        <w:pStyle w:val="ListParagraph"/>
        <w:numPr>
          <w:ilvl w:val="2"/>
          <w:numId w:val="2"/>
        </w:numPr>
        <w:tabs>
          <w:tab w:pos="2957" w:val="left" w:leader="none"/>
        </w:tabs>
        <w:spacing w:line="240" w:lineRule="auto" w:before="36" w:after="0"/>
        <w:ind w:left="2954"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8.8</w:t>
      </w:r>
      <w:r>
        <w:rPr>
          <w:spacing w:val="-108"/>
          <w:w w:val="100"/>
          <w:sz w:val="21"/>
          <w:shd w:fill="D9D9D9" w:color="auto" w:val="clear"/>
        </w:rPr>
        <w:t>）</w:t>
      </w:r>
      <w:r>
        <w:rPr>
          <w:spacing w:val="-3"/>
          <w:w w:val="100"/>
          <w:sz w:val="21"/>
          <w:shd w:fill="D9D9D9" w:color="auto" w:val="clear"/>
        </w:rPr>
        <w:t>；</w:t>
      </w:r>
    </w:p>
    <w:p>
      <w:pPr>
        <w:pStyle w:val="ListParagraph"/>
        <w:numPr>
          <w:ilvl w:val="2"/>
          <w:numId w:val="2"/>
        </w:numPr>
        <w:tabs>
          <w:tab w:pos="2957" w:val="left" w:leader="none"/>
        </w:tabs>
        <w:spacing w:line="273" w:lineRule="auto" w:before="36" w:after="0"/>
        <w:ind w:left="2954" w:right="222" w:hanging="420"/>
        <w:jc w:val="left"/>
        <w:rPr>
          <w:sz w:val="21"/>
        </w:rPr>
      </w:pPr>
      <w:r>
        <w:rPr>
          <w:spacing w:val="-3"/>
          <w:w w:val="100"/>
          <w:sz w:val="21"/>
          <w:shd w:fill="D9D9D9" w:color="auto" w:val="clear"/>
        </w:rPr>
        <w:t>被保险人</w:t>
      </w:r>
      <w:r>
        <w:rPr>
          <w:b/>
          <w:spacing w:val="-3"/>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8.</w:t>
      </w:r>
      <w:r>
        <w:rPr>
          <w:spacing w:val="-3"/>
          <w:w w:val="100"/>
          <w:sz w:val="21"/>
          <w:shd w:fill="D9D9D9" w:color="auto" w:val="clear"/>
        </w:rPr>
        <w:t>9</w:t>
      </w:r>
      <w:r>
        <w:rPr>
          <w:spacing w:val="-106"/>
          <w:w w:val="100"/>
          <w:sz w:val="21"/>
          <w:shd w:fill="D9D9D9" w:color="auto" w:val="clear"/>
        </w:rPr>
        <w:t>）</w:t>
      </w:r>
      <w:r>
        <w:rPr>
          <w:spacing w:val="-15"/>
          <w:w w:val="100"/>
          <w:sz w:val="21"/>
          <w:shd w:fill="D9D9D9" w:color="auto" w:val="clear"/>
        </w:rPr>
        <w:t>、</w:t>
      </w:r>
      <w:r>
        <w:rPr>
          <w:b/>
          <w:spacing w:val="-3"/>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8.</w:t>
      </w:r>
      <w:r>
        <w:rPr>
          <w:spacing w:val="-3"/>
          <w:w w:val="100"/>
          <w:sz w:val="21"/>
          <w:shd w:fill="D9D9D9" w:color="auto" w:val="clear"/>
        </w:rPr>
        <w:t>1</w:t>
      </w:r>
      <w:r>
        <w:rPr>
          <w:spacing w:val="-1"/>
          <w:w w:val="100"/>
          <w:sz w:val="21"/>
          <w:shd w:fill="D9D9D9" w:color="auto" w:val="clear"/>
        </w:rPr>
        <w:t>0</w:t>
      </w:r>
      <w:r>
        <w:rPr>
          <w:spacing w:val="-108"/>
          <w:w w:val="100"/>
          <w:sz w:val="21"/>
          <w:shd w:fill="D9D9D9" w:color="auto" w:val="clear"/>
        </w:rPr>
        <w:t>）</w:t>
      </w:r>
      <w:r>
        <w:rPr>
          <w:spacing w:val="-5"/>
          <w:w w:val="100"/>
          <w:sz w:val="21"/>
          <w:shd w:fill="D9D9D9" w:color="auto" w:val="clear"/>
        </w:rPr>
        <w:t>，或驾驶</w:t>
      </w:r>
      <w:r>
        <w:rPr>
          <w:b/>
          <w:spacing w:val="-5"/>
          <w:sz w:val="21"/>
          <w:shd w:fill="D9D9D9" w:color="auto" w:val="clear"/>
        </w:rPr>
        <w:t>无有效行驶证</w:t>
      </w:r>
      <w:r>
        <w:rPr>
          <w:spacing w:val="-208"/>
          <w:sz w:val="21"/>
          <w:shd w:fill="D9D9D9" w:color="auto" w:val="clear"/>
        </w:rPr>
        <w:t>（</w:t>
      </w:r>
      <w:r>
        <w:rPr>
          <w:spacing w:val="-23"/>
          <w:sz w:val="21"/>
          <w:shd w:fill="D9D9D9" w:color="auto" w:val="clear"/>
        </w:rPr>
        <w:t>见 </w:t>
      </w:r>
      <w:r>
        <w:rPr>
          <w:sz w:val="21"/>
          <w:shd w:fill="D9D9D9" w:color="auto" w:val="clear"/>
        </w:rPr>
        <w:t>8.11）</w:t>
      </w:r>
      <w:r>
        <w:rPr>
          <w:spacing w:val="-1"/>
          <w:sz w:val="21"/>
          <w:shd w:fill="D9D9D9" w:color="auto" w:val="clear"/>
        </w:rPr>
        <w:t>的机动车；</w:t>
      </w:r>
    </w:p>
    <w:p>
      <w:pPr>
        <w:pStyle w:val="ListParagraph"/>
        <w:numPr>
          <w:ilvl w:val="2"/>
          <w:numId w:val="2"/>
        </w:numPr>
        <w:tabs>
          <w:tab w:pos="2957" w:val="left" w:leader="none"/>
        </w:tabs>
        <w:spacing w:line="240" w:lineRule="auto" w:before="7" w:after="0"/>
        <w:ind w:left="2954" w:right="0" w:hanging="420"/>
        <w:jc w:val="left"/>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17"/>
          <w:sz w:val="21"/>
          <w:shd w:fill="D9D9D9" w:color="auto" w:val="clear"/>
        </w:rPr>
        <w:t>见 </w:t>
      </w:r>
      <w:r>
        <w:rPr>
          <w:sz w:val="21"/>
          <w:shd w:fill="D9D9D9" w:color="auto" w:val="clear"/>
        </w:rPr>
        <w:t>8.12）</w:t>
      </w:r>
      <w:r>
        <w:rPr>
          <w:spacing w:val="-3"/>
          <w:sz w:val="21"/>
          <w:shd w:fill="D9D9D9" w:color="auto" w:val="clear"/>
        </w:rPr>
        <w:t>期间因疾病导致的；</w:t>
      </w:r>
    </w:p>
    <w:p>
      <w:pPr>
        <w:pStyle w:val="ListParagraph"/>
        <w:numPr>
          <w:ilvl w:val="2"/>
          <w:numId w:val="2"/>
        </w:numPr>
        <w:tabs>
          <w:tab w:pos="2957" w:val="left" w:leader="none"/>
        </w:tabs>
        <w:spacing w:line="240" w:lineRule="auto" w:before="36" w:after="0"/>
        <w:ind w:left="2954" w:right="0" w:hanging="420"/>
        <w:jc w:val="left"/>
        <w:rPr>
          <w:sz w:val="21"/>
        </w:rPr>
      </w:pPr>
      <w:r>
        <w:rPr>
          <w:spacing w:val="-3"/>
          <w:sz w:val="21"/>
          <w:shd w:fill="D9D9D9" w:color="auto" w:val="clear"/>
        </w:rPr>
        <w:t>战争、军事行动、暴乱或武装叛乱；</w:t>
      </w:r>
    </w:p>
    <w:p>
      <w:pPr>
        <w:pStyle w:val="ListParagraph"/>
        <w:numPr>
          <w:ilvl w:val="2"/>
          <w:numId w:val="2"/>
        </w:numPr>
        <w:tabs>
          <w:tab w:pos="2957" w:val="left" w:leader="none"/>
        </w:tabs>
        <w:spacing w:line="240" w:lineRule="auto" w:before="36" w:after="0"/>
        <w:ind w:left="2954" w:right="0" w:hanging="420"/>
        <w:jc w:val="left"/>
        <w:rPr>
          <w:sz w:val="21"/>
        </w:rPr>
      </w:pPr>
      <w:r>
        <w:rPr>
          <w:spacing w:val="-3"/>
          <w:sz w:val="21"/>
          <w:shd w:fill="D9D9D9" w:color="auto" w:val="clear"/>
        </w:rPr>
        <w:t>核爆炸、核辐射或核污染；</w:t>
      </w:r>
    </w:p>
    <w:p>
      <w:pPr>
        <w:pStyle w:val="ListParagraph"/>
        <w:numPr>
          <w:ilvl w:val="2"/>
          <w:numId w:val="2"/>
        </w:numPr>
        <w:tabs>
          <w:tab w:pos="2955" w:val="left" w:leader="none"/>
        </w:tabs>
        <w:spacing w:line="240" w:lineRule="auto" w:before="36" w:after="0"/>
        <w:ind w:left="2954" w:right="0" w:hanging="420"/>
        <w:jc w:val="left"/>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8</w:t>
      </w:r>
      <w:r>
        <w:rPr>
          <w:spacing w:val="-3"/>
          <w:w w:val="100"/>
          <w:sz w:val="21"/>
          <w:shd w:fill="D9D9D9" w:color="auto" w:val="clear"/>
        </w:rPr>
        <w:t>.</w:t>
      </w:r>
      <w:r>
        <w:rPr>
          <w:w w:val="100"/>
          <w:sz w:val="21"/>
          <w:shd w:fill="D9D9D9" w:color="auto" w:val="clear"/>
        </w:rPr>
        <w:t>1</w:t>
      </w:r>
      <w:r>
        <w:rPr>
          <w:spacing w:val="-3"/>
          <w:w w:val="100"/>
          <w:sz w:val="21"/>
          <w:shd w:fill="D9D9D9" w:color="auto" w:val="clear"/>
        </w:rPr>
        <w:t>3</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8.</w:t>
      </w:r>
      <w:r>
        <w:rPr>
          <w:spacing w:val="-3"/>
          <w:w w:val="100"/>
          <w:sz w:val="21"/>
          <w:shd w:fill="D9D9D9" w:color="auto" w:val="clear"/>
        </w:rPr>
        <w:t>1</w:t>
      </w:r>
      <w:r>
        <w:rPr>
          <w:spacing w:val="-1"/>
          <w:w w:val="100"/>
          <w:sz w:val="21"/>
          <w:shd w:fill="D9D9D9" w:color="auto" w:val="clear"/>
        </w:rPr>
        <w:t>4</w:t>
      </w:r>
      <w:r>
        <w:rPr>
          <w:spacing w:val="-106"/>
          <w:w w:val="100"/>
          <w:sz w:val="21"/>
          <w:shd w:fill="D9D9D9" w:color="auto" w:val="clear"/>
        </w:rPr>
        <w:t>）。</w:t>
      </w:r>
    </w:p>
    <w:p>
      <w:pPr>
        <w:pStyle w:val="BodyText"/>
        <w:spacing w:before="11"/>
        <w:ind w:left="0"/>
        <w:rPr>
          <w:sz w:val="23"/>
        </w:rPr>
      </w:pPr>
    </w:p>
    <w:p>
      <w:pPr>
        <w:pStyle w:val="BodyText"/>
        <w:spacing w:line="273" w:lineRule="auto" w:before="36"/>
        <w:ind w:left="2534" w:right="224"/>
        <w:jc w:val="both"/>
      </w:pPr>
      <w:r>
        <w:rPr>
          <w:shd w:fill="D9D9D9" w:color="auto" w:val="clear"/>
        </w:rPr>
        <w:t>发生上述情形，本附加合同终止， 我们将已收取的本附加合同终止日之后的</w:t>
      </w:r>
      <w:r>
        <w:rPr>
          <w:spacing w:val="-212"/>
          <w:shd w:fill="D9D9D9" w:color="auto" w:val="clear"/>
        </w:rPr>
        <w:t>保</w:t>
      </w:r>
      <w:r>
        <w:rPr>
          <w:spacing w:val="-6"/>
          <w:shd w:fill="D9D9D9" w:color="auto" w:val="clear"/>
        </w:rPr>
        <w:t>障成本无息退还至主合同保单账户，主合同保单账户价值按退还的金额等额增加。</w:t>
      </w:r>
    </w:p>
    <w:p>
      <w:pPr>
        <w:pStyle w:val="BodyText"/>
        <w:spacing w:before="8"/>
        <w:ind w:left="0"/>
      </w:pPr>
    </w:p>
    <w:p>
      <w:pPr>
        <w:spacing w:after="0"/>
        <w:sectPr>
          <w:type w:val="continuous"/>
          <w:pgSz w:w="11910" w:h="16840"/>
          <w:pgMar w:top="540" w:bottom="280" w:left="1220" w:right="820"/>
        </w:sectPr>
      </w:pPr>
    </w:p>
    <w:p>
      <w:pPr>
        <w:pStyle w:val="Heading3"/>
        <w:numPr>
          <w:ilvl w:val="1"/>
          <w:numId w:val="2"/>
        </w:numPr>
        <w:tabs>
          <w:tab w:pos="645" w:val="left" w:leader="none"/>
          <w:tab w:pos="646" w:val="left" w:leader="none"/>
        </w:tabs>
        <w:spacing w:line="273" w:lineRule="auto" w:before="36" w:after="0"/>
        <w:ind w:left="645" w:right="0" w:hanging="535"/>
        <w:jc w:val="left"/>
      </w:pPr>
      <w:r>
        <w:rPr>
          <w:spacing w:val="25"/>
        </w:rPr>
        <w:t>基本保险金额的变更</w:t>
      </w:r>
    </w:p>
    <w:p>
      <w:pPr>
        <w:pStyle w:val="BodyText"/>
        <w:spacing w:before="36"/>
        <w:ind w:left="110"/>
      </w:pPr>
      <w:r>
        <w:rPr/>
        <w:br w:type="column"/>
      </w:r>
      <w:r>
        <w:rPr/>
        <w:t>在本附加合同有效期间内，经我们同意，您可以变更基本保险金额。</w:t>
      </w:r>
    </w:p>
    <w:p>
      <w:pPr>
        <w:pStyle w:val="BodyText"/>
        <w:spacing w:before="8"/>
        <w:ind w:left="0"/>
        <w:rPr>
          <w:sz w:val="26"/>
        </w:rPr>
      </w:pPr>
    </w:p>
    <w:p>
      <w:pPr>
        <w:pStyle w:val="BodyText"/>
        <w:spacing w:before="1"/>
        <w:ind w:left="110"/>
      </w:pPr>
      <w:r>
        <w:rPr/>
        <w:t>一、基本保险金额的增加</w:t>
      </w:r>
    </w:p>
    <w:p>
      <w:pPr>
        <w:pStyle w:val="BodyText"/>
        <w:spacing w:line="273" w:lineRule="auto"/>
        <w:ind w:left="110" w:right="119"/>
      </w:pPr>
      <w:r>
        <w:rPr>
          <w:spacing w:val="-6"/>
        </w:rPr>
        <w:t>本附加合同生效满一年后，您可以向我们申请增加基本保险金额，但每个保单</w:t>
      </w:r>
      <w:r>
        <w:rPr>
          <w:spacing w:val="-14"/>
        </w:rPr>
        <w:t>年度最多只能申请一次。您在申请增加基本保险金额时，须同时满足下列条件：</w:t>
      </w:r>
    </w:p>
    <w:p>
      <w:pPr>
        <w:pStyle w:val="BodyText"/>
        <w:spacing w:before="7"/>
        <w:ind w:left="110"/>
      </w:pPr>
      <w:r>
        <w:rPr/>
        <w:t>（1）按本附加合同约定已交纳以前各期和当期应交保障成本；</w:t>
      </w:r>
    </w:p>
    <w:p>
      <w:pPr>
        <w:pStyle w:val="BodyText"/>
        <w:spacing w:before="36"/>
        <w:ind w:left="110"/>
      </w:pPr>
      <w:r>
        <w:rPr/>
        <w:t>（2）在被保险人60周岁对应的保单周年日前申请。</w:t>
      </w:r>
    </w:p>
    <w:p>
      <w:pPr>
        <w:pStyle w:val="BodyText"/>
        <w:spacing w:line="273" w:lineRule="auto" w:before="36"/>
        <w:ind w:left="110" w:right="225"/>
      </w:pPr>
      <w:r>
        <w:rPr/>
        <w:t>如果您和我们签订的保险合同中有附加豁免保险费保险合同且主合同保险费已豁免，将不受本条（1）的限制。</w:t>
      </w:r>
    </w:p>
    <w:p>
      <w:pPr>
        <w:pStyle w:val="BodyText"/>
        <w:spacing w:before="5"/>
        <w:ind w:left="0"/>
        <w:rPr>
          <w:sz w:val="24"/>
        </w:rPr>
      </w:pPr>
    </w:p>
    <w:p>
      <w:pPr>
        <w:pStyle w:val="BodyText"/>
        <w:spacing w:line="273" w:lineRule="auto" w:before="0"/>
        <w:ind w:left="110" w:right="224"/>
        <w:jc w:val="both"/>
      </w:pPr>
      <w:r>
        <w:rPr>
          <w:spacing w:val="-6"/>
        </w:rPr>
        <w:t>您申请增加基本保险金额时，须按我们的规定提供被保险人的健康声明书及其</w:t>
      </w:r>
      <w:r>
        <w:rPr>
          <w:spacing w:val="-7"/>
        </w:rPr>
        <w:t>他相关证明文件。经我们审核同意后，增加的基本保险金额从下一个结算日零</w:t>
      </w:r>
      <w:r>
        <w:rPr>
          <w:spacing w:val="-4"/>
        </w:rPr>
        <w:t>时起生效。</w:t>
      </w:r>
    </w:p>
    <w:p>
      <w:pPr>
        <w:spacing w:after="0" w:line="273" w:lineRule="auto"/>
        <w:jc w:val="both"/>
        <w:sectPr>
          <w:type w:val="continuous"/>
          <w:pgSz w:w="11910" w:h="16840"/>
          <w:pgMar w:top="540" w:bottom="280" w:left="1220" w:right="820"/>
          <w:cols w:num="2" w:equalWidth="0">
            <w:col w:w="2320" w:space="105"/>
            <w:col w:w="7445"/>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587"/>
        <w:gridCol w:w="7653"/>
      </w:tblGrid>
      <w:tr>
        <w:trPr>
          <w:trHeight w:val="1378" w:hRule="atLeast"/>
        </w:trPr>
        <w:tc>
          <w:tcPr>
            <w:tcW w:w="843" w:type="dxa"/>
          </w:tcPr>
          <w:p>
            <w:pPr>
              <w:pStyle w:val="TableParagraph"/>
              <w:rPr>
                <w:rFonts w:ascii="Times New Roman"/>
                <w:sz w:val="20"/>
              </w:rPr>
            </w:pPr>
          </w:p>
        </w:tc>
        <w:tc>
          <w:tcPr>
            <w:tcW w:w="1587" w:type="dxa"/>
          </w:tcPr>
          <w:p>
            <w:pPr>
              <w:pStyle w:val="TableParagraph"/>
              <w:rPr>
                <w:rFonts w:ascii="Times New Roman"/>
                <w:sz w:val="20"/>
              </w:rPr>
            </w:pPr>
          </w:p>
        </w:tc>
        <w:tc>
          <w:tcPr>
            <w:tcW w:w="7653" w:type="dxa"/>
          </w:tcPr>
          <w:p>
            <w:pPr>
              <w:pStyle w:val="TableParagraph"/>
              <w:spacing w:line="209" w:lineRule="exact"/>
              <w:ind w:left="412"/>
              <w:rPr>
                <w:sz w:val="21"/>
              </w:rPr>
            </w:pPr>
            <w:r>
              <w:rPr>
                <w:sz w:val="21"/>
              </w:rPr>
              <w:t>二、基本保险金额的减少</w:t>
            </w:r>
          </w:p>
          <w:p>
            <w:pPr>
              <w:pStyle w:val="TableParagraph"/>
              <w:spacing w:line="273" w:lineRule="auto" w:before="37"/>
              <w:ind w:left="412" w:right="133"/>
              <w:jc w:val="both"/>
              <w:rPr>
                <w:sz w:val="21"/>
              </w:rPr>
            </w:pPr>
            <w:r>
              <w:rPr>
                <w:spacing w:val="-6"/>
                <w:sz w:val="21"/>
              </w:rPr>
              <w:t>本附加合同生效一年后，您可以随时向我们申请减少基本保险金额，但每个保</w:t>
            </w:r>
            <w:r>
              <w:rPr>
                <w:spacing w:val="-7"/>
                <w:sz w:val="21"/>
              </w:rPr>
              <w:t>单年度最多只能申请一次，且减少后的基本保险金额须符合我们的规定。经我</w:t>
            </w:r>
            <w:r>
              <w:rPr>
                <w:spacing w:val="-5"/>
                <w:sz w:val="21"/>
              </w:rPr>
              <w:t>们同意后，减少的基本保险金额从下一个结算日零时起效力终止。</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7"/>
              <w:rPr>
                <w:sz w:val="18"/>
              </w:rPr>
            </w:pPr>
          </w:p>
          <w:p>
            <w:pPr>
              <w:pStyle w:val="TableParagraph"/>
              <w:spacing w:before="1"/>
              <w:ind w:left="110"/>
              <w:rPr>
                <w:b/>
                <w:sz w:val="24"/>
              </w:rPr>
            </w:pPr>
            <w:r>
              <w:rPr>
                <w:b/>
                <w:w w:val="95"/>
                <w:sz w:val="24"/>
              </w:rPr>
              <w:t>如何申请领取保险金</w:t>
            </w:r>
          </w:p>
        </w:tc>
      </w:tr>
      <w:tr>
        <w:trPr>
          <w:trHeight w:val="78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3.1</w:t>
            </w:r>
          </w:p>
        </w:tc>
        <w:tc>
          <w:tcPr>
            <w:tcW w:w="1587" w:type="dxa"/>
            <w:tcBorders>
              <w:top w:val="single" w:sz="8" w:space="0" w:color="000000"/>
            </w:tcBorders>
          </w:tcPr>
          <w:p>
            <w:pPr>
              <w:pStyle w:val="TableParagraph"/>
              <w:spacing w:before="11"/>
              <w:rPr>
                <w:sz w:val="22"/>
              </w:rPr>
            </w:pPr>
          </w:p>
          <w:p>
            <w:pPr>
              <w:pStyle w:val="TableParagraph"/>
              <w:ind w:left="110"/>
              <w:rPr>
                <w:b/>
                <w:sz w:val="21"/>
              </w:rPr>
            </w:pPr>
            <w:r>
              <w:rPr>
                <w:b/>
                <w:sz w:val="21"/>
              </w:rPr>
              <w:t>受益人</w:t>
            </w:r>
          </w:p>
        </w:tc>
        <w:tc>
          <w:tcPr>
            <w:tcW w:w="7653" w:type="dxa"/>
            <w:tcBorders>
              <w:top w:val="single" w:sz="8" w:space="0" w:color="000000"/>
            </w:tcBorders>
          </w:tcPr>
          <w:p>
            <w:pPr>
              <w:pStyle w:val="TableParagraph"/>
              <w:spacing w:before="11"/>
              <w:rPr>
                <w:sz w:val="22"/>
              </w:rPr>
            </w:pPr>
          </w:p>
          <w:p>
            <w:pPr>
              <w:pStyle w:val="TableParagraph"/>
              <w:ind w:left="439"/>
              <w:rPr>
                <w:sz w:val="21"/>
              </w:rPr>
            </w:pPr>
            <w:r>
              <w:rPr>
                <w:sz w:val="21"/>
              </w:rPr>
              <w:t>除另有约定外，本附加合同保险金的受益人为被保险人本人。</w:t>
            </w:r>
          </w:p>
        </w:tc>
      </w:tr>
      <w:tr>
        <w:trPr>
          <w:trHeight w:val="3120" w:hRule="atLeast"/>
        </w:trPr>
        <w:tc>
          <w:tcPr>
            <w:tcW w:w="843" w:type="dxa"/>
          </w:tcPr>
          <w:p>
            <w:pPr>
              <w:pStyle w:val="TableParagraph"/>
              <w:spacing w:before="140"/>
              <w:ind w:right="108"/>
              <w:jc w:val="right"/>
              <w:rPr>
                <w:b/>
                <w:sz w:val="21"/>
              </w:rPr>
            </w:pPr>
            <w:r>
              <w:rPr>
                <w:b/>
                <w:sz w:val="21"/>
              </w:rPr>
              <w:t>3.2</w:t>
            </w:r>
          </w:p>
        </w:tc>
        <w:tc>
          <w:tcPr>
            <w:tcW w:w="1587" w:type="dxa"/>
          </w:tcPr>
          <w:p>
            <w:pPr>
              <w:pStyle w:val="TableParagraph"/>
              <w:spacing w:before="140"/>
              <w:ind w:left="110"/>
              <w:rPr>
                <w:b/>
                <w:sz w:val="21"/>
              </w:rPr>
            </w:pPr>
            <w:r>
              <w:rPr>
                <w:b/>
                <w:sz w:val="21"/>
              </w:rPr>
              <w:t>保险金申请</w:t>
            </w:r>
          </w:p>
        </w:tc>
        <w:tc>
          <w:tcPr>
            <w:tcW w:w="7653" w:type="dxa"/>
          </w:tcPr>
          <w:p>
            <w:pPr>
              <w:pStyle w:val="TableParagraph"/>
              <w:spacing w:before="140"/>
              <w:ind w:left="439"/>
              <w:rPr>
                <w:sz w:val="21"/>
              </w:rPr>
            </w:pPr>
            <w:r>
              <w:rPr>
                <w:sz w:val="21"/>
              </w:rPr>
              <w:t>在申请保险金时，申请人须填写保险金给付申请书，并提供下列证明和资料：</w:t>
            </w:r>
          </w:p>
          <w:p>
            <w:pPr>
              <w:pStyle w:val="TableParagraph"/>
              <w:spacing w:before="37"/>
              <w:ind w:left="439"/>
              <w:rPr>
                <w:sz w:val="21"/>
              </w:rPr>
            </w:pPr>
            <w:r>
              <w:rPr>
                <w:sz w:val="21"/>
              </w:rPr>
              <w:t>（1）保险合同；</w:t>
            </w:r>
          </w:p>
          <w:p>
            <w:pPr>
              <w:pStyle w:val="TableParagraph"/>
              <w:spacing w:before="38"/>
              <w:ind w:left="439"/>
              <w:rPr>
                <w:sz w:val="21"/>
              </w:rPr>
            </w:pPr>
            <w:r>
              <w:rPr>
                <w:sz w:val="21"/>
              </w:rPr>
              <w:t>（2）申请人的有效身份证件；</w:t>
            </w:r>
          </w:p>
          <w:p>
            <w:pPr>
              <w:pStyle w:val="TableParagraph"/>
              <w:spacing w:line="273" w:lineRule="auto" w:before="37"/>
              <w:ind w:left="943" w:right="171" w:hanging="504"/>
              <w:rPr>
                <w:sz w:val="21"/>
              </w:rPr>
            </w:pPr>
            <w:r>
              <w:rPr>
                <w:sz w:val="21"/>
              </w:rPr>
              <w:t>（3）医院出具的附有病理显微镜检查、血液检验及其他科学方法检验报告的疾病诊断证明书；</w:t>
            </w:r>
          </w:p>
          <w:p>
            <w:pPr>
              <w:pStyle w:val="TableParagraph"/>
              <w:spacing w:before="7"/>
              <w:ind w:left="455"/>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439" w:right="104"/>
              <w:rPr>
                <w:sz w:val="21"/>
              </w:rPr>
            </w:pPr>
            <w:r>
              <w:rPr>
                <w:spacing w:val="-6"/>
                <w:sz w:val="21"/>
              </w:rPr>
              <w:t>以上证明和资料不完整的，我们将及时一次性通知申请人补充提供有关证明和资料。</w:t>
            </w:r>
          </w:p>
        </w:tc>
      </w:tr>
      <w:tr>
        <w:trPr>
          <w:trHeight w:val="5305" w:hRule="atLeast"/>
        </w:trPr>
        <w:tc>
          <w:tcPr>
            <w:tcW w:w="843" w:type="dxa"/>
          </w:tcPr>
          <w:p>
            <w:pPr>
              <w:pStyle w:val="TableParagraph"/>
              <w:spacing w:before="140"/>
              <w:ind w:right="108"/>
              <w:jc w:val="right"/>
              <w:rPr>
                <w:b/>
                <w:sz w:val="21"/>
              </w:rPr>
            </w:pPr>
            <w:r>
              <w:rPr>
                <w:b/>
                <w:sz w:val="21"/>
              </w:rPr>
              <w:t>3.3</w:t>
            </w:r>
          </w:p>
        </w:tc>
        <w:tc>
          <w:tcPr>
            <w:tcW w:w="1587" w:type="dxa"/>
          </w:tcPr>
          <w:p>
            <w:pPr>
              <w:pStyle w:val="TableParagraph"/>
              <w:spacing w:before="140"/>
              <w:ind w:left="110"/>
              <w:rPr>
                <w:b/>
                <w:sz w:val="21"/>
              </w:rPr>
            </w:pPr>
            <w:r>
              <w:rPr>
                <w:b/>
                <w:sz w:val="21"/>
              </w:rPr>
              <w:t>保险金给付</w:t>
            </w:r>
          </w:p>
        </w:tc>
        <w:tc>
          <w:tcPr>
            <w:tcW w:w="7653" w:type="dxa"/>
          </w:tcPr>
          <w:p>
            <w:pPr>
              <w:pStyle w:val="TableParagraph"/>
              <w:spacing w:before="140"/>
              <w:ind w:left="439"/>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439" w:right="172"/>
              <w:jc w:val="both"/>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6"/>
              <w:rPr>
                <w:sz w:val="24"/>
              </w:rPr>
            </w:pPr>
          </w:p>
          <w:p>
            <w:pPr>
              <w:pStyle w:val="TableParagraph"/>
              <w:spacing w:line="273" w:lineRule="auto"/>
              <w:ind w:left="439" w:right="171"/>
              <w:jc w:val="both"/>
              <w:rPr>
                <w:sz w:val="21"/>
              </w:rPr>
            </w:pPr>
            <w:r>
              <w:rPr>
                <w:spacing w:val="-5"/>
                <w:sz w:val="21"/>
              </w:rPr>
              <w:t>对属于保险责任的，在与受益人达成给付保险金的协议后 </w:t>
            </w:r>
            <w:r>
              <w:rPr>
                <w:sz w:val="21"/>
              </w:rPr>
              <w:t>10</w:t>
            </w:r>
            <w:r>
              <w:rPr>
                <w:spacing w:val="-8"/>
                <w:sz w:val="21"/>
              </w:rPr>
              <w:t> 日内，履行给付</w:t>
            </w:r>
            <w:r>
              <w:rPr>
                <w:spacing w:val="-5"/>
                <w:sz w:val="21"/>
              </w:rPr>
              <w:t>保险金义务。</w:t>
            </w:r>
          </w:p>
          <w:p>
            <w:pPr>
              <w:pStyle w:val="TableParagraph"/>
              <w:spacing w:before="5"/>
              <w:rPr>
                <w:sz w:val="24"/>
              </w:rPr>
            </w:pPr>
          </w:p>
          <w:p>
            <w:pPr>
              <w:pStyle w:val="TableParagraph"/>
              <w:spacing w:line="273" w:lineRule="auto"/>
              <w:ind w:left="439" w:right="104"/>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439" w:right="104"/>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5"/>
              <w:rPr>
                <w:sz w:val="24"/>
              </w:rPr>
            </w:pPr>
          </w:p>
          <w:p>
            <w:pPr>
              <w:pStyle w:val="TableParagraph"/>
              <w:spacing w:line="273" w:lineRule="auto"/>
              <w:ind w:left="419" w:right="104"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960" w:hRule="atLeast"/>
        </w:trPr>
        <w:tc>
          <w:tcPr>
            <w:tcW w:w="843" w:type="dxa"/>
          </w:tcPr>
          <w:p>
            <w:pPr>
              <w:pStyle w:val="TableParagraph"/>
              <w:spacing w:before="140"/>
              <w:ind w:right="108"/>
              <w:jc w:val="right"/>
              <w:rPr>
                <w:b/>
                <w:sz w:val="21"/>
              </w:rPr>
            </w:pPr>
            <w:r>
              <w:rPr>
                <w:b/>
                <w:sz w:val="21"/>
              </w:rPr>
              <w:t>3.4</w:t>
            </w:r>
          </w:p>
        </w:tc>
        <w:tc>
          <w:tcPr>
            <w:tcW w:w="1587" w:type="dxa"/>
          </w:tcPr>
          <w:p>
            <w:pPr>
              <w:pStyle w:val="TableParagraph"/>
              <w:spacing w:before="140"/>
              <w:ind w:left="110"/>
              <w:rPr>
                <w:b/>
                <w:sz w:val="21"/>
              </w:rPr>
            </w:pPr>
            <w:r>
              <w:rPr>
                <w:b/>
                <w:sz w:val="21"/>
              </w:rPr>
              <w:t>诉讼时效</w:t>
            </w:r>
          </w:p>
        </w:tc>
        <w:tc>
          <w:tcPr>
            <w:tcW w:w="7653" w:type="dxa"/>
          </w:tcPr>
          <w:p>
            <w:pPr>
              <w:pStyle w:val="TableParagraph"/>
              <w:spacing w:line="273" w:lineRule="auto" w:before="140"/>
              <w:ind w:left="439" w:right="104"/>
              <w:rPr>
                <w:sz w:val="21"/>
              </w:rPr>
            </w:pPr>
            <w:r>
              <w:rPr>
                <w:spacing w:val="-5"/>
                <w:sz w:val="21"/>
              </w:rPr>
              <w:t>受益人向我们请求给付保险金的诉讼时效期间为 </w:t>
            </w:r>
            <w:r>
              <w:rPr>
                <w:sz w:val="21"/>
              </w:rPr>
              <w:t>2</w:t>
            </w:r>
            <w:r>
              <w:rPr>
                <w:spacing w:val="-11"/>
                <w:sz w:val="21"/>
              </w:rPr>
              <w:t> 年，自其知道或者应当知道</w:t>
            </w:r>
            <w:r>
              <w:rPr>
                <w:spacing w:val="-6"/>
                <w:sz w:val="21"/>
              </w:rPr>
              <w:t>保险事故发生之日起计算。</w:t>
            </w:r>
          </w:p>
        </w:tc>
      </w:tr>
      <w:tr>
        <w:trPr>
          <w:trHeight w:val="753" w:hRule="atLeast"/>
        </w:trPr>
        <w:tc>
          <w:tcPr>
            <w:tcW w:w="843"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9240" w:type="dxa"/>
            <w:gridSpan w:val="2"/>
            <w:tcBorders>
              <w:bottom w:val="single" w:sz="8" w:space="0" w:color="000000"/>
            </w:tcBorders>
          </w:tcPr>
          <w:p>
            <w:pPr>
              <w:pStyle w:val="TableParagraph"/>
              <w:spacing w:before="7"/>
              <w:rPr>
                <w:sz w:val="18"/>
              </w:rPr>
            </w:pPr>
          </w:p>
          <w:p>
            <w:pPr>
              <w:pStyle w:val="TableParagraph"/>
              <w:spacing w:before="1"/>
              <w:ind w:left="110"/>
              <w:rPr>
                <w:b/>
                <w:sz w:val="24"/>
              </w:rPr>
            </w:pPr>
            <w:r>
              <w:rPr>
                <w:b/>
                <w:w w:val="95"/>
                <w:sz w:val="24"/>
              </w:rPr>
              <w:t>如何支付保障成本</w:t>
            </w:r>
          </w:p>
        </w:tc>
      </w:tr>
      <w:tr>
        <w:trPr>
          <w:trHeight w:val="886" w:hRule="atLeast"/>
        </w:trPr>
        <w:tc>
          <w:tcPr>
            <w:tcW w:w="843" w:type="dxa"/>
            <w:tcBorders>
              <w:top w:val="single" w:sz="8" w:space="0" w:color="000000"/>
            </w:tcBorders>
          </w:tcPr>
          <w:p>
            <w:pPr>
              <w:pStyle w:val="TableParagraph"/>
              <w:spacing w:before="8"/>
              <w:rPr>
                <w:sz w:val="22"/>
              </w:rPr>
            </w:pPr>
          </w:p>
          <w:p>
            <w:pPr>
              <w:pStyle w:val="TableParagraph"/>
              <w:spacing w:before="1"/>
              <w:ind w:right="108"/>
              <w:jc w:val="right"/>
              <w:rPr>
                <w:b/>
                <w:sz w:val="21"/>
              </w:rPr>
            </w:pPr>
            <w:r>
              <w:rPr>
                <w:b/>
                <w:sz w:val="21"/>
              </w:rPr>
              <w:t>4.1</w:t>
            </w:r>
          </w:p>
        </w:tc>
        <w:tc>
          <w:tcPr>
            <w:tcW w:w="1587" w:type="dxa"/>
            <w:tcBorders>
              <w:top w:val="single" w:sz="8" w:space="0" w:color="000000"/>
            </w:tcBorders>
          </w:tcPr>
          <w:p>
            <w:pPr>
              <w:pStyle w:val="TableParagraph"/>
              <w:spacing w:before="8"/>
              <w:rPr>
                <w:sz w:val="22"/>
              </w:rPr>
            </w:pPr>
          </w:p>
          <w:p>
            <w:pPr>
              <w:pStyle w:val="TableParagraph"/>
              <w:spacing w:before="1"/>
              <w:ind w:left="110"/>
              <w:rPr>
                <w:b/>
                <w:sz w:val="21"/>
              </w:rPr>
            </w:pPr>
            <w:r>
              <w:rPr>
                <w:b/>
                <w:sz w:val="21"/>
              </w:rPr>
              <w:t>保障成本</w:t>
            </w:r>
          </w:p>
        </w:tc>
        <w:tc>
          <w:tcPr>
            <w:tcW w:w="7653" w:type="dxa"/>
            <w:tcBorders>
              <w:top w:val="single" w:sz="8" w:space="0" w:color="000000"/>
            </w:tcBorders>
          </w:tcPr>
          <w:p>
            <w:pPr>
              <w:pStyle w:val="TableParagraph"/>
              <w:spacing w:before="12"/>
              <w:rPr>
                <w:sz w:val="19"/>
              </w:rPr>
            </w:pPr>
          </w:p>
          <w:p>
            <w:pPr>
              <w:pStyle w:val="TableParagraph"/>
              <w:spacing w:line="310" w:lineRule="atLeast" w:before="1"/>
              <w:ind w:left="439" w:right="56"/>
              <w:rPr>
                <w:sz w:val="21"/>
              </w:rPr>
            </w:pPr>
            <w:r>
              <w:rPr>
                <w:sz w:val="21"/>
              </w:rPr>
              <w:t>我们对本附加合同承担的保险责任收取相应的保障成本。本附加合同的保障成本必须与主合同的风险保险费一起从主合同的保单账户中扣除。在本附加合同</w:t>
            </w:r>
          </w:p>
        </w:tc>
      </w:tr>
    </w:tbl>
    <w:p>
      <w:pPr>
        <w:spacing w:after="0" w:line="310" w:lineRule="atLeast"/>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912"/>
        <w:gridCol w:w="7327"/>
      </w:tblGrid>
      <w:tr>
        <w:trPr>
          <w:trHeight w:val="2002" w:hRule="atLeast"/>
        </w:trPr>
        <w:tc>
          <w:tcPr>
            <w:tcW w:w="844" w:type="dxa"/>
          </w:tcPr>
          <w:p>
            <w:pPr>
              <w:pStyle w:val="TableParagraph"/>
              <w:rPr>
                <w:rFonts w:ascii="Times New Roman"/>
                <w:sz w:val="20"/>
              </w:rPr>
            </w:pPr>
          </w:p>
        </w:tc>
        <w:tc>
          <w:tcPr>
            <w:tcW w:w="1912" w:type="dxa"/>
          </w:tcPr>
          <w:p>
            <w:pPr>
              <w:pStyle w:val="TableParagraph"/>
              <w:rPr>
                <w:rFonts w:ascii="Times New Roman"/>
                <w:sz w:val="20"/>
              </w:rPr>
            </w:pPr>
          </w:p>
        </w:tc>
        <w:tc>
          <w:tcPr>
            <w:tcW w:w="7327" w:type="dxa"/>
          </w:tcPr>
          <w:p>
            <w:pPr>
              <w:pStyle w:val="TableParagraph"/>
              <w:spacing w:line="211" w:lineRule="exact"/>
              <w:ind w:left="113"/>
              <w:rPr>
                <w:sz w:val="21"/>
              </w:rPr>
            </w:pPr>
            <w:r>
              <w:rPr>
                <w:sz w:val="21"/>
              </w:rPr>
              <w:t>生效时，我们在本附加合同生效日按照生效日至生效日后首个结算日前一日的</w:t>
            </w:r>
          </w:p>
          <w:p>
            <w:pPr>
              <w:pStyle w:val="TableParagraph"/>
              <w:spacing w:line="273" w:lineRule="auto" w:before="37"/>
              <w:ind w:left="113" w:right="68"/>
              <w:jc w:val="both"/>
              <w:rPr>
                <w:sz w:val="21"/>
              </w:rPr>
            </w:pPr>
            <w:r>
              <w:rPr>
                <w:spacing w:val="-5"/>
                <w:sz w:val="21"/>
              </w:rPr>
              <w:t>实际日数收取本附加合同的保障成本；其余月度的保障成本我们在每月结算日</w:t>
            </w:r>
            <w:r>
              <w:rPr>
                <w:spacing w:val="-8"/>
                <w:sz w:val="21"/>
              </w:rPr>
              <w:t>零时，按照当月的实际天数收取。保障成本根据被保险人的年龄、性别、基本</w:t>
            </w:r>
            <w:r>
              <w:rPr>
                <w:spacing w:val="-6"/>
                <w:sz w:val="21"/>
              </w:rPr>
              <w:t>保险金额及风险程度计算。每日的保障成本为年保障成本的 </w:t>
            </w:r>
            <w:r>
              <w:rPr>
                <w:sz w:val="21"/>
              </w:rPr>
              <w:t>1/365</w:t>
            </w:r>
            <w:r>
              <w:rPr>
                <w:spacing w:val="-3"/>
                <w:sz w:val="21"/>
              </w:rPr>
              <w:t>。标准体每千元基本保险金额应收取的年保障成本参见附表。我们每月收取保障成本后， 主合同保单账户价值按收取的保障成本等额减少。</w:t>
            </w:r>
          </w:p>
        </w:tc>
      </w:tr>
      <w:tr>
        <w:trPr>
          <w:trHeight w:val="753" w:hRule="atLeast"/>
        </w:trPr>
        <w:tc>
          <w:tcPr>
            <w:tcW w:w="844" w:type="dxa"/>
            <w:tcBorders>
              <w:bottom w:val="single" w:sz="4"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4" w:space="0" w:color="000000"/>
            </w:tcBorders>
          </w:tcPr>
          <w:p>
            <w:pPr>
              <w:pStyle w:val="TableParagraph"/>
              <w:spacing w:before="10"/>
              <w:rPr>
                <w:sz w:val="18"/>
              </w:rPr>
            </w:pPr>
          </w:p>
          <w:p>
            <w:pPr>
              <w:pStyle w:val="TableParagraph"/>
              <w:ind w:left="109"/>
              <w:rPr>
                <w:b/>
                <w:sz w:val="24"/>
              </w:rPr>
            </w:pPr>
            <w:r>
              <w:rPr>
                <w:b/>
                <w:w w:val="95"/>
                <w:sz w:val="24"/>
              </w:rPr>
              <w:t>合同效力的中止和恢复</w:t>
            </w:r>
          </w:p>
        </w:tc>
      </w:tr>
      <w:tr>
        <w:trPr>
          <w:trHeight w:val="2967" w:hRule="atLeast"/>
        </w:trPr>
        <w:tc>
          <w:tcPr>
            <w:tcW w:w="844" w:type="dxa"/>
            <w:tcBorders>
              <w:top w:val="single" w:sz="4" w:space="0" w:color="000000"/>
            </w:tcBorders>
          </w:tcPr>
          <w:p>
            <w:pPr>
              <w:pStyle w:val="TableParagraph"/>
              <w:rPr>
                <w:sz w:val="23"/>
              </w:rPr>
            </w:pPr>
          </w:p>
          <w:p>
            <w:pPr>
              <w:pStyle w:val="TableParagraph"/>
              <w:ind w:right="107"/>
              <w:jc w:val="right"/>
              <w:rPr>
                <w:b/>
                <w:sz w:val="21"/>
              </w:rPr>
            </w:pPr>
            <w:r>
              <w:rPr>
                <w:b/>
                <w:sz w:val="21"/>
              </w:rPr>
              <w:t>5.1</w:t>
            </w:r>
          </w:p>
        </w:tc>
        <w:tc>
          <w:tcPr>
            <w:tcW w:w="1912" w:type="dxa"/>
            <w:tcBorders>
              <w:top w:val="single" w:sz="4" w:space="0" w:color="000000"/>
            </w:tcBorders>
          </w:tcPr>
          <w:p>
            <w:pPr>
              <w:pStyle w:val="TableParagraph"/>
              <w:rPr>
                <w:sz w:val="23"/>
              </w:rPr>
            </w:pPr>
          </w:p>
          <w:p>
            <w:pPr>
              <w:pStyle w:val="TableParagraph"/>
              <w:ind w:left="109"/>
              <w:rPr>
                <w:b/>
                <w:sz w:val="21"/>
              </w:rPr>
            </w:pPr>
            <w:r>
              <w:rPr>
                <w:b/>
                <w:sz w:val="21"/>
              </w:rPr>
              <w:t>宽限期</w:t>
            </w:r>
          </w:p>
        </w:tc>
        <w:tc>
          <w:tcPr>
            <w:tcW w:w="7327" w:type="dxa"/>
            <w:tcBorders>
              <w:top w:val="single" w:sz="4" w:space="0" w:color="000000"/>
            </w:tcBorders>
          </w:tcPr>
          <w:p>
            <w:pPr>
              <w:pStyle w:val="TableParagraph"/>
              <w:rPr>
                <w:sz w:val="23"/>
              </w:rPr>
            </w:pPr>
          </w:p>
          <w:p>
            <w:pPr>
              <w:pStyle w:val="TableParagraph"/>
              <w:ind w:left="113"/>
              <w:rPr>
                <w:sz w:val="21"/>
              </w:rPr>
            </w:pPr>
            <w:r>
              <w:rPr>
                <w:sz w:val="21"/>
              </w:rPr>
              <w:t>投保了本附加合同后，主合同及本附加合同的宽限期按照以下约定确定：</w:t>
            </w:r>
          </w:p>
          <w:p>
            <w:pPr>
              <w:pStyle w:val="TableParagraph"/>
              <w:spacing w:line="273" w:lineRule="auto" w:before="36"/>
              <w:ind w:left="113" w:right="104"/>
              <w:jc w:val="both"/>
              <w:rPr>
                <w:sz w:val="21"/>
              </w:rPr>
            </w:pPr>
            <w:r>
              <w:rPr>
                <w:spacing w:val="-7"/>
                <w:sz w:val="21"/>
              </w:rPr>
              <w:t>在主合同保险期间内，在结算日零时如果主合同的保单账户价值不足以同时支</w:t>
            </w:r>
            <w:r>
              <w:rPr>
                <w:spacing w:val="-8"/>
                <w:sz w:val="21"/>
              </w:rPr>
              <w:t>付主合同及其附加合同的保障成本，则自该结算日的次日零时起 </w:t>
            </w:r>
            <w:r>
              <w:rPr>
                <w:sz w:val="21"/>
              </w:rPr>
              <w:t>60 日为主合</w:t>
            </w:r>
            <w:r>
              <w:rPr>
                <w:spacing w:val="-3"/>
                <w:sz w:val="21"/>
              </w:rPr>
              <w:t>同及本附加合同的宽限期。</w:t>
            </w:r>
          </w:p>
          <w:p>
            <w:pPr>
              <w:pStyle w:val="TableParagraph"/>
              <w:spacing w:before="5"/>
              <w:rPr>
                <w:sz w:val="24"/>
              </w:rPr>
            </w:pPr>
          </w:p>
          <w:p>
            <w:pPr>
              <w:pStyle w:val="TableParagraph"/>
              <w:spacing w:line="273" w:lineRule="auto"/>
              <w:ind w:left="113" w:right="104"/>
              <w:jc w:val="both"/>
              <w:rPr>
                <w:sz w:val="21"/>
              </w:rPr>
            </w:pPr>
            <w:r>
              <w:rPr>
                <w:spacing w:val="-6"/>
                <w:sz w:val="21"/>
              </w:rPr>
              <w:t>宽限期内发生的保险事故，我们仍会承担保险责任，但您应补交欠交的保障成</w:t>
            </w:r>
            <w:r>
              <w:rPr>
                <w:spacing w:val="-7"/>
                <w:sz w:val="21"/>
              </w:rPr>
              <w:t>本。如果您宽限期结束之后仍未支付主合同保险费，则本附加合同自宽限期满</w:t>
            </w:r>
            <w:r>
              <w:rPr>
                <w:spacing w:val="-5"/>
                <w:sz w:val="21"/>
              </w:rPr>
              <w:t>的次日零时起效力中止。</w:t>
            </w:r>
          </w:p>
        </w:tc>
      </w:tr>
      <w:tr>
        <w:trPr>
          <w:trHeight w:val="1250" w:hRule="atLeast"/>
        </w:trPr>
        <w:tc>
          <w:tcPr>
            <w:tcW w:w="844" w:type="dxa"/>
          </w:tcPr>
          <w:p>
            <w:pPr>
              <w:pStyle w:val="TableParagraph"/>
              <w:spacing w:before="142"/>
              <w:ind w:right="107"/>
              <w:jc w:val="right"/>
              <w:rPr>
                <w:b/>
                <w:sz w:val="21"/>
              </w:rPr>
            </w:pPr>
            <w:r>
              <w:rPr>
                <w:b/>
                <w:sz w:val="21"/>
              </w:rPr>
              <w:t>5.2</w:t>
            </w:r>
          </w:p>
        </w:tc>
        <w:tc>
          <w:tcPr>
            <w:tcW w:w="1912" w:type="dxa"/>
          </w:tcPr>
          <w:p>
            <w:pPr>
              <w:pStyle w:val="TableParagraph"/>
              <w:spacing w:before="142"/>
              <w:ind w:left="109"/>
              <w:rPr>
                <w:b/>
                <w:sz w:val="21"/>
              </w:rPr>
            </w:pPr>
            <w:r>
              <w:rPr>
                <w:b/>
                <w:sz w:val="21"/>
              </w:rPr>
              <w:t>效力中止</w:t>
            </w:r>
          </w:p>
        </w:tc>
        <w:tc>
          <w:tcPr>
            <w:tcW w:w="7327" w:type="dxa"/>
          </w:tcPr>
          <w:p>
            <w:pPr>
              <w:pStyle w:val="TableParagraph"/>
              <w:spacing w:before="142"/>
              <w:ind w:left="113"/>
              <w:rPr>
                <w:sz w:val="21"/>
              </w:rPr>
            </w:pPr>
            <w:r>
              <w:rPr>
                <w:sz w:val="21"/>
              </w:rPr>
              <w:t>在主合同效力中止时，本附加合同效力中止。</w:t>
            </w:r>
          </w:p>
          <w:p>
            <w:pPr>
              <w:pStyle w:val="TableParagraph"/>
              <w:spacing w:before="8"/>
              <w:rPr>
                <w:sz w:val="26"/>
              </w:rPr>
            </w:pPr>
          </w:p>
          <w:p>
            <w:pPr>
              <w:pStyle w:val="TableParagraph"/>
              <w:ind w:left="113"/>
              <w:rPr>
                <w:sz w:val="21"/>
              </w:rPr>
            </w:pPr>
            <w:r>
              <w:rPr>
                <w:sz w:val="21"/>
              </w:rPr>
              <w:t>在本附加合同效力中止期间，我们不承担保险责任。</w:t>
            </w:r>
          </w:p>
        </w:tc>
      </w:tr>
      <w:tr>
        <w:trPr>
          <w:trHeight w:val="2523" w:hRule="atLeast"/>
        </w:trPr>
        <w:tc>
          <w:tcPr>
            <w:tcW w:w="844" w:type="dxa"/>
          </w:tcPr>
          <w:p>
            <w:pPr>
              <w:pStyle w:val="TableParagraph"/>
              <w:spacing w:before="145"/>
              <w:ind w:right="107"/>
              <w:jc w:val="right"/>
              <w:rPr>
                <w:b/>
                <w:sz w:val="21"/>
              </w:rPr>
            </w:pPr>
            <w:r>
              <w:rPr>
                <w:b/>
                <w:sz w:val="21"/>
              </w:rPr>
              <w:t>5.3</w:t>
            </w:r>
          </w:p>
        </w:tc>
        <w:tc>
          <w:tcPr>
            <w:tcW w:w="1912" w:type="dxa"/>
          </w:tcPr>
          <w:p>
            <w:pPr>
              <w:pStyle w:val="TableParagraph"/>
              <w:spacing w:before="145"/>
              <w:ind w:left="109"/>
              <w:rPr>
                <w:b/>
                <w:sz w:val="21"/>
              </w:rPr>
            </w:pPr>
            <w:r>
              <w:rPr>
                <w:b/>
                <w:sz w:val="21"/>
              </w:rPr>
              <w:t>效力恢复</w:t>
            </w:r>
          </w:p>
        </w:tc>
        <w:tc>
          <w:tcPr>
            <w:tcW w:w="7327" w:type="dxa"/>
          </w:tcPr>
          <w:p>
            <w:pPr>
              <w:pStyle w:val="TableParagraph"/>
              <w:spacing w:line="273" w:lineRule="auto" w:before="145"/>
              <w:ind w:left="113" w:right="104"/>
              <w:rPr>
                <w:sz w:val="21"/>
              </w:rPr>
            </w:pPr>
            <w:r>
              <w:rPr>
                <w:spacing w:val="-6"/>
                <w:sz w:val="21"/>
              </w:rPr>
              <w:t>本附加合同效力中止后 </w:t>
            </w:r>
            <w:r>
              <w:rPr>
                <w:sz w:val="21"/>
              </w:rPr>
              <w:t>2</w:t>
            </w:r>
            <w:r>
              <w:rPr>
                <w:spacing w:val="-10"/>
                <w:sz w:val="21"/>
              </w:rPr>
              <w:t> 年内，您可以申请恢复合同效力。经您与我们协商并</w:t>
            </w:r>
            <w:r>
              <w:rPr>
                <w:spacing w:val="-5"/>
                <w:sz w:val="21"/>
              </w:rPr>
              <w:t>达成协议，在您补交主合同保险费之日起，合同效力恢复。</w:t>
            </w:r>
          </w:p>
          <w:p>
            <w:pPr>
              <w:pStyle w:val="TableParagraph"/>
              <w:spacing w:before="5"/>
              <w:rPr>
                <w:sz w:val="24"/>
              </w:rPr>
            </w:pPr>
          </w:p>
          <w:p>
            <w:pPr>
              <w:pStyle w:val="TableParagraph"/>
              <w:spacing w:line="273" w:lineRule="auto"/>
              <w:ind w:left="113" w:right="104"/>
              <w:rPr>
                <w:sz w:val="21"/>
              </w:rPr>
            </w:pPr>
            <w:r>
              <w:rPr>
                <w:spacing w:val="-6"/>
                <w:sz w:val="21"/>
              </w:rPr>
              <w:t>自本附加合同效力中止之日起满 </w:t>
            </w:r>
            <w:r>
              <w:rPr>
                <w:sz w:val="21"/>
              </w:rPr>
              <w:t>2</w:t>
            </w:r>
            <w:r>
              <w:rPr>
                <w:spacing w:val="-11"/>
                <w:sz w:val="21"/>
              </w:rPr>
              <w:t> 年您和我们未达成协议的，我们有权解除合同。</w:t>
            </w:r>
          </w:p>
          <w:p>
            <w:pPr>
              <w:pStyle w:val="TableParagraph"/>
              <w:spacing w:before="5"/>
              <w:rPr>
                <w:sz w:val="24"/>
              </w:rPr>
            </w:pPr>
          </w:p>
          <w:p>
            <w:pPr>
              <w:pStyle w:val="TableParagraph"/>
              <w:ind w:left="113"/>
              <w:rPr>
                <w:sz w:val="21"/>
              </w:rPr>
            </w:pPr>
            <w:r>
              <w:rPr>
                <w:sz w:val="21"/>
              </w:rPr>
              <w:t>主合同效力中止期间，本附加合同不得单独申请复效。</w:t>
            </w:r>
          </w:p>
        </w:tc>
      </w:tr>
      <w:tr>
        <w:trPr>
          <w:trHeight w:val="753" w:hRule="atLeast"/>
        </w:trPr>
        <w:tc>
          <w:tcPr>
            <w:tcW w:w="844"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09"/>
              <w:rPr>
                <w:b/>
                <w:sz w:val="24"/>
              </w:rPr>
            </w:pPr>
            <w:r>
              <w:rPr>
                <w:b/>
                <w:w w:val="95"/>
                <w:sz w:val="24"/>
              </w:rPr>
              <w:t>如何解除保险合同</w:t>
            </w:r>
          </w:p>
        </w:tc>
      </w:tr>
      <w:tr>
        <w:trPr>
          <w:trHeight w:val="3382" w:hRule="atLeast"/>
        </w:trPr>
        <w:tc>
          <w:tcPr>
            <w:tcW w:w="844" w:type="dxa"/>
            <w:tcBorders>
              <w:top w:val="single" w:sz="8" w:space="0" w:color="000000"/>
            </w:tcBorders>
          </w:tcPr>
          <w:p>
            <w:pPr>
              <w:pStyle w:val="TableParagraph"/>
              <w:spacing w:before="11"/>
              <w:rPr>
                <w:sz w:val="22"/>
              </w:rPr>
            </w:pPr>
          </w:p>
          <w:p>
            <w:pPr>
              <w:pStyle w:val="TableParagraph"/>
              <w:ind w:right="109"/>
              <w:jc w:val="right"/>
              <w:rPr>
                <w:b/>
                <w:sz w:val="21"/>
              </w:rPr>
            </w:pPr>
            <w:r>
              <w:rPr>
                <w:b/>
                <w:sz w:val="21"/>
              </w:rPr>
              <w:t>6.1</w:t>
            </w:r>
          </w:p>
        </w:tc>
        <w:tc>
          <w:tcPr>
            <w:tcW w:w="1912" w:type="dxa"/>
            <w:tcBorders>
              <w:top w:val="single" w:sz="8" w:space="0" w:color="000000"/>
            </w:tcBorders>
          </w:tcPr>
          <w:p>
            <w:pPr>
              <w:pStyle w:val="TableParagraph"/>
              <w:spacing w:before="11"/>
              <w:rPr>
                <w:sz w:val="22"/>
              </w:rPr>
            </w:pPr>
          </w:p>
          <w:p>
            <w:pPr>
              <w:pStyle w:val="TableParagraph"/>
              <w:spacing w:line="273" w:lineRule="auto"/>
              <w:ind w:left="109" w:right="111"/>
              <w:rPr>
                <w:b/>
                <w:sz w:val="21"/>
              </w:rPr>
            </w:pPr>
            <w:r>
              <w:rPr>
                <w:b/>
                <w:sz w:val="21"/>
              </w:rPr>
              <w:t>您解除合同的手续及风险</w:t>
            </w:r>
          </w:p>
        </w:tc>
        <w:tc>
          <w:tcPr>
            <w:tcW w:w="7327" w:type="dxa"/>
            <w:tcBorders>
              <w:top w:val="single" w:sz="8" w:space="0" w:color="000000"/>
            </w:tcBorders>
          </w:tcPr>
          <w:p>
            <w:pPr>
              <w:pStyle w:val="TableParagraph"/>
              <w:spacing w:before="11"/>
              <w:rPr>
                <w:sz w:val="22"/>
              </w:rPr>
            </w:pPr>
          </w:p>
          <w:p>
            <w:pPr>
              <w:pStyle w:val="TableParagraph"/>
              <w:spacing w:line="273" w:lineRule="auto"/>
              <w:ind w:left="113" w:right="55"/>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6"/>
              <w:ind w:left="113"/>
              <w:rPr>
                <w:sz w:val="21"/>
              </w:rPr>
            </w:pPr>
            <w:r>
              <w:rPr>
                <w:sz w:val="21"/>
              </w:rPr>
              <w:t>（2）您的有效身份证件。</w:t>
            </w:r>
          </w:p>
          <w:p>
            <w:pPr>
              <w:pStyle w:val="TableParagraph"/>
              <w:spacing w:before="8"/>
              <w:rPr>
                <w:sz w:val="26"/>
              </w:rPr>
            </w:pPr>
          </w:p>
          <w:p>
            <w:pPr>
              <w:pStyle w:val="TableParagraph"/>
              <w:spacing w:line="273" w:lineRule="auto"/>
              <w:ind w:left="113" w:right="104"/>
              <w:jc w:val="both"/>
              <w:rPr>
                <w:sz w:val="21"/>
              </w:rPr>
            </w:pPr>
            <w:r>
              <w:rPr>
                <w:spacing w:val="-6"/>
                <w:sz w:val="21"/>
              </w:rPr>
              <w:t>自我们收到解除合同申请书时起，本附加合同终止。我们将已收取的本附加合同终止日之后的保障成本无息退还至主合同保单账户，主合同保单账户价值按</w:t>
            </w:r>
            <w:r>
              <w:rPr>
                <w:spacing w:val="-4"/>
                <w:sz w:val="21"/>
              </w:rPr>
              <w:t>退还的金额等额增加。</w:t>
            </w:r>
          </w:p>
          <w:p>
            <w:pPr>
              <w:pStyle w:val="TableParagraph"/>
              <w:spacing w:before="5"/>
              <w:rPr>
                <w:sz w:val="24"/>
              </w:rPr>
            </w:pPr>
          </w:p>
          <w:p>
            <w:pPr>
              <w:pStyle w:val="TableParagraph"/>
              <w:spacing w:line="255" w:lineRule="exact"/>
              <w:ind w:left="113"/>
              <w:jc w:val="both"/>
              <w:rPr>
                <w:sz w:val="21"/>
              </w:rPr>
            </w:pPr>
            <w:r>
              <w:rPr>
                <w:sz w:val="21"/>
              </w:rPr>
              <w:t>您犹豫期后解除本附加合同会遭受一定损失。</w:t>
            </w:r>
          </w:p>
        </w:tc>
      </w:tr>
    </w:tbl>
    <w:p>
      <w:pPr>
        <w:spacing w:after="0" w:line="255" w:lineRule="exact"/>
        <w:jc w:val="both"/>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808"/>
        <w:gridCol w:w="7433"/>
      </w:tblGrid>
      <w:tr>
        <w:trPr>
          <w:trHeight w:val="522" w:hRule="atLeast"/>
        </w:trPr>
        <w:tc>
          <w:tcPr>
            <w:tcW w:w="843" w:type="dxa"/>
            <w:tcBorders>
              <w:bottom w:val="single" w:sz="8" w:space="0" w:color="000000"/>
            </w:tcBorders>
          </w:tcPr>
          <w:p>
            <w:pPr>
              <w:pStyle w:val="TableParagraph"/>
              <w:spacing w:line="418" w:lineRule="exact"/>
              <w:ind w:left="310"/>
              <w:rPr>
                <w:rFonts w:ascii="Arial" w:hAnsi="Arial"/>
                <w:b/>
                <w:sz w:val="40"/>
              </w:rPr>
            </w:pPr>
            <w:r>
              <w:rPr>
                <w:rFonts w:ascii="Arial" w:hAnsi="Arial"/>
                <w:b/>
                <w:w w:val="119"/>
                <w:sz w:val="40"/>
              </w:rPr>
              <w:t></w:t>
            </w:r>
          </w:p>
        </w:tc>
        <w:tc>
          <w:tcPr>
            <w:tcW w:w="9241" w:type="dxa"/>
            <w:gridSpan w:val="2"/>
            <w:tcBorders>
              <w:bottom w:val="single" w:sz="8" w:space="0" w:color="000000"/>
            </w:tcBorders>
          </w:tcPr>
          <w:p>
            <w:pPr>
              <w:pStyle w:val="TableParagraph"/>
              <w:spacing w:before="10"/>
              <w:ind w:left="110"/>
              <w:rPr>
                <w:b/>
                <w:sz w:val="24"/>
              </w:rPr>
            </w:pPr>
            <w:r>
              <w:rPr>
                <w:b/>
                <w:w w:val="95"/>
                <w:sz w:val="24"/>
              </w:rPr>
              <w:t>其他需要关注的事项</w:t>
            </w:r>
          </w:p>
        </w:tc>
      </w:tr>
      <w:tr>
        <w:trPr>
          <w:trHeight w:val="4527" w:hRule="atLeast"/>
        </w:trPr>
        <w:tc>
          <w:tcPr>
            <w:tcW w:w="843" w:type="dxa"/>
            <w:tcBorders>
              <w:top w:val="single" w:sz="8" w:space="0" w:color="000000"/>
            </w:tcBorders>
          </w:tcPr>
          <w:p>
            <w:pPr>
              <w:pStyle w:val="TableParagraph"/>
              <w:spacing w:before="9"/>
              <w:rPr>
                <w:sz w:val="22"/>
              </w:rPr>
            </w:pPr>
          </w:p>
          <w:p>
            <w:pPr>
              <w:pStyle w:val="TableParagraph"/>
              <w:ind w:right="108"/>
              <w:jc w:val="right"/>
              <w:rPr>
                <w:b/>
                <w:sz w:val="21"/>
              </w:rPr>
            </w:pPr>
            <w:r>
              <w:rPr>
                <w:b/>
                <w:sz w:val="21"/>
              </w:rPr>
              <w:t>7.1</w:t>
            </w:r>
          </w:p>
        </w:tc>
        <w:tc>
          <w:tcPr>
            <w:tcW w:w="1808" w:type="dxa"/>
            <w:tcBorders>
              <w:top w:val="single" w:sz="8" w:space="0" w:color="000000"/>
            </w:tcBorders>
          </w:tcPr>
          <w:p>
            <w:pPr>
              <w:pStyle w:val="TableParagraph"/>
              <w:spacing w:before="9"/>
              <w:rPr>
                <w:sz w:val="22"/>
              </w:rPr>
            </w:pPr>
          </w:p>
          <w:p>
            <w:pPr>
              <w:pStyle w:val="TableParagraph"/>
              <w:ind w:left="110"/>
              <w:rPr>
                <w:b/>
                <w:sz w:val="21"/>
              </w:rPr>
            </w:pPr>
            <w:r>
              <w:rPr>
                <w:b/>
                <w:sz w:val="21"/>
              </w:rPr>
              <w:t>年龄错误</w:t>
            </w:r>
          </w:p>
        </w:tc>
        <w:tc>
          <w:tcPr>
            <w:tcW w:w="7433" w:type="dxa"/>
            <w:tcBorders>
              <w:top w:val="single" w:sz="8" w:space="0" w:color="000000"/>
            </w:tcBorders>
          </w:tcPr>
          <w:p>
            <w:pPr>
              <w:pStyle w:val="TableParagraph"/>
              <w:spacing w:before="9"/>
              <w:rPr>
                <w:sz w:val="22"/>
              </w:rPr>
            </w:pPr>
          </w:p>
          <w:p>
            <w:pPr>
              <w:pStyle w:val="TableParagraph"/>
              <w:spacing w:line="273" w:lineRule="auto"/>
              <w:ind w:left="218" w:right="105"/>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738" w:right="103"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738" w:right="104" w:hanging="521"/>
              <w:jc w:val="both"/>
              <w:rPr>
                <w:sz w:val="21"/>
              </w:rPr>
            </w:pPr>
            <w:r>
              <w:rPr>
                <w:sz w:val="21"/>
              </w:rPr>
              <w:t>（2）您申报的被保险人年龄不真实，如果被保险人发生保险事故，并且距保险事故发生时最近一次已收取的保障成本低于应收取的保障成本，我们有权要求您补交该次的保障成本或在给付保险金时</w:t>
            </w:r>
            <w:r>
              <w:rPr>
                <w:sz w:val="21"/>
                <w:shd w:fill="D9D9D9" w:color="auto" w:val="clear"/>
              </w:rPr>
              <w:t>扣除您该次欠交的保</w:t>
            </w:r>
            <w:r>
              <w:rPr>
                <w:spacing w:val="-212"/>
                <w:sz w:val="21"/>
                <w:shd w:fill="D9D9D9" w:color="auto" w:val="clear"/>
              </w:rPr>
              <w:t>障</w:t>
            </w:r>
            <w:r>
              <w:rPr>
                <w:spacing w:val="-2"/>
                <w:sz w:val="21"/>
                <w:shd w:fill="D9D9D9" w:color="auto" w:val="clear"/>
              </w:rPr>
              <w:t>成本</w:t>
            </w:r>
            <w:r>
              <w:rPr>
                <w:sz w:val="21"/>
              </w:rPr>
              <w:t>。</w:t>
            </w:r>
          </w:p>
          <w:p>
            <w:pPr>
              <w:pStyle w:val="TableParagraph"/>
              <w:spacing w:line="273" w:lineRule="auto" w:before="7"/>
              <w:ind w:left="738" w:right="105" w:hanging="521"/>
              <w:jc w:val="both"/>
              <w:rPr>
                <w:sz w:val="21"/>
              </w:rPr>
            </w:pPr>
            <w:r>
              <w:rPr>
                <w:sz w:val="21"/>
              </w:rPr>
              <w:t>（3）您申报的被保险人年龄不真实，致使您实付保障成本多于应付保障成本的，我们多收的保障成本将无息计入主合同的保单账户。如果被保险人已发生主合同规定的保险事故，则多收的保障成本无息随主合同身故保险金退还给身故保险金受益人。</w:t>
            </w:r>
          </w:p>
        </w:tc>
      </w:tr>
      <w:tr>
        <w:trPr>
          <w:trHeight w:val="1247" w:hRule="atLeast"/>
        </w:trPr>
        <w:tc>
          <w:tcPr>
            <w:tcW w:w="843" w:type="dxa"/>
          </w:tcPr>
          <w:p>
            <w:pPr>
              <w:pStyle w:val="TableParagraph"/>
              <w:spacing w:before="138"/>
              <w:ind w:right="108"/>
              <w:jc w:val="right"/>
              <w:rPr>
                <w:b/>
                <w:sz w:val="21"/>
              </w:rPr>
            </w:pPr>
            <w:r>
              <w:rPr>
                <w:b/>
                <w:sz w:val="21"/>
              </w:rPr>
              <w:t>7.2</w:t>
            </w:r>
          </w:p>
        </w:tc>
        <w:tc>
          <w:tcPr>
            <w:tcW w:w="1808" w:type="dxa"/>
          </w:tcPr>
          <w:p>
            <w:pPr>
              <w:pStyle w:val="TableParagraph"/>
              <w:spacing w:before="138"/>
              <w:ind w:left="110"/>
              <w:rPr>
                <w:b/>
                <w:sz w:val="21"/>
              </w:rPr>
            </w:pPr>
            <w:r>
              <w:rPr>
                <w:b/>
                <w:sz w:val="21"/>
              </w:rPr>
              <w:t>效力终止</w:t>
            </w:r>
          </w:p>
        </w:tc>
        <w:tc>
          <w:tcPr>
            <w:tcW w:w="7433" w:type="dxa"/>
          </w:tcPr>
          <w:p>
            <w:pPr>
              <w:pStyle w:val="TableParagraph"/>
              <w:spacing w:before="138"/>
              <w:ind w:left="218"/>
              <w:rPr>
                <w:sz w:val="21"/>
              </w:rPr>
            </w:pPr>
            <w:r>
              <w:rPr>
                <w:sz w:val="21"/>
              </w:rPr>
              <w:t>当发生下列情形之一时，本附加合同效力终止：</w:t>
            </w:r>
          </w:p>
          <w:p>
            <w:pPr>
              <w:pStyle w:val="TableParagraph"/>
              <w:spacing w:before="37"/>
              <w:ind w:left="218"/>
              <w:rPr>
                <w:sz w:val="21"/>
              </w:rPr>
            </w:pPr>
            <w:r>
              <w:rPr>
                <w:sz w:val="21"/>
              </w:rPr>
              <w:t>（1）主合同效力终止；</w:t>
            </w:r>
          </w:p>
          <w:p>
            <w:pPr>
              <w:pStyle w:val="TableParagraph"/>
              <w:spacing w:before="37"/>
              <w:ind w:left="218"/>
              <w:rPr>
                <w:sz w:val="21"/>
              </w:rPr>
            </w:pPr>
            <w:r>
              <w:rPr>
                <w:sz w:val="21"/>
              </w:rPr>
              <w:t>（2）您申请解除本附加合同。</w:t>
            </w:r>
          </w:p>
        </w:tc>
      </w:tr>
      <w:tr>
        <w:trPr>
          <w:trHeight w:val="2833" w:hRule="atLeast"/>
        </w:trPr>
        <w:tc>
          <w:tcPr>
            <w:tcW w:w="843" w:type="dxa"/>
          </w:tcPr>
          <w:p>
            <w:pPr>
              <w:pStyle w:val="TableParagraph"/>
              <w:spacing w:before="138"/>
              <w:ind w:right="108"/>
              <w:jc w:val="right"/>
              <w:rPr>
                <w:b/>
                <w:sz w:val="21"/>
              </w:rPr>
            </w:pPr>
            <w:r>
              <w:rPr>
                <w:b/>
                <w:sz w:val="21"/>
              </w:rPr>
              <w:t>7.3</w:t>
            </w:r>
          </w:p>
        </w:tc>
        <w:tc>
          <w:tcPr>
            <w:tcW w:w="1808" w:type="dxa"/>
          </w:tcPr>
          <w:p>
            <w:pPr>
              <w:pStyle w:val="TableParagraph"/>
              <w:spacing w:before="138"/>
              <w:ind w:left="110"/>
              <w:rPr>
                <w:b/>
                <w:sz w:val="21"/>
              </w:rPr>
            </w:pPr>
            <w:r>
              <w:rPr>
                <w:b/>
                <w:sz w:val="21"/>
              </w:rPr>
              <w:t>适用主合同条款</w:t>
            </w:r>
          </w:p>
        </w:tc>
        <w:tc>
          <w:tcPr>
            <w:tcW w:w="7433" w:type="dxa"/>
          </w:tcPr>
          <w:p>
            <w:pPr>
              <w:pStyle w:val="TableParagraph"/>
              <w:spacing w:before="138"/>
              <w:ind w:left="218"/>
              <w:rPr>
                <w:sz w:val="21"/>
              </w:rPr>
            </w:pPr>
            <w:r>
              <w:rPr>
                <w:sz w:val="21"/>
              </w:rPr>
              <w:t>下列各项条款，适用主合同条款：</w:t>
            </w:r>
          </w:p>
          <w:p>
            <w:pPr>
              <w:pStyle w:val="TableParagraph"/>
              <w:spacing w:before="37"/>
              <w:ind w:left="218"/>
              <w:rPr>
                <w:sz w:val="21"/>
              </w:rPr>
            </w:pPr>
            <w:r>
              <w:rPr>
                <w:sz w:val="21"/>
              </w:rPr>
              <w:t>（1）保险事故通知；</w:t>
            </w:r>
          </w:p>
          <w:p>
            <w:pPr>
              <w:pStyle w:val="TableParagraph"/>
              <w:spacing w:before="37"/>
              <w:ind w:left="218"/>
              <w:rPr>
                <w:sz w:val="21"/>
              </w:rPr>
            </w:pPr>
            <w:r>
              <w:rPr>
                <w:sz w:val="21"/>
              </w:rPr>
              <w:t>（2）明确说明与如实告知；</w:t>
            </w:r>
          </w:p>
          <w:p>
            <w:pPr>
              <w:pStyle w:val="TableParagraph"/>
              <w:spacing w:before="37"/>
              <w:ind w:left="218"/>
              <w:rPr>
                <w:sz w:val="21"/>
              </w:rPr>
            </w:pPr>
            <w:r>
              <w:rPr>
                <w:sz w:val="21"/>
              </w:rPr>
              <w:t>（3）我们合同解除权的限制；</w:t>
            </w:r>
          </w:p>
          <w:p>
            <w:pPr>
              <w:pStyle w:val="TableParagraph"/>
              <w:spacing w:before="37"/>
              <w:ind w:left="218"/>
              <w:rPr>
                <w:sz w:val="21"/>
              </w:rPr>
            </w:pPr>
            <w:r>
              <w:rPr>
                <w:sz w:val="21"/>
              </w:rPr>
              <w:t>（4）未还款项；</w:t>
            </w:r>
          </w:p>
          <w:p>
            <w:pPr>
              <w:pStyle w:val="TableParagraph"/>
              <w:spacing w:before="37"/>
              <w:ind w:left="218"/>
              <w:rPr>
                <w:sz w:val="21"/>
              </w:rPr>
            </w:pPr>
            <w:r>
              <w:rPr>
                <w:sz w:val="21"/>
              </w:rPr>
              <w:t>（5）合同内容变更；</w:t>
            </w:r>
          </w:p>
          <w:p>
            <w:pPr>
              <w:pStyle w:val="TableParagraph"/>
              <w:spacing w:before="37"/>
              <w:ind w:left="218"/>
              <w:rPr>
                <w:sz w:val="21"/>
              </w:rPr>
            </w:pPr>
            <w:r>
              <w:rPr>
                <w:sz w:val="21"/>
              </w:rPr>
              <w:t>（6）联系方式变更；</w:t>
            </w:r>
          </w:p>
          <w:p>
            <w:pPr>
              <w:pStyle w:val="TableParagraph"/>
              <w:spacing w:before="37"/>
              <w:ind w:left="218"/>
              <w:rPr>
                <w:sz w:val="21"/>
              </w:rPr>
            </w:pPr>
            <w:r>
              <w:rPr>
                <w:sz w:val="21"/>
              </w:rPr>
              <w:t>（7）争议处理。</w:t>
            </w:r>
          </w:p>
        </w:tc>
      </w:tr>
      <w:tr>
        <w:trPr>
          <w:trHeight w:val="753" w:hRule="atLeast"/>
        </w:trPr>
        <w:tc>
          <w:tcPr>
            <w:tcW w:w="843" w:type="dxa"/>
            <w:tcBorders>
              <w:bottom w:val="single" w:sz="8" w:space="0" w:color="000000"/>
            </w:tcBorders>
          </w:tcPr>
          <w:p>
            <w:pPr>
              <w:pStyle w:val="TableParagraph"/>
              <w:spacing w:before="189"/>
              <w:ind w:left="305"/>
              <w:rPr>
                <w:rFonts w:ascii="Arial" w:hAnsi="Arial"/>
                <w:b/>
                <w:sz w:val="40"/>
              </w:rPr>
            </w:pPr>
            <w:r>
              <w:rPr>
                <w:rFonts w:ascii="Arial" w:hAnsi="Arial"/>
                <w:b/>
                <w:w w:val="119"/>
                <w:sz w:val="40"/>
              </w:rPr>
              <w:t></w:t>
            </w:r>
          </w:p>
        </w:tc>
        <w:tc>
          <w:tcPr>
            <w:tcW w:w="1808" w:type="dxa"/>
            <w:tcBorders>
              <w:bottom w:val="single" w:sz="8" w:space="0" w:color="000000"/>
            </w:tcBorders>
          </w:tcPr>
          <w:p>
            <w:pPr>
              <w:pStyle w:val="TableParagraph"/>
              <w:spacing w:before="5"/>
              <w:rPr>
                <w:sz w:val="18"/>
              </w:rPr>
            </w:pPr>
          </w:p>
          <w:p>
            <w:pPr>
              <w:pStyle w:val="TableParagraph"/>
              <w:spacing w:before="1"/>
              <w:ind w:left="110"/>
              <w:rPr>
                <w:b/>
                <w:sz w:val="24"/>
              </w:rPr>
            </w:pPr>
            <w:r>
              <w:rPr>
                <w:b/>
                <w:sz w:val="24"/>
              </w:rPr>
              <w:t>释义</w:t>
            </w:r>
          </w:p>
        </w:tc>
        <w:tc>
          <w:tcPr>
            <w:tcW w:w="7433" w:type="dxa"/>
            <w:tcBorders>
              <w:bottom w:val="single" w:sz="8" w:space="0" w:color="000000"/>
            </w:tcBorders>
          </w:tcPr>
          <w:p>
            <w:pPr>
              <w:pStyle w:val="TableParagraph"/>
              <w:rPr>
                <w:rFonts w:ascii="Times New Roman"/>
                <w:sz w:val="20"/>
              </w:rPr>
            </w:pPr>
          </w:p>
        </w:tc>
      </w:tr>
      <w:tr>
        <w:trPr>
          <w:trHeight w:val="1092" w:hRule="atLeast"/>
        </w:trPr>
        <w:tc>
          <w:tcPr>
            <w:tcW w:w="843" w:type="dxa"/>
            <w:tcBorders>
              <w:top w:val="single" w:sz="8" w:space="0" w:color="000000"/>
            </w:tcBorders>
          </w:tcPr>
          <w:p>
            <w:pPr>
              <w:pStyle w:val="TableParagraph"/>
              <w:spacing w:before="6"/>
              <w:rPr>
                <w:sz w:val="22"/>
              </w:rPr>
            </w:pPr>
          </w:p>
          <w:p>
            <w:pPr>
              <w:pStyle w:val="TableParagraph"/>
              <w:spacing w:before="1"/>
              <w:ind w:right="108"/>
              <w:jc w:val="right"/>
              <w:rPr>
                <w:b/>
                <w:sz w:val="21"/>
              </w:rPr>
            </w:pPr>
            <w:r>
              <w:rPr>
                <w:b/>
                <w:sz w:val="21"/>
              </w:rPr>
              <w:t>8.1</w:t>
            </w:r>
          </w:p>
        </w:tc>
        <w:tc>
          <w:tcPr>
            <w:tcW w:w="1808" w:type="dxa"/>
            <w:tcBorders>
              <w:top w:val="single" w:sz="8" w:space="0" w:color="000000"/>
            </w:tcBorders>
          </w:tcPr>
          <w:p>
            <w:pPr>
              <w:pStyle w:val="TableParagraph"/>
              <w:spacing w:before="6"/>
              <w:rPr>
                <w:sz w:val="22"/>
              </w:rPr>
            </w:pPr>
          </w:p>
          <w:p>
            <w:pPr>
              <w:pStyle w:val="TableParagraph"/>
              <w:spacing w:before="1"/>
              <w:ind w:left="110"/>
              <w:rPr>
                <w:b/>
                <w:sz w:val="21"/>
              </w:rPr>
            </w:pPr>
            <w:r>
              <w:rPr>
                <w:b/>
                <w:sz w:val="21"/>
              </w:rPr>
              <w:t>周岁</w:t>
            </w:r>
          </w:p>
        </w:tc>
        <w:tc>
          <w:tcPr>
            <w:tcW w:w="7433" w:type="dxa"/>
            <w:tcBorders>
              <w:top w:val="single" w:sz="8" w:space="0" w:color="000000"/>
            </w:tcBorders>
          </w:tcPr>
          <w:p>
            <w:pPr>
              <w:pStyle w:val="TableParagraph"/>
              <w:spacing w:before="6"/>
              <w:rPr>
                <w:sz w:val="22"/>
              </w:rPr>
            </w:pPr>
          </w:p>
          <w:p>
            <w:pPr>
              <w:pStyle w:val="TableParagraph"/>
              <w:spacing w:line="273" w:lineRule="auto" w:before="1"/>
              <w:ind w:left="218" w:right="56"/>
              <w:rPr>
                <w:sz w:val="21"/>
              </w:rPr>
            </w:pPr>
            <w:r>
              <w:rPr>
                <w:sz w:val="21"/>
              </w:rPr>
              <w:t>指按有效身份证件中记载的出生日期计算的年龄，自出生之日起为零周岁，每经过一年增加一岁，不足一年的不计。</w:t>
            </w:r>
          </w:p>
        </w:tc>
      </w:tr>
      <w:tr>
        <w:trPr>
          <w:trHeight w:val="936" w:hRule="atLeast"/>
        </w:trPr>
        <w:tc>
          <w:tcPr>
            <w:tcW w:w="843" w:type="dxa"/>
          </w:tcPr>
          <w:p>
            <w:pPr>
              <w:pStyle w:val="TableParagraph"/>
              <w:spacing w:before="138"/>
              <w:ind w:right="108"/>
              <w:jc w:val="right"/>
              <w:rPr>
                <w:b/>
                <w:sz w:val="21"/>
              </w:rPr>
            </w:pPr>
            <w:r>
              <w:rPr>
                <w:b/>
                <w:sz w:val="21"/>
              </w:rPr>
              <w:t>8.2</w:t>
            </w:r>
          </w:p>
        </w:tc>
        <w:tc>
          <w:tcPr>
            <w:tcW w:w="1808" w:type="dxa"/>
          </w:tcPr>
          <w:p>
            <w:pPr>
              <w:pStyle w:val="TableParagraph"/>
              <w:spacing w:before="138"/>
              <w:ind w:left="110"/>
              <w:rPr>
                <w:b/>
                <w:sz w:val="21"/>
              </w:rPr>
            </w:pPr>
            <w:r>
              <w:rPr>
                <w:b/>
                <w:sz w:val="21"/>
              </w:rPr>
              <w:t>有效身份证件</w:t>
            </w:r>
          </w:p>
        </w:tc>
        <w:tc>
          <w:tcPr>
            <w:tcW w:w="7433" w:type="dxa"/>
          </w:tcPr>
          <w:p>
            <w:pPr>
              <w:pStyle w:val="TableParagraph"/>
              <w:spacing w:line="273" w:lineRule="auto" w:before="138"/>
              <w:ind w:left="218" w:right="73"/>
              <w:rPr>
                <w:sz w:val="21"/>
              </w:rPr>
            </w:pPr>
            <w:r>
              <w:rPr>
                <w:sz w:val="21"/>
              </w:rPr>
              <w:t>指由政府主管部门规定的证明其身份的证件，如：居民身份证、按规定可使用的有效护照、军官证、警官证、士兵证等证件。</w:t>
            </w:r>
          </w:p>
        </w:tc>
      </w:tr>
      <w:tr>
        <w:trPr>
          <w:trHeight w:val="624" w:hRule="atLeast"/>
        </w:trPr>
        <w:tc>
          <w:tcPr>
            <w:tcW w:w="843" w:type="dxa"/>
          </w:tcPr>
          <w:p>
            <w:pPr>
              <w:pStyle w:val="TableParagraph"/>
              <w:spacing w:before="138"/>
              <w:ind w:right="108"/>
              <w:jc w:val="right"/>
              <w:rPr>
                <w:b/>
                <w:sz w:val="21"/>
              </w:rPr>
            </w:pPr>
            <w:r>
              <w:rPr>
                <w:b/>
                <w:sz w:val="21"/>
              </w:rPr>
              <w:t>8.3</w:t>
            </w:r>
          </w:p>
        </w:tc>
        <w:tc>
          <w:tcPr>
            <w:tcW w:w="1808" w:type="dxa"/>
          </w:tcPr>
          <w:p>
            <w:pPr>
              <w:pStyle w:val="TableParagraph"/>
              <w:spacing w:before="138"/>
              <w:ind w:left="110"/>
              <w:rPr>
                <w:b/>
                <w:sz w:val="21"/>
              </w:rPr>
            </w:pPr>
            <w:r>
              <w:rPr>
                <w:b/>
                <w:sz w:val="21"/>
              </w:rPr>
              <w:t>意外伤害事故</w:t>
            </w:r>
          </w:p>
        </w:tc>
        <w:tc>
          <w:tcPr>
            <w:tcW w:w="7433" w:type="dxa"/>
          </w:tcPr>
          <w:p>
            <w:pPr>
              <w:pStyle w:val="TableParagraph"/>
              <w:spacing w:before="138"/>
              <w:ind w:left="218"/>
              <w:rPr>
                <w:sz w:val="21"/>
              </w:rPr>
            </w:pPr>
            <w:r>
              <w:rPr>
                <w:spacing w:val="-14"/>
                <w:sz w:val="21"/>
              </w:rPr>
              <w:t>指外来的、突发的、非本意的、非疾病的使被保险人身体受到伤害的客观事件。</w:t>
            </w:r>
          </w:p>
        </w:tc>
      </w:tr>
      <w:tr>
        <w:trPr>
          <w:trHeight w:val="1665" w:hRule="atLeast"/>
        </w:trPr>
        <w:tc>
          <w:tcPr>
            <w:tcW w:w="843" w:type="dxa"/>
          </w:tcPr>
          <w:p>
            <w:pPr>
              <w:pStyle w:val="TableParagraph"/>
              <w:spacing w:before="138"/>
              <w:ind w:right="108"/>
              <w:jc w:val="right"/>
              <w:rPr>
                <w:b/>
                <w:sz w:val="21"/>
              </w:rPr>
            </w:pPr>
            <w:r>
              <w:rPr>
                <w:b/>
                <w:sz w:val="21"/>
              </w:rPr>
              <w:t>8.4</w:t>
            </w:r>
          </w:p>
        </w:tc>
        <w:tc>
          <w:tcPr>
            <w:tcW w:w="1808" w:type="dxa"/>
          </w:tcPr>
          <w:p>
            <w:pPr>
              <w:pStyle w:val="TableParagraph"/>
              <w:spacing w:before="138"/>
              <w:ind w:left="110"/>
              <w:rPr>
                <w:b/>
                <w:sz w:val="21"/>
              </w:rPr>
            </w:pPr>
            <w:r>
              <w:rPr>
                <w:b/>
                <w:sz w:val="21"/>
              </w:rPr>
              <w:t>重大疾病</w:t>
            </w:r>
          </w:p>
        </w:tc>
        <w:tc>
          <w:tcPr>
            <w:tcW w:w="7433" w:type="dxa"/>
          </w:tcPr>
          <w:p>
            <w:pPr>
              <w:pStyle w:val="TableParagraph"/>
              <w:spacing w:line="273" w:lineRule="auto" w:before="138"/>
              <w:ind w:left="218" w:right="275"/>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218"/>
              <w:rPr>
                <w:b/>
                <w:sz w:val="21"/>
              </w:rPr>
            </w:pPr>
            <w:r>
              <w:rPr>
                <w:b/>
                <w:sz w:val="21"/>
              </w:rPr>
              <w:t>（一）恶性肿瘤</w:t>
            </w:r>
          </w:p>
          <w:p>
            <w:pPr>
              <w:pStyle w:val="TableParagraph"/>
              <w:spacing w:line="259" w:lineRule="exact" w:before="36"/>
              <w:ind w:left="218"/>
              <w:rPr>
                <w:sz w:val="21"/>
              </w:rPr>
            </w:pPr>
            <w:r>
              <w:rPr>
                <w:sz w:val="21"/>
              </w:rPr>
              <w:t>指恶性细胞不受控制的进行性增长和扩散，浸润和破坏周围正常组织，可以经</w:t>
            </w:r>
          </w:p>
        </w:tc>
      </w:tr>
    </w:tbl>
    <w:p>
      <w:pPr>
        <w:spacing w:after="0" w:line="259" w:lineRule="exact"/>
        <w:rPr>
          <w:sz w:val="21"/>
        </w:rPr>
        <w:sectPr>
          <w:pgSz w:w="11910" w:h="16840"/>
          <w:pgMar w:top="1220" w:bottom="280" w:left="800" w:right="800"/>
        </w:sectPr>
      </w:pPr>
    </w:p>
    <w:p>
      <w:pPr>
        <w:pStyle w:val="BodyText"/>
        <w:spacing w:line="273" w:lineRule="auto" w:before="22"/>
        <w:ind w:right="181"/>
      </w:pPr>
      <w:r>
        <w:rPr/>
        <w:t>血管、淋巴管和体腔扩散转移到身体其它部位的疾病。经病理学检查结果明确诊断，临床诊断属于世界卫生组织《疾病和有关健康问题的国际统计分类</w:t>
      </w:r>
    </w:p>
    <w:p>
      <w:pPr>
        <w:pStyle w:val="BodyText"/>
        <w:spacing w:line="273" w:lineRule="auto" w:before="8"/>
        <w:ind w:right="44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7"/>
      </w:pPr>
      <w:r>
        <w:rPr/>
        <w:t>（1）原位癌；</w:t>
      </w:r>
    </w:p>
    <w:p>
      <w:pPr>
        <w:pStyle w:val="BodyText"/>
        <w:spacing w:before="36"/>
      </w:pPr>
      <w:r>
        <w:rPr/>
        <w:t>（2）相当于 Binet 分期方案 A 期程度的慢性淋巴细胞白血病；</w:t>
      </w:r>
    </w:p>
    <w:p>
      <w:pPr>
        <w:pStyle w:val="BodyText"/>
        <w:spacing w:before="36"/>
      </w:pPr>
      <w:r>
        <w:rPr/>
        <w:t>（3）相当于 Ann Arbor 分期方案 I 期程度的何杰金氏病；</w:t>
      </w:r>
    </w:p>
    <w:p>
      <w:pPr>
        <w:pStyle w:val="BodyText"/>
        <w:spacing w:before="36"/>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（6）感染艾滋病病毒或患艾滋病期间所患恶性肿瘤。</w:t>
      </w:r>
    </w:p>
    <w:p>
      <w:pPr>
        <w:pStyle w:val="BodyText"/>
        <w:spacing w:before="8"/>
        <w:ind w:left="0"/>
        <w:rPr>
          <w:sz w:val="26"/>
        </w:rPr>
      </w:pPr>
    </w:p>
    <w:p>
      <w:pPr>
        <w:pStyle w:val="Heading3"/>
      </w:pPr>
      <w:r>
        <w:rPr/>
        <w:t>（二）急性心肌梗塞</w:t>
      </w:r>
    </w:p>
    <w:p>
      <w:pPr>
        <w:pStyle w:val="BodyText"/>
        <w:spacing w:line="273" w:lineRule="auto" w:before="36"/>
        <w:ind w:right="170"/>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spacing w:line="273" w:lineRule="auto"/>
        <w:ind w:left="2626" w:right="220" w:hanging="526"/>
      </w:pPr>
      <w:r>
        <w:rPr/>
        <w:t>（3）心肌酶或肌钙蛋白有诊断意义的升高，或呈符合急性心肌梗塞的动态性变化；</w:t>
      </w:r>
    </w:p>
    <w:p>
      <w:pPr>
        <w:pStyle w:val="BodyText"/>
        <w:spacing w:before="7"/>
      </w:pPr>
      <w:r>
        <w:rPr>
          <w:spacing w:val="-11"/>
        </w:rPr>
        <w:t>（4）</w:t>
      </w:r>
      <w:r>
        <w:rPr>
          <w:spacing w:val="-15"/>
        </w:rPr>
        <w:t>发病 </w:t>
      </w:r>
      <w:r>
        <w:rPr/>
        <w:t>90</w:t>
      </w:r>
      <w:r>
        <w:rPr>
          <w:spacing w:val="-13"/>
        </w:rPr>
        <w:t> 天后，经检查证实左心室功能降低，如左心室射血分数低于 </w:t>
      </w:r>
      <w:r>
        <w:rPr/>
        <w:t>50%。</w:t>
      </w:r>
    </w:p>
    <w:p>
      <w:pPr>
        <w:pStyle w:val="BodyText"/>
        <w:spacing w:before="8"/>
        <w:ind w:left="0"/>
        <w:rPr>
          <w:sz w:val="26"/>
        </w:rPr>
      </w:pPr>
    </w:p>
    <w:p>
      <w:pPr>
        <w:pStyle w:val="Heading3"/>
      </w:pPr>
      <w:r>
        <w:rPr/>
        <w:t>（三）脑中风后遗症</w:t>
      </w:r>
    </w:p>
    <w:p>
      <w:pPr>
        <w:pStyle w:val="BodyText"/>
        <w:spacing w:line="273" w:lineRule="auto"/>
        <w:ind w:right="21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3"/>
      </w:pPr>
      <w:r>
        <w:rPr/>
        <w:t>（四）重大器官移植术或造血干细胞移植术</w:t>
      </w:r>
    </w:p>
    <w:p>
      <w:pPr>
        <w:pStyle w:val="BodyText"/>
        <w:spacing w:line="273" w:lineRule="auto" w:before="36"/>
        <w:ind w:right="215"/>
      </w:pPr>
      <w:r>
        <w:rPr>
          <w:spacing w:val="-7"/>
        </w:rPr>
        <w:t>重大器官移植术，指因相应器官功能衰竭，已经实施了肾脏、肝脏、心脏或肺</w:t>
      </w:r>
      <w:r>
        <w:rPr>
          <w:spacing w:val="-5"/>
        </w:rPr>
        <w:t>脏的异体移植手术。</w:t>
      </w:r>
    </w:p>
    <w:p>
      <w:pPr>
        <w:pStyle w:val="BodyText"/>
        <w:spacing w:line="273" w:lineRule="auto" w:before="7"/>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6"/>
        <w:ind w:left="0"/>
        <w:rPr>
          <w:sz w:val="24"/>
        </w:rPr>
      </w:pPr>
    </w:p>
    <w:p>
      <w:pPr>
        <w:pStyle w:val="Heading3"/>
      </w:pPr>
      <w:r>
        <w:rPr/>
        <w:t>（五）冠状动脉搭桥术（或称冠状动脉旁路移植术）</w:t>
      </w:r>
    </w:p>
    <w:p>
      <w:pPr>
        <w:pStyle w:val="BodyText"/>
        <w:spacing w:line="273" w:lineRule="auto"/>
        <w:ind w:right="220"/>
      </w:pPr>
      <w:r>
        <w:rPr/>
        <w:t>指为治疗严重的冠心病，实际实施了开胸进行的冠状动脉血管旁路移植的手术。</w:t>
      </w:r>
    </w:p>
    <w:p>
      <w:pPr>
        <w:pStyle w:val="BodyText"/>
        <w:spacing w:line="273" w:lineRule="auto" w:before="8"/>
        <w:ind w:right="1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3"/>
        <w:spacing w:before="1"/>
      </w:pPr>
      <w:r>
        <w:rPr/>
        <w:t>（六）终末期肾病（或称慢性肾功能衰竭尿毒症期）</w:t>
      </w:r>
    </w:p>
    <w:p>
      <w:pPr>
        <w:pStyle w:val="BodyText"/>
        <w:spacing w:line="273" w:lineRule="auto"/>
        <w:ind w:right="220"/>
      </w:pPr>
      <w:r>
        <w:rPr/>
        <w:t>指双肾功能慢性不可逆性衰竭，达到尿毒症期，经诊断后已经进行了至少 90 天的规律性透析治疗或实施了肾脏移植手术。</w:t>
      </w:r>
    </w:p>
    <w:p>
      <w:pPr>
        <w:spacing w:after="0" w:line="273" w:lineRule="auto"/>
        <w:sectPr>
          <w:pgSz w:w="11910" w:h="16840"/>
          <w:pgMar w:top="1080" w:bottom="280" w:left="1680" w:right="800"/>
        </w:sectPr>
      </w:pPr>
    </w:p>
    <w:p>
      <w:pPr>
        <w:pStyle w:val="Heading3"/>
        <w:spacing w:before="22"/>
      </w:pPr>
      <w:r>
        <w:rPr/>
        <w:t>（七）多个肢体缺失</w:t>
      </w:r>
    </w:p>
    <w:p>
      <w:pPr>
        <w:pStyle w:val="BodyText"/>
        <w:spacing w:line="273" w:lineRule="auto"/>
        <w:ind w:right="83"/>
      </w:pPr>
      <w:r>
        <w:rPr/>
        <w:t>指因疾病或意外伤害导致两个或两个以上肢体自腕关节或踝关节近端（靠近躯干端）以上完全性断离。</w:t>
      </w:r>
    </w:p>
    <w:p>
      <w:pPr>
        <w:pStyle w:val="BodyText"/>
        <w:spacing w:before="5"/>
        <w:ind w:left="0"/>
        <w:rPr>
          <w:sz w:val="24"/>
        </w:rPr>
      </w:pPr>
    </w:p>
    <w:p>
      <w:pPr>
        <w:pStyle w:val="Heading3"/>
      </w:pPr>
      <w:r>
        <w:rPr/>
        <w:t>（八）急性或亚急性重症肝炎</w:t>
      </w:r>
    </w:p>
    <w:p>
      <w:pPr>
        <w:pStyle w:val="BodyText"/>
        <w:spacing w:line="273" w:lineRule="auto" w:before="36"/>
        <w:ind w:right="9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3"/>
        <w:spacing w:before="1"/>
      </w:pPr>
      <w:r>
        <w:rPr/>
        <w:t>（九）良性脑肿瘤</w:t>
      </w:r>
    </w:p>
    <w:p>
      <w:pPr>
        <w:pStyle w:val="BodyText"/>
        <w:spacing w:line="273" w:lineRule="auto" w:before="38"/>
        <w:ind w:right="13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8"/>
      </w:pPr>
      <w:r>
        <w:rPr/>
        <w:t>（1）实际实施了开颅进行的脑肿瘤完全切除或部分切除的手术；</w:t>
      </w:r>
    </w:p>
    <w:p>
      <w:pPr>
        <w:pStyle w:val="BodyText"/>
      </w:pPr>
      <w:r>
        <w:rPr/>
        <w:t>（2）实际实施了对脑肿瘤进行的放射治疗。</w:t>
      </w:r>
    </w:p>
    <w:p>
      <w:pPr>
        <w:pStyle w:val="BodyText"/>
      </w:pPr>
      <w:r>
        <w:rPr/>
        <w:t>脑垂体瘤、脑囊肿、脑血管性疾病不在保障范围内。</w:t>
      </w:r>
    </w:p>
    <w:p>
      <w:pPr>
        <w:pStyle w:val="BodyText"/>
        <w:spacing w:before="9"/>
        <w:ind w:left="0"/>
        <w:rPr>
          <w:sz w:val="26"/>
        </w:rPr>
      </w:pPr>
    </w:p>
    <w:p>
      <w:pPr>
        <w:pStyle w:val="Heading3"/>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spacing w:before="36"/>
      </w:pPr>
      <w:r>
        <w:rPr/>
        <w:t>（3）肝性脑病；</w:t>
      </w:r>
    </w:p>
    <w:p>
      <w:pPr>
        <w:pStyle w:val="BodyText"/>
        <w:spacing w:line="273" w:lineRule="auto" w:before="36"/>
        <w:ind w:right="2094"/>
      </w:pPr>
      <w:r>
        <w:rPr/>
        <w:t>（4）充血性脾肿大伴脾功能亢进或食管胃底静脉曲张。因酗酒或药物滥用导致的肝功能衰竭不在保障范围内。</w:t>
      </w:r>
    </w:p>
    <w:p>
      <w:pPr>
        <w:pStyle w:val="BodyText"/>
        <w:spacing w:before="5"/>
        <w:ind w:left="0"/>
        <w:rPr>
          <w:sz w:val="24"/>
        </w:rPr>
      </w:pPr>
    </w:p>
    <w:p>
      <w:pPr>
        <w:pStyle w:val="Heading3"/>
      </w:pPr>
      <w:r>
        <w:rPr/>
        <w:t>（十一）脑炎后遗症或脑膜炎后遗症</w:t>
      </w:r>
    </w:p>
    <w:p>
      <w:pPr>
        <w:pStyle w:val="BodyText"/>
        <w:spacing w:line="273" w:lineRule="auto"/>
        <w:ind w:right="9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136" w:hanging="526"/>
      </w:pPr>
      <w:r>
        <w:rPr/>
        <w:t>（3）自主生活能力完全丧失，无法独立完成六项基本日常生活活动中的三项或三项以上。</w:t>
      </w:r>
    </w:p>
    <w:p>
      <w:pPr>
        <w:pStyle w:val="BodyText"/>
        <w:spacing w:before="5"/>
        <w:ind w:left="0"/>
        <w:rPr>
          <w:sz w:val="24"/>
        </w:rPr>
      </w:pPr>
    </w:p>
    <w:p>
      <w:pPr>
        <w:pStyle w:val="Heading3"/>
        <w:spacing w:before="1"/>
      </w:pPr>
      <w:r>
        <w:rPr/>
        <w:t>（十二）深度昏迷</w:t>
      </w:r>
    </w:p>
    <w:p>
      <w:pPr>
        <w:pStyle w:val="BodyText"/>
        <w:spacing w:line="273" w:lineRule="auto"/>
        <w:ind w:right="13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3"/>
      </w:pPr>
      <w:r>
        <w:rPr/>
        <w:t>（十三）3 周岁后双耳失聪</w:t>
      </w:r>
    </w:p>
    <w:p>
      <w:pPr>
        <w:pStyle w:val="BodyText"/>
        <w:spacing w:before="36"/>
      </w:pPr>
      <w:r>
        <w:rPr/>
        <w:t>指被保险人年满 3 周岁后因疾病或意外伤害导致双耳听力永久不可逆性丧失，</w:t>
      </w:r>
    </w:p>
    <w:p>
      <w:pPr>
        <w:pStyle w:val="BodyText"/>
        <w:spacing w:before="36"/>
      </w:pPr>
      <w:r>
        <w:rPr>
          <w:spacing w:val="-24"/>
        </w:rPr>
        <w:t>在 </w:t>
      </w:r>
      <w:r>
        <w:rPr/>
        <w:t>500</w:t>
      </w:r>
      <w:r>
        <w:rPr>
          <w:spacing w:val="-21"/>
        </w:rPr>
        <w:t> 赫兹、</w:t>
      </w:r>
      <w:r>
        <w:rPr/>
        <w:t>1000</w:t>
      </w:r>
      <w:r>
        <w:rPr>
          <w:spacing w:val="-22"/>
        </w:rPr>
        <w:t> 赫兹和 </w:t>
      </w:r>
      <w:r>
        <w:rPr/>
        <w:t>2000</w:t>
      </w:r>
      <w:r>
        <w:rPr>
          <w:spacing w:val="-13"/>
        </w:rPr>
        <w:t> 赫兹语音频率下，平均听阈大于 </w:t>
      </w:r>
      <w:r>
        <w:rPr/>
        <w:t>90</w:t>
      </w:r>
      <w:r>
        <w:rPr>
          <w:spacing w:val="-15"/>
        </w:rPr>
        <w:t> 分贝，且经</w:t>
      </w:r>
    </w:p>
    <w:p>
      <w:pPr>
        <w:spacing w:after="0"/>
        <w:sectPr>
          <w:pgSz w:w="11910" w:h="16840"/>
          <w:pgMar w:top="1080" w:bottom="280" w:left="1680" w:right="880"/>
        </w:sectPr>
      </w:pPr>
    </w:p>
    <w:p>
      <w:pPr>
        <w:pStyle w:val="BodyText"/>
        <w:spacing w:line="273" w:lineRule="auto" w:before="22"/>
        <w:ind w:right="1857"/>
      </w:pPr>
      <w:r>
        <w:rPr>
          <w:spacing w:val="-3"/>
        </w:rPr>
        <w:t>纯音听力测试、声导抗检测或听觉诱发电位检测等证实。 申请理赔时，须提供理赔当时的听力丧失诊断及检查证据。</w:t>
      </w:r>
    </w:p>
    <w:p>
      <w:pPr>
        <w:pStyle w:val="BodyText"/>
        <w:spacing w:before="6"/>
        <w:ind w:left="0"/>
        <w:rPr>
          <w:sz w:val="24"/>
        </w:rPr>
      </w:pPr>
    </w:p>
    <w:p>
      <w:pPr>
        <w:pStyle w:val="Heading3"/>
      </w:pPr>
      <w:r>
        <w:rPr/>
        <w:t>（十四）3 周岁后双目失明</w:t>
      </w:r>
    </w:p>
    <w:p>
      <w:pPr>
        <w:pStyle w:val="BodyText"/>
        <w:spacing w:line="273" w:lineRule="auto"/>
        <w:ind w:right="179"/>
      </w:pPr>
      <w:r>
        <w:rPr>
          <w:spacing w:val="-8"/>
        </w:rPr>
        <w:t>指被保险人年满 </w:t>
      </w:r>
      <w:r>
        <w:rPr/>
        <w:t>3</w:t>
      </w:r>
      <w:r>
        <w:rPr>
          <w:spacing w:val="-8"/>
        </w:rPr>
        <w:t> 周岁后因疾病或意外伤害导致双目视力永久不可逆性丧失， </w:t>
      </w:r>
      <w:r>
        <w:rPr>
          <w:spacing w:val="-5"/>
        </w:rPr>
        <w:t>双眼中较好眼须满足下列至少一项条件：</w:t>
      </w:r>
    </w:p>
    <w:p>
      <w:pPr>
        <w:pStyle w:val="BodyText"/>
        <w:spacing w:before="8"/>
      </w:pPr>
      <w:r>
        <w:rPr/>
        <w:t>（1）眼球缺失或摘除；</w:t>
      </w:r>
    </w:p>
    <w:p>
      <w:pPr>
        <w:pStyle w:val="BodyText"/>
        <w:spacing w:line="273" w:lineRule="auto"/>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36"/>
      </w:pPr>
      <w:r>
        <w:rPr/>
        <w:t>申请理赔时，须提供理赔当时的视力丧失诊断及检查证据。</w:t>
      </w:r>
    </w:p>
    <w:p>
      <w:pPr>
        <w:pStyle w:val="BodyText"/>
        <w:spacing w:before="8"/>
        <w:ind w:left="0"/>
        <w:rPr>
          <w:sz w:val="26"/>
        </w:rPr>
      </w:pPr>
    </w:p>
    <w:p>
      <w:pPr>
        <w:pStyle w:val="Heading3"/>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3"/>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3"/>
        <w:spacing w:before="1"/>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7"/>
      </w:pPr>
      <w:r>
        <w:rPr/>
        <w:t>神经官能症和精神疾病不在保障范围内。</w:t>
      </w:r>
    </w:p>
    <w:p>
      <w:pPr>
        <w:pStyle w:val="BodyText"/>
        <w:spacing w:before="8"/>
        <w:ind w:left="0"/>
        <w:rPr>
          <w:sz w:val="26"/>
        </w:rPr>
      </w:pPr>
    </w:p>
    <w:p>
      <w:pPr>
        <w:pStyle w:val="Heading3"/>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3"/>
      </w:pPr>
      <w:r>
        <w:rPr/>
        <w:t>（十九）严重帕金森病</w:t>
      </w:r>
    </w:p>
    <w:p>
      <w:pPr>
        <w:pStyle w:val="BodyText"/>
        <w:spacing w:line="273" w:lineRule="auto" w:before="36"/>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7"/>
      </w:pPr>
      <w:r>
        <w:rPr/>
        <w:t>继发性帕金森综合征不在保障范围内。</w:t>
      </w:r>
    </w:p>
    <w:p>
      <w:pPr>
        <w:spacing w:after="0"/>
        <w:sectPr>
          <w:pgSz w:w="11910" w:h="16840"/>
          <w:pgMar w:top="1080" w:bottom="280" w:left="1680" w:right="800"/>
        </w:sectPr>
      </w:pPr>
    </w:p>
    <w:p>
      <w:pPr>
        <w:pStyle w:val="Heading3"/>
        <w:spacing w:before="22"/>
      </w:pPr>
      <w:r>
        <w:rPr/>
        <w:t>（二十）严重Ⅲ度烧伤</w:t>
      </w:r>
    </w:p>
    <w:p>
      <w:pPr>
        <w:pStyle w:val="BodyText"/>
        <w:spacing w:line="273" w:lineRule="auto"/>
        <w:ind w:right="83"/>
      </w:pPr>
      <w:r>
        <w:rPr/>
        <w:t>指烧伤程度为Ⅲ度，且Ⅲ度烧伤面积达到全身体表面积的 20％或 20％以上。体表面积根据 《中国新九分法》计算。</w:t>
      </w:r>
    </w:p>
    <w:p>
      <w:pPr>
        <w:pStyle w:val="BodyText"/>
        <w:spacing w:before="5"/>
        <w:ind w:left="0"/>
        <w:rPr>
          <w:sz w:val="24"/>
        </w:rPr>
      </w:pPr>
    </w:p>
    <w:p>
      <w:pPr>
        <w:pStyle w:val="Heading3"/>
      </w:pPr>
      <w:r>
        <w:rPr/>
        <w:t>（二十一）严重原发性肺动脉高压</w:t>
      </w:r>
    </w:p>
    <w:p>
      <w:pPr>
        <w:pStyle w:val="BodyText"/>
        <w:spacing w:line="273" w:lineRule="auto" w:before="36"/>
        <w:ind w:right="135"/>
        <w:jc w:val="both"/>
      </w:pPr>
      <w:r>
        <w:rPr>
          <w:spacing w:val="-6"/>
        </w:rPr>
        <w:t>指不明原因的肺动脉压力持续性增高，进行性发展而导致的慢性疾病，已经造成永久不可逆性的体力活动能力受限，达到美国纽约心脏病学会心功能状态分级Ⅳ级，且静息状态下肺动脉平均压超过 </w:t>
      </w:r>
      <w:r>
        <w:rPr/>
        <w:t>30mmHg。</w:t>
      </w:r>
    </w:p>
    <w:p>
      <w:pPr>
        <w:pStyle w:val="BodyText"/>
        <w:spacing w:before="5"/>
        <w:ind w:left="0"/>
        <w:rPr>
          <w:sz w:val="24"/>
        </w:rPr>
      </w:pPr>
    </w:p>
    <w:p>
      <w:pPr>
        <w:pStyle w:val="Heading3"/>
      </w:pPr>
      <w:r>
        <w:rPr/>
        <w:t>（二十二）严重运动神经元病</w:t>
      </w:r>
    </w:p>
    <w:p>
      <w:pPr>
        <w:pStyle w:val="BodyText"/>
        <w:spacing w:line="273" w:lineRule="auto"/>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3"/>
      </w:pPr>
      <w:r>
        <w:rPr/>
        <w:t>（二十三）语言能力丧失</w:t>
      </w:r>
    </w:p>
    <w:p>
      <w:pPr>
        <w:pStyle w:val="BodyText"/>
        <w:spacing w:line="273" w:lineRule="auto" w:before="36"/>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3"/>
      </w:pPr>
      <w:r>
        <w:rPr/>
        <w:t>（二十四）重型再生障碍性贫血</w:t>
      </w:r>
    </w:p>
    <w:p>
      <w:pPr>
        <w:pStyle w:val="BodyText"/>
        <w:spacing w:line="273" w:lineRule="auto" w:before="36"/>
        <w:ind w:right="140"/>
      </w:pPr>
      <w:r>
        <w:rPr/>
        <w:t>指因骨髓造血功能慢性持续性衰竭导致的贫血、中性粒细胞减少及血小板减少。须满足下列全部条件：</w:t>
      </w:r>
    </w:p>
    <w:p>
      <w:pPr>
        <w:pStyle w:val="BodyText"/>
        <w:spacing w:before="7"/>
        <w:jc w:val="both"/>
      </w:pPr>
      <w:r>
        <w:rPr/>
        <w:t>（1）骨髓穿刺检查或骨髓活检结果支持诊断；</w:t>
      </w:r>
    </w:p>
    <w:p>
      <w:pPr>
        <w:pStyle w:val="BodyText"/>
        <w:jc w:val="both"/>
      </w:pPr>
      <w:r>
        <w:rPr/>
        <w:t>（2）外周血象必须具备以下三项条件：</w:t>
      </w:r>
    </w:p>
    <w:p>
      <w:pPr>
        <w:pStyle w:val="BodyText"/>
        <w:spacing w:before="36"/>
        <w:ind w:left="2761"/>
      </w:pPr>
      <w:r>
        <w:rPr/>
        <w:t>① 中性粒细胞绝对值≤0.5×10</w:t>
      </w:r>
      <w:r>
        <w:rPr>
          <w:position w:val="11"/>
          <w:sz w:val="11"/>
        </w:rPr>
        <w:t>9</w:t>
      </w:r>
      <w:r>
        <w:rPr/>
        <w:t>/L；</w:t>
      </w:r>
    </w:p>
    <w:p>
      <w:pPr>
        <w:pStyle w:val="BodyText"/>
        <w:spacing w:before="36"/>
        <w:ind w:left="2761"/>
      </w:pPr>
      <w:r>
        <w:rPr/>
        <w:t>② 网织红细胞＜1%；</w:t>
      </w:r>
    </w:p>
    <w:p>
      <w:pPr>
        <w:pStyle w:val="BodyText"/>
        <w:spacing w:before="36"/>
        <w:ind w:left="2761"/>
      </w:pPr>
      <w:r>
        <w:rPr/>
        <w:t>③ 血小板绝对值≤20×10</w:t>
      </w:r>
      <w:r>
        <w:rPr>
          <w:position w:val="11"/>
          <w:sz w:val="11"/>
        </w:rPr>
        <w:t>9</w:t>
      </w:r>
      <w:r>
        <w:rPr/>
        <w:t>/L。</w:t>
      </w:r>
    </w:p>
    <w:p>
      <w:pPr>
        <w:pStyle w:val="BodyText"/>
        <w:spacing w:before="8"/>
        <w:ind w:left="0"/>
        <w:rPr>
          <w:sz w:val="26"/>
        </w:rPr>
      </w:pPr>
    </w:p>
    <w:p>
      <w:pPr>
        <w:pStyle w:val="Heading3"/>
        <w:jc w:val="both"/>
      </w:pPr>
      <w:r>
        <w:rPr/>
        <w:t>（二十五）主动脉手术</w:t>
      </w:r>
    </w:p>
    <w:p>
      <w:pPr>
        <w:pStyle w:val="BodyText"/>
        <w:spacing w:line="273" w:lineRule="auto"/>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8"/>
      </w:pPr>
      <w:r>
        <w:rPr/>
        <w:t>动脉内血管成形术不在保障范围内。</w:t>
      </w:r>
    </w:p>
    <w:p>
      <w:pPr>
        <w:pStyle w:val="BodyText"/>
        <w:spacing w:before="9"/>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3"/>
      </w:pPr>
      <w:r>
        <w:rPr/>
        <w:t>（二十六）严重重症肌无力</w:t>
      </w:r>
    </w:p>
    <w:p>
      <w:pPr>
        <w:pStyle w:val="BodyText"/>
        <w:spacing w:line="273" w:lineRule="auto"/>
        <w:ind w:right="9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7"/>
      </w:pPr>
      <w:r>
        <w:rPr/>
        <w:t>（1）经药物或胸腺手术治疗一年以上无法控制病情，丧失正常工作能力;</w:t>
      </w:r>
    </w:p>
    <w:p>
      <w:pPr>
        <w:pStyle w:val="BodyText"/>
        <w:spacing w:line="273" w:lineRule="auto" w:before="36"/>
        <w:ind w:left="2626" w:right="135" w:hanging="526"/>
      </w:pPr>
      <w:r>
        <w:rPr>
          <w:spacing w:val="-5"/>
        </w:rPr>
        <w:t>（2）</w:t>
      </w:r>
      <w:r>
        <w:rPr>
          <w:spacing w:val="-6"/>
        </w:rPr>
        <w:t>出现眼睑下垂，或延髓肌受累引起的构音困难、进食呛咳,或由于肌无力</w:t>
      </w:r>
      <w:r>
        <w:rPr>
          <w:spacing w:val="-8"/>
        </w:rPr>
        <w:t>累及延髓肌、呼吸肌而致机体呼吸功能不正常的危急状态即肌无力危象;</w:t>
      </w:r>
    </w:p>
    <w:p>
      <w:pPr>
        <w:pStyle w:val="BodyText"/>
        <w:spacing w:before="7"/>
        <w:jc w:val="both"/>
      </w:pPr>
      <w:r>
        <w:rPr/>
        <w:t>（3）症状缓解、复发及恶化的交替出现，临床接受新斯的明等抗胆碱酯酶药</w:t>
      </w:r>
    </w:p>
    <w:p>
      <w:pPr>
        <w:spacing w:after="0"/>
        <w:jc w:val="both"/>
        <w:sectPr>
          <w:pgSz w:w="11910" w:h="16840"/>
          <w:pgMar w:top="1080" w:bottom="280" w:left="1680" w:right="880"/>
        </w:sectPr>
      </w:pPr>
    </w:p>
    <w:p>
      <w:pPr>
        <w:pStyle w:val="BodyText"/>
        <w:spacing w:before="22"/>
        <w:ind w:left="2626"/>
      </w:pPr>
      <w:r>
        <w:rPr/>
        <w:t>物治疗的病史。</w:t>
      </w:r>
    </w:p>
    <w:p>
      <w:pPr>
        <w:pStyle w:val="BodyText"/>
        <w:spacing w:before="0"/>
        <w:ind w:left="0"/>
        <w:rPr>
          <w:sz w:val="20"/>
        </w:rPr>
      </w:pPr>
    </w:p>
    <w:p>
      <w:pPr>
        <w:pStyle w:val="BodyText"/>
        <w:spacing w:before="0"/>
        <w:ind w:left="0"/>
        <w:rPr>
          <w:sz w:val="20"/>
        </w:rPr>
      </w:pPr>
    </w:p>
    <w:p>
      <w:pPr>
        <w:pStyle w:val="Heading3"/>
        <w:spacing w:before="138"/>
      </w:pPr>
      <w:r>
        <w:rPr/>
        <w:t>（二十七）严重多发性硬化</w:t>
      </w:r>
    </w:p>
    <w:p>
      <w:pPr>
        <w:pStyle w:val="BodyText"/>
        <w:spacing w:line="273" w:lineRule="auto"/>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8"/>
      </w:pPr>
      <w:r>
        <w:rPr/>
        <w:t>（1）移动：自己从一个房间移动到另一个房间；或者</w:t>
      </w:r>
    </w:p>
    <w:p>
      <w:pPr>
        <w:pStyle w:val="BodyText"/>
      </w:pPr>
      <w:r>
        <w:rPr/>
        <w:t>（2）进食：自己从已准备好的碗或碟中取食物放入口中。</w:t>
      </w:r>
    </w:p>
    <w:p>
      <w:pPr>
        <w:pStyle w:val="BodyText"/>
        <w:spacing w:before="8"/>
        <w:ind w:left="0"/>
        <w:rPr>
          <w:sz w:val="26"/>
        </w:rPr>
      </w:pPr>
    </w:p>
    <w:p>
      <w:pPr>
        <w:pStyle w:val="Heading3"/>
      </w:pPr>
      <w:r>
        <w:rPr/>
        <w:t>（二十八）严重冠心病</w:t>
      </w:r>
    </w:p>
    <w:p>
      <w:pPr>
        <w:pStyle w:val="BodyText"/>
        <w:spacing w:line="273" w:lineRule="auto" w:before="36"/>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ind w:left="0"/>
        <w:rPr>
          <w:sz w:val="24"/>
        </w:rPr>
      </w:pPr>
    </w:p>
    <w:p>
      <w:pPr>
        <w:pStyle w:val="Heading3"/>
      </w:pPr>
      <w:r>
        <w:rPr/>
        <w:t>（二十九）严重心肌病</w:t>
      </w:r>
    </w:p>
    <w:p>
      <w:pPr>
        <w:pStyle w:val="BodyText"/>
        <w:spacing w:line="273" w:lineRule="auto"/>
        <w:ind w:right="136"/>
        <w:jc w:val="both"/>
      </w:pPr>
      <w:r>
        <w:rPr>
          <w:spacing w:val="-5"/>
        </w:rPr>
        <w:t>指被保险人因心肌病导致慢性心功能损害造成永久不可逆性的心功能衰竭。心</w:t>
      </w:r>
      <w:r>
        <w:rPr>
          <w:spacing w:val="-6"/>
        </w:rPr>
        <w:t>功能衰竭程度达到美国纽约心脏病学会的心功能分级标准之心功能Ⅳ级。被保</w:t>
      </w:r>
      <w:r>
        <w:rPr>
          <w:spacing w:val="-3"/>
        </w:rPr>
        <w:t>险人永久不可逆性的体力活动能力受限，不能从事任何体力活动。</w:t>
      </w:r>
    </w:p>
    <w:p>
      <w:pPr>
        <w:pStyle w:val="BodyText"/>
        <w:spacing w:before="5"/>
        <w:ind w:left="0"/>
        <w:rPr>
          <w:sz w:val="24"/>
        </w:rPr>
      </w:pPr>
    </w:p>
    <w:p>
      <w:pPr>
        <w:pStyle w:val="Heading3"/>
      </w:pPr>
      <w:r>
        <w:rPr/>
        <w:t>（三十）严重系统性红斑狼疮性肾病 － Ⅲ型或Ⅲ型以上狼疮性肾炎</w:t>
      </w:r>
    </w:p>
    <w:p>
      <w:pPr>
        <w:pStyle w:val="BodyText"/>
        <w:spacing w:line="273" w:lineRule="auto" w:before="36"/>
        <w:ind w:right="107"/>
      </w:pPr>
      <w:r>
        <w:rPr/>
        <w:t>系统性红斑狼疮是由多种因素引起，累及多系统的自身免疫性疾病。其特点是生成自身抗体对抗多种自身抗原。多见于育龄妇女。</w:t>
      </w:r>
    </w:p>
    <w:p>
      <w:pPr>
        <w:pStyle w:val="BodyText"/>
        <w:spacing w:line="273" w:lineRule="auto" w:before="7"/>
        <w:ind w:right="135"/>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pPr>
      <w:r>
        <w:rPr>
          <w:u w:val="single"/>
        </w:rPr>
        <w:t>世界卫生组织（WHO）狼疮性肾炎分型：</w:t>
      </w:r>
    </w:p>
    <w:p>
      <w:pPr>
        <w:pStyle w:val="BodyText"/>
        <w:spacing w:before="9"/>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1"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2"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8"/>
        <w:ind w:left="0"/>
        <w:rPr>
          <w:sz w:val="26"/>
        </w:rPr>
      </w:pPr>
    </w:p>
    <w:p>
      <w:pPr>
        <w:pStyle w:val="Heading3"/>
      </w:pPr>
      <w:r>
        <w:rPr/>
        <w:t>（三十一）经输血导致的人类免疫缺陷病毒感染</w:t>
      </w:r>
    </w:p>
    <w:p>
      <w:pPr>
        <w:pStyle w:val="BodyText"/>
        <w:spacing w:before="36"/>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before="36"/>
        <w:ind w:left="2626" w:right="140" w:hanging="526"/>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line="273" w:lineRule="auto"/>
        <w:ind w:right="138"/>
      </w:pPr>
      <w:r>
        <w:rPr>
          <w:spacing w:val="-5"/>
        </w:rPr>
        <w:t>在任何治愈艾滋病</w:t>
      </w:r>
      <w:r>
        <w:rPr>
          <w:spacing w:val="-3"/>
        </w:rPr>
        <w:t>（AIDS）</w:t>
      </w:r>
      <w:r>
        <w:rPr>
          <w:spacing w:val="-11"/>
        </w:rPr>
        <w:t>或阻止 </w:t>
      </w:r>
      <w:r>
        <w:rPr/>
        <w:t>HIV</w:t>
      </w:r>
      <w:r>
        <w:rPr>
          <w:spacing w:val="-8"/>
        </w:rPr>
        <w:t> 病毒作用的疗法被发现以后，或当能防</w:t>
      </w:r>
      <w:r>
        <w:rPr>
          <w:spacing w:val="-19"/>
        </w:rPr>
        <w:t>止 </w:t>
      </w:r>
      <w:r>
        <w:rPr/>
        <w:t>AIDS</w:t>
      </w:r>
      <w:r>
        <w:rPr>
          <w:spacing w:val="-8"/>
        </w:rPr>
        <w:t> 发生的医疗方法被研究出来以后，本保障将不再予以赔付。</w:t>
      </w:r>
    </w:p>
    <w:p>
      <w:pPr>
        <w:pStyle w:val="BodyText"/>
        <w:spacing w:before="8"/>
      </w:pPr>
      <w:r>
        <w:rPr/>
        <w:t>任何因其他传播方式（包括：性传播或静脉注射毒品）导致的 HIV 感染不在本</w:t>
      </w:r>
    </w:p>
    <w:p>
      <w:pPr>
        <w:spacing w:after="0"/>
        <w:sectPr>
          <w:pgSz w:w="11910" w:h="16840"/>
          <w:pgMar w:top="1080" w:bottom="280" w:left="1680" w:right="880"/>
        </w:sectPr>
      </w:pPr>
    </w:p>
    <w:p>
      <w:pPr>
        <w:pStyle w:val="BodyText"/>
        <w:spacing w:line="273" w:lineRule="auto" w:before="22"/>
        <w:ind w:right="135"/>
      </w:pPr>
      <w:r>
        <w:rPr>
          <w:spacing w:val="-8"/>
        </w:rPr>
        <w:t>保单保障范围内。保险公司必须拥有获得使用被保险人的所有血液样本的权利</w:t>
      </w:r>
      <w:r>
        <w:rPr>
          <w:spacing w:val="-5"/>
        </w:rPr>
        <w:t>和能够对这些样本进行独立检验的权利。</w:t>
      </w:r>
    </w:p>
    <w:p>
      <w:pPr>
        <w:pStyle w:val="BodyText"/>
        <w:spacing w:before="6"/>
        <w:ind w:left="0"/>
        <w:rPr>
          <w:sz w:val="24"/>
        </w:rPr>
      </w:pPr>
    </w:p>
    <w:p>
      <w:pPr>
        <w:pStyle w:val="Heading3"/>
        <w:jc w:val="both"/>
      </w:pPr>
      <w:r>
        <w:rPr/>
        <w:t>（三十二）严重类风湿性关节炎</w:t>
      </w:r>
    </w:p>
    <w:p>
      <w:pPr>
        <w:pStyle w:val="BodyText"/>
        <w:spacing w:line="273" w:lineRule="auto"/>
        <w:ind w:right="135"/>
        <w:jc w:val="both"/>
      </w:pPr>
      <w:r>
        <w:rPr>
          <w:spacing w:val="-6"/>
        </w:rPr>
        <w:t>指广泛分布的慢性进行性多关节病变，表现为关节严重变形，侵犯至少三个主</w:t>
      </w:r>
      <w:r>
        <w:rPr>
          <w:spacing w:val="-4"/>
        </w:rPr>
        <w:t>要关节(腕关节、肘关节、肩关节、踝关节、膝关节、髋关节)或关节组(如手</w:t>
      </w:r>
      <w:r>
        <w:rPr>
          <w:spacing w:val="-3"/>
        </w:rPr>
        <w:t>的多个指间、掌指关节，足的多个足趾、跖趾关节等)。类风湿性关节炎须明</w:t>
      </w:r>
      <w:r>
        <w:rPr>
          <w:spacing w:val="-5"/>
        </w:rPr>
        <w:t>确诊断，并已达到类风湿性关节炎功能分类 </w:t>
      </w:r>
      <w:r>
        <w:rPr/>
        <w:t>IV</w:t>
      </w:r>
      <w:r>
        <w:rPr>
          <w:spacing w:val="-8"/>
        </w:rPr>
        <w:t> 级的永久不可逆性关节功能障</w:t>
      </w:r>
      <w:r>
        <w:rPr>
          <w:spacing w:val="-5"/>
        </w:rPr>
        <w:t>碍，且须满足下列全部条件：</w:t>
      </w:r>
    </w:p>
    <w:p>
      <w:pPr>
        <w:spacing w:line="286" w:lineRule="exact" w:before="0"/>
        <w:ind w:left="2101" w:right="0" w:firstLine="0"/>
        <w:jc w:val="both"/>
        <w:rPr>
          <w:sz w:val="21"/>
        </w:rPr>
      </w:pPr>
      <w:r>
        <w:rPr>
          <w:sz w:val="22"/>
        </w:rPr>
        <w:t>（1）</w:t>
      </w:r>
      <w:r>
        <w:rPr>
          <w:sz w:val="21"/>
        </w:rPr>
        <w:t>晨僵;</w:t>
      </w:r>
    </w:p>
    <w:p>
      <w:pPr>
        <w:spacing w:before="24"/>
        <w:ind w:left="2101" w:right="0" w:firstLine="0"/>
        <w:jc w:val="both"/>
        <w:rPr>
          <w:sz w:val="21"/>
        </w:rPr>
      </w:pPr>
      <w:r>
        <w:rPr>
          <w:sz w:val="22"/>
        </w:rPr>
        <w:t>（2）</w:t>
      </w:r>
      <w:r>
        <w:rPr>
          <w:sz w:val="21"/>
        </w:rPr>
        <w:t>对称性关节炎;</w:t>
      </w:r>
    </w:p>
    <w:p>
      <w:pPr>
        <w:spacing w:before="24"/>
        <w:ind w:left="2101" w:right="0" w:firstLine="0"/>
        <w:jc w:val="both"/>
        <w:rPr>
          <w:sz w:val="21"/>
        </w:rPr>
      </w:pPr>
      <w:r>
        <w:rPr>
          <w:sz w:val="22"/>
        </w:rPr>
        <w:t>（3）</w:t>
      </w:r>
      <w:r>
        <w:rPr>
          <w:sz w:val="21"/>
        </w:rPr>
        <w:t>类风湿性皮下结节;</w:t>
      </w:r>
    </w:p>
    <w:p>
      <w:pPr>
        <w:spacing w:before="24"/>
        <w:ind w:left="2101" w:right="0" w:firstLine="0"/>
        <w:jc w:val="both"/>
        <w:rPr>
          <w:sz w:val="21"/>
        </w:rPr>
      </w:pPr>
      <w:r>
        <w:rPr>
          <w:sz w:val="22"/>
        </w:rPr>
        <w:t>（4）</w:t>
      </w:r>
      <w:r>
        <w:rPr>
          <w:sz w:val="21"/>
        </w:rPr>
        <w:t>类风湿因子滴度升高;</w:t>
      </w:r>
    </w:p>
    <w:p>
      <w:pPr>
        <w:pStyle w:val="BodyText"/>
        <w:spacing w:before="24"/>
        <w:jc w:val="both"/>
      </w:pPr>
      <w:r>
        <w:rPr>
          <w:sz w:val="22"/>
        </w:rPr>
        <w:t>（5）</w:t>
      </w:r>
      <w:r>
        <w:rPr/>
        <w:t>X 线显示严重的关节(软骨和骨)破坏和关节畸形。</w:t>
      </w:r>
    </w:p>
    <w:p>
      <w:pPr>
        <w:pStyle w:val="BodyText"/>
        <w:spacing w:before="0"/>
        <w:ind w:left="0"/>
        <w:rPr>
          <w:sz w:val="22"/>
        </w:rPr>
      </w:pPr>
    </w:p>
    <w:p>
      <w:pPr>
        <w:pStyle w:val="BodyText"/>
        <w:spacing w:before="2"/>
        <w:ind w:left="0"/>
        <w:rPr>
          <w:sz w:val="28"/>
        </w:rPr>
      </w:pPr>
    </w:p>
    <w:p>
      <w:pPr>
        <w:pStyle w:val="Heading3"/>
        <w:jc w:val="both"/>
      </w:pPr>
      <w:r>
        <w:rPr/>
        <w:t>（三十三）严重脊髓灰质炎</w:t>
      </w:r>
    </w:p>
    <w:p>
      <w:pPr>
        <w:pStyle w:val="BodyText"/>
        <w:spacing w:line="273" w:lineRule="auto" w:before="36"/>
        <w:ind w:right="13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Heading3"/>
        <w:jc w:val="both"/>
      </w:pPr>
      <w:r>
        <w:rPr/>
        <w:t>（三十四）终末期肺病</w:t>
      </w:r>
    </w:p>
    <w:p>
      <w:pPr>
        <w:pStyle w:val="BodyText"/>
        <w:jc w:val="both"/>
      </w:pPr>
      <w:r>
        <w:rPr/>
        <w:t>经呼吸科专科医生明确诊断为终末期肺病，且须同时满足下列条件：</w:t>
      </w:r>
    </w:p>
    <w:p>
      <w:pPr>
        <w:pStyle w:val="BodyText"/>
        <w:spacing w:before="27"/>
        <w:jc w:val="both"/>
      </w:pPr>
      <w:r>
        <w:rPr>
          <w:sz w:val="22"/>
        </w:rPr>
        <w:t>（1）</w:t>
      </w:r>
      <w:r>
        <w:rPr/>
        <w:t>肺功能测试其 FEVB1B 持续低于 0.75 升；</w:t>
      </w:r>
    </w:p>
    <w:p>
      <w:pPr>
        <w:pStyle w:val="BodyText"/>
        <w:spacing w:before="23"/>
        <w:jc w:val="both"/>
      </w:pPr>
      <w:r>
        <w:rPr>
          <w:sz w:val="22"/>
        </w:rPr>
        <w:t>（2）</w:t>
      </w:r>
      <w:r>
        <w:rPr/>
        <w:t>病人缺氧必须广泛而持续地进行输氧治疗；</w:t>
      </w:r>
    </w:p>
    <w:p>
      <w:pPr>
        <w:pStyle w:val="BodyText"/>
        <w:spacing w:before="23"/>
        <w:jc w:val="both"/>
      </w:pPr>
      <w:r>
        <w:rPr>
          <w:sz w:val="22"/>
        </w:rPr>
        <w:t>（3）</w:t>
      </w:r>
      <w:r>
        <w:rPr/>
        <w:t>动脉血气分析氧分压低于 55mmHg；</w:t>
      </w:r>
    </w:p>
    <w:p>
      <w:pPr>
        <w:spacing w:before="23"/>
        <w:ind w:left="2101" w:right="0" w:firstLine="0"/>
        <w:jc w:val="both"/>
        <w:rPr>
          <w:sz w:val="21"/>
        </w:rPr>
      </w:pPr>
      <w:r>
        <w:rPr>
          <w:sz w:val="22"/>
        </w:rPr>
        <w:t>（4）</w:t>
      </w:r>
      <w:r>
        <w:rPr>
          <w:sz w:val="21"/>
        </w:rPr>
        <w:t>出现慢性呼吸功能衰竭。</w:t>
      </w:r>
    </w:p>
    <w:p>
      <w:pPr>
        <w:pStyle w:val="BodyText"/>
        <w:spacing w:before="32"/>
        <w:jc w:val="both"/>
      </w:pPr>
      <w:r>
        <w:rPr/>
        <w:t>因职业因素造成的肺部疾病不在保障范围内。</w:t>
      </w:r>
    </w:p>
    <w:p>
      <w:pPr>
        <w:pStyle w:val="BodyText"/>
        <w:spacing w:before="8"/>
        <w:ind w:left="0"/>
        <w:rPr>
          <w:sz w:val="26"/>
        </w:rPr>
      </w:pPr>
    </w:p>
    <w:p>
      <w:pPr>
        <w:pStyle w:val="Heading3"/>
        <w:jc w:val="both"/>
      </w:pPr>
      <w:r>
        <w:rPr/>
        <w:t>（三十五）严重克隆病</w:t>
      </w:r>
    </w:p>
    <w:p>
      <w:pPr>
        <w:pStyle w:val="BodyText"/>
        <w:jc w:val="both"/>
      </w:pPr>
      <w:r>
        <w:rPr/>
        <w:t>指一种肉芽肿性肠炎。且须满足下列所有条件：</w:t>
      </w:r>
    </w:p>
    <w:p>
      <w:pPr>
        <w:pStyle w:val="BodyText"/>
        <w:jc w:val="both"/>
      </w:pPr>
      <w:r>
        <w:rPr/>
        <w:t>（1）已经造成瘘管并伴有肠梗阻或肠穿孔；</w:t>
      </w:r>
    </w:p>
    <w:p>
      <w:pPr>
        <w:pStyle w:val="BodyText"/>
        <w:jc w:val="both"/>
      </w:pPr>
      <w:r>
        <w:rPr/>
        <w:t>（2）有结肠镜检查和组织病理学检查作为诊断依据。</w:t>
      </w:r>
    </w:p>
    <w:p>
      <w:pPr>
        <w:pStyle w:val="BodyText"/>
        <w:spacing w:before="9"/>
        <w:ind w:left="0"/>
        <w:rPr>
          <w:sz w:val="26"/>
        </w:rPr>
      </w:pPr>
    </w:p>
    <w:p>
      <w:pPr>
        <w:pStyle w:val="Heading3"/>
        <w:jc w:val="both"/>
      </w:pPr>
      <w:r>
        <w:rPr/>
        <w:t>（三十六）严重溃疡性结肠炎</w:t>
      </w:r>
    </w:p>
    <w:p>
      <w:pPr>
        <w:pStyle w:val="BodyText"/>
        <w:spacing w:line="273" w:lineRule="auto" w:before="36"/>
        <w:ind w:right="99"/>
        <w:jc w:val="both"/>
      </w:pPr>
      <w:r>
        <w:rPr>
          <w:spacing w:val="-3"/>
        </w:rPr>
        <w:t>指伴有致命性电解质紊乱的急性暴发性溃疡性结肠炎，病变已经累及全结肠， </w:t>
      </w:r>
      <w:r>
        <w:rPr>
          <w:spacing w:val="-6"/>
        </w:rPr>
        <w:t>表现为严重的血便和系统性症状体征，须由病理学检查结果证实，且已经实施</w:t>
      </w:r>
      <w:r>
        <w:rPr>
          <w:spacing w:val="-4"/>
        </w:rPr>
        <w:t>了结肠切除或回肠造瘘术。</w:t>
      </w:r>
    </w:p>
    <w:p>
      <w:pPr>
        <w:pStyle w:val="BodyText"/>
        <w:spacing w:before="5"/>
        <w:ind w:left="0"/>
        <w:rPr>
          <w:sz w:val="24"/>
        </w:rPr>
      </w:pPr>
    </w:p>
    <w:p>
      <w:pPr>
        <w:pStyle w:val="Heading3"/>
        <w:jc w:val="both"/>
      </w:pPr>
      <w:r>
        <w:rPr/>
        <w:t>（三十七）持续植物人状态</w:t>
      </w:r>
    </w:p>
    <w:p>
      <w:pPr>
        <w:pStyle w:val="BodyText"/>
        <w:spacing w:line="273" w:lineRule="auto"/>
        <w:ind w:right="135"/>
        <w:jc w:val="both"/>
      </w:pPr>
      <w:r>
        <w:rPr>
          <w:spacing w:val="-6"/>
        </w:rPr>
        <w:t>指由于严重颅脑外伤、缺氧持续状态、严重的脑炎或者某种神经毒素造成大脑</w:t>
      </w:r>
      <w:r>
        <w:rPr>
          <w:spacing w:val="-8"/>
        </w:rPr>
        <w:t>或脑干严重损害，并导致意识丧失和中枢神经系统功能丧失，仅残存植物神经</w:t>
      </w:r>
      <w:r>
        <w:rPr>
          <w:spacing w:val="-7"/>
        </w:rPr>
        <w:t>功能的疾病状态，且植物人状态须已持续 </w:t>
      </w:r>
      <w:r>
        <w:rPr/>
        <w:t>30</w:t>
      </w:r>
      <w:r>
        <w:rPr>
          <w:spacing w:val="-10"/>
        </w:rPr>
        <w:t> 天以上。</w:t>
      </w:r>
    </w:p>
    <w:p>
      <w:pPr>
        <w:spacing w:after="0" w:line="273" w:lineRule="auto"/>
        <w:jc w:val="both"/>
        <w:sectPr>
          <w:pgSz w:w="11910" w:h="16840"/>
          <w:pgMar w:top="1080" w:bottom="280" w:left="1680" w:right="880"/>
        </w:sectPr>
      </w:pPr>
    </w:p>
    <w:tbl>
      <w:tblPr>
        <w:tblW w:w="0" w:type="auto"/>
        <w:jc w:val="left"/>
        <w:tblInd w:w="1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13"/>
      </w:tblGrid>
      <w:tr>
        <w:trPr>
          <w:trHeight w:val="11339" w:hRule="atLeast"/>
        </w:trPr>
        <w:tc>
          <w:tcPr>
            <w:tcW w:w="7613" w:type="dxa"/>
          </w:tcPr>
          <w:p>
            <w:pPr>
              <w:pStyle w:val="TableParagraph"/>
              <w:spacing w:line="211" w:lineRule="exact"/>
              <w:ind w:left="200"/>
              <w:rPr>
                <w:b/>
                <w:sz w:val="21"/>
              </w:rPr>
            </w:pPr>
            <w:r>
              <w:rPr>
                <w:b/>
                <w:sz w:val="21"/>
              </w:rPr>
              <w:t>（三十八）严重胰岛素依赖型糖尿病</w:t>
            </w:r>
          </w:p>
          <w:p>
            <w:pPr>
              <w:pStyle w:val="TableParagraph"/>
              <w:spacing w:line="273" w:lineRule="auto" w:before="37"/>
              <w:ind w:left="200" w:right="301"/>
              <w:jc w:val="both"/>
              <w:rPr>
                <w:sz w:val="21"/>
              </w:rPr>
            </w:pPr>
            <w:r>
              <w:rPr>
                <w:spacing w:val="-6"/>
                <w:sz w:val="21"/>
              </w:rPr>
              <w:t>指由于胰岛素分泌绝对不足引起的慢性血糖升高，经血胰岛素测定、血 </w:t>
            </w:r>
            <w:r>
              <w:rPr>
                <w:sz w:val="21"/>
              </w:rPr>
              <w:t>c</w:t>
            </w:r>
            <w:r>
              <w:rPr>
                <w:spacing w:val="-15"/>
                <w:sz w:val="21"/>
              </w:rPr>
              <w:t> 肽测</w:t>
            </w:r>
            <w:r>
              <w:rPr>
                <w:spacing w:val="-14"/>
                <w:sz w:val="21"/>
              </w:rPr>
              <w:t>定或尿 </w:t>
            </w:r>
            <w:r>
              <w:rPr>
                <w:sz w:val="21"/>
              </w:rPr>
              <w:t>c</w:t>
            </w:r>
            <w:r>
              <w:rPr>
                <w:spacing w:val="-17"/>
                <w:sz w:val="21"/>
              </w:rPr>
              <w:t> 肽测定结果证实，且已经持续性的依赖外源性胰岛素维持 </w:t>
            </w:r>
            <w:r>
              <w:rPr>
                <w:sz w:val="21"/>
              </w:rPr>
              <w:t>180</w:t>
            </w:r>
            <w:r>
              <w:rPr>
                <w:spacing w:val="-13"/>
                <w:sz w:val="21"/>
              </w:rPr>
              <w:t> 天以上; </w:t>
            </w:r>
            <w:r>
              <w:rPr>
                <w:spacing w:val="-6"/>
                <w:sz w:val="21"/>
              </w:rPr>
              <w:t>须至少满足下列一个条件：</w:t>
            </w:r>
          </w:p>
          <w:p>
            <w:pPr>
              <w:pStyle w:val="TableParagraph"/>
              <w:spacing w:before="7"/>
              <w:ind w:left="200"/>
              <w:rPr>
                <w:sz w:val="21"/>
              </w:rPr>
            </w:pPr>
            <w:r>
              <w:rPr>
                <w:sz w:val="21"/>
              </w:rPr>
              <w:t>（1）已出现增殖性视网膜病变;</w:t>
            </w:r>
          </w:p>
          <w:p>
            <w:pPr>
              <w:pStyle w:val="TableParagraph"/>
              <w:spacing w:before="36"/>
              <w:ind w:left="200"/>
              <w:rPr>
                <w:sz w:val="21"/>
              </w:rPr>
            </w:pPr>
            <w:r>
              <w:rPr>
                <w:sz w:val="21"/>
              </w:rPr>
              <w:t>（2）须植入心脏起搏器治疗心脏病;</w:t>
            </w:r>
          </w:p>
          <w:p>
            <w:pPr>
              <w:pStyle w:val="TableParagraph"/>
              <w:spacing w:before="36"/>
              <w:ind w:left="200"/>
              <w:rPr>
                <w:sz w:val="21"/>
              </w:rPr>
            </w:pPr>
            <w:r>
              <w:rPr>
                <w:sz w:val="21"/>
              </w:rPr>
              <w:t>（3）因坏疽需切除至少一个脚趾。</w:t>
            </w:r>
          </w:p>
          <w:p>
            <w:pPr>
              <w:pStyle w:val="TableParagraph"/>
              <w:spacing w:before="8"/>
              <w:rPr>
                <w:sz w:val="26"/>
              </w:rPr>
            </w:pPr>
          </w:p>
          <w:p>
            <w:pPr>
              <w:pStyle w:val="TableParagraph"/>
              <w:ind w:left="200"/>
              <w:rPr>
                <w:b/>
                <w:sz w:val="21"/>
              </w:rPr>
            </w:pPr>
            <w:r>
              <w:rPr>
                <w:b/>
                <w:sz w:val="21"/>
              </w:rPr>
              <w:t>（三十九）急性坏死性胰腺炎开腹手术</w:t>
            </w:r>
          </w:p>
          <w:p>
            <w:pPr>
              <w:pStyle w:val="TableParagraph"/>
              <w:spacing w:line="273" w:lineRule="auto" w:before="37"/>
              <w:ind w:left="200" w:right="271"/>
              <w:rPr>
                <w:sz w:val="21"/>
              </w:rPr>
            </w:pPr>
            <w:r>
              <w:rPr>
                <w:sz w:val="21"/>
              </w:rPr>
              <w:t>指为治疗急性坏死性胰腺炎，实际实施了开腹进行的坏死组织清除术、病灶切除术或胰腺部分切除术。</w:t>
            </w:r>
          </w:p>
          <w:p>
            <w:pPr>
              <w:pStyle w:val="TableParagraph"/>
              <w:spacing w:before="8"/>
              <w:ind w:left="200"/>
              <w:rPr>
                <w:sz w:val="21"/>
              </w:rPr>
            </w:pPr>
            <w:r>
              <w:rPr>
                <w:sz w:val="21"/>
              </w:rPr>
              <w:t>为治疗因酒精中毒引起的急性坏死性胰腺炎的开腹手术不在保障范围内。</w:t>
            </w:r>
          </w:p>
          <w:p>
            <w:pPr>
              <w:pStyle w:val="TableParagraph"/>
              <w:spacing w:before="9"/>
              <w:rPr>
                <w:sz w:val="26"/>
              </w:rPr>
            </w:pPr>
          </w:p>
          <w:p>
            <w:pPr>
              <w:pStyle w:val="TableParagraph"/>
              <w:ind w:left="200"/>
              <w:rPr>
                <w:b/>
                <w:sz w:val="21"/>
              </w:rPr>
            </w:pPr>
            <w:r>
              <w:rPr>
                <w:b/>
                <w:sz w:val="21"/>
              </w:rPr>
              <w:t>（四十）非阿尔茨海默病所致严重痴呆</w:t>
            </w:r>
          </w:p>
          <w:p>
            <w:pPr>
              <w:pStyle w:val="TableParagraph"/>
              <w:spacing w:line="273" w:lineRule="auto" w:before="36"/>
              <w:ind w:left="200" w:right="267"/>
              <w:rPr>
                <w:sz w:val="21"/>
              </w:rPr>
            </w:pPr>
            <w:r>
              <w:rPr>
                <w:spacing w:val="-3"/>
                <w:sz w:val="21"/>
              </w:rPr>
              <w:t>指因阿尔茨海默病以外的脑的器质性疾病造成脑功能衰竭导致永久不可逆性 </w:t>
            </w:r>
            <w:r>
              <w:rPr>
                <w:spacing w:val="-7"/>
                <w:sz w:val="21"/>
              </w:rPr>
              <w:t>严重痴呆，临床表现为明显的认知能力障碍、行为异常和社交能力减退。被保</w:t>
            </w:r>
            <w:r>
              <w:rPr>
                <w:spacing w:val="-8"/>
                <w:sz w:val="21"/>
              </w:rPr>
              <w:t>险人自主生活能力完全丧失，无法独立完成六项基本日常生活活动中的三项或</w:t>
            </w:r>
            <w:r>
              <w:rPr>
                <w:spacing w:val="-5"/>
                <w:sz w:val="21"/>
              </w:rPr>
              <w:t>三项以上，日常生活必须持续受到他人监护。导致痴呆的疾病必须明确诊断， </w:t>
            </w:r>
            <w:r>
              <w:rPr>
                <w:spacing w:val="-3"/>
                <w:sz w:val="21"/>
              </w:rPr>
              <w:t>并且由完整的临床、实验室和影像学检查结果证实。</w:t>
            </w:r>
          </w:p>
          <w:p>
            <w:pPr>
              <w:pStyle w:val="TableParagraph"/>
              <w:spacing w:before="7"/>
              <w:ind w:left="200"/>
              <w:rPr>
                <w:sz w:val="21"/>
              </w:rPr>
            </w:pPr>
            <w:r>
              <w:rPr>
                <w:sz w:val="21"/>
              </w:rPr>
              <w:t>神经官能症，精神疾病及酒精中毒所致脑损害不在保障范围内。</w:t>
            </w:r>
          </w:p>
          <w:p>
            <w:pPr>
              <w:pStyle w:val="TableParagraph"/>
              <w:spacing w:before="8"/>
              <w:rPr>
                <w:sz w:val="26"/>
              </w:rPr>
            </w:pPr>
          </w:p>
          <w:p>
            <w:pPr>
              <w:pStyle w:val="TableParagraph"/>
              <w:ind w:left="200"/>
              <w:rPr>
                <w:b/>
                <w:sz w:val="21"/>
              </w:rPr>
            </w:pPr>
            <w:r>
              <w:rPr>
                <w:b/>
                <w:sz w:val="21"/>
              </w:rPr>
              <w:t>（四十一）坏死性筋膜炎</w:t>
            </w:r>
          </w:p>
          <w:p>
            <w:pPr>
              <w:pStyle w:val="TableParagraph"/>
              <w:spacing w:before="36"/>
              <w:ind w:left="200"/>
              <w:rPr>
                <w:sz w:val="21"/>
              </w:rPr>
            </w:pPr>
            <w:r>
              <w:rPr>
                <w:sz w:val="21"/>
              </w:rPr>
              <w:t>坏死性筋膜炎的诊断须同时符合下列要求：</w:t>
            </w:r>
          </w:p>
          <w:p>
            <w:pPr>
              <w:pStyle w:val="TableParagraph"/>
              <w:numPr>
                <w:ilvl w:val="0"/>
                <w:numId w:val="3"/>
              </w:numPr>
              <w:tabs>
                <w:tab w:pos="623" w:val="left" w:leader="none"/>
              </w:tabs>
              <w:spacing w:line="240" w:lineRule="auto" w:before="36" w:after="0"/>
              <w:ind w:left="200" w:right="0" w:firstLine="0"/>
              <w:jc w:val="left"/>
              <w:rPr>
                <w:sz w:val="21"/>
              </w:rPr>
            </w:pPr>
            <w:r>
              <w:rPr>
                <w:spacing w:val="-3"/>
                <w:sz w:val="21"/>
              </w:rPr>
              <w:t>符合坏死性筋膜炎的一般临床表现；</w:t>
            </w:r>
          </w:p>
          <w:p>
            <w:pPr>
              <w:pStyle w:val="TableParagraph"/>
              <w:numPr>
                <w:ilvl w:val="0"/>
                <w:numId w:val="3"/>
              </w:numPr>
              <w:tabs>
                <w:tab w:pos="623" w:val="left" w:leader="none"/>
              </w:tabs>
              <w:spacing w:line="240" w:lineRule="auto" w:before="37" w:after="0"/>
              <w:ind w:left="200" w:right="0" w:firstLine="0"/>
              <w:jc w:val="left"/>
              <w:rPr>
                <w:sz w:val="21"/>
              </w:rPr>
            </w:pPr>
            <w:r>
              <w:rPr>
                <w:spacing w:val="-3"/>
                <w:sz w:val="21"/>
              </w:rPr>
              <w:t>细菌培养检出致病菌；</w:t>
            </w:r>
          </w:p>
          <w:p>
            <w:pPr>
              <w:pStyle w:val="TableParagraph"/>
              <w:numPr>
                <w:ilvl w:val="0"/>
                <w:numId w:val="3"/>
              </w:numPr>
              <w:tabs>
                <w:tab w:pos="623" w:val="left" w:leader="none"/>
              </w:tabs>
              <w:spacing w:line="273" w:lineRule="auto" w:before="37" w:after="0"/>
              <w:ind w:left="200" w:right="473" w:firstLine="0"/>
              <w:jc w:val="left"/>
              <w:rPr>
                <w:sz w:val="21"/>
              </w:rPr>
            </w:pPr>
            <w:r>
              <w:rPr>
                <w:spacing w:val="-3"/>
                <w:sz w:val="21"/>
              </w:rPr>
              <w:t>出现广泛性肌肉及软组织坏死，并导致身体受影响部位永久完全失去功能。所谓永久完全失去功能是指受影响部位的功能丧失超过六个月者。</w:t>
            </w:r>
          </w:p>
          <w:p>
            <w:pPr>
              <w:pStyle w:val="TableParagraph"/>
              <w:spacing w:before="5"/>
              <w:rPr>
                <w:sz w:val="24"/>
              </w:rPr>
            </w:pPr>
          </w:p>
          <w:p>
            <w:pPr>
              <w:pStyle w:val="TableParagraph"/>
              <w:ind w:left="200"/>
              <w:rPr>
                <w:b/>
                <w:sz w:val="21"/>
              </w:rPr>
            </w:pPr>
            <w:r>
              <w:rPr>
                <w:b/>
                <w:sz w:val="21"/>
              </w:rPr>
              <w:t>（四十二）原发性硬化性胆管炎</w:t>
            </w:r>
          </w:p>
          <w:p>
            <w:pPr>
              <w:pStyle w:val="TableParagraph"/>
              <w:spacing w:line="273" w:lineRule="auto" w:before="37"/>
              <w:ind w:left="200" w:right="267"/>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4"/>
              </w:numPr>
              <w:tabs>
                <w:tab w:pos="832" w:val="left" w:leader="none"/>
              </w:tabs>
              <w:spacing w:line="240" w:lineRule="auto" w:before="8" w:after="0"/>
              <w:ind w:left="831" w:right="0" w:hanging="631"/>
              <w:jc w:val="left"/>
              <w:rPr>
                <w:sz w:val="21"/>
              </w:rPr>
            </w:pPr>
            <w:r>
              <w:rPr>
                <w:spacing w:val="-3"/>
                <w:sz w:val="21"/>
              </w:rPr>
              <w:t>总胆红素和直接胆红素同时升高，血清</w:t>
            </w:r>
            <w:r>
              <w:rPr>
                <w:sz w:val="21"/>
              </w:rPr>
              <w:t>ALP&gt;200U/L；</w:t>
            </w:r>
          </w:p>
          <w:p>
            <w:pPr>
              <w:pStyle w:val="TableParagraph"/>
              <w:numPr>
                <w:ilvl w:val="0"/>
                <w:numId w:val="4"/>
              </w:numPr>
              <w:tabs>
                <w:tab w:pos="832" w:val="left" w:leader="none"/>
              </w:tabs>
              <w:spacing w:line="240" w:lineRule="auto" w:before="37" w:after="0"/>
              <w:ind w:left="831" w:right="0" w:hanging="631"/>
              <w:jc w:val="left"/>
              <w:rPr>
                <w:sz w:val="21"/>
              </w:rPr>
            </w:pPr>
            <w:r>
              <w:rPr>
                <w:spacing w:val="-3"/>
                <w:sz w:val="21"/>
              </w:rPr>
              <w:t>持续性黄疸病史；</w:t>
            </w:r>
          </w:p>
          <w:p>
            <w:pPr>
              <w:pStyle w:val="TableParagraph"/>
              <w:numPr>
                <w:ilvl w:val="0"/>
                <w:numId w:val="4"/>
              </w:numPr>
              <w:tabs>
                <w:tab w:pos="832" w:val="left" w:leader="none"/>
              </w:tabs>
              <w:spacing w:line="240" w:lineRule="auto" w:before="37" w:after="0"/>
              <w:ind w:left="831" w:right="0" w:hanging="631"/>
              <w:jc w:val="left"/>
              <w:rPr>
                <w:sz w:val="21"/>
              </w:rPr>
            </w:pPr>
            <w:r>
              <w:rPr>
                <w:spacing w:val="-3"/>
                <w:sz w:val="21"/>
              </w:rPr>
              <w:t>出现胆汁性肝硬化或门脉高压。</w:t>
            </w:r>
          </w:p>
          <w:p>
            <w:pPr>
              <w:pStyle w:val="TableParagraph"/>
              <w:spacing w:before="38"/>
              <w:ind w:left="200"/>
              <w:rPr>
                <w:sz w:val="21"/>
              </w:rPr>
            </w:pPr>
            <w:r>
              <w:rPr>
                <w:sz w:val="21"/>
              </w:rPr>
              <w:t>因肿瘤或胆管损伤等继发性的硬化性胆管炎不在保障范围内。</w:t>
            </w:r>
          </w:p>
        </w:tc>
      </w:tr>
      <w:tr>
        <w:trPr>
          <w:trHeight w:val="2913" w:hRule="atLeast"/>
        </w:trPr>
        <w:tc>
          <w:tcPr>
            <w:tcW w:w="7613" w:type="dxa"/>
          </w:tcPr>
          <w:p>
            <w:pPr>
              <w:pStyle w:val="TableParagraph"/>
              <w:spacing w:before="142"/>
              <w:ind w:left="200"/>
              <w:rPr>
                <w:sz w:val="21"/>
              </w:rPr>
            </w:pPr>
            <w:r>
              <w:rPr>
                <w:sz w:val="21"/>
              </w:rPr>
              <w:t>上述 7.5 的释义中部分术语释义如下：</w:t>
            </w:r>
          </w:p>
          <w:p>
            <w:pPr>
              <w:pStyle w:val="TableParagraph"/>
              <w:spacing w:before="36"/>
              <w:ind w:left="200"/>
              <w:rPr>
                <w:sz w:val="21"/>
              </w:rPr>
            </w:pPr>
            <w:r>
              <w:rPr>
                <w:sz w:val="21"/>
              </w:rPr>
              <w:t>（一）肢体机能完全丧失</w:t>
            </w:r>
          </w:p>
          <w:p>
            <w:pPr>
              <w:pStyle w:val="TableParagraph"/>
              <w:spacing w:line="273" w:lineRule="auto" w:before="36"/>
              <w:ind w:left="200" w:right="307"/>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200"/>
              <w:rPr>
                <w:sz w:val="21"/>
              </w:rPr>
            </w:pPr>
            <w:r>
              <w:rPr>
                <w:sz w:val="21"/>
              </w:rPr>
              <w:t>（二）语言能力或咀嚼吞咽能力完全丧失</w:t>
            </w:r>
          </w:p>
          <w:p>
            <w:pPr>
              <w:pStyle w:val="TableParagraph"/>
              <w:spacing w:line="310" w:lineRule="atLeast" w:before="2"/>
              <w:ind w:left="200" w:right="198"/>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p>
        </w:tc>
      </w:tr>
    </w:tbl>
    <w:p>
      <w:pPr>
        <w:spacing w:after="0" w:line="310" w:lineRule="atLeast"/>
        <w:rPr>
          <w:sz w:val="21"/>
        </w:rPr>
        <w:sectPr>
          <w:pgSz w:w="11910" w:h="16840"/>
          <w:pgMar w:top="1160" w:bottom="280" w:left="16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13"/>
        <w:gridCol w:w="7455"/>
      </w:tblGrid>
      <w:tr>
        <w:trPr>
          <w:trHeight w:val="5410" w:hRule="atLeast"/>
        </w:trPr>
        <w:tc>
          <w:tcPr>
            <w:tcW w:w="734" w:type="dxa"/>
          </w:tcPr>
          <w:p>
            <w:pPr>
              <w:pStyle w:val="TableParagraph"/>
              <w:rPr>
                <w:rFonts w:ascii="Times New Roman"/>
                <w:sz w:val="20"/>
              </w:rPr>
            </w:pPr>
          </w:p>
        </w:tc>
        <w:tc>
          <w:tcPr>
            <w:tcW w:w="1913" w:type="dxa"/>
          </w:tcPr>
          <w:p>
            <w:pPr>
              <w:pStyle w:val="TableParagraph"/>
              <w:rPr>
                <w:rFonts w:ascii="Times New Roman"/>
                <w:sz w:val="20"/>
              </w:rPr>
            </w:pPr>
          </w:p>
        </w:tc>
        <w:tc>
          <w:tcPr>
            <w:tcW w:w="7455" w:type="dxa"/>
          </w:tcPr>
          <w:p>
            <w:pPr>
              <w:pStyle w:val="TableParagraph"/>
              <w:spacing w:line="211" w:lineRule="exact"/>
              <w:ind w:left="114"/>
              <w:rPr>
                <w:sz w:val="21"/>
              </w:rPr>
            </w:pPr>
            <w:r>
              <w:rPr>
                <w:sz w:val="21"/>
              </w:rPr>
              <w:t>不能作咀嚼吞咽运动，除流质食物外不能摄取或吞咽的状态。</w:t>
            </w:r>
          </w:p>
          <w:p>
            <w:pPr>
              <w:pStyle w:val="TableParagraph"/>
              <w:spacing w:before="9"/>
              <w:rPr>
                <w:sz w:val="26"/>
              </w:rPr>
            </w:pPr>
          </w:p>
          <w:p>
            <w:pPr>
              <w:pStyle w:val="TableParagraph"/>
              <w:spacing w:line="273" w:lineRule="auto"/>
              <w:ind w:left="114" w:right="4604"/>
              <w:rPr>
                <w:sz w:val="21"/>
              </w:rPr>
            </w:pPr>
            <w:r>
              <w:rPr>
                <w:sz w:val="21"/>
              </w:rPr>
              <w:t>（三）六项基本日常生活活动六项基本日常生活活动是指：</w:t>
            </w:r>
          </w:p>
          <w:p>
            <w:pPr>
              <w:pStyle w:val="TableParagraph"/>
              <w:spacing w:before="7"/>
              <w:ind w:left="114"/>
              <w:rPr>
                <w:sz w:val="21"/>
              </w:rPr>
            </w:pPr>
            <w:r>
              <w:rPr>
                <w:sz w:val="21"/>
              </w:rPr>
              <w:t>1．穿衣：自己能够穿衣及脱衣；</w:t>
            </w:r>
          </w:p>
          <w:p>
            <w:pPr>
              <w:pStyle w:val="TableParagraph"/>
              <w:spacing w:before="36"/>
              <w:ind w:left="114"/>
              <w:rPr>
                <w:sz w:val="21"/>
              </w:rPr>
            </w:pPr>
            <w:r>
              <w:rPr>
                <w:sz w:val="21"/>
              </w:rPr>
              <w:t>2．移动：自己从一个房间到另一个房间；</w:t>
            </w:r>
          </w:p>
          <w:p>
            <w:pPr>
              <w:pStyle w:val="TableParagraph"/>
              <w:spacing w:before="36"/>
              <w:ind w:left="114"/>
              <w:rPr>
                <w:sz w:val="21"/>
              </w:rPr>
            </w:pPr>
            <w:r>
              <w:rPr>
                <w:sz w:val="21"/>
              </w:rPr>
              <w:t>3．行动：自己上下床或上下轮椅；</w:t>
            </w:r>
          </w:p>
          <w:p>
            <w:pPr>
              <w:pStyle w:val="TableParagraph"/>
              <w:spacing w:before="36"/>
              <w:ind w:left="114"/>
              <w:rPr>
                <w:sz w:val="21"/>
              </w:rPr>
            </w:pPr>
            <w:r>
              <w:rPr>
                <w:sz w:val="21"/>
              </w:rPr>
              <w:t>4．如厕：自己控制进行大小便；</w:t>
            </w:r>
          </w:p>
          <w:p>
            <w:pPr>
              <w:pStyle w:val="TableParagraph"/>
              <w:spacing w:before="36"/>
              <w:ind w:left="114"/>
              <w:rPr>
                <w:sz w:val="21"/>
              </w:rPr>
            </w:pPr>
            <w:r>
              <w:rPr>
                <w:sz w:val="21"/>
              </w:rPr>
              <w:t>5．进食：自己从已准备好的碗或碟中取食物放入口中；</w:t>
            </w:r>
          </w:p>
          <w:p>
            <w:pPr>
              <w:pStyle w:val="TableParagraph"/>
              <w:spacing w:before="36"/>
              <w:ind w:left="114"/>
              <w:rPr>
                <w:sz w:val="21"/>
              </w:rPr>
            </w:pPr>
            <w:r>
              <w:rPr>
                <w:sz w:val="21"/>
              </w:rPr>
              <w:t>6．洗澡：自己进行淋浴或盆浴。</w:t>
            </w:r>
          </w:p>
          <w:p>
            <w:pPr>
              <w:pStyle w:val="TableParagraph"/>
              <w:spacing w:before="8"/>
              <w:rPr>
                <w:sz w:val="26"/>
              </w:rPr>
            </w:pPr>
          </w:p>
          <w:p>
            <w:pPr>
              <w:pStyle w:val="TableParagraph"/>
              <w:ind w:left="114"/>
              <w:rPr>
                <w:sz w:val="21"/>
              </w:rPr>
            </w:pPr>
            <w:r>
              <w:rPr>
                <w:sz w:val="21"/>
              </w:rPr>
              <w:t>（四）永久不可逆</w:t>
            </w:r>
          </w:p>
          <w:p>
            <w:pPr>
              <w:pStyle w:val="TableParagraph"/>
              <w:spacing w:line="273" w:lineRule="auto" w:before="37"/>
              <w:ind w:left="114" w:right="197"/>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5"/>
              <w:rPr>
                <w:sz w:val="24"/>
              </w:rPr>
            </w:pPr>
          </w:p>
          <w:p>
            <w:pPr>
              <w:pStyle w:val="TableParagraph"/>
              <w:ind w:left="114"/>
              <w:rPr>
                <w:sz w:val="21"/>
              </w:rPr>
            </w:pPr>
            <w:r>
              <w:rPr>
                <w:sz w:val="21"/>
              </w:rPr>
              <w:t>（五）三大关节</w:t>
            </w:r>
          </w:p>
          <w:p>
            <w:pPr>
              <w:pStyle w:val="TableParagraph"/>
              <w:spacing w:before="36"/>
              <w:ind w:left="114"/>
              <w:rPr>
                <w:sz w:val="21"/>
              </w:rPr>
            </w:pPr>
            <w:r>
              <w:rPr>
                <w:sz w:val="21"/>
              </w:rPr>
              <w:t>上肢三大关节是指肩、肘、腕关节，下肢三大关节是指髋、膝、踝关节。</w:t>
            </w:r>
          </w:p>
        </w:tc>
      </w:tr>
      <w:tr>
        <w:trPr>
          <w:trHeight w:val="935" w:hRule="atLeast"/>
        </w:trPr>
        <w:tc>
          <w:tcPr>
            <w:tcW w:w="734" w:type="dxa"/>
          </w:tcPr>
          <w:p>
            <w:pPr>
              <w:pStyle w:val="TableParagraph"/>
              <w:spacing w:before="142"/>
              <w:ind w:right="109"/>
              <w:jc w:val="right"/>
              <w:rPr>
                <w:b/>
                <w:sz w:val="21"/>
              </w:rPr>
            </w:pPr>
            <w:r>
              <w:rPr>
                <w:b/>
                <w:sz w:val="21"/>
              </w:rPr>
              <w:t>8.5</w:t>
            </w:r>
          </w:p>
        </w:tc>
        <w:tc>
          <w:tcPr>
            <w:tcW w:w="1913" w:type="dxa"/>
          </w:tcPr>
          <w:p>
            <w:pPr>
              <w:pStyle w:val="TableParagraph"/>
              <w:spacing w:before="142"/>
              <w:ind w:left="111"/>
              <w:rPr>
                <w:b/>
                <w:sz w:val="21"/>
              </w:rPr>
            </w:pPr>
            <w:r>
              <w:rPr>
                <w:b/>
                <w:sz w:val="21"/>
              </w:rPr>
              <w:t>初次发生</w:t>
            </w:r>
          </w:p>
        </w:tc>
        <w:tc>
          <w:tcPr>
            <w:tcW w:w="7455" w:type="dxa"/>
          </w:tcPr>
          <w:p>
            <w:pPr>
              <w:pStyle w:val="TableParagraph"/>
              <w:spacing w:line="273" w:lineRule="auto" w:before="142"/>
              <w:ind w:left="114" w:right="182"/>
              <w:rPr>
                <w:sz w:val="21"/>
              </w:rPr>
            </w:pPr>
            <w:r>
              <w:rPr>
                <w:sz w:val="21"/>
              </w:rPr>
              <w:t>指被保险人首次出现重大疾病的前兆或异常的身体状况，包括与重大疾病相关的症状及体征。</w:t>
            </w:r>
          </w:p>
        </w:tc>
      </w:tr>
      <w:tr>
        <w:trPr>
          <w:trHeight w:val="1560" w:hRule="atLeast"/>
        </w:trPr>
        <w:tc>
          <w:tcPr>
            <w:tcW w:w="734" w:type="dxa"/>
          </w:tcPr>
          <w:p>
            <w:pPr>
              <w:pStyle w:val="TableParagraph"/>
              <w:spacing w:before="142"/>
              <w:ind w:right="109"/>
              <w:jc w:val="right"/>
              <w:rPr>
                <w:b/>
                <w:sz w:val="21"/>
              </w:rPr>
            </w:pPr>
            <w:r>
              <w:rPr>
                <w:b/>
                <w:sz w:val="21"/>
              </w:rPr>
              <w:t>8.6</w:t>
            </w:r>
          </w:p>
        </w:tc>
        <w:tc>
          <w:tcPr>
            <w:tcW w:w="1913" w:type="dxa"/>
          </w:tcPr>
          <w:p>
            <w:pPr>
              <w:pStyle w:val="TableParagraph"/>
              <w:spacing w:before="142"/>
              <w:ind w:left="111"/>
              <w:rPr>
                <w:b/>
                <w:sz w:val="21"/>
              </w:rPr>
            </w:pPr>
            <w:r>
              <w:rPr>
                <w:b/>
                <w:sz w:val="21"/>
              </w:rPr>
              <w:t>医院</w:t>
            </w:r>
          </w:p>
        </w:tc>
        <w:tc>
          <w:tcPr>
            <w:tcW w:w="7455" w:type="dxa"/>
          </w:tcPr>
          <w:p>
            <w:pPr>
              <w:pStyle w:val="TableParagraph"/>
              <w:spacing w:line="273" w:lineRule="auto" w:before="142"/>
              <w:ind w:left="114" w:right="230"/>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4" w:type="dxa"/>
          </w:tcPr>
          <w:p>
            <w:pPr>
              <w:pStyle w:val="TableParagraph"/>
              <w:spacing w:before="142"/>
              <w:ind w:right="109"/>
              <w:jc w:val="right"/>
              <w:rPr>
                <w:b/>
                <w:sz w:val="21"/>
              </w:rPr>
            </w:pPr>
            <w:r>
              <w:rPr>
                <w:b/>
                <w:sz w:val="21"/>
              </w:rPr>
              <w:t>8.7</w:t>
            </w:r>
          </w:p>
        </w:tc>
        <w:tc>
          <w:tcPr>
            <w:tcW w:w="1913" w:type="dxa"/>
          </w:tcPr>
          <w:p>
            <w:pPr>
              <w:pStyle w:val="TableParagraph"/>
              <w:spacing w:before="142"/>
              <w:ind w:left="111"/>
              <w:rPr>
                <w:b/>
                <w:sz w:val="21"/>
              </w:rPr>
            </w:pPr>
            <w:r>
              <w:rPr>
                <w:b/>
                <w:sz w:val="21"/>
              </w:rPr>
              <w:t>专科医生</w:t>
            </w:r>
          </w:p>
        </w:tc>
        <w:tc>
          <w:tcPr>
            <w:tcW w:w="7455" w:type="dxa"/>
          </w:tcPr>
          <w:p>
            <w:pPr>
              <w:pStyle w:val="TableParagraph"/>
              <w:spacing w:before="142"/>
              <w:ind w:left="114"/>
              <w:rPr>
                <w:sz w:val="21"/>
              </w:rPr>
            </w:pPr>
            <w:r>
              <w:rPr>
                <w:sz w:val="21"/>
              </w:rPr>
              <w:t>专科医生应当同时满足以下四项资格条件：</w:t>
            </w:r>
          </w:p>
          <w:p>
            <w:pPr>
              <w:pStyle w:val="TableParagraph"/>
              <w:spacing w:before="36"/>
              <w:ind w:left="114"/>
              <w:rPr>
                <w:sz w:val="21"/>
              </w:rPr>
            </w:pPr>
            <w:r>
              <w:rPr>
                <w:sz w:val="21"/>
              </w:rPr>
              <w:t>（1）具有有效的中华人民共和国《医师资格证书》；</w:t>
            </w:r>
          </w:p>
          <w:p>
            <w:pPr>
              <w:pStyle w:val="TableParagraph"/>
              <w:spacing w:line="273" w:lineRule="auto" w:before="36"/>
              <w:ind w:left="637" w:right="228"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7"/>
              <w:ind w:left="639" w:right="235" w:hanging="526"/>
              <w:rPr>
                <w:sz w:val="21"/>
              </w:rPr>
            </w:pPr>
            <w:r>
              <w:rPr>
                <w:sz w:val="21"/>
              </w:rPr>
              <w:t>（3）具有有效的中华人民共和国主治医师或主治医师以上职称的《医师职称证书》；</w:t>
            </w:r>
          </w:p>
          <w:p>
            <w:pPr>
              <w:pStyle w:val="TableParagraph"/>
              <w:spacing w:before="7"/>
              <w:ind w:left="114"/>
              <w:rPr>
                <w:sz w:val="21"/>
              </w:rPr>
            </w:pPr>
            <w:r>
              <w:rPr>
                <w:sz w:val="21"/>
              </w:rPr>
              <w:t>（4）在二级或二级以上医院的相应科室从事临床工作三年以上。</w:t>
            </w:r>
          </w:p>
        </w:tc>
      </w:tr>
      <w:tr>
        <w:trPr>
          <w:trHeight w:val="1560" w:hRule="atLeast"/>
        </w:trPr>
        <w:tc>
          <w:tcPr>
            <w:tcW w:w="734" w:type="dxa"/>
          </w:tcPr>
          <w:p>
            <w:pPr>
              <w:pStyle w:val="TableParagraph"/>
              <w:spacing w:before="142"/>
              <w:ind w:left="200"/>
              <w:rPr>
                <w:b/>
                <w:sz w:val="21"/>
              </w:rPr>
            </w:pPr>
            <w:r>
              <w:rPr>
                <w:b/>
                <w:sz w:val="21"/>
              </w:rPr>
              <w:t>8.8</w:t>
            </w:r>
          </w:p>
        </w:tc>
        <w:tc>
          <w:tcPr>
            <w:tcW w:w="1913" w:type="dxa"/>
          </w:tcPr>
          <w:p>
            <w:pPr>
              <w:pStyle w:val="TableParagraph"/>
              <w:spacing w:before="142"/>
              <w:ind w:left="111"/>
              <w:rPr>
                <w:b/>
                <w:sz w:val="21"/>
              </w:rPr>
            </w:pPr>
            <w:r>
              <w:rPr>
                <w:b/>
                <w:sz w:val="21"/>
              </w:rPr>
              <w:t>毒品</w:t>
            </w:r>
          </w:p>
        </w:tc>
        <w:tc>
          <w:tcPr>
            <w:tcW w:w="7455" w:type="dxa"/>
          </w:tcPr>
          <w:p>
            <w:pPr>
              <w:pStyle w:val="TableParagraph"/>
              <w:spacing w:line="273" w:lineRule="auto" w:before="142"/>
              <w:ind w:left="114" w:right="2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2" w:hRule="atLeast"/>
        </w:trPr>
        <w:tc>
          <w:tcPr>
            <w:tcW w:w="734" w:type="dxa"/>
          </w:tcPr>
          <w:p>
            <w:pPr>
              <w:pStyle w:val="TableParagraph"/>
              <w:spacing w:before="142"/>
              <w:ind w:left="200"/>
              <w:rPr>
                <w:b/>
                <w:sz w:val="21"/>
              </w:rPr>
            </w:pPr>
            <w:r>
              <w:rPr>
                <w:b/>
                <w:sz w:val="21"/>
              </w:rPr>
              <w:t>8.9</w:t>
            </w:r>
          </w:p>
        </w:tc>
        <w:tc>
          <w:tcPr>
            <w:tcW w:w="1913" w:type="dxa"/>
          </w:tcPr>
          <w:p>
            <w:pPr>
              <w:pStyle w:val="TableParagraph"/>
              <w:spacing w:before="142"/>
              <w:ind w:left="111"/>
              <w:rPr>
                <w:b/>
                <w:sz w:val="21"/>
              </w:rPr>
            </w:pPr>
            <w:r>
              <w:rPr>
                <w:b/>
                <w:sz w:val="21"/>
              </w:rPr>
              <w:t>酒后驾驶</w:t>
            </w:r>
          </w:p>
        </w:tc>
        <w:tc>
          <w:tcPr>
            <w:tcW w:w="7455" w:type="dxa"/>
          </w:tcPr>
          <w:p>
            <w:pPr>
              <w:pStyle w:val="TableParagraph"/>
              <w:spacing w:line="273" w:lineRule="auto" w:before="142"/>
              <w:ind w:left="114" w:right="230"/>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1046" w:hRule="atLeast"/>
        </w:trPr>
        <w:tc>
          <w:tcPr>
            <w:tcW w:w="734" w:type="dxa"/>
          </w:tcPr>
          <w:p>
            <w:pPr>
              <w:pStyle w:val="TableParagraph"/>
              <w:spacing w:before="147"/>
              <w:ind w:right="109"/>
              <w:jc w:val="right"/>
              <w:rPr>
                <w:b/>
                <w:sz w:val="21"/>
              </w:rPr>
            </w:pPr>
            <w:r>
              <w:rPr>
                <w:b/>
                <w:w w:val="95"/>
                <w:sz w:val="21"/>
              </w:rPr>
              <w:t>8.10</w:t>
            </w:r>
          </w:p>
        </w:tc>
        <w:tc>
          <w:tcPr>
            <w:tcW w:w="1913" w:type="dxa"/>
          </w:tcPr>
          <w:p>
            <w:pPr>
              <w:pStyle w:val="TableParagraph"/>
              <w:spacing w:line="278" w:lineRule="auto" w:before="171"/>
              <w:ind w:left="111" w:right="109"/>
              <w:rPr>
                <w:b/>
                <w:sz w:val="21"/>
              </w:rPr>
            </w:pPr>
            <w:r>
              <w:rPr>
                <w:b/>
                <w:sz w:val="21"/>
              </w:rPr>
              <w:t>无合法有效驾驶证驾驶</w:t>
            </w:r>
          </w:p>
        </w:tc>
        <w:tc>
          <w:tcPr>
            <w:tcW w:w="7455" w:type="dxa"/>
          </w:tcPr>
          <w:p>
            <w:pPr>
              <w:pStyle w:val="TableParagraph"/>
              <w:spacing w:before="147"/>
              <w:ind w:left="114"/>
              <w:rPr>
                <w:sz w:val="21"/>
              </w:rPr>
            </w:pPr>
            <w:r>
              <w:rPr>
                <w:sz w:val="21"/>
              </w:rPr>
              <w:t>指下列情形之一：</w:t>
            </w:r>
          </w:p>
          <w:p>
            <w:pPr>
              <w:pStyle w:val="TableParagraph"/>
              <w:spacing w:before="36"/>
              <w:ind w:left="114"/>
              <w:rPr>
                <w:sz w:val="21"/>
              </w:rPr>
            </w:pPr>
            <w:r>
              <w:rPr>
                <w:sz w:val="21"/>
              </w:rPr>
              <w:t>（1）没有取得驾驶资格；</w:t>
            </w:r>
          </w:p>
          <w:p>
            <w:pPr>
              <w:pStyle w:val="TableParagraph"/>
              <w:spacing w:line="255" w:lineRule="exact" w:before="36"/>
              <w:ind w:left="114"/>
              <w:rPr>
                <w:sz w:val="21"/>
              </w:rPr>
            </w:pPr>
            <w:r>
              <w:rPr>
                <w:sz w:val="21"/>
              </w:rPr>
              <w:t>（2）驾驶与驾驶证准驾车型不相符合的车辆；</w:t>
            </w:r>
          </w:p>
        </w:tc>
      </w:tr>
    </w:tbl>
    <w:p>
      <w:pPr>
        <w:spacing w:after="0" w:line="255" w:lineRule="exact"/>
        <w:rPr>
          <w:sz w:val="21"/>
        </w:rPr>
        <w:sectPr>
          <w:pgSz w:w="11910" w:h="16840"/>
          <w:pgMar w:top="1160" w:bottom="280" w:left="90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21"/>
        <w:gridCol w:w="7415"/>
      </w:tblGrid>
      <w:tr>
        <w:trPr>
          <w:trHeight w:val="1042" w:hRule="atLeast"/>
        </w:trPr>
        <w:tc>
          <w:tcPr>
            <w:tcW w:w="734" w:type="dxa"/>
          </w:tcPr>
          <w:p>
            <w:pPr>
              <w:pStyle w:val="TableParagraph"/>
              <w:rPr>
                <w:rFonts w:ascii="Times New Roman"/>
                <w:sz w:val="20"/>
              </w:rPr>
            </w:pPr>
          </w:p>
        </w:tc>
        <w:tc>
          <w:tcPr>
            <w:tcW w:w="1921" w:type="dxa"/>
          </w:tcPr>
          <w:p>
            <w:pPr>
              <w:pStyle w:val="TableParagraph"/>
              <w:rPr>
                <w:rFonts w:ascii="Times New Roman"/>
                <w:sz w:val="20"/>
              </w:rPr>
            </w:pPr>
          </w:p>
        </w:tc>
        <w:tc>
          <w:tcPr>
            <w:tcW w:w="7415" w:type="dxa"/>
          </w:tcPr>
          <w:p>
            <w:pPr>
              <w:pStyle w:val="TableParagraph"/>
              <w:spacing w:line="211" w:lineRule="exact"/>
              <w:ind w:left="106"/>
              <w:rPr>
                <w:sz w:val="21"/>
              </w:rPr>
            </w:pPr>
            <w:r>
              <w:rPr>
                <w:sz w:val="21"/>
              </w:rPr>
              <w:t>（3）持审验不合格的驾驶证驾驶；</w:t>
            </w:r>
          </w:p>
          <w:p>
            <w:pPr>
              <w:pStyle w:val="TableParagraph"/>
              <w:spacing w:line="273" w:lineRule="auto" w:before="37"/>
              <w:ind w:left="598" w:right="266" w:hanging="492"/>
              <w:rPr>
                <w:sz w:val="21"/>
              </w:rPr>
            </w:pPr>
            <w:r>
              <w:rPr>
                <w:sz w:val="21"/>
              </w:rPr>
              <w:t>（4）持学习驾驶证学习驾车时，无教练员随车指导，或不按指定时间、路线学习驾车。</w:t>
            </w:r>
          </w:p>
        </w:tc>
      </w:tr>
      <w:tr>
        <w:trPr>
          <w:trHeight w:val="1247" w:hRule="atLeast"/>
        </w:trPr>
        <w:tc>
          <w:tcPr>
            <w:tcW w:w="734" w:type="dxa"/>
          </w:tcPr>
          <w:p>
            <w:pPr>
              <w:pStyle w:val="TableParagraph"/>
              <w:spacing w:before="142"/>
              <w:ind w:right="109"/>
              <w:jc w:val="right"/>
              <w:rPr>
                <w:b/>
                <w:sz w:val="21"/>
              </w:rPr>
            </w:pPr>
            <w:r>
              <w:rPr>
                <w:b/>
                <w:w w:val="95"/>
                <w:sz w:val="21"/>
              </w:rPr>
              <w:t>8.11</w:t>
            </w:r>
          </w:p>
        </w:tc>
        <w:tc>
          <w:tcPr>
            <w:tcW w:w="1921" w:type="dxa"/>
          </w:tcPr>
          <w:p>
            <w:pPr>
              <w:pStyle w:val="TableParagraph"/>
              <w:spacing w:before="142"/>
              <w:ind w:left="111"/>
              <w:rPr>
                <w:b/>
                <w:sz w:val="21"/>
              </w:rPr>
            </w:pPr>
            <w:r>
              <w:rPr>
                <w:b/>
                <w:sz w:val="21"/>
              </w:rPr>
              <w:t>无有效行驶证</w:t>
            </w:r>
          </w:p>
        </w:tc>
        <w:tc>
          <w:tcPr>
            <w:tcW w:w="7415" w:type="dxa"/>
          </w:tcPr>
          <w:p>
            <w:pPr>
              <w:pStyle w:val="TableParagraph"/>
              <w:spacing w:before="142"/>
              <w:ind w:left="106"/>
              <w:rPr>
                <w:sz w:val="21"/>
              </w:rPr>
            </w:pPr>
            <w:r>
              <w:rPr>
                <w:sz w:val="21"/>
              </w:rPr>
              <w:t>指下列情形之一：</w:t>
            </w:r>
          </w:p>
          <w:p>
            <w:pPr>
              <w:pStyle w:val="TableParagraph"/>
              <w:spacing w:before="36"/>
              <w:ind w:left="106"/>
              <w:rPr>
                <w:sz w:val="21"/>
              </w:rPr>
            </w:pPr>
            <w:r>
              <w:rPr>
                <w:sz w:val="21"/>
              </w:rPr>
              <w:t>（1）机动车被依法注销登记的；</w:t>
            </w:r>
          </w:p>
          <w:p>
            <w:pPr>
              <w:pStyle w:val="TableParagraph"/>
              <w:spacing w:before="36"/>
              <w:ind w:left="106"/>
              <w:rPr>
                <w:sz w:val="21"/>
              </w:rPr>
            </w:pPr>
            <w:r>
              <w:rPr>
                <w:sz w:val="21"/>
              </w:rPr>
              <w:t>（2）未依法按时进行或通过机动车安全技术检验。</w:t>
            </w:r>
          </w:p>
        </w:tc>
      </w:tr>
      <w:tr>
        <w:trPr>
          <w:trHeight w:val="2184" w:hRule="atLeast"/>
        </w:trPr>
        <w:tc>
          <w:tcPr>
            <w:tcW w:w="734" w:type="dxa"/>
          </w:tcPr>
          <w:p>
            <w:pPr>
              <w:pStyle w:val="TableParagraph"/>
              <w:spacing w:before="142"/>
              <w:ind w:right="109"/>
              <w:jc w:val="right"/>
              <w:rPr>
                <w:b/>
                <w:sz w:val="21"/>
              </w:rPr>
            </w:pPr>
            <w:r>
              <w:rPr>
                <w:b/>
                <w:w w:val="95"/>
                <w:sz w:val="21"/>
              </w:rPr>
              <w:t>8.12</w:t>
            </w:r>
          </w:p>
        </w:tc>
        <w:tc>
          <w:tcPr>
            <w:tcW w:w="1921" w:type="dxa"/>
          </w:tcPr>
          <w:p>
            <w:pPr>
              <w:pStyle w:val="TableParagraph"/>
              <w:spacing w:line="280" w:lineRule="auto" w:before="166"/>
              <w:ind w:left="111" w:right="117"/>
              <w:rPr>
                <w:b/>
                <w:sz w:val="21"/>
              </w:rPr>
            </w:pPr>
            <w:r>
              <w:rPr>
                <w:b/>
                <w:sz w:val="21"/>
              </w:rPr>
              <w:t>感染艾滋病病毒或患艾滋病</w:t>
            </w:r>
          </w:p>
        </w:tc>
        <w:tc>
          <w:tcPr>
            <w:tcW w:w="7415" w:type="dxa"/>
          </w:tcPr>
          <w:p>
            <w:pPr>
              <w:pStyle w:val="TableParagraph"/>
              <w:spacing w:line="273" w:lineRule="auto" w:before="142"/>
              <w:ind w:left="106" w:right="213"/>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6" w:right="199"/>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34" w:type="dxa"/>
          </w:tcPr>
          <w:p>
            <w:pPr>
              <w:pStyle w:val="TableParagraph"/>
              <w:spacing w:before="142"/>
              <w:ind w:right="109"/>
              <w:jc w:val="right"/>
              <w:rPr>
                <w:b/>
                <w:sz w:val="21"/>
              </w:rPr>
            </w:pPr>
            <w:r>
              <w:rPr>
                <w:b/>
                <w:w w:val="95"/>
                <w:sz w:val="21"/>
              </w:rPr>
              <w:t>8.13</w:t>
            </w:r>
          </w:p>
        </w:tc>
        <w:tc>
          <w:tcPr>
            <w:tcW w:w="1921" w:type="dxa"/>
          </w:tcPr>
          <w:p>
            <w:pPr>
              <w:pStyle w:val="TableParagraph"/>
              <w:spacing w:before="142"/>
              <w:ind w:left="111"/>
              <w:rPr>
                <w:b/>
                <w:sz w:val="21"/>
              </w:rPr>
            </w:pPr>
            <w:r>
              <w:rPr>
                <w:b/>
                <w:sz w:val="21"/>
              </w:rPr>
              <w:t>遗传性疾病</w:t>
            </w:r>
          </w:p>
        </w:tc>
        <w:tc>
          <w:tcPr>
            <w:tcW w:w="7415" w:type="dxa"/>
          </w:tcPr>
          <w:p>
            <w:pPr>
              <w:pStyle w:val="TableParagraph"/>
              <w:spacing w:line="273" w:lineRule="auto" w:before="142"/>
              <w:ind w:left="106" w:right="143"/>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734" w:type="dxa"/>
          </w:tcPr>
          <w:p>
            <w:pPr>
              <w:pStyle w:val="TableParagraph"/>
              <w:spacing w:before="142"/>
              <w:ind w:right="109"/>
              <w:jc w:val="right"/>
              <w:rPr>
                <w:b/>
                <w:sz w:val="21"/>
              </w:rPr>
            </w:pPr>
            <w:r>
              <w:rPr>
                <w:b/>
                <w:w w:val="95"/>
                <w:sz w:val="21"/>
              </w:rPr>
              <w:t>8.14</w:t>
            </w:r>
          </w:p>
        </w:tc>
        <w:tc>
          <w:tcPr>
            <w:tcW w:w="1921" w:type="dxa"/>
          </w:tcPr>
          <w:p>
            <w:pPr>
              <w:pStyle w:val="TableParagraph"/>
              <w:spacing w:line="273" w:lineRule="auto" w:before="142"/>
              <w:ind w:left="111" w:right="105"/>
              <w:rPr>
                <w:b/>
                <w:sz w:val="21"/>
              </w:rPr>
            </w:pPr>
            <w:r>
              <w:rPr>
                <w:b/>
                <w:sz w:val="21"/>
              </w:rPr>
              <w:t>先天性畸形、变形或染色体异常</w:t>
            </w:r>
          </w:p>
        </w:tc>
        <w:tc>
          <w:tcPr>
            <w:tcW w:w="7415" w:type="dxa"/>
          </w:tcPr>
          <w:p>
            <w:pPr>
              <w:pStyle w:val="TableParagraph"/>
              <w:spacing w:line="310" w:lineRule="atLeast" w:before="107"/>
              <w:ind w:left="106" w:right="199"/>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bl>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31" w:hanging="632"/>
        <w:jc w:val="left"/>
      </w:pPr>
      <w:rPr>
        <w:rFonts w:hint="default" w:ascii="宋体" w:hAnsi="宋体" w:eastAsia="宋体" w:cs="宋体"/>
        <w:w w:val="100"/>
        <w:sz w:val="21"/>
        <w:szCs w:val="21"/>
      </w:rPr>
    </w:lvl>
    <w:lvl w:ilvl="1">
      <w:start w:val="0"/>
      <w:numFmt w:val="bullet"/>
      <w:lvlText w:val="•"/>
      <w:lvlJc w:val="left"/>
      <w:pPr>
        <w:ind w:left="1517" w:hanging="632"/>
      </w:pPr>
      <w:rPr>
        <w:rFonts w:hint="default"/>
      </w:rPr>
    </w:lvl>
    <w:lvl w:ilvl="2">
      <w:start w:val="0"/>
      <w:numFmt w:val="bullet"/>
      <w:lvlText w:val="•"/>
      <w:lvlJc w:val="left"/>
      <w:pPr>
        <w:ind w:left="2194" w:hanging="632"/>
      </w:pPr>
      <w:rPr>
        <w:rFonts w:hint="default"/>
      </w:rPr>
    </w:lvl>
    <w:lvl w:ilvl="3">
      <w:start w:val="0"/>
      <w:numFmt w:val="bullet"/>
      <w:lvlText w:val="•"/>
      <w:lvlJc w:val="left"/>
      <w:pPr>
        <w:ind w:left="2871" w:hanging="632"/>
      </w:pPr>
      <w:rPr>
        <w:rFonts w:hint="default"/>
      </w:rPr>
    </w:lvl>
    <w:lvl w:ilvl="4">
      <w:start w:val="0"/>
      <w:numFmt w:val="bullet"/>
      <w:lvlText w:val="•"/>
      <w:lvlJc w:val="left"/>
      <w:pPr>
        <w:ind w:left="3549" w:hanging="632"/>
      </w:pPr>
      <w:rPr>
        <w:rFonts w:hint="default"/>
      </w:rPr>
    </w:lvl>
    <w:lvl w:ilvl="5">
      <w:start w:val="0"/>
      <w:numFmt w:val="bullet"/>
      <w:lvlText w:val="•"/>
      <w:lvlJc w:val="left"/>
      <w:pPr>
        <w:ind w:left="4226" w:hanging="632"/>
      </w:pPr>
      <w:rPr>
        <w:rFonts w:hint="default"/>
      </w:rPr>
    </w:lvl>
    <w:lvl w:ilvl="6">
      <w:start w:val="0"/>
      <w:numFmt w:val="bullet"/>
      <w:lvlText w:val="•"/>
      <w:lvlJc w:val="left"/>
      <w:pPr>
        <w:ind w:left="4903" w:hanging="632"/>
      </w:pPr>
      <w:rPr>
        <w:rFonts w:hint="default"/>
      </w:rPr>
    </w:lvl>
    <w:lvl w:ilvl="7">
      <w:start w:val="0"/>
      <w:numFmt w:val="bullet"/>
      <w:lvlText w:val="•"/>
      <w:lvlJc w:val="left"/>
      <w:pPr>
        <w:ind w:left="5581" w:hanging="632"/>
      </w:pPr>
      <w:rPr>
        <w:rFonts w:hint="default"/>
      </w:rPr>
    </w:lvl>
    <w:lvl w:ilvl="8">
      <w:start w:val="0"/>
      <w:numFmt w:val="bullet"/>
      <w:lvlText w:val="•"/>
      <w:lvlJc w:val="left"/>
      <w:pPr>
        <w:ind w:left="6258" w:hanging="632"/>
      </w:pPr>
      <w:rPr>
        <w:rFonts w:hint="default"/>
      </w:rPr>
    </w:lvl>
  </w:abstractNum>
  <w:abstractNum w:abstractNumId="2">
    <w:multiLevelType w:val="hybridMultilevel"/>
    <w:lvl w:ilvl="0">
      <w:start w:val="1"/>
      <w:numFmt w:val="decimal"/>
      <w:lvlText w:val="(%1)"/>
      <w:lvlJc w:val="left"/>
      <w:pPr>
        <w:ind w:left="200" w:hanging="423"/>
        <w:jc w:val="left"/>
      </w:pPr>
      <w:rPr>
        <w:rFonts w:hint="default" w:ascii="宋体" w:hAnsi="宋体" w:eastAsia="宋体" w:cs="宋体"/>
        <w:w w:val="100"/>
        <w:sz w:val="21"/>
        <w:szCs w:val="21"/>
      </w:rPr>
    </w:lvl>
    <w:lvl w:ilvl="1">
      <w:start w:val="0"/>
      <w:numFmt w:val="bullet"/>
      <w:lvlText w:val="•"/>
      <w:lvlJc w:val="left"/>
      <w:pPr>
        <w:ind w:left="941" w:hanging="423"/>
      </w:pPr>
      <w:rPr>
        <w:rFonts w:hint="default"/>
      </w:rPr>
    </w:lvl>
    <w:lvl w:ilvl="2">
      <w:start w:val="0"/>
      <w:numFmt w:val="bullet"/>
      <w:lvlText w:val="•"/>
      <w:lvlJc w:val="left"/>
      <w:pPr>
        <w:ind w:left="1682" w:hanging="423"/>
      </w:pPr>
      <w:rPr>
        <w:rFonts w:hint="default"/>
      </w:rPr>
    </w:lvl>
    <w:lvl w:ilvl="3">
      <w:start w:val="0"/>
      <w:numFmt w:val="bullet"/>
      <w:lvlText w:val="•"/>
      <w:lvlJc w:val="left"/>
      <w:pPr>
        <w:ind w:left="2423" w:hanging="423"/>
      </w:pPr>
      <w:rPr>
        <w:rFonts w:hint="default"/>
      </w:rPr>
    </w:lvl>
    <w:lvl w:ilvl="4">
      <w:start w:val="0"/>
      <w:numFmt w:val="bullet"/>
      <w:lvlText w:val="•"/>
      <w:lvlJc w:val="left"/>
      <w:pPr>
        <w:ind w:left="3165"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647" w:hanging="423"/>
      </w:pPr>
      <w:rPr>
        <w:rFonts w:hint="default"/>
      </w:rPr>
    </w:lvl>
    <w:lvl w:ilvl="7">
      <w:start w:val="0"/>
      <w:numFmt w:val="bullet"/>
      <w:lvlText w:val="•"/>
      <w:lvlJc w:val="left"/>
      <w:pPr>
        <w:ind w:left="5389" w:hanging="423"/>
      </w:pPr>
      <w:rPr>
        <w:rFonts w:hint="default"/>
      </w:rPr>
    </w:lvl>
    <w:lvl w:ilvl="8">
      <w:start w:val="0"/>
      <w:numFmt w:val="bullet"/>
      <w:lvlText w:val="•"/>
      <w:lvlJc w:val="left"/>
      <w:pPr>
        <w:ind w:left="6130" w:hanging="423"/>
      </w:pPr>
      <w:rPr>
        <w:rFonts w:hint="default"/>
      </w:rPr>
    </w:lvl>
  </w:abstractNum>
  <w:abstractNum w:abstractNumId="1">
    <w:multiLevelType w:val="hybridMultilevel"/>
    <w:lvl w:ilvl="0">
      <w:start w:val="2"/>
      <w:numFmt w:val="decimal"/>
      <w:lvlText w:val="%1"/>
      <w:lvlJc w:val="left"/>
      <w:pPr>
        <w:ind w:left="2534" w:hanging="538"/>
        <w:jc w:val="left"/>
      </w:pPr>
      <w:rPr>
        <w:rFonts w:hint="default"/>
      </w:rPr>
    </w:lvl>
    <w:lvl w:ilvl="1">
      <w:start w:val="4"/>
      <w:numFmt w:val="decimal"/>
      <w:lvlText w:val="%1.%2"/>
      <w:lvlJc w:val="left"/>
      <w:pPr>
        <w:ind w:left="2534" w:hanging="538"/>
        <w:jc w:val="left"/>
      </w:pPr>
      <w:rPr>
        <w:rFonts w:hint="default" w:ascii="宋体" w:hAnsi="宋体" w:eastAsia="宋体" w:cs="宋体"/>
        <w:b/>
        <w:bCs/>
        <w:w w:val="99"/>
        <w:sz w:val="21"/>
        <w:szCs w:val="21"/>
      </w:rPr>
    </w:lvl>
    <w:lvl w:ilvl="2">
      <w:start w:val="1"/>
      <w:numFmt w:val="decimal"/>
      <w:lvlText w:val="(%3)"/>
      <w:lvlJc w:val="left"/>
      <w:pPr>
        <w:ind w:left="2954" w:hanging="423"/>
        <w:jc w:val="left"/>
      </w:pPr>
      <w:rPr>
        <w:rFonts w:hint="default"/>
        <w:w w:val="100"/>
        <w:highlight w:val="lightGray"/>
      </w:rPr>
    </w:lvl>
    <w:lvl w:ilvl="3">
      <w:start w:val="0"/>
      <w:numFmt w:val="bullet"/>
      <w:lvlText w:val="•"/>
      <w:lvlJc w:val="left"/>
      <w:pPr>
        <w:ind w:left="4494" w:hanging="423"/>
      </w:pPr>
      <w:rPr>
        <w:rFonts w:hint="default"/>
      </w:rPr>
    </w:lvl>
    <w:lvl w:ilvl="4">
      <w:start w:val="0"/>
      <w:numFmt w:val="bullet"/>
      <w:lvlText w:val="•"/>
      <w:lvlJc w:val="left"/>
      <w:pPr>
        <w:ind w:left="5262" w:hanging="423"/>
      </w:pPr>
      <w:rPr>
        <w:rFonts w:hint="default"/>
      </w:rPr>
    </w:lvl>
    <w:lvl w:ilvl="5">
      <w:start w:val="0"/>
      <w:numFmt w:val="bullet"/>
      <w:lvlText w:val="•"/>
      <w:lvlJc w:val="left"/>
      <w:pPr>
        <w:ind w:left="6029" w:hanging="423"/>
      </w:pPr>
      <w:rPr>
        <w:rFonts w:hint="default"/>
      </w:rPr>
    </w:lvl>
    <w:lvl w:ilvl="6">
      <w:start w:val="0"/>
      <w:numFmt w:val="bullet"/>
      <w:lvlText w:val="•"/>
      <w:lvlJc w:val="left"/>
      <w:pPr>
        <w:ind w:left="6796" w:hanging="423"/>
      </w:pPr>
      <w:rPr>
        <w:rFonts w:hint="default"/>
      </w:rPr>
    </w:lvl>
    <w:lvl w:ilvl="7">
      <w:start w:val="0"/>
      <w:numFmt w:val="bullet"/>
      <w:lvlText w:val="•"/>
      <w:lvlJc w:val="left"/>
      <w:pPr>
        <w:ind w:left="7564" w:hanging="423"/>
      </w:pPr>
      <w:rPr>
        <w:rFonts w:hint="default"/>
      </w:rPr>
    </w:lvl>
    <w:lvl w:ilvl="8">
      <w:start w:val="0"/>
      <w:numFmt w:val="bullet"/>
      <w:lvlText w:val="•"/>
      <w:lvlJc w:val="left"/>
      <w:pPr>
        <w:ind w:left="8331"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20" w:hanging="420"/>
      </w:pPr>
      <w:rPr>
        <w:rFonts w:hint="default"/>
      </w:rPr>
    </w:lvl>
    <w:lvl w:ilvl="2">
      <w:start w:val="0"/>
      <w:numFmt w:val="bullet"/>
      <w:lvlText w:val="•"/>
      <w:lvlJc w:val="left"/>
      <w:pPr>
        <w:ind w:left="3401" w:hanging="420"/>
      </w:pPr>
      <w:rPr>
        <w:rFonts w:hint="default"/>
      </w:rPr>
    </w:lvl>
    <w:lvl w:ilvl="3">
      <w:start w:val="0"/>
      <w:numFmt w:val="bullet"/>
      <w:lvlText w:val="•"/>
      <w:lvlJc w:val="left"/>
      <w:pPr>
        <w:ind w:left="4281" w:hanging="420"/>
      </w:pPr>
      <w:rPr>
        <w:rFonts w:hint="default"/>
      </w:rPr>
    </w:lvl>
    <w:lvl w:ilvl="4">
      <w:start w:val="0"/>
      <w:numFmt w:val="bullet"/>
      <w:lvlText w:val="•"/>
      <w:lvlJc w:val="left"/>
      <w:pPr>
        <w:ind w:left="5162" w:hanging="420"/>
      </w:pPr>
      <w:rPr>
        <w:rFonts w:hint="default"/>
      </w:rPr>
    </w:lvl>
    <w:lvl w:ilvl="5">
      <w:start w:val="0"/>
      <w:numFmt w:val="bullet"/>
      <w:lvlText w:val="•"/>
      <w:lvlJc w:val="left"/>
      <w:pPr>
        <w:ind w:left="6043" w:hanging="420"/>
      </w:pPr>
      <w:rPr>
        <w:rFonts w:hint="default"/>
      </w:rPr>
    </w:lvl>
    <w:lvl w:ilvl="6">
      <w:start w:val="0"/>
      <w:numFmt w:val="bullet"/>
      <w:lvlText w:val="•"/>
      <w:lvlJc w:val="left"/>
      <w:pPr>
        <w:ind w:left="6923" w:hanging="420"/>
      </w:pPr>
      <w:rPr>
        <w:rFonts w:hint="default"/>
      </w:rPr>
    </w:lvl>
    <w:lvl w:ilvl="7">
      <w:start w:val="0"/>
      <w:numFmt w:val="bullet"/>
      <w:lvlText w:val="•"/>
      <w:lvlJc w:val="left"/>
      <w:pPr>
        <w:ind w:left="7804" w:hanging="420"/>
      </w:pPr>
      <w:rPr>
        <w:rFonts w:hint="default"/>
      </w:rPr>
    </w:lvl>
    <w:lvl w:ilvl="8">
      <w:start w:val="0"/>
      <w:numFmt w:val="bullet"/>
      <w:lvlText w:val="•"/>
      <w:lvlJc w:val="left"/>
      <w:pPr>
        <w:ind w:left="868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line="50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2"/>
      <w:ind w:left="64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01"/>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295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2018-10-20T00:41:22Z</dcterms:created>
  <dcterms:modified xsi:type="dcterms:W3CDTF">2018-10-20T00:41:22Z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2016-06-27T00:00:00Z</vt:filetime>
  </property>
  <property fmtid="{D5CDD505-2E9C-101B-9397-08002B2CF9AE}" pid="3" name="Creator">
    <vt:lpwstr>Microsoft® Word 2010</vt:lpwstr>
  </property>
  <property fmtid="{D5CDD505-2E9C-101B-9397-08002B2CF9AE}" pid="4" name="LastSaved">
    <vt:filetime>2018-10-19T00:00:00Z</vt:filetime>
  </property>
</Properties>
</file>