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7"/>
        </w:rPr>
      </w:pPr>
    </w:p>
    <w:p>
      <w:pPr>
        <w:pStyle w:val="Heading1"/>
        <w:spacing w:before="1"/>
        <w:ind w:left="2562"/>
      </w:pPr>
      <w:r>
        <w:rPr/>
        <w:drawing>
          <wp:anchor distT="0" distB="0" distL="0" distR="0" allowOverlap="1" layoutInCell="1" locked="0" behindDoc="0" simplePos="0" relativeHeight="1048">
            <wp:simplePos x="0" y="0"/>
            <wp:positionH relativeFrom="page">
              <wp:posOffset>5704840</wp:posOffset>
            </wp:positionH>
            <wp:positionV relativeFrom="paragraph">
              <wp:posOffset>-484409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08pt;margin-top:20.357491pt;width:128.25pt;height:38.550pt;mso-position-horizontal-relative:page;mso-position-vertical-relative:paragraph;z-index:-34288" type="#_x0000_t202" filled="false" stroked="true" strokeweight=".75pt" strokecolor="#c9eacc">
            <v:textbox inset="0,0,0,0">
              <w:txbxContent>
                <w:p>
                  <w:pPr>
                    <w:spacing w:line="408" w:lineRule="auto" w:before="115"/>
                    <w:ind w:left="145" w:right="376" w:firstLine="0"/>
                    <w:jc w:val="left"/>
                    <w:rPr>
                      <w:sz w:val="14"/>
                    </w:rPr>
                  </w:pPr>
                  <w:r>
                    <w:rPr>
                      <w:sz w:val="14"/>
                    </w:rPr>
                    <w:t>安邦人寿[2013]疾病保险 003 号</w:t>
                  </w:r>
                  <w:r>
                    <w:rPr>
                      <w:w w:val="95"/>
                      <w:sz w:val="14"/>
                    </w:rPr>
                    <w:t>请扫描以查询验证条款</w:t>
                  </w:r>
                </w:p>
              </w:txbxContent>
            </v:textbox>
            <v:stroke dashstyle="solid"/>
            <w10:wrap type="none"/>
          </v:shape>
        </w:pict>
      </w:r>
      <w:r>
        <w:rPr/>
        <w:t>安邦附加安心 1 号重大疾病保险条款</w:t>
      </w:r>
    </w:p>
    <w:p>
      <w:pPr>
        <w:spacing w:before="148"/>
        <w:ind w:left="4344" w:right="4261" w:firstLine="0"/>
        <w:jc w:val="center"/>
        <w:rPr>
          <w:sz w:val="28"/>
        </w:rPr>
      </w:pPr>
      <w:r>
        <w:rPr>
          <w:b/>
          <w:spacing w:val="-197"/>
          <w:sz w:val="28"/>
        </w:rPr>
        <w:t>阅</w:t>
      </w:r>
      <w:r>
        <w:rPr>
          <w:spacing w:val="-42"/>
          <w:position w:val="-10"/>
          <w:sz w:val="28"/>
        </w:rPr>
        <w:t>． </w:t>
      </w:r>
      <w:r>
        <w:rPr>
          <w:b/>
          <w:spacing w:val="-197"/>
          <w:sz w:val="28"/>
        </w:rPr>
        <w:t>读</w:t>
      </w:r>
      <w:r>
        <w:rPr>
          <w:spacing w:val="-41"/>
          <w:position w:val="-10"/>
          <w:sz w:val="28"/>
        </w:rPr>
        <w:t>． </w:t>
      </w:r>
      <w:r>
        <w:rPr>
          <w:b/>
          <w:spacing w:val="-197"/>
          <w:sz w:val="28"/>
        </w:rPr>
        <w:t>指</w:t>
      </w:r>
      <w:r>
        <w:rPr>
          <w:spacing w:val="-42"/>
          <w:position w:val="-10"/>
          <w:sz w:val="28"/>
        </w:rPr>
        <w:t>． </w:t>
      </w:r>
      <w:r>
        <w:rPr>
          <w:b/>
          <w:spacing w:val="-200"/>
          <w:sz w:val="28"/>
        </w:rPr>
        <w:t>引</w:t>
      </w:r>
      <w:r>
        <w:rPr>
          <w:position w:val="-10"/>
          <w:sz w:val="28"/>
        </w:rPr>
        <w:t>．</w:t>
      </w:r>
    </w:p>
    <w:p>
      <w:pPr>
        <w:pStyle w:val="BodyText"/>
        <w:spacing w:line="242" w:lineRule="auto" w:before="96"/>
        <w:ind w:left="598" w:right="529"/>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8"/>
          <w:w w:val="100"/>
        </w:rPr>
        <w:t>，</w:t>
      </w:r>
      <w:r>
        <w:rPr>
          <w:spacing w:val="-7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51"/>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159"/>
          <w:w w:val="100"/>
        </w:rPr>
        <w:t>。</w:t>
      </w:r>
      <w:r>
        <w:rPr>
          <w:spacing w:val="-70"/>
          <w:w w:val="100"/>
          <w:position w:val="-7"/>
        </w:rPr>
        <w:t>．</w:t>
      </w:r>
      <w:r>
        <w:rPr>
          <w:spacing w:val="-152"/>
          <w:w w:val="100"/>
        </w:rPr>
        <w:t>在</w:t>
      </w:r>
      <w:r>
        <w:rPr>
          <w:spacing w:val="-63"/>
          <w:w w:val="100"/>
          <w:position w:val="-7"/>
        </w:rPr>
        <w:t>．</w:t>
      </w:r>
      <w:r>
        <w:rPr>
          <w:spacing w:val="-149"/>
          <w:w w:val="100"/>
        </w:rPr>
        <w:t>本</w:t>
      </w:r>
      <w:r>
        <w:rPr>
          <w:spacing w:val="-63"/>
          <w:w w:val="100"/>
          <w:position w:val="-7"/>
        </w:rPr>
        <w:t>．</w:t>
      </w:r>
      <w:r>
        <w:rPr>
          <w:spacing w:val="-149"/>
          <w:w w:val="100"/>
        </w:rPr>
        <w:t>条</w:t>
      </w:r>
      <w:r>
        <w:rPr>
          <w:spacing w:val="-64"/>
          <w:w w:val="100"/>
          <w:position w:val="-7"/>
        </w:rPr>
        <w:t>．</w:t>
      </w:r>
      <w:r>
        <w:rPr>
          <w:spacing w:val="-151"/>
          <w:w w:val="100"/>
        </w:rPr>
        <w:t>款</w:t>
      </w:r>
      <w:r>
        <w:rPr>
          <w:spacing w:val="-63"/>
          <w:w w:val="100"/>
          <w:position w:val="-7"/>
        </w:rPr>
        <w:t>．</w:t>
      </w:r>
      <w:r>
        <w:rPr>
          <w:spacing w:val="-149"/>
          <w:w w:val="100"/>
        </w:rPr>
        <w:t>中</w:t>
      </w:r>
      <w:r>
        <w:rPr>
          <w:spacing w:val="-63"/>
          <w:w w:val="100"/>
          <w:position w:val="-7"/>
        </w:rPr>
        <w:t>．</w:t>
      </w:r>
      <w:r>
        <w:rPr>
          <w:spacing w:val="-202"/>
          <w:w w:val="100"/>
        </w:rPr>
        <w:t>，</w:t>
      </w:r>
      <w:r>
        <w:rPr>
          <w:spacing w:val="-133"/>
          <w:w w:val="100"/>
          <w:position w:val="-7"/>
        </w:rPr>
        <w:t>．</w:t>
      </w:r>
      <w:r>
        <w:rPr>
          <w:spacing w:val="-141"/>
          <w:w w:val="100"/>
        </w:rPr>
        <w:t>“</w:t>
      </w:r>
      <w:r>
        <w:rPr>
          <w:spacing w:val="-73"/>
          <w:w w:val="100"/>
          <w:position w:val="-7"/>
        </w:rPr>
        <w:t>．</w:t>
      </w:r>
      <w:r>
        <w:rPr>
          <w:spacing w:val="-149"/>
          <w:w w:val="100"/>
        </w:rPr>
        <w:t>您</w:t>
      </w:r>
      <w:r>
        <w:rPr>
          <w:spacing w:val="-63"/>
          <w:w w:val="100"/>
          <w:position w:val="-7"/>
        </w:rPr>
        <w:t>．</w:t>
      </w:r>
      <w:r>
        <w:rPr>
          <w:spacing w:val="-158"/>
          <w:w w:val="100"/>
        </w:rPr>
        <w:t>”</w:t>
      </w:r>
      <w:r>
        <w:rPr>
          <w:spacing w:val="-73"/>
          <w:w w:val="100"/>
          <w:position w:val="-7"/>
        </w:rPr>
        <w:t>．</w:t>
      </w:r>
      <w:r>
        <w:rPr>
          <w:spacing w:val="-149"/>
          <w:w w:val="100"/>
        </w:rPr>
        <w:t>指</w:t>
      </w:r>
      <w:r>
        <w:rPr>
          <w:spacing w:val="-63"/>
          <w:w w:val="100"/>
          <w:position w:val="-7"/>
        </w:rPr>
        <w:t>．</w:t>
      </w:r>
      <w:r>
        <w:rPr>
          <w:spacing w:val="-151"/>
          <w:w w:val="100"/>
        </w:rPr>
        <w:t>投</w:t>
      </w:r>
      <w:r>
        <w:rPr>
          <w:spacing w:val="-63"/>
          <w:w w:val="100"/>
          <w:position w:val="-7"/>
        </w:rPr>
        <w:t>．</w:t>
      </w:r>
      <w:r>
        <w:rPr>
          <w:spacing w:val="-151"/>
          <w:w w:val="100"/>
        </w:rPr>
        <w:t>保</w:t>
      </w:r>
      <w:r>
        <w:rPr>
          <w:w w:val="100"/>
          <w:position w:val="-7"/>
        </w:rPr>
        <w:t>．</w:t>
      </w:r>
      <w:r>
        <w:rPr>
          <w:spacing w:val="-149"/>
          <w:w w:val="100"/>
        </w:rPr>
        <w:t>人</w:t>
      </w:r>
      <w:r>
        <w:rPr>
          <w:spacing w:val="-63"/>
          <w:w w:val="100"/>
          <w:position w:val="-7"/>
        </w:rPr>
        <w:t>．</w:t>
      </w:r>
      <w:r>
        <w:rPr>
          <w:spacing w:val="-202"/>
          <w:w w:val="100"/>
        </w:rPr>
        <w:t>；</w:t>
      </w:r>
      <w:r>
        <w:rPr>
          <w:spacing w:val="-116"/>
          <w:w w:val="100"/>
          <w:position w:val="-7"/>
        </w:rPr>
        <w:t>．</w:t>
      </w:r>
      <w:r>
        <w:rPr>
          <w:spacing w:val="-152"/>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50"/>
          <w:w w:val="100"/>
        </w:rPr>
        <w:t>司</w:t>
      </w:r>
      <w:r>
        <w:rPr>
          <w:spacing w:val="-63"/>
          <w:w w:val="100"/>
          <w:position w:val="-7"/>
        </w:rPr>
        <w:t>．</w:t>
      </w:r>
      <w:r>
        <w:rPr>
          <w:spacing w:val="-152"/>
          <w:w w:val="100"/>
        </w:rPr>
        <w:t>”</w:t>
      </w:r>
      <w:r>
        <w:rPr>
          <w:spacing w:val="-63"/>
          <w:w w:val="100"/>
          <w:position w:val="-7"/>
        </w:rPr>
        <w:t>．</w:t>
      </w:r>
      <w:r>
        <w:rPr>
          <w:spacing w:val="-150"/>
          <w:w w:val="100"/>
        </w:rPr>
        <w:t>指</w:t>
      </w:r>
      <w:r>
        <w:rPr>
          <w:spacing w:val="-63"/>
          <w:w w:val="100"/>
          <w:position w:val="-7"/>
        </w:rPr>
        <w:t>．</w:t>
      </w:r>
      <w:r>
        <w:rPr>
          <w:spacing w:val="-152"/>
          <w:w w:val="100"/>
        </w:rPr>
        <w:t>安</w:t>
      </w:r>
      <w:r>
        <w:rPr>
          <w:spacing w:val="-63"/>
          <w:w w:val="100"/>
          <w:position w:val="-7"/>
        </w:rPr>
        <w:t>．</w:t>
      </w:r>
      <w:r>
        <w:rPr>
          <w:spacing w:val="-150"/>
          <w:w w:val="100"/>
        </w:rPr>
        <w:t>邦</w:t>
      </w:r>
      <w:r>
        <w:rPr>
          <w:spacing w:val="-63"/>
          <w:w w:val="100"/>
          <w:position w:val="-7"/>
        </w:rPr>
        <w:t>．</w:t>
      </w:r>
      <w:r>
        <w:rPr>
          <w:spacing w:val="-152"/>
          <w:w w:val="100"/>
        </w:rPr>
        <w:t>人</w:t>
      </w:r>
      <w:r>
        <w:rPr>
          <w:spacing w:val="-62"/>
          <w:w w:val="100"/>
          <w:position w:val="-7"/>
        </w:rPr>
        <w:t>．</w:t>
      </w:r>
      <w:r>
        <w:rPr>
          <w:spacing w:val="-152"/>
          <w:w w:val="100"/>
        </w:rPr>
        <w:t>寿</w:t>
      </w:r>
      <w:r>
        <w:rPr>
          <w:spacing w:val="-63"/>
          <w:w w:val="100"/>
          <w:position w:val="-7"/>
        </w:rPr>
        <w:t>．</w:t>
      </w:r>
      <w:r>
        <w:rPr>
          <w:spacing w:val="-149"/>
          <w:w w:val="100"/>
        </w:rPr>
        <w:t>保</w:t>
      </w:r>
      <w:r>
        <w:rPr>
          <w:spacing w:val="-63"/>
          <w:w w:val="100"/>
          <w:position w:val="-7"/>
        </w:rPr>
        <w:t>．</w:t>
      </w:r>
      <w:r>
        <w:rPr>
          <w:spacing w:val="-149"/>
          <w:w w:val="100"/>
        </w:rPr>
        <w:t>险</w:t>
      </w:r>
      <w:r>
        <w:rPr>
          <w:spacing w:val="-63"/>
          <w:w w:val="100"/>
          <w:position w:val="-7"/>
        </w:rPr>
        <w:t>．</w:t>
      </w:r>
      <w:r>
        <w:rPr>
          <w:spacing w:val="-152"/>
          <w:w w:val="100"/>
        </w:rPr>
        <w:t>股</w:t>
      </w:r>
      <w:r>
        <w:rPr>
          <w:spacing w:val="-63"/>
          <w:w w:val="100"/>
          <w:position w:val="-7"/>
        </w:rPr>
        <w:t>．</w:t>
      </w:r>
      <w:r>
        <w:rPr>
          <w:spacing w:val="-149"/>
          <w:w w:val="100"/>
        </w:rPr>
        <w:t>份</w:t>
      </w:r>
      <w:r>
        <w:rPr>
          <w:spacing w:val="-63"/>
          <w:w w:val="100"/>
          <w:position w:val="-7"/>
        </w:rPr>
        <w:t>．</w:t>
      </w:r>
      <w:r>
        <w:rPr>
          <w:spacing w:val="-152"/>
          <w:w w:val="100"/>
        </w:rPr>
        <w:t>有</w:t>
      </w:r>
      <w:r>
        <w:rPr>
          <w:spacing w:val="-63"/>
          <w:w w:val="100"/>
          <w:position w:val="-7"/>
        </w:rPr>
        <w:t>．</w:t>
      </w:r>
      <w:r>
        <w:rPr>
          <w:spacing w:val="-149"/>
          <w:w w:val="100"/>
        </w:rPr>
        <w:t>限</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w w:val="100"/>
          <w:position w:val="-7"/>
        </w:rPr>
        <w:t>．</w:t>
      </w:r>
    </w:p>
    <w:p>
      <w:pPr>
        <w:pStyle w:val="Heading2"/>
        <w:tabs>
          <w:tab w:pos="1268" w:val="left" w:leader="none"/>
        </w:tabs>
        <w:spacing w:before="105"/>
      </w:pPr>
      <w:r>
        <w:rPr/>
        <w:drawing>
          <wp:anchor distT="0" distB="0" distL="0" distR="0" allowOverlap="1" layoutInCell="1" locked="0" behindDoc="1" simplePos="0" relativeHeight="268401119">
            <wp:simplePos x="0" y="0"/>
            <wp:positionH relativeFrom="page">
              <wp:posOffset>595883</wp:posOffset>
            </wp:positionH>
            <wp:positionV relativeFrom="paragraph">
              <wp:posOffset>36546</wp:posOffset>
            </wp:positionV>
            <wp:extent cx="6368795" cy="758621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68795" cy="7586218"/>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ListParagraph"/>
        <w:numPr>
          <w:ilvl w:val="0"/>
          <w:numId w:val="1"/>
        </w:numPr>
        <w:tabs>
          <w:tab w:pos="1460" w:val="left" w:leader="none"/>
          <w:tab w:pos="1461" w:val="left" w:leader="none"/>
        </w:tabs>
        <w:spacing w:line="240" w:lineRule="auto" w:before="50" w:after="0"/>
        <w:ind w:left="1460" w:right="0" w:hanging="398"/>
        <w:jc w:val="left"/>
        <w:rPr>
          <w:sz w:val="21"/>
        </w:rPr>
      </w:pPr>
      <w:r>
        <w:rPr>
          <w:spacing w:val="-6"/>
          <w:sz w:val="21"/>
        </w:rPr>
        <w:t>签收本附加险合同之日起 </w:t>
      </w:r>
      <w:r>
        <w:rPr>
          <w:sz w:val="21"/>
        </w:rPr>
        <w:t>10</w:t>
      </w:r>
      <w:r>
        <w:rPr>
          <w:spacing w:val="-19"/>
          <w:sz w:val="21"/>
        </w:rPr>
        <w:t> 天</w:t>
      </w:r>
      <w:r>
        <w:rPr>
          <w:sz w:val="21"/>
        </w:rPr>
        <w:t>（</w:t>
      </w:r>
      <w:r>
        <w:rPr>
          <w:spacing w:val="-3"/>
          <w:sz w:val="21"/>
        </w:rPr>
        <w:t>即犹豫期）内您若要求退保，本公司仅扣除工本费...</w:t>
      </w:r>
      <w:r>
        <w:rPr>
          <w:sz w:val="21"/>
        </w:rPr>
        <w:t>1.4</w:t>
      </w:r>
    </w:p>
    <w:p>
      <w:pPr>
        <w:pStyle w:val="ListParagraph"/>
        <w:numPr>
          <w:ilvl w:val="0"/>
          <w:numId w:val="1"/>
        </w:numPr>
        <w:tabs>
          <w:tab w:pos="1496" w:val="left" w:leader="none"/>
          <w:tab w:pos="1497" w:val="left" w:leader="none"/>
          <w:tab w:pos="9794" w:val="right" w:leader="dot"/>
        </w:tabs>
        <w:spacing w:line="240" w:lineRule="auto" w:before="67" w:after="0"/>
        <w:ind w:left="1496" w:right="0" w:hanging="398"/>
        <w:jc w:val="left"/>
        <w:rPr>
          <w:sz w:val="21"/>
        </w:rPr>
      </w:pPr>
      <w:r>
        <w:rPr>
          <w:spacing w:val="-3"/>
          <w:sz w:val="21"/>
        </w:rPr>
        <w:t>您</w:t>
      </w:r>
      <w:r>
        <w:rPr>
          <w:sz w:val="21"/>
        </w:rPr>
        <w:t>有退</w:t>
      </w:r>
      <w:r>
        <w:rPr>
          <w:spacing w:val="-3"/>
          <w:sz w:val="21"/>
        </w:rPr>
        <w:t>保</w:t>
      </w:r>
      <w:r>
        <w:rPr>
          <w:sz w:val="21"/>
        </w:rPr>
        <w:t>的</w:t>
      </w:r>
      <w:r>
        <w:rPr>
          <w:spacing w:val="-3"/>
          <w:sz w:val="21"/>
        </w:rPr>
        <w:t>权利</w:t>
        <w:tab/>
      </w:r>
      <w:r>
        <w:rPr>
          <w:sz w:val="21"/>
        </w:rPr>
        <w:t>1.5</w:t>
      </w:r>
    </w:p>
    <w:p>
      <w:pPr>
        <w:pStyle w:val="ListParagraph"/>
        <w:numPr>
          <w:ilvl w:val="0"/>
          <w:numId w:val="1"/>
        </w:numPr>
        <w:tabs>
          <w:tab w:pos="1489" w:val="left" w:leader="none"/>
          <w:tab w:pos="1490" w:val="left" w:leader="none"/>
          <w:tab w:pos="9787" w:val="right" w:leader="dot"/>
        </w:tabs>
        <w:spacing w:line="240" w:lineRule="auto" w:before="70" w:after="0"/>
        <w:ind w:left="1489" w:right="0" w:hanging="399"/>
        <w:jc w:val="left"/>
        <w:rPr>
          <w:sz w:val="21"/>
        </w:rPr>
      </w:pPr>
      <w:r>
        <w:rPr>
          <w:spacing w:val="-3"/>
          <w:sz w:val="21"/>
        </w:rPr>
        <w:t>本</w:t>
      </w:r>
      <w:r>
        <w:rPr>
          <w:sz w:val="21"/>
        </w:rPr>
        <w:t>附加</w:t>
      </w:r>
      <w:r>
        <w:rPr>
          <w:spacing w:val="-3"/>
          <w:sz w:val="21"/>
        </w:rPr>
        <w:t>险</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2.4</w:t>
      </w:r>
    </w:p>
    <w:p>
      <w:pPr>
        <w:pStyle w:val="Heading2"/>
        <w:tabs>
          <w:tab w:pos="1268" w:val="left" w:leader="none"/>
        </w:tabs>
        <w:spacing w:before="43"/>
      </w:pPr>
      <w:r>
        <w:rPr>
          <w:rFonts w:ascii="Arial" w:hAnsi="Arial" w:eastAsia="Arial"/>
          <w:w w:val="105"/>
          <w:position w:val="-11"/>
          <w:sz w:val="52"/>
        </w:rPr>
        <w:t></w:t>
        <w:tab/>
      </w:r>
      <w:r>
        <w:rPr>
          <w:spacing w:val="-1"/>
        </w:rPr>
        <w:t>您应当特别注意的事项</w:t>
      </w:r>
    </w:p>
    <w:p>
      <w:pPr>
        <w:pStyle w:val="ListParagraph"/>
        <w:numPr>
          <w:ilvl w:val="0"/>
          <w:numId w:val="1"/>
        </w:numPr>
        <w:tabs>
          <w:tab w:pos="1493" w:val="left" w:leader="none"/>
          <w:tab w:pos="1494" w:val="left" w:leader="none"/>
          <w:tab w:pos="9789" w:val="right" w:leader="dot"/>
        </w:tabs>
        <w:spacing w:line="240" w:lineRule="auto" w:before="49" w:after="0"/>
        <w:ind w:left="1494" w:right="0" w:hanging="399"/>
        <w:jc w:val="left"/>
        <w:rPr>
          <w:sz w:val="21"/>
        </w:rPr>
      </w:pPr>
      <w:r>
        <w:rPr>
          <w:spacing w:val="-3"/>
          <w:sz w:val="21"/>
        </w:rPr>
        <w:t>退</w:t>
      </w:r>
      <w:r>
        <w:rPr>
          <w:sz w:val="21"/>
        </w:rPr>
        <w:t>保会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1.5</w:t>
      </w:r>
    </w:p>
    <w:p>
      <w:pPr>
        <w:pStyle w:val="ListParagraph"/>
        <w:numPr>
          <w:ilvl w:val="0"/>
          <w:numId w:val="1"/>
        </w:numPr>
        <w:tabs>
          <w:tab w:pos="1493" w:val="left" w:leader="none"/>
          <w:tab w:pos="1494" w:val="left" w:leader="none"/>
          <w:tab w:pos="9789" w:val="right" w:leader="dot"/>
        </w:tabs>
        <w:spacing w:line="240" w:lineRule="auto" w:before="70" w:after="0"/>
        <w:ind w:left="1494" w:right="0" w:hanging="399"/>
        <w:jc w:val="left"/>
        <w:rPr>
          <w:sz w:val="21"/>
        </w:rPr>
      </w:pPr>
      <w:r>
        <w:rPr>
          <w:spacing w:val="-3"/>
          <w:sz w:val="21"/>
        </w:rPr>
        <w:t>本</w:t>
      </w:r>
      <w:r>
        <w:rPr>
          <w:sz w:val="21"/>
        </w:rPr>
        <w:t>附加</w:t>
      </w:r>
      <w:r>
        <w:rPr>
          <w:spacing w:val="-3"/>
          <w:sz w:val="21"/>
        </w:rPr>
        <w:t>险</w:t>
      </w:r>
      <w:r>
        <w:rPr>
          <w:sz w:val="21"/>
        </w:rPr>
        <w:t>有</w:t>
      </w:r>
      <w:r>
        <w:rPr>
          <w:spacing w:val="-53"/>
          <w:sz w:val="21"/>
        </w:rPr>
        <w:t> </w:t>
      </w:r>
      <w:r>
        <w:rPr>
          <w:sz w:val="21"/>
        </w:rPr>
        <w:t>180</w:t>
      </w:r>
      <w:r>
        <w:rPr>
          <w:spacing w:val="-53"/>
          <w:sz w:val="21"/>
        </w:rPr>
        <w:t> </w:t>
      </w:r>
      <w:r>
        <w:rPr>
          <w:spacing w:val="-3"/>
          <w:sz w:val="21"/>
        </w:rPr>
        <w:t>天的</w:t>
      </w:r>
      <w:r>
        <w:rPr>
          <w:sz w:val="21"/>
        </w:rPr>
        <w:t>等待期</w:t>
        <w:tab/>
        <w:t>2.4</w:t>
      </w:r>
    </w:p>
    <w:p>
      <w:pPr>
        <w:pStyle w:val="ListParagraph"/>
        <w:numPr>
          <w:ilvl w:val="0"/>
          <w:numId w:val="1"/>
        </w:numPr>
        <w:tabs>
          <w:tab w:pos="1496" w:val="left" w:leader="none"/>
          <w:tab w:pos="1497" w:val="left" w:leader="none"/>
          <w:tab w:pos="9792" w:val="right" w:leader="dot"/>
        </w:tabs>
        <w:spacing w:line="240" w:lineRule="auto" w:before="68" w:after="0"/>
        <w:ind w:left="1496"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本公</w:t>
      </w:r>
      <w:r>
        <w:rPr>
          <w:sz w:val="21"/>
        </w:rPr>
        <w:t>司不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496" w:val="left" w:leader="none"/>
          <w:tab w:pos="1497" w:val="left" w:leader="none"/>
          <w:tab w:pos="9789" w:val="right" w:leader="dot"/>
        </w:tabs>
        <w:spacing w:line="240" w:lineRule="auto" w:before="70" w:after="0"/>
        <w:ind w:left="1496" w:right="0" w:hanging="396"/>
        <w:jc w:val="left"/>
        <w:rPr>
          <w:sz w:val="21"/>
        </w:rPr>
      </w:pPr>
      <w:r>
        <w:rPr>
          <w:sz w:val="21"/>
        </w:rPr>
        <w:t>保</w:t>
      </w:r>
      <w:r>
        <w:rPr>
          <w:spacing w:val="-3"/>
          <w:sz w:val="21"/>
        </w:rPr>
        <w:t>险</w:t>
      </w:r>
      <w:r>
        <w:rPr>
          <w:sz w:val="21"/>
        </w:rPr>
        <w:t>事</w:t>
      </w:r>
      <w:r>
        <w:rPr>
          <w:spacing w:val="-3"/>
          <w:sz w:val="21"/>
        </w:rPr>
        <w:t>故发</w:t>
      </w:r>
      <w:r>
        <w:rPr>
          <w:sz w:val="21"/>
        </w:rPr>
        <w:t>生后</w:t>
      </w:r>
      <w:r>
        <w:rPr>
          <w:spacing w:val="-3"/>
          <w:sz w:val="21"/>
        </w:rPr>
        <w:t>请</w:t>
      </w:r>
      <w:r>
        <w:rPr>
          <w:sz w:val="21"/>
        </w:rPr>
        <w:t>您</w:t>
      </w:r>
      <w:r>
        <w:rPr>
          <w:spacing w:val="-3"/>
          <w:sz w:val="21"/>
        </w:rPr>
        <w:t>及</w:t>
      </w:r>
      <w:r>
        <w:rPr>
          <w:sz w:val="21"/>
        </w:rPr>
        <w:t>时</w:t>
      </w:r>
      <w:r>
        <w:rPr>
          <w:spacing w:val="-3"/>
          <w:sz w:val="21"/>
        </w:rPr>
        <w:t>通</w:t>
      </w:r>
      <w:r>
        <w:rPr>
          <w:sz w:val="21"/>
        </w:rPr>
        <w:t>知</w:t>
      </w:r>
      <w:r>
        <w:rPr>
          <w:spacing w:val="-3"/>
          <w:sz w:val="21"/>
        </w:rPr>
        <w:t>本</w:t>
      </w:r>
      <w:r>
        <w:rPr>
          <w:sz w:val="21"/>
        </w:rPr>
        <w:t>公司</w:t>
        <w:tab/>
        <w:t>3.2</w:t>
      </w:r>
    </w:p>
    <w:p>
      <w:pPr>
        <w:pStyle w:val="ListParagraph"/>
        <w:numPr>
          <w:ilvl w:val="0"/>
          <w:numId w:val="1"/>
        </w:numPr>
        <w:tabs>
          <w:tab w:pos="1496" w:val="left" w:leader="none"/>
          <w:tab w:pos="1497" w:val="left" w:leader="none"/>
          <w:tab w:pos="9789" w:val="right" w:leader="dot"/>
        </w:tabs>
        <w:spacing w:line="240" w:lineRule="auto" w:before="67" w:after="0"/>
        <w:ind w:left="1496" w:right="0" w:hanging="396"/>
        <w:jc w:val="left"/>
        <w:rPr>
          <w:sz w:val="21"/>
        </w:rPr>
      </w:pPr>
      <w:r>
        <w:rPr>
          <w:sz w:val="21"/>
        </w:rPr>
        <w:t>您</w:t>
      </w:r>
      <w:r>
        <w:rPr>
          <w:spacing w:val="-3"/>
          <w:sz w:val="21"/>
        </w:rPr>
        <w:t>有</w:t>
      </w:r>
      <w:r>
        <w:rPr>
          <w:sz w:val="21"/>
        </w:rPr>
        <w:t>如</w:t>
      </w:r>
      <w:r>
        <w:rPr>
          <w:spacing w:val="-3"/>
          <w:sz w:val="21"/>
        </w:rPr>
        <w:t>实告</w:t>
      </w:r>
      <w:r>
        <w:rPr>
          <w:sz w:val="21"/>
        </w:rPr>
        <w:t>知的</w:t>
      </w:r>
      <w:r>
        <w:rPr>
          <w:spacing w:val="-3"/>
          <w:sz w:val="21"/>
        </w:rPr>
        <w:t>义</w:t>
      </w:r>
      <w:r>
        <w:rPr>
          <w:sz w:val="21"/>
        </w:rPr>
        <w:t>务</w:t>
        <w:tab/>
        <w:t>5.1</w:t>
      </w:r>
    </w:p>
    <w:p>
      <w:pPr>
        <w:pStyle w:val="ListParagraph"/>
        <w:numPr>
          <w:ilvl w:val="0"/>
          <w:numId w:val="1"/>
        </w:numPr>
        <w:tabs>
          <w:tab w:pos="1496" w:val="left" w:leader="none"/>
          <w:tab w:pos="1497" w:val="left" w:leader="none"/>
          <w:tab w:pos="9585" w:val="right" w:leader="dot"/>
        </w:tabs>
        <w:spacing w:line="240" w:lineRule="auto" w:before="69" w:after="0"/>
        <w:ind w:left="1496" w:right="0" w:hanging="396"/>
        <w:jc w:val="left"/>
        <w:rPr>
          <w:sz w:val="21"/>
        </w:rPr>
      </w:pPr>
      <w:r>
        <w:rPr>
          <w:sz w:val="21"/>
        </w:rPr>
        <w:t>本</w:t>
      </w:r>
      <w:r>
        <w:rPr>
          <w:spacing w:val="-3"/>
          <w:sz w:val="21"/>
        </w:rPr>
        <w:t>公</w:t>
      </w:r>
      <w:r>
        <w:rPr>
          <w:sz w:val="21"/>
        </w:rPr>
        <w:t>司</w:t>
      </w:r>
      <w:r>
        <w:rPr>
          <w:spacing w:val="-3"/>
          <w:sz w:val="21"/>
        </w:rPr>
        <w:t>对一</w:t>
      </w:r>
      <w:r>
        <w:rPr>
          <w:sz w:val="21"/>
        </w:rPr>
        <w:t>些重</w:t>
      </w:r>
      <w:r>
        <w:rPr>
          <w:spacing w:val="-3"/>
          <w:sz w:val="21"/>
        </w:rPr>
        <w:t>要</w:t>
      </w:r>
      <w:r>
        <w:rPr>
          <w:sz w:val="21"/>
        </w:rPr>
        <w:t>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并作</w:t>
      </w:r>
      <w:r>
        <w:rPr>
          <w:spacing w:val="-3"/>
          <w:sz w:val="21"/>
        </w:rPr>
        <w:t>了</w:t>
      </w:r>
      <w:r>
        <w:rPr>
          <w:sz w:val="21"/>
        </w:rPr>
        <w:t>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注意</w:t>
        <w:tab/>
      </w:r>
      <w:r>
        <w:rPr>
          <w:sz w:val="21"/>
        </w:rPr>
        <w:t>6</w:t>
      </w:r>
    </w:p>
    <w:p>
      <w:pPr>
        <w:pStyle w:val="Heading2"/>
        <w:tabs>
          <w:tab w:pos="1268" w:val="left" w:leader="none"/>
        </w:tabs>
        <w:spacing w:before="43"/>
      </w:pPr>
      <w:r>
        <w:rPr>
          <w:rFonts w:ascii="Arial" w:hAnsi="Arial" w:eastAsia="Arial"/>
          <w:w w:val="105"/>
          <w:position w:val="-11"/>
          <w:sz w:val="52"/>
        </w:rPr>
        <w:t></w:t>
        <w:tab/>
      </w:r>
      <w:r>
        <w:rPr>
          <w:spacing w:val="-3"/>
        </w:rPr>
        <w:t>条款是保险合同的重要内容，为充分保障您的权益，请您仔细阅读本条款。</w:t>
      </w:r>
    </w:p>
    <w:p>
      <w:pPr>
        <w:tabs>
          <w:tab w:pos="1268" w:val="left" w:leader="none"/>
        </w:tabs>
        <w:spacing w:before="26"/>
        <w:ind w:left="257" w:right="0" w:firstLine="0"/>
        <w:jc w:val="left"/>
        <w:rPr>
          <w:b/>
          <w:sz w:val="21"/>
        </w:rPr>
      </w:pPr>
      <w:r>
        <w:rPr>
          <w:rFonts w:ascii="Arial" w:hAnsi="Arial" w:eastAsia="Arial"/>
          <w:b/>
          <w:w w:val="110"/>
          <w:position w:val="-11"/>
          <w:sz w:val="52"/>
        </w:rPr>
        <w:t></w:t>
        <w:tab/>
      </w:r>
      <w:r>
        <w:rPr>
          <w:b/>
          <w:sz w:val="21"/>
        </w:rPr>
        <w:t>条款目录</w:t>
      </w:r>
    </w:p>
    <w:p>
      <w:pPr>
        <w:pStyle w:val="BodyText"/>
        <w:spacing w:before="5"/>
        <w:rPr>
          <w:b/>
          <w:sz w:val="9"/>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2"/>
        <w:gridCol w:w="3144"/>
        <w:gridCol w:w="3177"/>
      </w:tblGrid>
      <w:tr>
        <w:trPr>
          <w:trHeight w:val="5972" w:hRule="atLeast"/>
        </w:trPr>
        <w:tc>
          <w:tcPr>
            <w:tcW w:w="3202" w:type="dxa"/>
          </w:tcPr>
          <w:p>
            <w:pPr>
              <w:pStyle w:val="TableParagraph"/>
              <w:numPr>
                <w:ilvl w:val="0"/>
                <w:numId w:val="2"/>
              </w:numPr>
              <w:tabs>
                <w:tab w:pos="518" w:val="left" w:leader="none"/>
              </w:tabs>
              <w:spacing w:line="211" w:lineRule="exact" w:before="0" w:after="0"/>
              <w:ind w:left="517" w:right="0" w:hanging="317"/>
              <w:jc w:val="left"/>
              <w:rPr>
                <w:b/>
                <w:sz w:val="21"/>
              </w:rPr>
            </w:pPr>
            <w:r>
              <w:rPr>
                <w:b/>
                <w:spacing w:val="-1"/>
                <w:sz w:val="21"/>
              </w:rPr>
              <w:t>您与本公司的合同</w:t>
            </w:r>
          </w:p>
          <w:p>
            <w:pPr>
              <w:pStyle w:val="TableParagraph"/>
              <w:numPr>
                <w:ilvl w:val="1"/>
                <w:numId w:val="2"/>
              </w:numPr>
              <w:tabs>
                <w:tab w:pos="729" w:val="left" w:leader="none"/>
              </w:tabs>
              <w:spacing w:line="240" w:lineRule="auto" w:before="46" w:after="0"/>
              <w:ind w:left="726" w:right="0" w:hanging="420"/>
              <w:jc w:val="left"/>
              <w:rPr>
                <w:sz w:val="21"/>
              </w:rPr>
            </w:pPr>
            <w:r>
              <w:rPr>
                <w:spacing w:val="-3"/>
                <w:sz w:val="21"/>
              </w:rPr>
              <w:t>合同构成</w:t>
            </w:r>
          </w:p>
          <w:p>
            <w:pPr>
              <w:pStyle w:val="TableParagraph"/>
              <w:numPr>
                <w:ilvl w:val="1"/>
                <w:numId w:val="2"/>
              </w:numPr>
              <w:tabs>
                <w:tab w:pos="729" w:val="left" w:leader="none"/>
              </w:tabs>
              <w:spacing w:line="240" w:lineRule="auto" w:before="43" w:after="0"/>
              <w:ind w:left="726" w:right="0" w:hanging="420"/>
              <w:jc w:val="left"/>
              <w:rPr>
                <w:sz w:val="21"/>
              </w:rPr>
            </w:pPr>
            <w:r>
              <w:rPr>
                <w:spacing w:val="-3"/>
                <w:sz w:val="21"/>
              </w:rPr>
              <w:t>投保范围</w:t>
            </w:r>
          </w:p>
          <w:p>
            <w:pPr>
              <w:pStyle w:val="TableParagraph"/>
              <w:numPr>
                <w:ilvl w:val="1"/>
                <w:numId w:val="2"/>
              </w:numPr>
              <w:tabs>
                <w:tab w:pos="731" w:val="left" w:leader="none"/>
              </w:tabs>
              <w:spacing w:line="280" w:lineRule="auto" w:before="43" w:after="0"/>
              <w:ind w:left="726" w:right="110" w:hanging="420"/>
              <w:jc w:val="left"/>
              <w:rPr>
                <w:sz w:val="21"/>
              </w:rPr>
            </w:pPr>
            <w:r>
              <w:rPr>
                <w:sz w:val="21"/>
              </w:rPr>
              <w:t>合同成立与生效和保险责任开始</w:t>
            </w:r>
          </w:p>
          <w:p>
            <w:pPr>
              <w:pStyle w:val="TableParagraph"/>
              <w:numPr>
                <w:ilvl w:val="1"/>
                <w:numId w:val="2"/>
              </w:numPr>
              <w:tabs>
                <w:tab w:pos="729" w:val="left" w:leader="none"/>
              </w:tabs>
              <w:spacing w:line="240" w:lineRule="auto" w:before="8" w:after="0"/>
              <w:ind w:left="726" w:right="0" w:hanging="420"/>
              <w:jc w:val="left"/>
              <w:rPr>
                <w:sz w:val="21"/>
              </w:rPr>
            </w:pPr>
            <w:r>
              <w:rPr>
                <w:spacing w:val="-2"/>
                <w:sz w:val="21"/>
              </w:rPr>
              <w:t>犹豫期</w:t>
            </w:r>
          </w:p>
          <w:p>
            <w:pPr>
              <w:pStyle w:val="TableParagraph"/>
              <w:numPr>
                <w:ilvl w:val="1"/>
                <w:numId w:val="2"/>
              </w:numPr>
              <w:tabs>
                <w:tab w:pos="729" w:val="left" w:leader="none"/>
              </w:tabs>
              <w:spacing w:line="240" w:lineRule="auto" w:before="44" w:after="0"/>
              <w:ind w:left="726" w:right="0" w:hanging="420"/>
              <w:jc w:val="left"/>
              <w:rPr>
                <w:sz w:val="21"/>
              </w:rPr>
            </w:pPr>
            <w:r>
              <w:rPr>
                <w:spacing w:val="-3"/>
                <w:sz w:val="21"/>
              </w:rPr>
              <w:t>解除合同的手续及风险</w:t>
            </w:r>
          </w:p>
          <w:p>
            <w:pPr>
              <w:pStyle w:val="TableParagraph"/>
              <w:numPr>
                <w:ilvl w:val="0"/>
                <w:numId w:val="2"/>
              </w:numPr>
              <w:tabs>
                <w:tab w:pos="518" w:val="left" w:leader="none"/>
              </w:tabs>
              <w:spacing w:line="240" w:lineRule="auto" w:before="47" w:after="0"/>
              <w:ind w:left="517" w:right="0" w:hanging="317"/>
              <w:jc w:val="left"/>
              <w:rPr>
                <w:b/>
                <w:sz w:val="21"/>
              </w:rPr>
            </w:pPr>
            <w:r>
              <w:rPr>
                <w:b/>
                <w:spacing w:val="-1"/>
                <w:sz w:val="21"/>
              </w:rPr>
              <w:t>本公司提供的保障</w:t>
            </w:r>
          </w:p>
          <w:p>
            <w:pPr>
              <w:pStyle w:val="TableParagraph"/>
              <w:numPr>
                <w:ilvl w:val="1"/>
                <w:numId w:val="2"/>
              </w:numPr>
              <w:tabs>
                <w:tab w:pos="729" w:val="left" w:leader="none"/>
              </w:tabs>
              <w:spacing w:line="240" w:lineRule="auto" w:before="44" w:after="0"/>
              <w:ind w:left="706" w:right="0" w:hanging="400"/>
              <w:jc w:val="left"/>
              <w:rPr>
                <w:sz w:val="21"/>
              </w:rPr>
            </w:pPr>
            <w:r>
              <w:rPr>
                <w:spacing w:val="-3"/>
                <w:sz w:val="21"/>
              </w:rPr>
              <w:t>保险金额</w:t>
            </w:r>
          </w:p>
          <w:p>
            <w:pPr>
              <w:pStyle w:val="TableParagraph"/>
              <w:numPr>
                <w:ilvl w:val="1"/>
                <w:numId w:val="2"/>
              </w:numPr>
              <w:tabs>
                <w:tab w:pos="729" w:val="left" w:leader="none"/>
              </w:tabs>
              <w:spacing w:line="240" w:lineRule="auto" w:before="44" w:after="0"/>
              <w:ind w:left="706" w:right="0" w:hanging="400"/>
              <w:jc w:val="left"/>
              <w:rPr>
                <w:sz w:val="21"/>
              </w:rPr>
            </w:pPr>
            <w:r>
              <w:rPr>
                <w:spacing w:val="-3"/>
                <w:sz w:val="21"/>
              </w:rPr>
              <w:t>基本保险金额</w:t>
            </w:r>
          </w:p>
          <w:p>
            <w:pPr>
              <w:pStyle w:val="TableParagraph"/>
              <w:numPr>
                <w:ilvl w:val="1"/>
                <w:numId w:val="2"/>
              </w:numPr>
              <w:tabs>
                <w:tab w:pos="676" w:val="left" w:leader="none"/>
              </w:tabs>
              <w:spacing w:line="240" w:lineRule="auto" w:before="47" w:after="0"/>
              <w:ind w:left="675" w:right="0" w:hanging="369"/>
              <w:jc w:val="left"/>
              <w:rPr>
                <w:sz w:val="21"/>
              </w:rPr>
            </w:pPr>
            <w:r>
              <w:rPr>
                <w:spacing w:val="-3"/>
                <w:sz w:val="21"/>
              </w:rPr>
              <w:t>保险期间</w:t>
            </w:r>
          </w:p>
          <w:p>
            <w:pPr>
              <w:pStyle w:val="TableParagraph"/>
              <w:numPr>
                <w:ilvl w:val="1"/>
                <w:numId w:val="2"/>
              </w:numPr>
              <w:tabs>
                <w:tab w:pos="676" w:val="left" w:leader="none"/>
              </w:tabs>
              <w:spacing w:line="240" w:lineRule="auto" w:before="44" w:after="0"/>
              <w:ind w:left="675" w:right="0" w:hanging="369"/>
              <w:jc w:val="left"/>
              <w:rPr>
                <w:sz w:val="21"/>
              </w:rPr>
            </w:pPr>
            <w:r>
              <w:rPr>
                <w:spacing w:val="-3"/>
                <w:sz w:val="21"/>
              </w:rPr>
              <w:t>保险责任</w:t>
            </w:r>
          </w:p>
          <w:p>
            <w:pPr>
              <w:pStyle w:val="TableParagraph"/>
              <w:numPr>
                <w:ilvl w:val="1"/>
                <w:numId w:val="2"/>
              </w:numPr>
              <w:tabs>
                <w:tab w:pos="676" w:val="left" w:leader="none"/>
              </w:tabs>
              <w:spacing w:line="240" w:lineRule="auto" w:before="44" w:after="0"/>
              <w:ind w:left="675" w:right="0" w:hanging="369"/>
              <w:jc w:val="left"/>
              <w:rPr>
                <w:sz w:val="21"/>
              </w:rPr>
            </w:pPr>
            <w:r>
              <w:rPr>
                <w:spacing w:val="-3"/>
                <w:sz w:val="21"/>
              </w:rPr>
              <w:t>保险责任的免除</w:t>
            </w:r>
          </w:p>
          <w:p>
            <w:pPr>
              <w:pStyle w:val="TableParagraph"/>
              <w:numPr>
                <w:ilvl w:val="1"/>
                <w:numId w:val="2"/>
              </w:numPr>
              <w:tabs>
                <w:tab w:pos="729" w:val="left" w:leader="none"/>
              </w:tabs>
              <w:spacing w:line="240" w:lineRule="auto" w:before="47" w:after="0"/>
              <w:ind w:left="706" w:right="0" w:hanging="400"/>
              <w:jc w:val="left"/>
              <w:rPr>
                <w:sz w:val="21"/>
              </w:rPr>
            </w:pPr>
            <w:r>
              <w:rPr>
                <w:spacing w:val="-3"/>
                <w:sz w:val="21"/>
              </w:rPr>
              <w:t>保证续保期间</w:t>
            </w:r>
          </w:p>
          <w:p>
            <w:pPr>
              <w:pStyle w:val="TableParagraph"/>
              <w:numPr>
                <w:ilvl w:val="1"/>
                <w:numId w:val="2"/>
              </w:numPr>
              <w:tabs>
                <w:tab w:pos="729" w:val="left" w:leader="none"/>
              </w:tabs>
              <w:spacing w:line="240" w:lineRule="auto" w:before="44" w:after="0"/>
              <w:ind w:left="706" w:right="0" w:hanging="400"/>
              <w:jc w:val="left"/>
              <w:rPr>
                <w:sz w:val="21"/>
              </w:rPr>
            </w:pPr>
            <w:r>
              <w:rPr>
                <w:spacing w:val="-3"/>
                <w:sz w:val="21"/>
              </w:rPr>
              <w:t>保证续保权的终止</w:t>
            </w:r>
          </w:p>
          <w:p>
            <w:pPr>
              <w:pStyle w:val="TableParagraph"/>
              <w:numPr>
                <w:ilvl w:val="1"/>
                <w:numId w:val="2"/>
              </w:numPr>
              <w:tabs>
                <w:tab w:pos="676" w:val="left" w:leader="none"/>
              </w:tabs>
              <w:spacing w:line="240" w:lineRule="auto" w:before="44" w:after="0"/>
              <w:ind w:left="675" w:right="0" w:hanging="369"/>
              <w:jc w:val="left"/>
              <w:rPr>
                <w:sz w:val="21"/>
              </w:rPr>
            </w:pPr>
            <w:r>
              <w:rPr>
                <w:spacing w:val="-3"/>
                <w:sz w:val="21"/>
              </w:rPr>
              <w:t>保证续保</w:t>
            </w:r>
          </w:p>
          <w:p>
            <w:pPr>
              <w:pStyle w:val="TableParagraph"/>
              <w:numPr>
                <w:ilvl w:val="1"/>
                <w:numId w:val="2"/>
              </w:numPr>
              <w:tabs>
                <w:tab w:pos="731" w:val="left" w:leader="none"/>
              </w:tabs>
              <w:spacing w:line="278" w:lineRule="auto" w:before="47" w:after="0"/>
              <w:ind w:left="706" w:right="112" w:hanging="400"/>
              <w:jc w:val="left"/>
              <w:rPr>
                <w:sz w:val="21"/>
              </w:rPr>
            </w:pPr>
            <w:r>
              <w:rPr>
                <w:sz w:val="21"/>
              </w:rPr>
              <w:t>保证续保期间届满后的续保</w:t>
            </w:r>
          </w:p>
          <w:p>
            <w:pPr>
              <w:pStyle w:val="TableParagraph"/>
              <w:numPr>
                <w:ilvl w:val="0"/>
                <w:numId w:val="2"/>
              </w:numPr>
              <w:tabs>
                <w:tab w:pos="518" w:val="left" w:leader="none"/>
              </w:tabs>
              <w:spacing w:line="255" w:lineRule="exact" w:before="11" w:after="0"/>
              <w:ind w:left="517" w:right="0" w:hanging="317"/>
              <w:jc w:val="left"/>
              <w:rPr>
                <w:b/>
                <w:sz w:val="21"/>
              </w:rPr>
            </w:pPr>
            <w:r>
              <w:rPr>
                <w:b/>
                <w:sz w:val="21"/>
              </w:rPr>
              <w:t>保险金的申请与给付</w:t>
            </w:r>
          </w:p>
        </w:tc>
        <w:tc>
          <w:tcPr>
            <w:tcW w:w="3144" w:type="dxa"/>
          </w:tcPr>
          <w:p>
            <w:pPr>
              <w:pStyle w:val="TableParagraph"/>
              <w:numPr>
                <w:ilvl w:val="1"/>
                <w:numId w:val="3"/>
              </w:numPr>
              <w:tabs>
                <w:tab w:pos="587" w:val="left" w:leader="none"/>
              </w:tabs>
              <w:spacing w:line="211" w:lineRule="exact" w:before="0" w:after="0"/>
              <w:ind w:left="587" w:right="0" w:hanging="370"/>
              <w:jc w:val="left"/>
              <w:rPr>
                <w:sz w:val="21"/>
              </w:rPr>
            </w:pPr>
            <w:r>
              <w:rPr>
                <w:spacing w:val="-3"/>
                <w:sz w:val="21"/>
              </w:rPr>
              <w:t>保险金受益人</w:t>
            </w:r>
          </w:p>
          <w:p>
            <w:pPr>
              <w:pStyle w:val="TableParagraph"/>
              <w:numPr>
                <w:ilvl w:val="1"/>
                <w:numId w:val="3"/>
              </w:numPr>
              <w:tabs>
                <w:tab w:pos="640" w:val="left" w:leader="none"/>
              </w:tabs>
              <w:spacing w:line="240" w:lineRule="auto" w:before="46" w:after="0"/>
              <w:ind w:left="639" w:right="0" w:hanging="422"/>
              <w:jc w:val="left"/>
              <w:rPr>
                <w:sz w:val="21"/>
              </w:rPr>
            </w:pPr>
            <w:r>
              <w:rPr>
                <w:spacing w:val="-3"/>
                <w:sz w:val="21"/>
              </w:rPr>
              <w:t>保险事故通知</w:t>
            </w:r>
          </w:p>
          <w:p>
            <w:pPr>
              <w:pStyle w:val="TableParagraph"/>
              <w:numPr>
                <w:ilvl w:val="1"/>
                <w:numId w:val="3"/>
              </w:numPr>
              <w:tabs>
                <w:tab w:pos="640" w:val="left" w:leader="none"/>
              </w:tabs>
              <w:spacing w:line="240" w:lineRule="auto" w:before="43" w:after="0"/>
              <w:ind w:left="639" w:right="0" w:hanging="422"/>
              <w:jc w:val="left"/>
              <w:rPr>
                <w:sz w:val="21"/>
              </w:rPr>
            </w:pPr>
            <w:r>
              <w:rPr>
                <w:spacing w:val="-3"/>
                <w:sz w:val="21"/>
              </w:rPr>
              <w:t>保险金申请</w:t>
            </w:r>
          </w:p>
          <w:p>
            <w:pPr>
              <w:pStyle w:val="TableParagraph"/>
              <w:numPr>
                <w:ilvl w:val="1"/>
                <w:numId w:val="3"/>
              </w:numPr>
              <w:tabs>
                <w:tab w:pos="640" w:val="left" w:leader="none"/>
              </w:tabs>
              <w:spacing w:line="240" w:lineRule="auto" w:before="43" w:after="0"/>
              <w:ind w:left="639" w:right="0" w:hanging="422"/>
              <w:jc w:val="left"/>
              <w:rPr>
                <w:sz w:val="21"/>
              </w:rPr>
            </w:pPr>
            <w:r>
              <w:rPr>
                <w:spacing w:val="-3"/>
                <w:sz w:val="21"/>
              </w:rPr>
              <w:t>保险金的给付</w:t>
            </w:r>
          </w:p>
          <w:p>
            <w:pPr>
              <w:pStyle w:val="TableParagraph"/>
              <w:numPr>
                <w:ilvl w:val="1"/>
                <w:numId w:val="3"/>
              </w:numPr>
              <w:tabs>
                <w:tab w:pos="587" w:val="left" w:leader="none"/>
              </w:tabs>
              <w:spacing w:line="240" w:lineRule="auto" w:before="46" w:after="0"/>
              <w:ind w:left="587" w:right="0" w:hanging="370"/>
              <w:jc w:val="left"/>
              <w:rPr>
                <w:sz w:val="21"/>
              </w:rPr>
            </w:pPr>
            <w:r>
              <w:rPr>
                <w:spacing w:val="-3"/>
                <w:sz w:val="21"/>
              </w:rPr>
              <w:t>诉讼时效</w:t>
            </w:r>
          </w:p>
          <w:p>
            <w:pPr>
              <w:pStyle w:val="TableParagraph"/>
              <w:numPr>
                <w:ilvl w:val="0"/>
                <w:numId w:val="4"/>
              </w:numPr>
              <w:tabs>
                <w:tab w:pos="429" w:val="left" w:leader="none"/>
              </w:tabs>
              <w:spacing w:line="240" w:lineRule="auto" w:before="44" w:after="0"/>
              <w:ind w:left="428" w:right="0" w:hanging="317"/>
              <w:jc w:val="left"/>
              <w:rPr>
                <w:b/>
                <w:sz w:val="21"/>
              </w:rPr>
            </w:pPr>
            <w:r>
              <w:rPr>
                <w:b/>
                <w:sz w:val="21"/>
              </w:rPr>
              <w:t>保险费的支付</w:t>
            </w:r>
          </w:p>
          <w:p>
            <w:pPr>
              <w:pStyle w:val="TableParagraph"/>
              <w:numPr>
                <w:ilvl w:val="1"/>
                <w:numId w:val="4"/>
              </w:numPr>
              <w:tabs>
                <w:tab w:pos="640" w:val="left" w:leader="none"/>
              </w:tabs>
              <w:spacing w:line="240" w:lineRule="auto" w:before="44" w:after="0"/>
              <w:ind w:left="639" w:right="0" w:hanging="422"/>
              <w:jc w:val="left"/>
              <w:rPr>
                <w:sz w:val="21"/>
              </w:rPr>
            </w:pPr>
            <w:r>
              <w:rPr>
                <w:spacing w:val="-3"/>
                <w:sz w:val="21"/>
              </w:rPr>
              <w:t>保险费的支付</w:t>
            </w:r>
          </w:p>
          <w:p>
            <w:pPr>
              <w:pStyle w:val="TableParagraph"/>
              <w:numPr>
                <w:ilvl w:val="1"/>
                <w:numId w:val="4"/>
              </w:numPr>
              <w:tabs>
                <w:tab w:pos="587" w:val="left" w:leader="none"/>
              </w:tabs>
              <w:spacing w:line="240" w:lineRule="auto" w:before="47" w:after="0"/>
              <w:ind w:left="587" w:right="0" w:hanging="370"/>
              <w:jc w:val="left"/>
              <w:rPr>
                <w:sz w:val="21"/>
              </w:rPr>
            </w:pPr>
            <w:r>
              <w:rPr>
                <w:spacing w:val="-2"/>
                <w:sz w:val="21"/>
              </w:rPr>
              <w:t>宽限期</w:t>
            </w:r>
          </w:p>
          <w:p>
            <w:pPr>
              <w:pStyle w:val="TableParagraph"/>
              <w:numPr>
                <w:ilvl w:val="1"/>
                <w:numId w:val="4"/>
              </w:numPr>
              <w:tabs>
                <w:tab w:pos="587" w:val="left" w:leader="none"/>
              </w:tabs>
              <w:spacing w:line="240" w:lineRule="auto" w:before="44" w:after="0"/>
              <w:ind w:left="587" w:right="0" w:hanging="370"/>
              <w:jc w:val="left"/>
              <w:rPr>
                <w:sz w:val="21"/>
              </w:rPr>
            </w:pPr>
            <w:r>
              <w:rPr>
                <w:spacing w:val="-3"/>
                <w:sz w:val="21"/>
              </w:rPr>
              <w:t>保险费率调整</w:t>
            </w:r>
          </w:p>
          <w:p>
            <w:pPr>
              <w:pStyle w:val="TableParagraph"/>
              <w:numPr>
                <w:ilvl w:val="0"/>
                <w:numId w:val="4"/>
              </w:numPr>
              <w:tabs>
                <w:tab w:pos="429" w:val="left" w:leader="none"/>
              </w:tabs>
              <w:spacing w:line="240" w:lineRule="auto" w:before="44" w:after="0"/>
              <w:ind w:left="428" w:right="0" w:hanging="317"/>
              <w:jc w:val="left"/>
              <w:rPr>
                <w:b/>
                <w:sz w:val="21"/>
              </w:rPr>
            </w:pPr>
            <w:r>
              <w:rPr>
                <w:b/>
                <w:sz w:val="21"/>
              </w:rPr>
              <w:t>其他事项</w:t>
            </w:r>
          </w:p>
          <w:p>
            <w:pPr>
              <w:pStyle w:val="TableParagraph"/>
              <w:numPr>
                <w:ilvl w:val="1"/>
                <w:numId w:val="4"/>
              </w:numPr>
              <w:tabs>
                <w:tab w:pos="640" w:val="left" w:leader="none"/>
              </w:tabs>
              <w:spacing w:line="240" w:lineRule="auto" w:before="46" w:after="0"/>
              <w:ind w:left="639" w:right="0" w:hanging="422"/>
              <w:jc w:val="left"/>
              <w:rPr>
                <w:sz w:val="21"/>
              </w:rPr>
            </w:pPr>
            <w:r>
              <w:rPr>
                <w:spacing w:val="-3"/>
                <w:sz w:val="21"/>
              </w:rPr>
              <w:t>明确说明与如实告知</w:t>
            </w:r>
          </w:p>
          <w:p>
            <w:pPr>
              <w:pStyle w:val="TableParagraph"/>
              <w:numPr>
                <w:ilvl w:val="1"/>
                <w:numId w:val="4"/>
              </w:numPr>
              <w:tabs>
                <w:tab w:pos="640" w:val="left" w:leader="none"/>
              </w:tabs>
              <w:spacing w:line="240" w:lineRule="auto" w:before="44" w:after="0"/>
              <w:ind w:left="639" w:right="0" w:hanging="422"/>
              <w:jc w:val="left"/>
              <w:rPr>
                <w:sz w:val="21"/>
              </w:rPr>
            </w:pPr>
            <w:r>
              <w:rPr>
                <w:spacing w:val="-3"/>
                <w:sz w:val="21"/>
              </w:rPr>
              <w:t>本公司合同解除权的限制</w:t>
            </w:r>
          </w:p>
          <w:p>
            <w:pPr>
              <w:pStyle w:val="TableParagraph"/>
              <w:numPr>
                <w:ilvl w:val="1"/>
                <w:numId w:val="4"/>
              </w:numPr>
              <w:tabs>
                <w:tab w:pos="640" w:val="left" w:leader="none"/>
              </w:tabs>
              <w:spacing w:line="240" w:lineRule="auto" w:before="44" w:after="0"/>
              <w:ind w:left="639" w:right="0" w:hanging="422"/>
              <w:jc w:val="left"/>
              <w:rPr>
                <w:sz w:val="21"/>
              </w:rPr>
            </w:pPr>
            <w:r>
              <w:rPr>
                <w:spacing w:val="-3"/>
                <w:sz w:val="21"/>
              </w:rPr>
              <w:t>年龄性别错误</w:t>
            </w:r>
          </w:p>
          <w:p>
            <w:pPr>
              <w:pStyle w:val="TableParagraph"/>
              <w:numPr>
                <w:ilvl w:val="1"/>
                <w:numId w:val="4"/>
              </w:numPr>
              <w:tabs>
                <w:tab w:pos="640" w:val="left" w:leader="none"/>
              </w:tabs>
              <w:spacing w:line="240" w:lineRule="auto" w:before="46" w:after="0"/>
              <w:ind w:left="639" w:right="0" w:hanging="422"/>
              <w:jc w:val="left"/>
              <w:rPr>
                <w:sz w:val="21"/>
              </w:rPr>
            </w:pPr>
            <w:r>
              <w:rPr>
                <w:spacing w:val="-3"/>
                <w:sz w:val="21"/>
              </w:rPr>
              <w:t>效力终止</w:t>
            </w:r>
          </w:p>
          <w:p>
            <w:pPr>
              <w:pStyle w:val="TableParagraph"/>
              <w:numPr>
                <w:ilvl w:val="1"/>
                <w:numId w:val="4"/>
              </w:numPr>
              <w:tabs>
                <w:tab w:pos="640" w:val="left" w:leader="none"/>
              </w:tabs>
              <w:spacing w:line="240" w:lineRule="auto" w:before="44" w:after="0"/>
              <w:ind w:left="639" w:right="0" w:hanging="422"/>
              <w:jc w:val="left"/>
              <w:rPr>
                <w:sz w:val="21"/>
              </w:rPr>
            </w:pPr>
            <w:r>
              <w:rPr>
                <w:spacing w:val="-3"/>
                <w:sz w:val="21"/>
              </w:rPr>
              <w:t>适用主险合同条款</w:t>
            </w:r>
          </w:p>
          <w:p>
            <w:pPr>
              <w:pStyle w:val="TableParagraph"/>
              <w:numPr>
                <w:ilvl w:val="0"/>
                <w:numId w:val="4"/>
              </w:numPr>
              <w:tabs>
                <w:tab w:pos="429" w:val="left" w:leader="none"/>
              </w:tabs>
              <w:spacing w:line="240" w:lineRule="auto" w:before="44" w:after="0"/>
              <w:ind w:left="428" w:right="0" w:hanging="317"/>
              <w:jc w:val="left"/>
              <w:rPr>
                <w:b/>
                <w:sz w:val="21"/>
              </w:rPr>
            </w:pPr>
            <w:r>
              <w:rPr>
                <w:b/>
                <w:sz w:val="21"/>
              </w:rPr>
              <w:t>释义</w:t>
            </w:r>
          </w:p>
          <w:p>
            <w:pPr>
              <w:pStyle w:val="TableParagraph"/>
              <w:numPr>
                <w:ilvl w:val="1"/>
                <w:numId w:val="4"/>
              </w:numPr>
              <w:tabs>
                <w:tab w:pos="640" w:val="left" w:leader="none"/>
              </w:tabs>
              <w:spacing w:line="240" w:lineRule="auto" w:before="46" w:after="0"/>
              <w:ind w:left="639" w:right="0" w:hanging="422"/>
              <w:jc w:val="left"/>
              <w:rPr>
                <w:sz w:val="21"/>
              </w:rPr>
            </w:pPr>
            <w:r>
              <w:rPr>
                <w:spacing w:val="-3"/>
                <w:sz w:val="21"/>
              </w:rPr>
              <w:t>周岁</w:t>
            </w:r>
          </w:p>
          <w:p>
            <w:pPr>
              <w:pStyle w:val="TableParagraph"/>
              <w:numPr>
                <w:ilvl w:val="1"/>
                <w:numId w:val="4"/>
              </w:numPr>
              <w:tabs>
                <w:tab w:pos="640" w:val="left" w:leader="none"/>
              </w:tabs>
              <w:spacing w:line="240" w:lineRule="auto" w:before="44" w:after="0"/>
              <w:ind w:left="639" w:right="0" w:hanging="422"/>
              <w:jc w:val="left"/>
              <w:rPr>
                <w:sz w:val="21"/>
              </w:rPr>
            </w:pPr>
            <w:r>
              <w:rPr>
                <w:spacing w:val="-3"/>
                <w:sz w:val="21"/>
              </w:rPr>
              <w:t>有效身份证件</w:t>
            </w:r>
          </w:p>
          <w:p>
            <w:pPr>
              <w:pStyle w:val="TableParagraph"/>
              <w:numPr>
                <w:ilvl w:val="1"/>
                <w:numId w:val="4"/>
              </w:numPr>
              <w:tabs>
                <w:tab w:pos="640" w:val="left" w:leader="none"/>
              </w:tabs>
              <w:spacing w:line="255" w:lineRule="exact" w:before="45" w:after="0"/>
              <w:ind w:left="639" w:right="0" w:hanging="422"/>
              <w:jc w:val="left"/>
              <w:rPr>
                <w:sz w:val="21"/>
              </w:rPr>
            </w:pPr>
            <w:r>
              <w:rPr>
                <w:spacing w:val="-3"/>
                <w:sz w:val="21"/>
              </w:rPr>
              <w:t>现金价值</w:t>
            </w:r>
          </w:p>
        </w:tc>
        <w:tc>
          <w:tcPr>
            <w:tcW w:w="3177" w:type="dxa"/>
          </w:tcPr>
          <w:p>
            <w:pPr>
              <w:pStyle w:val="TableParagraph"/>
              <w:numPr>
                <w:ilvl w:val="1"/>
                <w:numId w:val="5"/>
              </w:numPr>
              <w:tabs>
                <w:tab w:pos="614" w:val="left" w:leader="none"/>
              </w:tabs>
              <w:spacing w:line="211" w:lineRule="exact" w:before="0" w:after="0"/>
              <w:ind w:left="717" w:right="0" w:hanging="526"/>
              <w:jc w:val="left"/>
              <w:rPr>
                <w:sz w:val="21"/>
              </w:rPr>
            </w:pPr>
            <w:r>
              <w:rPr>
                <w:spacing w:val="-3"/>
                <w:sz w:val="21"/>
              </w:rPr>
              <w:t>发病</w:t>
            </w:r>
          </w:p>
          <w:p>
            <w:pPr>
              <w:pStyle w:val="TableParagraph"/>
              <w:numPr>
                <w:ilvl w:val="1"/>
                <w:numId w:val="5"/>
              </w:numPr>
              <w:tabs>
                <w:tab w:pos="561" w:val="left" w:leader="none"/>
              </w:tabs>
              <w:spacing w:line="240" w:lineRule="auto" w:before="46" w:after="0"/>
              <w:ind w:left="561" w:right="0" w:hanging="370"/>
              <w:jc w:val="left"/>
              <w:rPr>
                <w:sz w:val="21"/>
              </w:rPr>
            </w:pPr>
            <w:r>
              <w:rPr>
                <w:spacing w:val="-3"/>
                <w:sz w:val="21"/>
              </w:rPr>
              <w:t>医院</w:t>
            </w:r>
          </w:p>
          <w:p>
            <w:pPr>
              <w:pStyle w:val="TableParagraph"/>
              <w:numPr>
                <w:ilvl w:val="1"/>
                <w:numId w:val="5"/>
              </w:numPr>
              <w:tabs>
                <w:tab w:pos="614" w:val="left" w:leader="none"/>
              </w:tabs>
              <w:spacing w:line="240" w:lineRule="auto" w:before="43" w:after="0"/>
              <w:ind w:left="717" w:right="0" w:hanging="526"/>
              <w:jc w:val="left"/>
              <w:rPr>
                <w:sz w:val="21"/>
              </w:rPr>
            </w:pPr>
            <w:r>
              <w:rPr>
                <w:spacing w:val="-3"/>
                <w:sz w:val="21"/>
              </w:rPr>
              <w:t>重大疾病</w:t>
            </w:r>
          </w:p>
          <w:p>
            <w:pPr>
              <w:pStyle w:val="TableParagraph"/>
              <w:numPr>
                <w:ilvl w:val="1"/>
                <w:numId w:val="5"/>
              </w:numPr>
              <w:tabs>
                <w:tab w:pos="614" w:val="left" w:leader="none"/>
              </w:tabs>
              <w:spacing w:line="240" w:lineRule="auto" w:before="43" w:after="0"/>
              <w:ind w:left="717" w:right="0" w:hanging="526"/>
              <w:jc w:val="left"/>
              <w:rPr>
                <w:sz w:val="21"/>
              </w:rPr>
            </w:pPr>
            <w:r>
              <w:rPr>
                <w:spacing w:val="-3"/>
                <w:sz w:val="21"/>
              </w:rPr>
              <w:t>意外伤害</w:t>
            </w:r>
          </w:p>
          <w:p>
            <w:pPr>
              <w:pStyle w:val="TableParagraph"/>
              <w:numPr>
                <w:ilvl w:val="1"/>
                <w:numId w:val="5"/>
              </w:numPr>
              <w:tabs>
                <w:tab w:pos="614" w:val="left" w:leader="none"/>
              </w:tabs>
              <w:spacing w:line="240" w:lineRule="auto" w:before="46" w:after="0"/>
              <w:ind w:left="717" w:right="0" w:hanging="526"/>
              <w:jc w:val="left"/>
              <w:rPr>
                <w:sz w:val="21"/>
              </w:rPr>
            </w:pPr>
            <w:r>
              <w:rPr>
                <w:spacing w:val="-3"/>
                <w:sz w:val="21"/>
              </w:rPr>
              <w:t>毒品</w:t>
            </w:r>
          </w:p>
          <w:p>
            <w:pPr>
              <w:pStyle w:val="TableParagraph"/>
              <w:numPr>
                <w:ilvl w:val="1"/>
                <w:numId w:val="5"/>
              </w:numPr>
              <w:tabs>
                <w:tab w:pos="614" w:val="left" w:leader="none"/>
              </w:tabs>
              <w:spacing w:line="240" w:lineRule="auto" w:before="44" w:after="0"/>
              <w:ind w:left="717" w:right="0" w:hanging="526"/>
              <w:jc w:val="left"/>
              <w:rPr>
                <w:sz w:val="21"/>
              </w:rPr>
            </w:pPr>
            <w:r>
              <w:rPr>
                <w:spacing w:val="-3"/>
                <w:sz w:val="21"/>
              </w:rPr>
              <w:t>酒后驾驶</w:t>
            </w:r>
          </w:p>
          <w:p>
            <w:pPr>
              <w:pStyle w:val="TableParagraph"/>
              <w:numPr>
                <w:ilvl w:val="1"/>
                <w:numId w:val="5"/>
              </w:numPr>
              <w:tabs>
                <w:tab w:pos="717" w:val="left" w:leader="none"/>
              </w:tabs>
              <w:spacing w:line="240" w:lineRule="auto" w:before="44" w:after="0"/>
              <w:ind w:left="717" w:right="0" w:hanging="526"/>
              <w:jc w:val="left"/>
              <w:rPr>
                <w:sz w:val="21"/>
              </w:rPr>
            </w:pPr>
            <w:r>
              <w:rPr>
                <w:spacing w:val="-3"/>
                <w:sz w:val="21"/>
              </w:rPr>
              <w:t>无合法有效驾驶证驾驶</w:t>
            </w:r>
          </w:p>
          <w:p>
            <w:pPr>
              <w:pStyle w:val="TableParagraph"/>
              <w:numPr>
                <w:ilvl w:val="1"/>
                <w:numId w:val="5"/>
              </w:numPr>
              <w:tabs>
                <w:tab w:pos="717" w:val="left" w:leader="none"/>
              </w:tabs>
              <w:spacing w:line="240" w:lineRule="auto" w:before="47" w:after="0"/>
              <w:ind w:left="717" w:right="0" w:hanging="526"/>
              <w:jc w:val="left"/>
              <w:rPr>
                <w:sz w:val="21"/>
              </w:rPr>
            </w:pPr>
            <w:r>
              <w:rPr>
                <w:spacing w:val="-3"/>
                <w:sz w:val="21"/>
              </w:rPr>
              <w:t>无有效行驶证</w:t>
            </w:r>
          </w:p>
          <w:p>
            <w:pPr>
              <w:pStyle w:val="TableParagraph"/>
              <w:numPr>
                <w:ilvl w:val="1"/>
                <w:numId w:val="5"/>
              </w:numPr>
              <w:tabs>
                <w:tab w:pos="717" w:val="left" w:leader="none"/>
              </w:tabs>
              <w:spacing w:line="240" w:lineRule="auto" w:before="44" w:after="0"/>
              <w:ind w:left="717" w:right="0" w:hanging="526"/>
              <w:jc w:val="left"/>
              <w:rPr>
                <w:sz w:val="21"/>
              </w:rPr>
            </w:pPr>
            <w:r>
              <w:rPr>
                <w:spacing w:val="-3"/>
                <w:sz w:val="21"/>
              </w:rPr>
              <w:t>遗传性疾病</w:t>
            </w:r>
          </w:p>
          <w:p>
            <w:pPr>
              <w:pStyle w:val="TableParagraph"/>
              <w:numPr>
                <w:ilvl w:val="1"/>
                <w:numId w:val="5"/>
              </w:numPr>
              <w:tabs>
                <w:tab w:pos="717" w:val="left" w:leader="none"/>
              </w:tabs>
              <w:spacing w:line="280" w:lineRule="auto" w:before="44" w:after="0"/>
              <w:ind w:left="717" w:right="199" w:hanging="526"/>
              <w:jc w:val="left"/>
              <w:rPr>
                <w:sz w:val="21"/>
              </w:rPr>
            </w:pPr>
            <w:r>
              <w:rPr>
                <w:spacing w:val="-9"/>
                <w:sz w:val="21"/>
              </w:rPr>
              <w:t>先天性畸形、变形或染色体异常</w:t>
            </w:r>
          </w:p>
          <w:p>
            <w:pPr>
              <w:pStyle w:val="TableParagraph"/>
              <w:numPr>
                <w:ilvl w:val="1"/>
                <w:numId w:val="5"/>
              </w:numPr>
              <w:tabs>
                <w:tab w:pos="732" w:val="left" w:leader="none"/>
              </w:tabs>
              <w:spacing w:line="278" w:lineRule="auto" w:before="8" w:after="0"/>
              <w:ind w:left="717" w:right="199" w:hanging="526"/>
              <w:jc w:val="left"/>
              <w:rPr>
                <w:sz w:val="21"/>
              </w:rPr>
            </w:pPr>
            <w:r>
              <w:rPr>
                <w:spacing w:val="10"/>
                <w:sz w:val="21"/>
              </w:rPr>
              <w:t>感染艾滋病病毒或患艾滋病</w:t>
            </w:r>
          </w:p>
          <w:p>
            <w:pPr>
              <w:pStyle w:val="TableParagraph"/>
              <w:numPr>
                <w:ilvl w:val="1"/>
                <w:numId w:val="5"/>
              </w:numPr>
              <w:tabs>
                <w:tab w:pos="717" w:val="left" w:leader="none"/>
              </w:tabs>
              <w:spacing w:line="240" w:lineRule="auto" w:before="13" w:after="0"/>
              <w:ind w:left="717" w:right="0" w:hanging="526"/>
              <w:jc w:val="left"/>
              <w:rPr>
                <w:sz w:val="21"/>
              </w:rPr>
            </w:pPr>
            <w:r>
              <w:rPr>
                <w:spacing w:val="-2"/>
                <w:sz w:val="21"/>
              </w:rPr>
              <w:t>专科医生</w:t>
            </w:r>
          </w:p>
          <w:p>
            <w:pPr>
              <w:pStyle w:val="TableParagraph"/>
              <w:numPr>
                <w:ilvl w:val="1"/>
                <w:numId w:val="5"/>
              </w:numPr>
              <w:tabs>
                <w:tab w:pos="717" w:val="left" w:leader="none"/>
              </w:tabs>
              <w:spacing w:line="240" w:lineRule="auto" w:before="44" w:after="0"/>
              <w:ind w:left="717" w:right="0" w:hanging="526"/>
              <w:jc w:val="left"/>
              <w:rPr>
                <w:sz w:val="21"/>
              </w:rPr>
            </w:pPr>
            <w:r>
              <w:rPr>
                <w:spacing w:val="-3"/>
                <w:sz w:val="21"/>
              </w:rPr>
              <w:t>肢体机能完全丧失</w:t>
            </w:r>
          </w:p>
          <w:p>
            <w:pPr>
              <w:pStyle w:val="TableParagraph"/>
              <w:numPr>
                <w:ilvl w:val="1"/>
                <w:numId w:val="5"/>
              </w:numPr>
              <w:tabs>
                <w:tab w:pos="732" w:val="left" w:leader="none"/>
              </w:tabs>
              <w:spacing w:line="280" w:lineRule="auto" w:before="44" w:after="0"/>
              <w:ind w:left="717" w:right="199" w:hanging="526"/>
              <w:jc w:val="left"/>
              <w:rPr>
                <w:sz w:val="21"/>
              </w:rPr>
            </w:pPr>
            <w:r>
              <w:rPr>
                <w:spacing w:val="10"/>
                <w:sz w:val="21"/>
              </w:rPr>
              <w:t>语言能力或咀嚼吞咽能</w:t>
            </w:r>
            <w:r>
              <w:rPr>
                <w:spacing w:val="2"/>
                <w:sz w:val="21"/>
              </w:rPr>
              <w:t>力完全丧失</w:t>
            </w:r>
          </w:p>
          <w:p>
            <w:pPr>
              <w:pStyle w:val="TableParagraph"/>
              <w:numPr>
                <w:ilvl w:val="1"/>
                <w:numId w:val="5"/>
              </w:numPr>
              <w:tabs>
                <w:tab w:pos="717" w:val="left" w:leader="none"/>
              </w:tabs>
              <w:spacing w:line="240" w:lineRule="auto" w:before="8" w:after="0"/>
              <w:ind w:left="717" w:right="0" w:hanging="526"/>
              <w:jc w:val="left"/>
              <w:rPr>
                <w:sz w:val="21"/>
              </w:rPr>
            </w:pPr>
            <w:r>
              <w:rPr>
                <w:spacing w:val="-3"/>
                <w:sz w:val="21"/>
              </w:rPr>
              <w:t>六项基本日常生活活动</w:t>
            </w:r>
          </w:p>
          <w:p>
            <w:pPr>
              <w:pStyle w:val="TableParagraph"/>
              <w:numPr>
                <w:ilvl w:val="1"/>
                <w:numId w:val="5"/>
              </w:numPr>
              <w:tabs>
                <w:tab w:pos="717" w:val="left" w:leader="none"/>
              </w:tabs>
              <w:spacing w:line="255" w:lineRule="exact" w:before="44" w:after="0"/>
              <w:ind w:left="717" w:right="0" w:hanging="526"/>
              <w:jc w:val="left"/>
              <w:rPr>
                <w:sz w:val="21"/>
              </w:rPr>
            </w:pPr>
            <w:r>
              <w:rPr>
                <w:spacing w:val="-3"/>
                <w:sz w:val="21"/>
              </w:rPr>
              <w:t>永久不可逆</w:t>
            </w:r>
          </w:p>
        </w:tc>
      </w:tr>
    </w:tbl>
    <w:p>
      <w:pPr>
        <w:spacing w:after="0" w:line="255" w:lineRule="exact"/>
        <w:jc w:val="left"/>
        <w:rPr>
          <w:sz w:val="21"/>
        </w:rPr>
        <w:sectPr>
          <w:type w:val="continuous"/>
          <w:pgSz w:w="11910" w:h="16840"/>
          <w:pgMar w:top="680" w:bottom="280" w:left="820" w:right="820"/>
        </w:sectPr>
      </w:pPr>
    </w:p>
    <w:p>
      <w:pPr>
        <w:pStyle w:val="Heading1"/>
        <w:spacing w:line="390" w:lineRule="exact"/>
      </w:pPr>
      <w:r>
        <w:rPr/>
        <w:t>安邦附加安心 1 号重大疾病保险条款</w:t>
      </w:r>
    </w:p>
    <w:p>
      <w:pPr>
        <w:pStyle w:val="BodyText"/>
        <w:rPr>
          <w:b/>
          <w:sz w:val="20"/>
        </w:rPr>
      </w:pPr>
    </w:p>
    <w:p>
      <w:pPr>
        <w:pStyle w:val="BodyText"/>
        <w:spacing w:before="3"/>
        <w:rPr>
          <w:b/>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411"/>
        <w:gridCol w:w="7306"/>
      </w:tblGrid>
      <w:tr>
        <w:trPr>
          <w:trHeight w:val="522" w:hRule="atLeast"/>
        </w:trPr>
        <w:tc>
          <w:tcPr>
            <w:tcW w:w="656" w:type="dxa"/>
            <w:tcBorders>
              <w:bottom w:val="single" w:sz="8" w:space="0" w:color="000000"/>
            </w:tcBorders>
          </w:tcPr>
          <w:p>
            <w:pPr>
              <w:pStyle w:val="TableParagraph"/>
              <w:spacing w:line="423" w:lineRule="exact"/>
              <w:ind w:left="122"/>
              <w:rPr>
                <w:rFonts w:ascii="Arial" w:hAnsi="Arial"/>
                <w:b/>
                <w:sz w:val="40"/>
              </w:rPr>
            </w:pPr>
            <w:r>
              <w:rPr>
                <w:rFonts w:ascii="Arial" w:hAnsi="Arial"/>
                <w:b/>
                <w:w w:val="119"/>
                <w:sz w:val="40"/>
              </w:rPr>
              <w:t></w:t>
            </w:r>
          </w:p>
        </w:tc>
        <w:tc>
          <w:tcPr>
            <w:tcW w:w="8717" w:type="dxa"/>
            <w:gridSpan w:val="2"/>
            <w:tcBorders>
              <w:bottom w:val="single" w:sz="8" w:space="0" w:color="000000"/>
            </w:tcBorders>
          </w:tcPr>
          <w:p>
            <w:pPr>
              <w:pStyle w:val="TableParagraph"/>
              <w:spacing w:before="17"/>
              <w:ind w:left="176"/>
              <w:rPr>
                <w:b/>
                <w:sz w:val="24"/>
              </w:rPr>
            </w:pPr>
            <w:r>
              <w:rPr>
                <w:b/>
                <w:w w:val="95"/>
                <w:sz w:val="24"/>
              </w:rPr>
              <w:t>您与本公司的合同</w:t>
            </w:r>
          </w:p>
        </w:tc>
      </w:tr>
      <w:tr>
        <w:trPr>
          <w:trHeight w:val="2059" w:hRule="atLeast"/>
        </w:trPr>
        <w:tc>
          <w:tcPr>
            <w:tcW w:w="656" w:type="dxa"/>
            <w:tcBorders>
              <w:top w:val="single" w:sz="8" w:space="0" w:color="000000"/>
            </w:tcBorders>
          </w:tcPr>
          <w:p>
            <w:pPr>
              <w:pStyle w:val="TableParagraph"/>
              <w:ind w:left="0"/>
              <w:rPr>
                <w:b/>
                <w:sz w:val="16"/>
              </w:rPr>
            </w:pPr>
          </w:p>
          <w:p>
            <w:pPr>
              <w:pStyle w:val="TableParagraph"/>
              <w:spacing w:before="1"/>
              <w:ind w:left="122"/>
              <w:rPr>
                <w:b/>
                <w:sz w:val="21"/>
              </w:rPr>
            </w:pPr>
            <w:r>
              <w:rPr>
                <w:b/>
                <w:sz w:val="21"/>
              </w:rPr>
              <w:t>1.1</w:t>
            </w:r>
          </w:p>
        </w:tc>
        <w:tc>
          <w:tcPr>
            <w:tcW w:w="1411" w:type="dxa"/>
            <w:tcBorders>
              <w:top w:val="single" w:sz="8" w:space="0" w:color="000000"/>
            </w:tcBorders>
          </w:tcPr>
          <w:p>
            <w:pPr>
              <w:pStyle w:val="TableParagraph"/>
              <w:ind w:left="0"/>
              <w:rPr>
                <w:b/>
                <w:sz w:val="16"/>
              </w:rPr>
            </w:pPr>
          </w:p>
          <w:p>
            <w:pPr>
              <w:pStyle w:val="TableParagraph"/>
              <w:spacing w:before="1"/>
              <w:ind w:left="176"/>
              <w:rPr>
                <w:b/>
                <w:sz w:val="21"/>
              </w:rPr>
            </w:pPr>
            <w:r>
              <w:rPr>
                <w:b/>
                <w:sz w:val="21"/>
              </w:rPr>
              <w:t>合同构成</w:t>
            </w:r>
          </w:p>
        </w:tc>
        <w:tc>
          <w:tcPr>
            <w:tcW w:w="7306" w:type="dxa"/>
            <w:tcBorders>
              <w:top w:val="single" w:sz="8" w:space="0" w:color="000000"/>
            </w:tcBorders>
          </w:tcPr>
          <w:p>
            <w:pPr>
              <w:pStyle w:val="TableParagraph"/>
              <w:ind w:left="0"/>
              <w:rPr>
                <w:b/>
                <w:sz w:val="16"/>
              </w:rPr>
            </w:pPr>
          </w:p>
          <w:p>
            <w:pPr>
              <w:pStyle w:val="TableParagraph"/>
              <w:spacing w:line="300" w:lineRule="auto" w:before="1"/>
              <w:ind w:left="179" w:right="86"/>
              <w:rPr>
                <w:sz w:val="21"/>
              </w:rPr>
            </w:pPr>
            <w:r>
              <w:rPr>
                <w:spacing w:val="-8"/>
                <w:sz w:val="21"/>
              </w:rPr>
              <w:t>安邦附加安心 </w:t>
            </w:r>
            <w:r>
              <w:rPr>
                <w:sz w:val="21"/>
              </w:rPr>
              <w:t>1</w:t>
            </w:r>
            <w:r>
              <w:rPr>
                <w:spacing w:val="-8"/>
                <w:sz w:val="21"/>
              </w:rPr>
              <w:t> 号重大疾病保险合同</w:t>
            </w:r>
            <w:r>
              <w:rPr>
                <w:sz w:val="21"/>
              </w:rPr>
              <w:t>（</w:t>
            </w:r>
            <w:r>
              <w:rPr>
                <w:spacing w:val="-3"/>
                <w:sz w:val="21"/>
              </w:rPr>
              <w:t>以下简称本附加险合同</w:t>
            </w:r>
            <w:r>
              <w:rPr>
                <w:sz w:val="21"/>
              </w:rPr>
              <w:t>）</w:t>
            </w:r>
            <w:r>
              <w:rPr>
                <w:spacing w:val="-3"/>
                <w:sz w:val="21"/>
              </w:rPr>
              <w:t>是主险保险</w:t>
            </w:r>
            <w:r>
              <w:rPr>
                <w:spacing w:val="-4"/>
                <w:w w:val="100"/>
                <w:sz w:val="21"/>
              </w:rPr>
              <w:t>合同</w:t>
            </w:r>
            <w:r>
              <w:rPr>
                <w:spacing w:val="-3"/>
                <w:w w:val="100"/>
                <w:sz w:val="21"/>
              </w:rPr>
              <w:t>（</w:t>
            </w:r>
            <w:r>
              <w:rPr>
                <w:spacing w:val="-15"/>
                <w:w w:val="100"/>
                <w:sz w:val="21"/>
              </w:rPr>
              <w:t>以下简称“主险合同”</w:t>
            </w:r>
            <w:r>
              <w:rPr>
                <w:spacing w:val="-8"/>
                <w:w w:val="100"/>
                <w:sz w:val="21"/>
              </w:rPr>
              <w:t>）</w:t>
            </w:r>
            <w:r>
              <w:rPr>
                <w:spacing w:val="-4"/>
                <w:w w:val="100"/>
                <w:sz w:val="21"/>
              </w:rPr>
              <w:t>的附加险合同。本附加险合同由以下几个部分</w:t>
            </w:r>
            <w:r>
              <w:rPr>
                <w:spacing w:val="-4"/>
                <w:sz w:val="21"/>
              </w:rPr>
              <w:t>构成：本保险条款、保险单或其他保险凭证、投保单</w:t>
            </w:r>
            <w:r>
              <w:rPr>
                <w:sz w:val="21"/>
              </w:rPr>
              <w:t>（</w:t>
            </w:r>
            <w:r>
              <w:rPr>
                <w:spacing w:val="-3"/>
                <w:sz w:val="21"/>
              </w:rPr>
              <w:t>经本公司核实的复印件或电子影像印刷件与正本具有同等效力</w:t>
            </w:r>
            <w:r>
              <w:rPr>
                <w:spacing w:val="-106"/>
                <w:sz w:val="21"/>
              </w:rPr>
              <w:t>）</w:t>
            </w:r>
            <w:r>
              <w:rPr>
                <w:spacing w:val="-3"/>
                <w:sz w:val="21"/>
              </w:rPr>
              <w:t>、合法有效的声明、批注、批单， 及您与本公司共同认可的、与本附加险合同有关的其它书面文件。</w:t>
            </w:r>
          </w:p>
        </w:tc>
      </w:tr>
      <w:tr>
        <w:trPr>
          <w:trHeight w:val="1640" w:hRule="atLeast"/>
        </w:trPr>
        <w:tc>
          <w:tcPr>
            <w:tcW w:w="656" w:type="dxa"/>
          </w:tcPr>
          <w:p>
            <w:pPr>
              <w:pStyle w:val="TableParagraph"/>
              <w:spacing w:before="138"/>
              <w:ind w:left="122"/>
              <w:rPr>
                <w:b/>
                <w:sz w:val="21"/>
              </w:rPr>
            </w:pPr>
            <w:r>
              <w:rPr>
                <w:b/>
                <w:sz w:val="21"/>
              </w:rPr>
              <w:t>1.2</w:t>
            </w:r>
          </w:p>
        </w:tc>
        <w:tc>
          <w:tcPr>
            <w:tcW w:w="1411" w:type="dxa"/>
          </w:tcPr>
          <w:p>
            <w:pPr>
              <w:pStyle w:val="TableParagraph"/>
              <w:spacing w:before="138"/>
              <w:ind w:left="176"/>
              <w:rPr>
                <w:b/>
                <w:sz w:val="21"/>
              </w:rPr>
            </w:pPr>
            <w:r>
              <w:rPr>
                <w:b/>
                <w:sz w:val="21"/>
              </w:rPr>
              <w:t>投保范围</w:t>
            </w:r>
          </w:p>
        </w:tc>
        <w:tc>
          <w:tcPr>
            <w:tcW w:w="7306" w:type="dxa"/>
          </w:tcPr>
          <w:p>
            <w:pPr>
              <w:pStyle w:val="TableParagraph"/>
              <w:spacing w:line="300" w:lineRule="auto" w:before="138"/>
              <w:ind w:left="179" w:right="100"/>
              <w:rPr>
                <w:sz w:val="21"/>
              </w:rPr>
            </w:pPr>
            <w:r>
              <w:rPr>
                <w:spacing w:val="-2"/>
                <w:w w:val="100"/>
                <w:sz w:val="21"/>
              </w:rPr>
              <w:t>凡年满</w:t>
            </w:r>
            <w:r>
              <w:rPr>
                <w:spacing w:val="-2"/>
                <w:sz w:val="21"/>
              </w:rPr>
              <w:t> </w:t>
            </w:r>
            <w:r>
              <w:rPr>
                <w:w w:val="100"/>
                <w:sz w:val="21"/>
              </w:rPr>
              <w:t>18</w:t>
            </w:r>
            <w:r>
              <w:rPr>
                <w:spacing w:val="-55"/>
                <w:sz w:val="21"/>
              </w:rPr>
              <w:t> </w:t>
            </w:r>
            <w:r>
              <w:rPr>
                <w:b/>
                <w:spacing w:val="-18"/>
                <w:w w:val="100"/>
                <w:sz w:val="21"/>
              </w:rPr>
              <w:t>周岁</w:t>
            </w:r>
            <w:r>
              <w:rPr>
                <w:spacing w:val="-3"/>
                <w:w w:val="100"/>
                <w:sz w:val="21"/>
              </w:rPr>
              <w:t>（</w:t>
            </w:r>
            <w:r>
              <w:rPr>
                <w:spacing w:val="-2"/>
                <w:w w:val="100"/>
                <w:sz w:val="21"/>
              </w:rPr>
              <w:t>见释义</w:t>
            </w:r>
            <w:r>
              <w:rPr>
                <w:spacing w:val="-53"/>
                <w:sz w:val="21"/>
              </w:rPr>
              <w:t> </w:t>
            </w:r>
            <w:r>
              <w:rPr>
                <w:w w:val="100"/>
                <w:sz w:val="21"/>
              </w:rPr>
              <w:t>6</w:t>
            </w:r>
            <w:r>
              <w:rPr>
                <w:spacing w:val="-3"/>
                <w:w w:val="100"/>
                <w:sz w:val="21"/>
              </w:rPr>
              <w:t>.</w:t>
            </w:r>
            <w:r>
              <w:rPr>
                <w:w w:val="100"/>
                <w:sz w:val="21"/>
              </w:rPr>
              <w:t>1</w:t>
            </w:r>
            <w:r>
              <w:rPr>
                <w:spacing w:val="-106"/>
                <w:w w:val="100"/>
                <w:sz w:val="21"/>
              </w:rPr>
              <w:t>）</w:t>
            </w:r>
            <w:r>
              <w:rPr>
                <w:spacing w:val="-8"/>
                <w:w w:val="100"/>
                <w:sz w:val="21"/>
              </w:rPr>
              <w:t>，具有完全民事行为能力且对被保险人具有保险</w:t>
            </w:r>
            <w:r>
              <w:rPr>
                <w:spacing w:val="-5"/>
                <w:sz w:val="21"/>
              </w:rPr>
              <w:t>利益的人，均可以作为投保人向本公司投保。</w:t>
            </w:r>
          </w:p>
          <w:p>
            <w:pPr>
              <w:pStyle w:val="TableParagraph"/>
              <w:spacing w:before="15"/>
              <w:ind w:left="179"/>
              <w:rPr>
                <w:sz w:val="21"/>
              </w:rPr>
            </w:pPr>
            <w:r>
              <w:rPr>
                <w:spacing w:val="-10"/>
                <w:sz w:val="21"/>
              </w:rPr>
              <w:t>凡出生满 </w:t>
            </w:r>
            <w:r>
              <w:rPr>
                <w:sz w:val="21"/>
              </w:rPr>
              <w:t>28</w:t>
            </w:r>
            <w:r>
              <w:rPr>
                <w:spacing w:val="-24"/>
                <w:sz w:val="21"/>
              </w:rPr>
              <w:t> 日至 </w:t>
            </w:r>
            <w:r>
              <w:rPr>
                <w:sz w:val="21"/>
              </w:rPr>
              <w:t>60</w:t>
            </w:r>
            <w:r>
              <w:rPr>
                <w:spacing w:val="-8"/>
                <w:sz w:val="21"/>
              </w:rPr>
              <w:t> 周岁，符合本公司承保条件的人，均可作为被保险人。</w:t>
            </w:r>
          </w:p>
          <w:p>
            <w:pPr>
              <w:pStyle w:val="TableParagraph"/>
              <w:spacing w:before="67"/>
              <w:ind w:left="179"/>
              <w:rPr>
                <w:sz w:val="21"/>
              </w:rPr>
            </w:pPr>
            <w:r>
              <w:rPr>
                <w:sz w:val="21"/>
              </w:rPr>
              <w:t>对于符合本附加险合同续保条件的被保险人，可续保至 65 周岁。</w:t>
            </w:r>
          </w:p>
        </w:tc>
      </w:tr>
      <w:tr>
        <w:trPr>
          <w:trHeight w:val="2600" w:hRule="atLeast"/>
        </w:trPr>
        <w:tc>
          <w:tcPr>
            <w:tcW w:w="656" w:type="dxa"/>
          </w:tcPr>
          <w:p>
            <w:pPr>
              <w:pStyle w:val="TableParagraph"/>
              <w:spacing w:before="141"/>
              <w:ind w:left="122"/>
              <w:rPr>
                <w:b/>
                <w:sz w:val="21"/>
              </w:rPr>
            </w:pPr>
            <w:r>
              <w:rPr>
                <w:b/>
                <w:sz w:val="21"/>
              </w:rPr>
              <w:t>1.3</w:t>
            </w:r>
          </w:p>
        </w:tc>
        <w:tc>
          <w:tcPr>
            <w:tcW w:w="1411" w:type="dxa"/>
          </w:tcPr>
          <w:p>
            <w:pPr>
              <w:pStyle w:val="TableParagraph"/>
              <w:spacing w:line="300" w:lineRule="auto" w:before="141"/>
              <w:ind w:left="176" w:right="176"/>
              <w:jc w:val="both"/>
              <w:rPr>
                <w:b/>
                <w:sz w:val="21"/>
              </w:rPr>
            </w:pPr>
            <w:r>
              <w:rPr>
                <w:b/>
                <w:sz w:val="21"/>
              </w:rPr>
              <w:t>合同的成立与生效和保险责任开始</w:t>
            </w:r>
          </w:p>
        </w:tc>
        <w:tc>
          <w:tcPr>
            <w:tcW w:w="7306" w:type="dxa"/>
          </w:tcPr>
          <w:p>
            <w:pPr>
              <w:pStyle w:val="TableParagraph"/>
              <w:spacing w:line="288" w:lineRule="auto" w:before="134"/>
              <w:ind w:left="179" w:right="186"/>
              <w:rPr>
                <w:sz w:val="21"/>
              </w:rPr>
            </w:pPr>
            <w:r>
              <w:rPr>
                <w:sz w:val="21"/>
              </w:rPr>
              <w:t>在主险合同有效的前提下，您提出保险申请、本公司同意承保，本附加险合同成立，合同成立日期在保险单上载明。</w:t>
            </w:r>
          </w:p>
          <w:p>
            <w:pPr>
              <w:pStyle w:val="TableParagraph"/>
              <w:spacing w:line="288" w:lineRule="auto" w:before="9"/>
              <w:ind w:left="179" w:right="187"/>
              <w:rPr>
                <w:sz w:val="21"/>
              </w:rPr>
            </w:pPr>
            <w:r>
              <w:rPr>
                <w:sz w:val="21"/>
              </w:rPr>
              <w:t>自本附加险合同成立、本公司收取保险费并签发保险单的次日零时起本附加险合同生效，合同生效日期在保险单上载明。</w:t>
            </w:r>
          </w:p>
          <w:p>
            <w:pPr>
              <w:pStyle w:val="TableParagraph"/>
              <w:spacing w:line="297" w:lineRule="auto" w:before="9"/>
              <w:ind w:left="179" w:right="-15"/>
              <w:rPr>
                <w:sz w:val="21"/>
              </w:rPr>
            </w:pPr>
            <w:r>
              <w:rPr>
                <w:spacing w:val="-5"/>
                <w:sz w:val="21"/>
              </w:rPr>
              <w:t>除另有约定外，本附加险合同生效的日期为本公司开始承担保险责任的日期。</w:t>
            </w:r>
            <w:r>
              <w:rPr>
                <w:spacing w:val="-4"/>
                <w:sz w:val="21"/>
              </w:rPr>
              <w:t>如您在主险合同有效期内申请投保本附加险合同，经本公司审核同意后会在 </w:t>
            </w:r>
            <w:r>
              <w:rPr>
                <w:spacing w:val="-3"/>
                <w:sz w:val="21"/>
              </w:rPr>
              <w:t>保险单上批注或附贴批单。</w:t>
            </w:r>
          </w:p>
        </w:tc>
      </w:tr>
      <w:tr>
        <w:trPr>
          <w:trHeight w:val="2675" w:hRule="atLeast"/>
        </w:trPr>
        <w:tc>
          <w:tcPr>
            <w:tcW w:w="656" w:type="dxa"/>
          </w:tcPr>
          <w:p>
            <w:pPr>
              <w:pStyle w:val="TableParagraph"/>
              <w:spacing w:before="138"/>
              <w:ind w:left="122"/>
              <w:rPr>
                <w:b/>
                <w:sz w:val="21"/>
              </w:rPr>
            </w:pPr>
            <w:r>
              <w:rPr>
                <w:b/>
                <w:sz w:val="21"/>
              </w:rPr>
              <w:t>1.4</w:t>
            </w:r>
          </w:p>
        </w:tc>
        <w:tc>
          <w:tcPr>
            <w:tcW w:w="1411" w:type="dxa"/>
          </w:tcPr>
          <w:p>
            <w:pPr>
              <w:pStyle w:val="TableParagraph"/>
              <w:spacing w:before="138"/>
              <w:ind w:left="176"/>
              <w:rPr>
                <w:b/>
                <w:sz w:val="21"/>
              </w:rPr>
            </w:pPr>
            <w:r>
              <w:rPr>
                <w:b/>
                <w:sz w:val="21"/>
              </w:rPr>
              <w:t>犹豫期</w:t>
            </w:r>
          </w:p>
        </w:tc>
        <w:tc>
          <w:tcPr>
            <w:tcW w:w="7306" w:type="dxa"/>
          </w:tcPr>
          <w:p>
            <w:pPr>
              <w:pStyle w:val="TableParagraph"/>
              <w:spacing w:line="300" w:lineRule="auto" w:before="138"/>
              <w:ind w:left="179" w:right="-15"/>
              <w:rPr>
                <w:rFonts w:ascii="黑体" w:eastAsia="黑体" w:hint="eastAsia"/>
                <w:sz w:val="21"/>
              </w:rPr>
            </w:pPr>
            <w:r>
              <w:rPr>
                <w:spacing w:val="-3"/>
                <w:sz w:val="21"/>
              </w:rPr>
              <w:t>为了使您充分了解本附加险合同的保障范围，确定选择了合适的基本保险金 </w:t>
            </w:r>
            <w:r>
              <w:rPr>
                <w:spacing w:val="-14"/>
                <w:sz w:val="21"/>
              </w:rPr>
              <w:t>额、交费期限和交费金额，自您签收本附加险合同之日起，有 </w:t>
            </w:r>
            <w:r>
              <w:rPr>
                <w:sz w:val="21"/>
              </w:rPr>
              <w:t>10</w:t>
            </w:r>
            <w:r>
              <w:rPr>
                <w:spacing w:val="-8"/>
                <w:sz w:val="21"/>
              </w:rPr>
              <w:t> 天的犹豫期。</w:t>
            </w:r>
            <w:r>
              <w:rPr>
                <w:spacing w:val="-6"/>
                <w:w w:val="100"/>
                <w:sz w:val="21"/>
              </w:rPr>
              <w:t>如果您在此期间提出解除本附加险合同</w:t>
            </w:r>
            <w:r>
              <w:rPr>
                <w:spacing w:val="-3"/>
                <w:w w:val="100"/>
                <w:sz w:val="21"/>
              </w:rPr>
              <w:t>（即</w:t>
            </w:r>
            <w:r>
              <w:rPr>
                <w:b/>
                <w:w w:val="100"/>
                <w:sz w:val="21"/>
              </w:rPr>
              <w:t>退保</w:t>
            </w:r>
            <w:r>
              <w:rPr>
                <w:spacing w:val="-106"/>
                <w:w w:val="100"/>
                <w:sz w:val="21"/>
              </w:rPr>
              <w:t>）</w:t>
            </w:r>
            <w:r>
              <w:rPr>
                <w:spacing w:val="-5"/>
                <w:w w:val="100"/>
                <w:sz w:val="21"/>
              </w:rPr>
              <w:t>，需要填写书面申请书，并</w:t>
            </w:r>
            <w:r>
              <w:rPr>
                <w:spacing w:val="-4"/>
                <w:w w:val="100"/>
                <w:sz w:val="21"/>
              </w:rPr>
              <w:t>提供您的保险合同及</w:t>
            </w:r>
            <w:r>
              <w:rPr>
                <w:b/>
                <w:spacing w:val="-2"/>
                <w:w w:val="100"/>
                <w:sz w:val="21"/>
              </w:rPr>
              <w:t>有效身份证件</w:t>
            </w:r>
            <w:r>
              <w:rPr>
                <w:spacing w:val="-3"/>
                <w:w w:val="100"/>
                <w:sz w:val="21"/>
              </w:rPr>
              <w:t>（</w:t>
            </w:r>
            <w:r>
              <w:rPr>
                <w:spacing w:val="-2"/>
                <w:w w:val="100"/>
                <w:sz w:val="21"/>
              </w:rPr>
              <w:t>见释义</w:t>
            </w:r>
            <w:r>
              <w:rPr>
                <w:spacing w:val="-53"/>
                <w:sz w:val="21"/>
              </w:rPr>
              <w:t> </w:t>
            </w:r>
            <w:r>
              <w:rPr>
                <w:w w:val="100"/>
                <w:sz w:val="21"/>
              </w:rPr>
              <w:t>6.</w:t>
            </w:r>
            <w:r>
              <w:rPr>
                <w:spacing w:val="-3"/>
                <w:w w:val="100"/>
                <w:sz w:val="21"/>
              </w:rPr>
              <w:t>2</w:t>
            </w:r>
            <w:r>
              <w:rPr>
                <w:spacing w:val="-106"/>
                <w:w w:val="100"/>
                <w:sz w:val="21"/>
              </w:rPr>
              <w:t>）</w:t>
            </w:r>
            <w:r>
              <w:rPr>
                <w:spacing w:val="-3"/>
                <w:w w:val="100"/>
                <w:sz w:val="21"/>
              </w:rPr>
              <w:t>，本公司会在扣除不超过人</w:t>
            </w:r>
            <w:r>
              <w:rPr>
                <w:spacing w:val="-17"/>
                <w:sz w:val="21"/>
              </w:rPr>
              <w:t>民币 </w:t>
            </w:r>
            <w:r>
              <w:rPr>
                <w:sz w:val="21"/>
              </w:rPr>
              <w:t>10</w:t>
            </w:r>
            <w:r>
              <w:rPr>
                <w:spacing w:val="-10"/>
                <w:sz w:val="21"/>
              </w:rPr>
              <w:t> 元的保单工本费后将已收取的本附加险合同保险费无息退还。自本公</w:t>
            </w:r>
            <w:r>
              <w:rPr>
                <w:spacing w:val="-3"/>
                <w:sz w:val="21"/>
              </w:rPr>
              <w:t>司收到您解除本附加险合同的书面申请时起，本附加险合同即被解除，</w:t>
            </w:r>
            <w:r>
              <w:rPr>
                <w:rFonts w:ascii="黑体" w:eastAsia="黑体" w:hint="eastAsia"/>
                <w:sz w:val="21"/>
              </w:rPr>
              <w:t>对本 </w:t>
            </w:r>
            <w:r>
              <w:rPr>
                <w:rFonts w:ascii="黑体" w:eastAsia="黑体" w:hint="eastAsia"/>
                <w:spacing w:val="-3"/>
                <w:sz w:val="21"/>
              </w:rPr>
              <w:t>附加险合同解除前发</w:t>
            </w:r>
            <w:r>
              <w:rPr>
                <w:rFonts w:ascii="黑体" w:eastAsia="黑体" w:hint="eastAsia"/>
                <w:sz w:val="21"/>
              </w:rPr>
              <w:t>Th</w:t>
            </w:r>
            <w:r>
              <w:rPr>
                <w:rFonts w:ascii="黑体" w:eastAsia="黑体" w:hint="eastAsia"/>
                <w:spacing w:val="-3"/>
                <w:sz w:val="21"/>
              </w:rPr>
              <w:t>的保险事故本公司不承担保险责任。</w:t>
            </w:r>
          </w:p>
        </w:tc>
      </w:tr>
      <w:tr>
        <w:trPr>
          <w:trHeight w:val="2723" w:hRule="atLeast"/>
        </w:trPr>
        <w:tc>
          <w:tcPr>
            <w:tcW w:w="656" w:type="dxa"/>
          </w:tcPr>
          <w:p>
            <w:pPr>
              <w:pStyle w:val="TableParagraph"/>
              <w:spacing w:before="139"/>
              <w:ind w:left="122"/>
              <w:rPr>
                <w:b/>
                <w:sz w:val="21"/>
              </w:rPr>
            </w:pPr>
            <w:r>
              <w:rPr>
                <w:b/>
                <w:sz w:val="21"/>
              </w:rPr>
              <w:t>1.5</w:t>
            </w:r>
          </w:p>
        </w:tc>
        <w:tc>
          <w:tcPr>
            <w:tcW w:w="1411" w:type="dxa"/>
          </w:tcPr>
          <w:p>
            <w:pPr>
              <w:pStyle w:val="TableParagraph"/>
              <w:spacing w:line="300" w:lineRule="auto" w:before="139"/>
              <w:ind w:left="176" w:right="176"/>
              <w:rPr>
                <w:b/>
                <w:sz w:val="21"/>
              </w:rPr>
            </w:pPr>
            <w:r>
              <w:rPr>
                <w:b/>
                <w:sz w:val="21"/>
              </w:rPr>
              <w:t>解除合同的手续及风险</w:t>
            </w:r>
          </w:p>
        </w:tc>
        <w:tc>
          <w:tcPr>
            <w:tcW w:w="7306" w:type="dxa"/>
          </w:tcPr>
          <w:p>
            <w:pPr>
              <w:pStyle w:val="TableParagraph"/>
              <w:spacing w:line="300" w:lineRule="auto" w:before="139"/>
              <w:ind w:left="179" w:right="187"/>
              <w:rPr>
                <w:sz w:val="21"/>
              </w:rPr>
            </w:pPr>
            <w:r>
              <w:rPr>
                <w:sz w:val="21"/>
              </w:rPr>
              <w:t>如您在犹豫期后申请解除本附加险合同，请填写解除合同申请书并向本公司提供下列资料：</w:t>
            </w:r>
          </w:p>
          <w:p>
            <w:pPr>
              <w:pStyle w:val="TableParagraph"/>
              <w:spacing w:before="16"/>
              <w:ind w:left="179"/>
              <w:rPr>
                <w:sz w:val="21"/>
              </w:rPr>
            </w:pPr>
            <w:r>
              <w:rPr>
                <w:sz w:val="21"/>
              </w:rPr>
              <w:t>（1）保险合同；</w:t>
            </w:r>
          </w:p>
          <w:p>
            <w:pPr>
              <w:pStyle w:val="TableParagraph"/>
              <w:spacing w:before="68"/>
              <w:ind w:left="179"/>
              <w:rPr>
                <w:sz w:val="21"/>
              </w:rPr>
            </w:pPr>
            <w:r>
              <w:rPr>
                <w:sz w:val="21"/>
              </w:rPr>
              <w:t>（2）您的有效身份证件。</w:t>
            </w:r>
          </w:p>
          <w:p>
            <w:pPr>
              <w:pStyle w:val="TableParagraph"/>
              <w:spacing w:line="309" w:lineRule="auto" w:before="77"/>
              <w:ind w:left="179" w:right="105"/>
              <w:rPr>
                <w:rFonts w:ascii="黑体" w:eastAsia="黑体" w:hint="eastAsia"/>
                <w:sz w:val="21"/>
              </w:rPr>
            </w:pPr>
            <w:r>
              <w:rPr>
                <w:spacing w:val="-3"/>
                <w:sz w:val="21"/>
              </w:rPr>
              <w:t>自本公司收到解除合同申请书时起，本附加险合同终止。本公司自收到解除</w:t>
            </w:r>
            <w:r>
              <w:rPr>
                <w:spacing w:val="-1"/>
                <w:w w:val="100"/>
                <w:sz w:val="21"/>
              </w:rPr>
              <w:t>本附加险合同申请书之日起</w:t>
            </w:r>
            <w:r>
              <w:rPr>
                <w:spacing w:val="-3"/>
                <w:w w:val="100"/>
                <w:sz w:val="21"/>
              </w:rPr>
              <w:t>3</w:t>
            </w:r>
            <w:r>
              <w:rPr>
                <w:w w:val="100"/>
                <w:sz w:val="21"/>
              </w:rPr>
              <w:t>0</w:t>
            </w:r>
            <w:r>
              <w:rPr>
                <w:spacing w:val="-77"/>
                <w:sz w:val="21"/>
              </w:rPr>
              <w:t> </w:t>
            </w:r>
            <w:r>
              <w:rPr>
                <w:spacing w:val="-3"/>
                <w:w w:val="100"/>
                <w:sz w:val="21"/>
              </w:rPr>
              <w:t>日内向您退还保险单的</w:t>
            </w:r>
            <w:r>
              <w:rPr>
                <w:b/>
                <w:spacing w:val="-26"/>
                <w:w w:val="100"/>
                <w:sz w:val="21"/>
              </w:rPr>
              <w:t>现金价值</w:t>
            </w:r>
            <w:r>
              <w:rPr>
                <w:spacing w:val="-3"/>
                <w:w w:val="100"/>
                <w:sz w:val="21"/>
              </w:rPr>
              <w:t>（</w:t>
            </w:r>
            <w:r>
              <w:rPr>
                <w:spacing w:val="7"/>
                <w:w w:val="100"/>
                <w:sz w:val="21"/>
              </w:rPr>
              <w:t>见释义</w:t>
            </w:r>
            <w:r>
              <w:rPr>
                <w:spacing w:val="-3"/>
                <w:w w:val="100"/>
                <w:sz w:val="21"/>
              </w:rPr>
              <w:t>6</w:t>
            </w:r>
            <w:r>
              <w:rPr>
                <w:w w:val="100"/>
                <w:sz w:val="21"/>
              </w:rPr>
              <w:t>.3</w:t>
            </w:r>
            <w:r>
              <w:rPr>
                <w:spacing w:val="-108"/>
                <w:w w:val="100"/>
                <w:sz w:val="21"/>
              </w:rPr>
              <w:t>）。</w:t>
            </w:r>
            <w:r>
              <w:rPr>
                <w:rFonts w:ascii="黑体" w:eastAsia="黑体" w:hint="eastAsia"/>
                <w:spacing w:val="-3"/>
                <w:sz w:val="21"/>
              </w:rPr>
              <w:t>您在犹豫期后解除合同会遭受一定损失。</w:t>
            </w:r>
          </w:p>
        </w:tc>
      </w:tr>
      <w:tr>
        <w:trPr>
          <w:trHeight w:val="741" w:hRule="atLeast"/>
        </w:trPr>
        <w:tc>
          <w:tcPr>
            <w:tcW w:w="656" w:type="dxa"/>
            <w:tcBorders>
              <w:bottom w:val="single" w:sz="8" w:space="0" w:color="000000"/>
            </w:tcBorders>
          </w:tcPr>
          <w:p>
            <w:pPr>
              <w:pStyle w:val="TableParagraph"/>
              <w:spacing w:before="182"/>
              <w:ind w:left="122"/>
              <w:rPr>
                <w:rFonts w:ascii="Arial" w:hAnsi="Arial"/>
                <w:b/>
                <w:sz w:val="40"/>
              </w:rPr>
            </w:pPr>
            <w:r>
              <w:rPr>
                <w:rFonts w:ascii="Arial" w:hAnsi="Arial"/>
                <w:b/>
                <w:w w:val="119"/>
                <w:sz w:val="40"/>
              </w:rPr>
              <w:t></w:t>
            </w:r>
          </w:p>
        </w:tc>
        <w:tc>
          <w:tcPr>
            <w:tcW w:w="8717" w:type="dxa"/>
            <w:gridSpan w:val="2"/>
            <w:tcBorders>
              <w:bottom w:val="single" w:sz="8" w:space="0" w:color="000000"/>
            </w:tcBorders>
          </w:tcPr>
          <w:p>
            <w:pPr>
              <w:pStyle w:val="TableParagraph"/>
              <w:spacing w:before="11"/>
              <w:ind w:left="0"/>
              <w:rPr>
                <w:b/>
                <w:sz w:val="17"/>
              </w:rPr>
            </w:pPr>
          </w:p>
          <w:p>
            <w:pPr>
              <w:pStyle w:val="TableParagraph"/>
              <w:ind w:left="176"/>
              <w:rPr>
                <w:b/>
                <w:sz w:val="24"/>
              </w:rPr>
            </w:pPr>
            <w:r>
              <w:rPr>
                <w:b/>
                <w:w w:val="95"/>
                <w:sz w:val="24"/>
              </w:rPr>
              <w:t>本公司提供的保障</w:t>
            </w:r>
          </w:p>
        </w:tc>
      </w:tr>
    </w:tbl>
    <w:p>
      <w:pPr>
        <w:spacing w:after="0"/>
        <w:rPr>
          <w:sz w:val="24"/>
        </w:rPr>
        <w:sectPr>
          <w:pgSz w:w="11910" w:h="16840"/>
          <w:pgMar w:top="1480" w:bottom="280" w:left="1160" w:right="11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1522"/>
        <w:gridCol w:w="7385"/>
      </w:tblGrid>
      <w:tr>
        <w:trPr>
          <w:trHeight w:val="756" w:hRule="atLeast"/>
        </w:trPr>
        <w:tc>
          <w:tcPr>
            <w:tcW w:w="714" w:type="dxa"/>
          </w:tcPr>
          <w:p>
            <w:pPr>
              <w:pStyle w:val="TableParagraph"/>
              <w:spacing w:line="211" w:lineRule="exact"/>
              <w:ind w:left="200"/>
              <w:rPr>
                <w:b/>
                <w:sz w:val="21"/>
              </w:rPr>
            </w:pPr>
            <w:r>
              <w:rPr>
                <w:b/>
                <w:sz w:val="21"/>
              </w:rPr>
              <w:t>2.1</w:t>
            </w:r>
          </w:p>
        </w:tc>
        <w:tc>
          <w:tcPr>
            <w:tcW w:w="1522" w:type="dxa"/>
          </w:tcPr>
          <w:p>
            <w:pPr>
              <w:pStyle w:val="TableParagraph"/>
              <w:spacing w:line="211" w:lineRule="exact"/>
              <w:ind w:left="196"/>
              <w:rPr>
                <w:b/>
                <w:sz w:val="21"/>
              </w:rPr>
            </w:pPr>
            <w:r>
              <w:rPr>
                <w:b/>
                <w:sz w:val="21"/>
              </w:rPr>
              <w:t>保险金额</w:t>
            </w:r>
          </w:p>
        </w:tc>
        <w:tc>
          <w:tcPr>
            <w:tcW w:w="7385" w:type="dxa"/>
          </w:tcPr>
          <w:p>
            <w:pPr>
              <w:pStyle w:val="TableParagraph"/>
              <w:spacing w:line="211" w:lineRule="exact"/>
              <w:ind w:left="87"/>
              <w:rPr>
                <w:sz w:val="21"/>
              </w:rPr>
            </w:pPr>
            <w:r>
              <w:rPr>
                <w:sz w:val="21"/>
              </w:rPr>
              <w:t>保险金额是本公司承担给付保险金责任的最高限额。本公司将按照本附加险</w:t>
            </w:r>
          </w:p>
          <w:p>
            <w:pPr>
              <w:pStyle w:val="TableParagraph"/>
              <w:spacing w:before="68"/>
              <w:ind w:left="87"/>
              <w:rPr>
                <w:sz w:val="21"/>
              </w:rPr>
            </w:pPr>
            <w:r>
              <w:rPr>
                <w:sz w:val="21"/>
              </w:rPr>
              <w:t>合同关于保险责任的约定，确定实际给付的保险金额。</w:t>
            </w:r>
          </w:p>
        </w:tc>
      </w:tr>
      <w:tr>
        <w:trPr>
          <w:trHeight w:val="1644" w:hRule="atLeast"/>
        </w:trPr>
        <w:tc>
          <w:tcPr>
            <w:tcW w:w="714" w:type="dxa"/>
          </w:tcPr>
          <w:p>
            <w:pPr>
              <w:pStyle w:val="TableParagraph"/>
              <w:spacing w:before="138"/>
              <w:ind w:left="200"/>
              <w:rPr>
                <w:b/>
                <w:sz w:val="21"/>
              </w:rPr>
            </w:pPr>
            <w:r>
              <w:rPr>
                <w:b/>
                <w:sz w:val="21"/>
              </w:rPr>
              <w:t>2.2</w:t>
            </w:r>
          </w:p>
        </w:tc>
        <w:tc>
          <w:tcPr>
            <w:tcW w:w="1522" w:type="dxa"/>
          </w:tcPr>
          <w:p>
            <w:pPr>
              <w:pStyle w:val="TableParagraph"/>
              <w:spacing w:line="300" w:lineRule="auto" w:before="138"/>
              <w:ind w:left="196" w:right="267"/>
              <w:rPr>
                <w:b/>
                <w:sz w:val="21"/>
              </w:rPr>
            </w:pPr>
            <w:r>
              <w:rPr>
                <w:b/>
                <w:sz w:val="21"/>
              </w:rPr>
              <w:t>基本保险金额</w:t>
            </w:r>
          </w:p>
        </w:tc>
        <w:tc>
          <w:tcPr>
            <w:tcW w:w="7385" w:type="dxa"/>
          </w:tcPr>
          <w:p>
            <w:pPr>
              <w:pStyle w:val="TableParagraph"/>
              <w:spacing w:line="300" w:lineRule="auto" w:before="138"/>
              <w:ind w:left="87" w:right="357"/>
              <w:rPr>
                <w:sz w:val="21"/>
              </w:rPr>
            </w:pPr>
            <w:r>
              <w:rPr>
                <w:sz w:val="21"/>
              </w:rPr>
              <w:t>本附加险合同的基本保险金额是由您在投保时提出，并经本公司承保时审核并最终确定的。基本保险金额在保险单中载明。</w:t>
            </w:r>
          </w:p>
          <w:p>
            <w:pPr>
              <w:pStyle w:val="TableParagraph"/>
              <w:spacing w:line="300" w:lineRule="auto" w:before="16"/>
              <w:ind w:left="87" w:right="357"/>
              <w:rPr>
                <w:sz w:val="21"/>
              </w:rPr>
            </w:pPr>
            <w:r>
              <w:rPr>
                <w:sz w:val="21"/>
              </w:rPr>
              <w:t>若该基本保险金额发生变更，则以变更后的基本保险金额为准。变更身故基本保险金额的应当得到被保险人书面同意并认可。</w:t>
            </w:r>
          </w:p>
        </w:tc>
      </w:tr>
      <w:tr>
        <w:trPr>
          <w:trHeight w:val="959" w:hRule="atLeast"/>
        </w:trPr>
        <w:tc>
          <w:tcPr>
            <w:tcW w:w="714" w:type="dxa"/>
          </w:tcPr>
          <w:p>
            <w:pPr>
              <w:pStyle w:val="TableParagraph"/>
              <w:spacing w:before="138"/>
              <w:ind w:left="200"/>
              <w:rPr>
                <w:b/>
                <w:sz w:val="21"/>
              </w:rPr>
            </w:pPr>
            <w:r>
              <w:rPr>
                <w:b/>
                <w:sz w:val="21"/>
              </w:rPr>
              <w:t>2.3</w:t>
            </w:r>
          </w:p>
        </w:tc>
        <w:tc>
          <w:tcPr>
            <w:tcW w:w="1522" w:type="dxa"/>
          </w:tcPr>
          <w:p>
            <w:pPr>
              <w:pStyle w:val="TableParagraph"/>
              <w:spacing w:before="138"/>
              <w:ind w:left="196"/>
              <w:rPr>
                <w:b/>
                <w:sz w:val="21"/>
              </w:rPr>
            </w:pPr>
            <w:r>
              <w:rPr>
                <w:b/>
                <w:sz w:val="21"/>
              </w:rPr>
              <w:t>保险期间</w:t>
            </w:r>
          </w:p>
        </w:tc>
        <w:tc>
          <w:tcPr>
            <w:tcW w:w="7385" w:type="dxa"/>
          </w:tcPr>
          <w:p>
            <w:pPr>
              <w:pStyle w:val="TableParagraph"/>
              <w:spacing w:line="300" w:lineRule="auto" w:before="138"/>
              <w:ind w:left="87" w:right="225"/>
              <w:rPr>
                <w:sz w:val="21"/>
              </w:rPr>
            </w:pPr>
            <w:r>
              <w:rPr>
                <w:spacing w:val="-8"/>
                <w:sz w:val="21"/>
              </w:rPr>
              <w:t>本附加险合同的保险期间为一年，自保险单上记载的保险合同生效日零时起至</w:t>
            </w:r>
            <w:r>
              <w:rPr>
                <w:spacing w:val="-3"/>
                <w:sz w:val="21"/>
              </w:rPr>
              <w:t>期满之日二十四时止。</w:t>
            </w:r>
          </w:p>
        </w:tc>
      </w:tr>
      <w:tr>
        <w:trPr>
          <w:trHeight w:val="823" w:hRule="atLeast"/>
        </w:trPr>
        <w:tc>
          <w:tcPr>
            <w:tcW w:w="714" w:type="dxa"/>
          </w:tcPr>
          <w:p>
            <w:pPr>
              <w:pStyle w:val="TableParagraph"/>
              <w:spacing w:before="139"/>
              <w:ind w:left="200"/>
              <w:rPr>
                <w:b/>
                <w:sz w:val="21"/>
              </w:rPr>
            </w:pPr>
            <w:r>
              <w:rPr>
                <w:b/>
                <w:sz w:val="21"/>
              </w:rPr>
              <w:t>2.4</w:t>
            </w:r>
          </w:p>
        </w:tc>
        <w:tc>
          <w:tcPr>
            <w:tcW w:w="1522" w:type="dxa"/>
          </w:tcPr>
          <w:p>
            <w:pPr>
              <w:pStyle w:val="TableParagraph"/>
              <w:spacing w:before="139"/>
              <w:ind w:left="196"/>
              <w:rPr>
                <w:b/>
                <w:sz w:val="21"/>
              </w:rPr>
            </w:pPr>
            <w:r>
              <w:rPr>
                <w:b/>
                <w:sz w:val="21"/>
              </w:rPr>
              <w:t>保险责任</w:t>
            </w:r>
          </w:p>
        </w:tc>
        <w:tc>
          <w:tcPr>
            <w:tcW w:w="7385" w:type="dxa"/>
          </w:tcPr>
          <w:p>
            <w:pPr>
              <w:pStyle w:val="TableParagraph"/>
              <w:spacing w:line="340" w:lineRule="atLeast" w:before="74"/>
              <w:ind w:left="87" w:right="225"/>
              <w:rPr>
                <w:sz w:val="21"/>
              </w:rPr>
            </w:pPr>
            <w:r>
              <w:rPr>
                <w:spacing w:val="-7"/>
                <w:sz w:val="21"/>
              </w:rPr>
              <w:t>在本附加险合同保险期间内且在主险合同有效前提下，本公司承担如下保险责任：</w:t>
            </w:r>
          </w:p>
        </w:tc>
      </w:tr>
      <w:tr>
        <w:trPr>
          <w:trHeight w:val="2402" w:hRule="atLeast"/>
        </w:trPr>
        <w:tc>
          <w:tcPr>
            <w:tcW w:w="714" w:type="dxa"/>
          </w:tcPr>
          <w:p>
            <w:pPr>
              <w:pStyle w:val="TableParagraph"/>
              <w:ind w:left="0"/>
              <w:rPr>
                <w:rFonts w:ascii="Times New Roman"/>
                <w:sz w:val="20"/>
              </w:rPr>
            </w:pPr>
          </w:p>
        </w:tc>
        <w:tc>
          <w:tcPr>
            <w:tcW w:w="1522" w:type="dxa"/>
          </w:tcPr>
          <w:p>
            <w:pPr>
              <w:pStyle w:val="TableParagraph"/>
              <w:spacing w:before="2"/>
              <w:ind w:left="196"/>
              <w:rPr>
                <w:rFonts w:ascii="黑体" w:eastAsia="黑体" w:hint="eastAsia"/>
                <w:b/>
                <w:sz w:val="21"/>
              </w:rPr>
            </w:pPr>
            <w:r>
              <w:rPr>
                <w:rFonts w:ascii="黑体" w:eastAsia="黑体" w:hint="eastAsia"/>
                <w:b/>
                <w:sz w:val="21"/>
              </w:rPr>
              <w:t>等待期</w:t>
            </w:r>
          </w:p>
        </w:tc>
        <w:tc>
          <w:tcPr>
            <w:tcW w:w="7385" w:type="dxa"/>
          </w:tcPr>
          <w:p>
            <w:pPr>
              <w:pStyle w:val="TableParagraph"/>
              <w:spacing w:line="300" w:lineRule="auto" w:before="2"/>
              <w:ind w:left="87" w:right="271"/>
              <w:rPr>
                <w:rFonts w:ascii="黑体" w:eastAsia="黑体" w:hint="eastAsia"/>
                <w:b/>
                <w:sz w:val="21"/>
              </w:rPr>
            </w:pPr>
            <w:r>
              <w:rPr>
                <w:rFonts w:ascii="黑体" w:eastAsia="黑体" w:hint="eastAsia"/>
                <w:spacing w:val="-3"/>
                <w:sz w:val="21"/>
              </w:rPr>
              <w:t>被保险人在本附加险合同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之日起 180</w:t>
            </w:r>
            <w:r>
              <w:rPr>
                <w:rFonts w:ascii="黑体" w:eastAsia="黑体" w:hint="eastAsia"/>
                <w:spacing w:val="-2"/>
                <w:sz w:val="21"/>
              </w:rPr>
              <w:t> 天内初次</w:t>
            </w:r>
            <w:r>
              <w:rPr>
                <w:rFonts w:ascii="黑体" w:eastAsia="黑体" w:hint="eastAsia"/>
                <w:b/>
                <w:sz w:val="21"/>
              </w:rPr>
              <w:t>发病</w:t>
            </w:r>
            <w:r>
              <w:rPr>
                <w:rFonts w:ascii="黑体" w:eastAsia="黑体" w:hint="eastAsia"/>
                <w:sz w:val="21"/>
              </w:rPr>
              <w:t>（见</w:t>
            </w:r>
            <w:r>
              <w:rPr>
                <w:rFonts w:ascii="黑体" w:eastAsia="黑体" w:hint="eastAsia"/>
                <w:spacing w:val="-11"/>
                <w:sz w:val="21"/>
              </w:rPr>
              <w:t>释义 </w:t>
            </w:r>
            <w:r>
              <w:rPr>
                <w:rFonts w:ascii="黑体" w:eastAsia="黑体" w:hint="eastAsia"/>
                <w:spacing w:val="-4"/>
                <w:sz w:val="21"/>
              </w:rPr>
              <w:t>6.4）</w:t>
            </w:r>
            <w:r>
              <w:rPr>
                <w:rFonts w:ascii="黑体" w:eastAsia="黑体" w:hint="eastAsia"/>
                <w:spacing w:val="-3"/>
                <w:sz w:val="21"/>
              </w:rPr>
              <w:t>或经</w:t>
            </w:r>
            <w:r>
              <w:rPr>
                <w:rFonts w:ascii="黑体" w:eastAsia="黑体" w:hint="eastAsia"/>
                <w:b/>
                <w:spacing w:val="-3"/>
                <w:sz w:val="21"/>
              </w:rPr>
              <w:t>医院</w:t>
            </w:r>
            <w:r>
              <w:rPr>
                <w:rFonts w:ascii="黑体" w:eastAsia="黑体" w:hint="eastAsia"/>
                <w:spacing w:val="-3"/>
                <w:sz w:val="21"/>
              </w:rPr>
              <w:t>（</w:t>
            </w:r>
            <w:r>
              <w:rPr>
                <w:rFonts w:ascii="黑体" w:eastAsia="黑体" w:hint="eastAsia"/>
                <w:spacing w:val="-10"/>
                <w:sz w:val="21"/>
              </w:rPr>
              <w:t>见释义 </w:t>
            </w:r>
            <w:r>
              <w:rPr>
                <w:rFonts w:ascii="黑体" w:eastAsia="黑体" w:hint="eastAsia"/>
                <w:spacing w:val="-4"/>
                <w:sz w:val="21"/>
              </w:rPr>
              <w:t>6.5）</w:t>
            </w:r>
            <w:r>
              <w:rPr>
                <w:rFonts w:ascii="黑体" w:eastAsia="黑体" w:hint="eastAsia"/>
                <w:spacing w:val="-2"/>
                <w:sz w:val="21"/>
              </w:rPr>
              <w:t>确诊发</w:t>
            </w:r>
            <w:r>
              <w:rPr>
                <w:rFonts w:ascii="黑体" w:eastAsia="黑体" w:hint="eastAsia"/>
                <w:sz w:val="21"/>
              </w:rPr>
              <w:t>Th</w:t>
            </w:r>
            <w:r>
              <w:rPr>
                <w:rFonts w:ascii="黑体" w:eastAsia="黑体" w:hint="eastAsia"/>
                <w:spacing w:val="-3"/>
                <w:sz w:val="21"/>
              </w:rPr>
              <w:t>本附加险合同所定义的</w:t>
            </w:r>
            <w:r>
              <w:rPr>
                <w:rFonts w:ascii="黑体" w:eastAsia="黑体" w:hint="eastAsia"/>
                <w:b/>
                <w:sz w:val="21"/>
              </w:rPr>
              <w:t>重大疾病</w:t>
            </w:r>
          </w:p>
          <w:p>
            <w:pPr>
              <w:pStyle w:val="TableParagraph"/>
              <w:spacing w:line="300" w:lineRule="auto" w:before="15"/>
              <w:ind w:left="87" w:right="199"/>
              <w:rPr>
                <w:rFonts w:ascii="黑体" w:eastAsia="黑体" w:hint="eastAsia"/>
                <w:sz w:val="21"/>
              </w:rPr>
            </w:pPr>
            <w:r>
              <w:rPr>
                <w:rFonts w:ascii="黑体" w:eastAsia="黑体" w:hint="eastAsia"/>
                <w:sz w:val="21"/>
              </w:rPr>
              <w:t>（</w:t>
            </w:r>
            <w:r>
              <w:rPr>
                <w:rFonts w:ascii="黑体" w:eastAsia="黑体" w:hint="eastAsia"/>
                <w:spacing w:val="-11"/>
                <w:sz w:val="21"/>
              </w:rPr>
              <w:t>见释义 </w:t>
            </w:r>
            <w:r>
              <w:rPr>
                <w:rFonts w:ascii="黑体" w:eastAsia="黑体" w:hint="eastAsia"/>
                <w:spacing w:val="-8"/>
                <w:sz w:val="21"/>
              </w:rPr>
              <w:t>6.6）</w:t>
            </w:r>
            <w:r>
              <w:rPr>
                <w:rFonts w:ascii="黑体" w:eastAsia="黑体" w:hint="eastAsia"/>
                <w:spacing w:val="-7"/>
                <w:sz w:val="21"/>
              </w:rPr>
              <w:t>的，本公司将本附加险合同所收取的保险费无息退还，本附加</w:t>
            </w:r>
            <w:r>
              <w:rPr>
                <w:rFonts w:ascii="黑体" w:eastAsia="黑体" w:hint="eastAsia"/>
                <w:spacing w:val="-8"/>
                <w:sz w:val="21"/>
              </w:rPr>
              <w:t>险合同终止。这 </w:t>
            </w:r>
            <w:r>
              <w:rPr>
                <w:rFonts w:ascii="黑体" w:eastAsia="黑体" w:hint="eastAsia"/>
                <w:sz w:val="21"/>
              </w:rPr>
              <w:t>180</w:t>
            </w:r>
            <w:r>
              <w:rPr>
                <w:rFonts w:ascii="黑体" w:eastAsia="黑体" w:hint="eastAsia"/>
                <w:spacing w:val="-8"/>
                <w:sz w:val="21"/>
              </w:rPr>
              <w:t> 天的时间称为等待期。续保不受 </w:t>
            </w:r>
            <w:r>
              <w:rPr>
                <w:rFonts w:ascii="黑体" w:eastAsia="黑体" w:hint="eastAsia"/>
                <w:sz w:val="21"/>
              </w:rPr>
              <w:t>180</w:t>
            </w:r>
            <w:r>
              <w:rPr>
                <w:rFonts w:ascii="黑体" w:eastAsia="黑体" w:hint="eastAsia"/>
                <w:spacing w:val="-6"/>
                <w:sz w:val="21"/>
              </w:rPr>
              <w:t> 天等待期的限制。</w:t>
            </w:r>
            <w:r>
              <w:rPr>
                <w:rFonts w:ascii="黑体" w:eastAsia="黑体" w:hint="eastAsia"/>
                <w:spacing w:val="-4"/>
                <w:sz w:val="21"/>
              </w:rPr>
              <w:t>被保险人因</w:t>
            </w:r>
            <w:r>
              <w:rPr>
                <w:rFonts w:ascii="黑体" w:eastAsia="黑体" w:hint="eastAsia"/>
                <w:b/>
                <w:sz w:val="21"/>
              </w:rPr>
              <w:t>意外伤害</w:t>
            </w:r>
            <w:r>
              <w:rPr>
                <w:rFonts w:ascii="黑体" w:eastAsia="黑体" w:hint="eastAsia"/>
                <w:spacing w:val="-3"/>
                <w:sz w:val="21"/>
              </w:rPr>
              <w:t>（</w:t>
            </w:r>
            <w:r>
              <w:rPr>
                <w:rFonts w:ascii="黑体" w:eastAsia="黑体" w:hint="eastAsia"/>
                <w:spacing w:val="-10"/>
                <w:sz w:val="21"/>
              </w:rPr>
              <w:t>见释义 </w:t>
            </w:r>
            <w:r>
              <w:rPr>
                <w:rFonts w:ascii="黑体" w:eastAsia="黑体" w:hint="eastAsia"/>
                <w:sz w:val="21"/>
              </w:rPr>
              <w:t>6.7）</w:t>
            </w:r>
            <w:r>
              <w:rPr>
                <w:rFonts w:ascii="黑体" w:eastAsia="黑体" w:hint="eastAsia"/>
                <w:spacing w:val="-3"/>
                <w:sz w:val="21"/>
              </w:rPr>
              <w:t>导致本附加险合同所定义的重大疾病的， 无等待期。</w:t>
            </w:r>
          </w:p>
          <w:p>
            <w:pPr>
              <w:pStyle w:val="TableParagraph"/>
              <w:spacing w:before="15"/>
              <w:ind w:left="87"/>
              <w:rPr>
                <w:rFonts w:ascii="黑体" w:eastAsia="黑体" w:hint="eastAsia"/>
                <w:sz w:val="21"/>
              </w:rPr>
            </w:pPr>
            <w:r>
              <w:rPr>
                <w:rFonts w:ascii="黑体" w:eastAsia="黑体" w:hint="eastAsia"/>
                <w:sz w:val="21"/>
              </w:rPr>
              <w:t>等待期后发Th保险事故，本公司按照下列方式给付保险金：</w:t>
            </w:r>
          </w:p>
        </w:tc>
      </w:tr>
      <w:tr>
        <w:trPr>
          <w:trHeight w:val="1201" w:hRule="atLeast"/>
        </w:trPr>
        <w:tc>
          <w:tcPr>
            <w:tcW w:w="714" w:type="dxa"/>
          </w:tcPr>
          <w:p>
            <w:pPr>
              <w:pStyle w:val="TableParagraph"/>
              <w:ind w:left="0"/>
              <w:rPr>
                <w:rFonts w:ascii="Times New Roman"/>
                <w:sz w:val="20"/>
              </w:rPr>
            </w:pPr>
          </w:p>
        </w:tc>
        <w:tc>
          <w:tcPr>
            <w:tcW w:w="1522" w:type="dxa"/>
          </w:tcPr>
          <w:p>
            <w:pPr>
              <w:pStyle w:val="TableParagraph"/>
              <w:spacing w:line="300" w:lineRule="auto" w:before="2"/>
              <w:ind w:left="196" w:right="87"/>
              <w:rPr>
                <w:rFonts w:ascii="黑体" w:eastAsia="黑体" w:hint="eastAsia"/>
                <w:b/>
                <w:sz w:val="21"/>
              </w:rPr>
            </w:pPr>
            <w:r>
              <w:rPr>
                <w:rFonts w:ascii="黑体" w:eastAsia="黑体" w:hint="eastAsia"/>
                <w:b/>
                <w:sz w:val="21"/>
              </w:rPr>
              <w:t>重大疾病保险金</w:t>
            </w:r>
          </w:p>
        </w:tc>
        <w:tc>
          <w:tcPr>
            <w:tcW w:w="7385" w:type="dxa"/>
          </w:tcPr>
          <w:p>
            <w:pPr>
              <w:pStyle w:val="TableParagraph"/>
              <w:spacing w:line="292" w:lineRule="auto" w:before="2"/>
              <w:ind w:left="87" w:right="271"/>
              <w:jc w:val="both"/>
              <w:rPr>
                <w:sz w:val="21"/>
              </w:rPr>
            </w:pPr>
            <w:r>
              <w:rPr>
                <w:sz w:val="21"/>
              </w:rPr>
              <w:t>被保险人首次发病并经医院初次确诊罹患本附加险合同所定义的重大疾病中</w:t>
            </w:r>
            <w:r>
              <w:rPr>
                <w:spacing w:val="-9"/>
                <w:sz w:val="21"/>
              </w:rPr>
              <w:t>任何一种的，且在确诊后 </w:t>
            </w:r>
            <w:r>
              <w:rPr>
                <w:rFonts w:ascii="Arial" w:eastAsia="Arial"/>
                <w:sz w:val="21"/>
              </w:rPr>
              <w:t>30 </w:t>
            </w:r>
            <w:r>
              <w:rPr>
                <w:spacing w:val="-6"/>
                <w:sz w:val="21"/>
              </w:rPr>
              <w:t>天仍生存，本公司按基本保险金额向重大疾病保</w:t>
            </w:r>
            <w:r>
              <w:rPr>
                <w:spacing w:val="-4"/>
                <w:sz w:val="21"/>
              </w:rPr>
              <w:t>险金受益人给付重大疾病保险金，本附加险合同效力终止。</w:t>
            </w:r>
          </w:p>
        </w:tc>
      </w:tr>
      <w:tr>
        <w:trPr>
          <w:trHeight w:val="2023" w:hRule="atLeast"/>
        </w:trPr>
        <w:tc>
          <w:tcPr>
            <w:tcW w:w="714" w:type="dxa"/>
          </w:tcPr>
          <w:p>
            <w:pPr>
              <w:pStyle w:val="TableParagraph"/>
              <w:ind w:left="0"/>
              <w:rPr>
                <w:rFonts w:ascii="Times New Roman"/>
                <w:sz w:val="20"/>
              </w:rPr>
            </w:pPr>
          </w:p>
        </w:tc>
        <w:tc>
          <w:tcPr>
            <w:tcW w:w="1522" w:type="dxa"/>
          </w:tcPr>
          <w:p>
            <w:pPr>
              <w:pStyle w:val="TableParagraph"/>
              <w:ind w:left="0"/>
              <w:rPr>
                <w:rFonts w:ascii="Times New Roman"/>
                <w:sz w:val="20"/>
              </w:rPr>
            </w:pPr>
          </w:p>
        </w:tc>
        <w:tc>
          <w:tcPr>
            <w:tcW w:w="7385" w:type="dxa"/>
          </w:tcPr>
          <w:p>
            <w:pPr>
              <w:pStyle w:val="TableParagraph"/>
              <w:spacing w:line="300" w:lineRule="auto" w:before="174"/>
              <w:ind w:left="87" w:right="273"/>
              <w:jc w:val="both"/>
              <w:rPr>
                <w:b/>
                <w:sz w:val="21"/>
              </w:rPr>
            </w:pPr>
            <w:r>
              <w:rPr>
                <w:b/>
                <w:spacing w:val="-8"/>
                <w:sz w:val="21"/>
              </w:rPr>
              <w:t>本公司对重大疾病进行了分组</w:t>
            </w:r>
            <w:r>
              <w:rPr>
                <w:b/>
                <w:sz w:val="21"/>
              </w:rPr>
              <w:t>（</w:t>
            </w:r>
            <w:r>
              <w:rPr>
                <w:b/>
                <w:spacing w:val="-7"/>
                <w:sz w:val="21"/>
              </w:rPr>
              <w:t>重大疾病的分组详见本附加险合同附表一《重</w:t>
            </w:r>
            <w:r>
              <w:rPr>
                <w:b/>
                <w:spacing w:val="-21"/>
                <w:sz w:val="21"/>
              </w:rPr>
              <w:t>大疾病分组表》</w:t>
            </w:r>
            <w:r>
              <w:rPr>
                <w:b/>
                <w:spacing w:val="-102"/>
                <w:sz w:val="21"/>
              </w:rPr>
              <w:t>）</w:t>
            </w:r>
            <w:r>
              <w:rPr>
                <w:b/>
                <w:sz w:val="21"/>
              </w:rPr>
              <w:t>。保险期间内，如本公司对被保险人已赔付了一种重大疾病保险金的，则该已赔付重大疾病所在组别的保险责任在后续保证续保期间内终止，本公司仅对其他组别中符合本附加险合同约定的任何一种重大疾病承担保险责任。</w:t>
            </w:r>
          </w:p>
        </w:tc>
      </w:tr>
      <w:tr>
        <w:trPr>
          <w:trHeight w:val="3809" w:hRule="atLeast"/>
        </w:trPr>
        <w:tc>
          <w:tcPr>
            <w:tcW w:w="714" w:type="dxa"/>
          </w:tcPr>
          <w:p>
            <w:pPr>
              <w:pStyle w:val="TableParagraph"/>
              <w:spacing w:before="138"/>
              <w:ind w:left="200"/>
              <w:rPr>
                <w:b/>
                <w:sz w:val="21"/>
              </w:rPr>
            </w:pPr>
            <w:r>
              <w:rPr>
                <w:b/>
                <w:sz w:val="21"/>
              </w:rPr>
              <w:t>2.5</w:t>
            </w:r>
          </w:p>
        </w:tc>
        <w:tc>
          <w:tcPr>
            <w:tcW w:w="1522" w:type="dxa"/>
          </w:tcPr>
          <w:p>
            <w:pPr>
              <w:pStyle w:val="TableParagraph"/>
              <w:spacing w:line="300" w:lineRule="auto" w:before="138"/>
              <w:ind w:left="196" w:right="267"/>
              <w:rPr>
                <w:b/>
                <w:sz w:val="21"/>
              </w:rPr>
            </w:pPr>
            <w:r>
              <w:rPr>
                <w:b/>
                <w:sz w:val="21"/>
              </w:rPr>
              <w:t>保险责任的免除</w:t>
            </w:r>
          </w:p>
        </w:tc>
        <w:tc>
          <w:tcPr>
            <w:tcW w:w="7385" w:type="dxa"/>
          </w:tcPr>
          <w:p>
            <w:pPr>
              <w:pStyle w:val="TableParagraph"/>
              <w:spacing w:line="314" w:lineRule="auto" w:before="147"/>
              <w:ind w:left="87" w:right="271"/>
              <w:rPr>
                <w:rFonts w:ascii="黑体" w:eastAsia="黑体" w:hint="eastAsia"/>
                <w:sz w:val="21"/>
              </w:rPr>
            </w:pPr>
            <w:r>
              <w:rPr>
                <w:rFonts w:ascii="黑体" w:eastAsia="黑体" w:hint="eastAsia"/>
                <w:sz w:val="21"/>
              </w:rPr>
              <w:t>因下列情形之一，导致被保险人发Th本附加险合同所定义的重大疾病的，本公司不承担给付保险金的责任：</w:t>
            </w:r>
          </w:p>
          <w:p>
            <w:pPr>
              <w:pStyle w:val="TableParagraph"/>
              <w:numPr>
                <w:ilvl w:val="0"/>
                <w:numId w:val="6"/>
              </w:numPr>
              <w:tabs>
                <w:tab w:pos="809" w:val="left" w:leader="none"/>
              </w:tabs>
              <w:spacing w:line="240" w:lineRule="auto" w:before="173" w:after="0"/>
              <w:ind w:left="808"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809" w:val="left" w:leader="none"/>
              </w:tabs>
              <w:spacing w:line="240" w:lineRule="auto" w:before="85" w:after="0"/>
              <w:ind w:left="808" w:right="0" w:hanging="7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809" w:val="left" w:leader="none"/>
              </w:tabs>
              <w:spacing w:line="240" w:lineRule="auto" w:before="82" w:after="0"/>
              <w:ind w:left="808" w:right="0" w:hanging="721"/>
              <w:jc w:val="left"/>
              <w:rPr>
                <w:rFonts w:ascii="黑体" w:eastAsia="黑体" w:hint="eastAsia"/>
                <w:sz w:val="21"/>
              </w:rPr>
            </w:pPr>
            <w:r>
              <w:rPr>
                <w:rFonts w:ascii="黑体" w:eastAsia="黑体" w:hint="eastAsia"/>
                <w:spacing w:val="-3"/>
                <w:w w:val="100"/>
                <w:sz w:val="21"/>
              </w:rPr>
              <w:t>被保险人故意自伤、主动吸食或注射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6.8</w:t>
            </w:r>
            <w:r>
              <w:rPr>
                <w:rFonts w:ascii="黑体" w:eastAsia="黑体" w:hint="eastAsia"/>
                <w:spacing w:val="-106"/>
                <w:w w:val="100"/>
                <w:sz w:val="21"/>
              </w:rPr>
              <w:t>）；</w:t>
            </w:r>
          </w:p>
          <w:p>
            <w:pPr>
              <w:pStyle w:val="TableParagraph"/>
              <w:numPr>
                <w:ilvl w:val="0"/>
                <w:numId w:val="6"/>
              </w:numPr>
              <w:tabs>
                <w:tab w:pos="809" w:val="left" w:leader="none"/>
              </w:tabs>
              <w:spacing w:line="240" w:lineRule="auto" w:before="84" w:after="0"/>
              <w:ind w:left="808" w:right="0" w:hanging="721"/>
              <w:jc w:val="left"/>
              <w:rPr>
                <w:rFonts w:ascii="黑体" w:eastAsia="黑体" w:hint="eastAsia"/>
                <w:sz w:val="21"/>
              </w:rPr>
            </w:pPr>
            <w:r>
              <w:rPr>
                <w:rFonts w:ascii="黑体" w:eastAsia="黑体" w:hint="eastAsia"/>
                <w:spacing w:val="1"/>
                <w:w w:val="100"/>
                <w:sz w:val="21"/>
              </w:rPr>
              <w:t>被保险人</w:t>
            </w:r>
            <w:r>
              <w:rPr>
                <w:rFonts w:ascii="黑体" w:eastAsia="黑体" w:hint="eastAsia"/>
                <w:b/>
                <w:spacing w:val="1"/>
                <w:w w:val="100"/>
                <w:sz w:val="21"/>
              </w:rPr>
              <w:t>酒后驾驶</w:t>
            </w:r>
            <w:r>
              <w:rPr>
                <w:rFonts w:ascii="黑体" w:eastAsia="黑体" w:hint="eastAsia"/>
                <w:spacing w:val="1"/>
                <w:w w:val="100"/>
                <w:sz w:val="21"/>
              </w:rPr>
              <w:t>（</w:t>
            </w:r>
            <w:r>
              <w:rPr>
                <w:rFonts w:ascii="黑体" w:eastAsia="黑体" w:hint="eastAsia"/>
                <w:w w:val="100"/>
                <w:sz w:val="21"/>
              </w:rPr>
              <w:t>见释义</w:t>
            </w:r>
            <w:r>
              <w:rPr>
                <w:rFonts w:ascii="黑体" w:eastAsia="黑体" w:hint="eastAsia"/>
                <w:spacing w:val="2"/>
                <w:sz w:val="21"/>
              </w:rPr>
              <w:t> </w:t>
            </w:r>
            <w:r>
              <w:rPr>
                <w:rFonts w:ascii="黑体" w:eastAsia="黑体" w:hint="eastAsia"/>
                <w:w w:val="100"/>
                <w:sz w:val="21"/>
              </w:rPr>
              <w:t>6.9</w:t>
            </w:r>
            <w:r>
              <w:rPr>
                <w:rFonts w:ascii="黑体" w:eastAsia="黑体" w:hint="eastAsia"/>
                <w:spacing w:val="-101"/>
                <w:w w:val="100"/>
                <w:sz w:val="21"/>
              </w:rPr>
              <w:t>）</w:t>
            </w:r>
            <w:r>
              <w:rPr>
                <w:rFonts w:ascii="黑体" w:eastAsia="黑体" w:hint="eastAsia"/>
                <w:w w:val="100"/>
                <w:sz w:val="21"/>
              </w:rPr>
              <w:t>，</w:t>
            </w:r>
            <w:r>
              <w:rPr>
                <w:rFonts w:ascii="黑体" w:eastAsia="黑体" w:hint="eastAsia"/>
                <w:b/>
                <w:spacing w:val="1"/>
                <w:w w:val="100"/>
                <w:sz w:val="21"/>
              </w:rPr>
              <w:t>无合法有效驾驶证驾驶</w:t>
            </w:r>
            <w:r>
              <w:rPr>
                <w:rFonts w:ascii="黑体" w:eastAsia="黑体" w:hint="eastAsia"/>
                <w:w w:val="100"/>
                <w:sz w:val="21"/>
              </w:rPr>
              <w:t>（</w:t>
            </w:r>
            <w:r>
              <w:rPr>
                <w:rFonts w:ascii="黑体" w:eastAsia="黑体" w:hint="eastAsia"/>
                <w:spacing w:val="0"/>
                <w:w w:val="100"/>
                <w:sz w:val="21"/>
              </w:rPr>
              <w:t>见释义</w:t>
            </w:r>
          </w:p>
          <w:p>
            <w:pPr>
              <w:pStyle w:val="TableParagraph"/>
              <w:spacing w:before="82"/>
              <w:ind w:left="808"/>
              <w:rPr>
                <w:rFonts w:ascii="黑体" w:eastAsia="黑体" w:hint="eastAsia"/>
                <w:sz w:val="21"/>
              </w:rPr>
            </w:pPr>
            <w:r>
              <w:rPr>
                <w:rFonts w:ascii="黑体" w:eastAsia="黑体" w:hint="eastAsia"/>
                <w:sz w:val="21"/>
              </w:rPr>
              <w:t>6.10）或驾驶</w:t>
            </w:r>
            <w:r>
              <w:rPr>
                <w:rFonts w:ascii="黑体" w:eastAsia="黑体" w:hint="eastAsia"/>
                <w:b/>
                <w:sz w:val="21"/>
              </w:rPr>
              <w:t>无有效行驶证</w:t>
            </w:r>
            <w:r>
              <w:rPr>
                <w:rFonts w:ascii="黑体" w:eastAsia="黑体" w:hint="eastAsia"/>
                <w:sz w:val="21"/>
              </w:rPr>
              <w:t>（见释义 6.11）的机动车；</w:t>
            </w:r>
          </w:p>
          <w:p>
            <w:pPr>
              <w:pStyle w:val="TableParagraph"/>
              <w:numPr>
                <w:ilvl w:val="0"/>
                <w:numId w:val="7"/>
              </w:numPr>
              <w:tabs>
                <w:tab w:pos="809" w:val="left" w:leader="none"/>
              </w:tabs>
              <w:spacing w:line="240" w:lineRule="auto" w:before="85" w:after="0"/>
              <w:ind w:left="808"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7"/>
              </w:numPr>
              <w:tabs>
                <w:tab w:pos="809" w:val="left" w:leader="none"/>
              </w:tabs>
              <w:spacing w:line="240" w:lineRule="auto" w:before="82" w:after="0"/>
              <w:ind w:left="808"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7"/>
              </w:numPr>
              <w:tabs>
                <w:tab w:pos="809" w:val="left" w:leader="none"/>
              </w:tabs>
              <w:spacing w:line="255" w:lineRule="exact" w:before="85" w:after="0"/>
              <w:ind w:left="808" w:right="0" w:hanging="721"/>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19"/>
                <w:sz w:val="21"/>
              </w:rPr>
              <w:t> </w:t>
            </w:r>
            <w:r>
              <w:rPr>
                <w:rFonts w:ascii="黑体" w:eastAsia="黑体" w:hint="eastAsia"/>
                <w:w w:val="100"/>
                <w:sz w:val="21"/>
              </w:rPr>
              <w:t>6.</w:t>
            </w:r>
            <w:r>
              <w:rPr>
                <w:rFonts w:ascii="黑体" w:eastAsia="黑体" w:hint="eastAsia"/>
                <w:spacing w:val="-3"/>
                <w:w w:val="100"/>
                <w:sz w:val="21"/>
              </w:rPr>
              <w:t>12</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见释</w:t>
            </w:r>
          </w:p>
        </w:tc>
      </w:tr>
    </w:tbl>
    <w:p>
      <w:pPr>
        <w:spacing w:after="0" w:line="255" w:lineRule="exact"/>
        <w:jc w:val="left"/>
        <w:rPr>
          <w:rFonts w:ascii="黑体" w:eastAsia="黑体" w:hint="eastAsia"/>
          <w:sz w:val="21"/>
        </w:rPr>
        <w:sectPr>
          <w:pgSz w:w="11910" w:h="16840"/>
          <w:pgMar w:top="1460" w:bottom="280" w:left="1080" w:right="9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411"/>
        <w:gridCol w:w="7340"/>
      </w:tblGrid>
      <w:tr>
        <w:trPr>
          <w:trHeight w:val="2249" w:hRule="atLeast"/>
        </w:trPr>
        <w:tc>
          <w:tcPr>
            <w:tcW w:w="607" w:type="dxa"/>
          </w:tcPr>
          <w:p>
            <w:pPr>
              <w:pStyle w:val="TableParagraph"/>
              <w:ind w:left="0"/>
              <w:rPr>
                <w:rFonts w:ascii="Times New Roman"/>
                <w:sz w:val="20"/>
              </w:rPr>
            </w:pPr>
          </w:p>
        </w:tc>
        <w:tc>
          <w:tcPr>
            <w:tcW w:w="1411" w:type="dxa"/>
          </w:tcPr>
          <w:p>
            <w:pPr>
              <w:pStyle w:val="TableParagraph"/>
              <w:ind w:left="0"/>
              <w:rPr>
                <w:rFonts w:ascii="Times New Roman"/>
                <w:sz w:val="20"/>
              </w:rPr>
            </w:pPr>
          </w:p>
        </w:tc>
        <w:tc>
          <w:tcPr>
            <w:tcW w:w="7340" w:type="dxa"/>
          </w:tcPr>
          <w:p>
            <w:pPr>
              <w:pStyle w:val="TableParagraph"/>
              <w:spacing w:line="207" w:lineRule="exact"/>
              <w:ind w:left="934"/>
              <w:rPr>
                <w:rFonts w:ascii="黑体" w:eastAsia="黑体" w:hint="eastAsia"/>
                <w:sz w:val="21"/>
              </w:rPr>
            </w:pPr>
            <w:r>
              <w:rPr>
                <w:rFonts w:ascii="黑体" w:eastAsia="黑体" w:hint="eastAsia"/>
                <w:w w:val="100"/>
                <w:sz w:val="21"/>
              </w:rPr>
              <w:t>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w w:val="100"/>
                <w:sz w:val="21"/>
              </w:rPr>
              <w:t>3</w:t>
            </w:r>
            <w:r>
              <w:rPr>
                <w:rFonts w:ascii="黑体" w:eastAsia="黑体" w:hint="eastAsia"/>
                <w:spacing w:val="-106"/>
                <w:w w:val="100"/>
                <w:sz w:val="21"/>
              </w:rPr>
              <w:t>）；</w:t>
            </w:r>
          </w:p>
          <w:p>
            <w:pPr>
              <w:pStyle w:val="TableParagraph"/>
              <w:spacing w:before="82"/>
              <w:ind w:left="213"/>
              <w:rPr>
                <w:rFonts w:ascii="黑体" w:eastAsia="黑体" w:hint="eastAsia"/>
                <w:sz w:val="21"/>
              </w:rPr>
            </w:pPr>
            <w:r>
              <w:rPr>
                <w:rFonts w:ascii="黑体" w:eastAsia="黑体" w:hint="eastAsia"/>
                <w:w w:val="100"/>
                <w:sz w:val="21"/>
              </w:rPr>
              <w:t>（8）</w:t>
            </w:r>
            <w:r>
              <w:rPr>
                <w:rFonts w:ascii="黑体" w:eastAsia="黑体" w:hint="eastAsia"/>
                <w:spacing w:val="-9"/>
                <w:sz w:val="21"/>
              </w:rPr>
              <w:t>  </w:t>
            </w:r>
            <w:r>
              <w:rPr>
                <w:rFonts w:ascii="黑体" w:eastAsia="黑体" w:hint="eastAsia"/>
                <w:spacing w:val="-2"/>
                <w:w w:val="100"/>
                <w:sz w:val="21"/>
              </w:rPr>
              <w:t>感染</w:t>
            </w:r>
            <w:r>
              <w:rPr>
                <w:rFonts w:ascii="黑体" w:eastAsia="黑体" w:hint="eastAsia"/>
                <w:b/>
                <w:spacing w:val="-1"/>
                <w:w w:val="100"/>
                <w:sz w:val="21"/>
              </w:rPr>
              <w:t>艾滋病病毒或患艾滋病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.14</w:t>
            </w:r>
            <w:r>
              <w:rPr>
                <w:rFonts w:ascii="黑体" w:eastAsia="黑体" w:hint="eastAsia"/>
                <w:spacing w:val="-108"/>
                <w:w w:val="100"/>
                <w:sz w:val="21"/>
              </w:rPr>
              <w:t>）。</w:t>
            </w:r>
          </w:p>
          <w:p>
            <w:pPr>
              <w:pStyle w:val="TableParagraph"/>
              <w:spacing w:line="312" w:lineRule="auto" w:before="84"/>
              <w:ind w:left="213" w:right="186"/>
              <w:jc w:val="both"/>
              <w:rPr>
                <w:rFonts w:ascii="黑体" w:eastAsia="黑体" w:hint="eastAsia"/>
                <w:sz w:val="21"/>
              </w:rPr>
            </w:pPr>
            <w:r>
              <w:rPr>
                <w:rFonts w:ascii="黑体" w:eastAsia="黑体" w:hint="eastAsia"/>
                <w:w w:val="100"/>
                <w:sz w:val="21"/>
              </w:rPr>
              <w:t>发Th</w:t>
            </w:r>
            <w:r>
              <w:rPr>
                <w:rFonts w:ascii="黑体" w:eastAsia="黑体" w:hint="eastAsia"/>
                <w:spacing w:val="-3"/>
                <w:w w:val="100"/>
                <w:sz w:val="21"/>
              </w:rPr>
              <w:t>上述第</w:t>
            </w:r>
            <w:r>
              <w:rPr>
                <w:rFonts w:ascii="黑体" w:eastAsia="黑体" w:hint="eastAsia"/>
                <w:w w:val="100"/>
                <w:sz w:val="21"/>
              </w:rPr>
              <w:t>（1</w:t>
            </w:r>
            <w:r>
              <w:rPr>
                <w:rFonts w:ascii="黑体" w:eastAsia="黑体" w:hint="eastAsia"/>
                <w:spacing w:val="-108"/>
                <w:w w:val="100"/>
                <w:sz w:val="21"/>
              </w:rPr>
              <w:t>）</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3"/>
                <w:w w:val="100"/>
                <w:sz w:val="21"/>
              </w:rPr>
              <w:t>2</w:t>
            </w:r>
            <w:r>
              <w:rPr>
                <w:rFonts w:ascii="黑体" w:eastAsia="黑体" w:hint="eastAsia"/>
                <w:w w:val="100"/>
                <w:sz w:val="21"/>
              </w:rPr>
              <w:t>）</w:t>
            </w:r>
            <w:r>
              <w:rPr>
                <w:rFonts w:ascii="黑体" w:eastAsia="黑体" w:hint="eastAsia"/>
                <w:spacing w:val="-3"/>
                <w:w w:val="100"/>
                <w:sz w:val="21"/>
              </w:rPr>
              <w:t>项情形导致被保险人发</w:t>
            </w:r>
            <w:r>
              <w:rPr>
                <w:rFonts w:ascii="黑体" w:eastAsia="黑体" w:hint="eastAsia"/>
                <w:spacing w:val="-2"/>
                <w:w w:val="100"/>
                <w:sz w:val="21"/>
              </w:rPr>
              <w:t>T</w:t>
            </w:r>
            <w:r>
              <w:rPr>
                <w:rFonts w:ascii="黑体" w:eastAsia="黑体" w:hint="eastAsia"/>
                <w:spacing w:val="0"/>
                <w:w w:val="100"/>
                <w:sz w:val="21"/>
              </w:rPr>
              <w:t>h</w:t>
            </w:r>
            <w:r>
              <w:rPr>
                <w:rFonts w:ascii="黑体" w:eastAsia="黑体" w:hint="eastAsia"/>
                <w:spacing w:val="-3"/>
                <w:w w:val="100"/>
                <w:sz w:val="21"/>
              </w:rPr>
              <w:t>本附加险合同所定义的重大</w:t>
            </w:r>
            <w:r>
              <w:rPr>
                <w:rFonts w:ascii="黑体" w:eastAsia="黑体" w:hint="eastAsia"/>
                <w:spacing w:val="-3"/>
                <w:sz w:val="21"/>
              </w:rPr>
              <w:t>疾病的，本附加险合同终止。发</w:t>
            </w:r>
            <w:r>
              <w:rPr>
                <w:rFonts w:ascii="黑体" w:eastAsia="黑体" w:hint="eastAsia"/>
                <w:sz w:val="21"/>
              </w:rPr>
              <w:t>Th</w:t>
            </w:r>
            <w:r>
              <w:rPr>
                <w:rFonts w:ascii="黑体" w:eastAsia="黑体" w:hint="eastAsia"/>
                <w:spacing w:val="-3"/>
                <w:sz w:val="21"/>
              </w:rPr>
              <w:t>上述其他情形导致被保险人发</w:t>
            </w:r>
            <w:r>
              <w:rPr>
                <w:rFonts w:ascii="黑体" w:eastAsia="黑体" w:hint="eastAsia"/>
                <w:sz w:val="21"/>
              </w:rPr>
              <w:t>Th</w:t>
            </w:r>
            <w:r>
              <w:rPr>
                <w:rFonts w:ascii="黑体" w:eastAsia="黑体" w:hint="eastAsia"/>
                <w:spacing w:val="-2"/>
                <w:sz w:val="21"/>
              </w:rPr>
              <w:t>本附加险</w:t>
            </w:r>
            <w:r>
              <w:rPr>
                <w:rFonts w:ascii="黑体" w:eastAsia="黑体" w:hint="eastAsia"/>
                <w:spacing w:val="-3"/>
                <w:sz w:val="21"/>
              </w:rPr>
              <w:t>合同所定义的重大疾病的，本附加险合同终止，本公司向您退还保险单的现金价值。</w:t>
            </w:r>
          </w:p>
        </w:tc>
      </w:tr>
      <w:tr>
        <w:trPr>
          <w:trHeight w:val="1018" w:hRule="atLeast"/>
        </w:trPr>
        <w:tc>
          <w:tcPr>
            <w:tcW w:w="607" w:type="dxa"/>
          </w:tcPr>
          <w:p>
            <w:pPr>
              <w:pStyle w:val="TableParagraph"/>
              <w:ind w:left="0"/>
              <w:rPr>
                <w:b/>
                <w:sz w:val="14"/>
              </w:rPr>
            </w:pPr>
          </w:p>
          <w:p>
            <w:pPr>
              <w:pStyle w:val="TableParagraph"/>
              <w:ind w:left="107"/>
              <w:rPr>
                <w:b/>
                <w:sz w:val="21"/>
              </w:rPr>
            </w:pPr>
            <w:r>
              <w:rPr>
                <w:b/>
                <w:sz w:val="21"/>
              </w:rPr>
              <w:t>2.6</w:t>
            </w:r>
          </w:p>
        </w:tc>
        <w:tc>
          <w:tcPr>
            <w:tcW w:w="1411" w:type="dxa"/>
          </w:tcPr>
          <w:p>
            <w:pPr>
              <w:pStyle w:val="TableParagraph"/>
              <w:ind w:left="0"/>
              <w:rPr>
                <w:b/>
                <w:sz w:val="14"/>
              </w:rPr>
            </w:pPr>
          </w:p>
          <w:p>
            <w:pPr>
              <w:pStyle w:val="TableParagraph"/>
              <w:spacing w:line="300" w:lineRule="auto"/>
              <w:ind w:left="211" w:right="141"/>
              <w:rPr>
                <w:b/>
                <w:sz w:val="21"/>
              </w:rPr>
            </w:pPr>
            <w:r>
              <w:rPr>
                <w:b/>
                <w:sz w:val="21"/>
              </w:rPr>
              <w:t>保证续保期间</w:t>
            </w:r>
          </w:p>
        </w:tc>
        <w:tc>
          <w:tcPr>
            <w:tcW w:w="7340" w:type="dxa"/>
          </w:tcPr>
          <w:p>
            <w:pPr>
              <w:pStyle w:val="TableParagraph"/>
              <w:ind w:left="0"/>
              <w:rPr>
                <w:b/>
                <w:sz w:val="14"/>
              </w:rPr>
            </w:pPr>
          </w:p>
          <w:p>
            <w:pPr>
              <w:pStyle w:val="TableParagraph"/>
              <w:spacing w:line="283" w:lineRule="auto"/>
              <w:ind w:left="213" w:right="124"/>
              <w:rPr>
                <w:sz w:val="21"/>
              </w:rPr>
            </w:pPr>
            <w:r>
              <w:rPr>
                <w:sz w:val="21"/>
              </w:rPr>
              <w:t>自您首次投保本附加险合同或非连续投保本附加险合同的生效日起，每 </w:t>
            </w:r>
            <w:r>
              <w:rPr>
                <w:rFonts w:ascii="Times New Roman" w:eastAsia="Times New Roman"/>
                <w:sz w:val="21"/>
              </w:rPr>
              <w:t>5 </w:t>
            </w:r>
            <w:r>
              <w:rPr>
                <w:sz w:val="21"/>
              </w:rPr>
              <w:t>年为一保证续保期间，在保证续保期间内您有保证续保权。</w:t>
            </w:r>
          </w:p>
        </w:tc>
      </w:tr>
      <w:tr>
        <w:trPr>
          <w:trHeight w:val="979" w:hRule="atLeast"/>
        </w:trPr>
        <w:tc>
          <w:tcPr>
            <w:tcW w:w="607" w:type="dxa"/>
          </w:tcPr>
          <w:p>
            <w:pPr>
              <w:pStyle w:val="TableParagraph"/>
              <w:spacing w:before="152"/>
              <w:ind w:left="107"/>
              <w:rPr>
                <w:b/>
                <w:sz w:val="21"/>
              </w:rPr>
            </w:pPr>
            <w:r>
              <w:rPr>
                <w:b/>
                <w:sz w:val="21"/>
              </w:rPr>
              <w:t>2.7</w:t>
            </w:r>
          </w:p>
        </w:tc>
        <w:tc>
          <w:tcPr>
            <w:tcW w:w="1411" w:type="dxa"/>
          </w:tcPr>
          <w:p>
            <w:pPr>
              <w:pStyle w:val="TableParagraph"/>
              <w:spacing w:line="300" w:lineRule="auto" w:before="152"/>
              <w:ind w:left="211" w:right="141"/>
              <w:rPr>
                <w:b/>
                <w:sz w:val="21"/>
              </w:rPr>
            </w:pPr>
            <w:r>
              <w:rPr>
                <w:b/>
                <w:sz w:val="21"/>
              </w:rPr>
              <w:t>保证续保权的终止</w:t>
            </w:r>
          </w:p>
        </w:tc>
        <w:tc>
          <w:tcPr>
            <w:tcW w:w="7340" w:type="dxa"/>
          </w:tcPr>
          <w:p>
            <w:pPr>
              <w:pStyle w:val="TableParagraph"/>
              <w:spacing w:line="288" w:lineRule="auto" w:before="144"/>
              <w:ind w:left="213" w:right="186"/>
              <w:rPr>
                <w:sz w:val="21"/>
              </w:rPr>
            </w:pPr>
            <w:r>
              <w:rPr>
                <w:sz w:val="21"/>
              </w:rPr>
              <w:t>若被保险人在保证续保期间内每一保险期间届满时的年龄超过本附加险合同约定的最高续保年龄，保证续保权终止。</w:t>
            </w:r>
          </w:p>
        </w:tc>
      </w:tr>
      <w:tr>
        <w:trPr>
          <w:trHeight w:val="1990" w:hRule="atLeast"/>
        </w:trPr>
        <w:tc>
          <w:tcPr>
            <w:tcW w:w="607" w:type="dxa"/>
          </w:tcPr>
          <w:p>
            <w:pPr>
              <w:pStyle w:val="TableParagraph"/>
              <w:spacing w:before="137"/>
              <w:ind w:left="107"/>
              <w:rPr>
                <w:b/>
                <w:sz w:val="21"/>
              </w:rPr>
            </w:pPr>
            <w:r>
              <w:rPr>
                <w:b/>
                <w:sz w:val="21"/>
              </w:rPr>
              <w:t>2.8</w:t>
            </w:r>
          </w:p>
        </w:tc>
        <w:tc>
          <w:tcPr>
            <w:tcW w:w="1411" w:type="dxa"/>
          </w:tcPr>
          <w:p>
            <w:pPr>
              <w:pStyle w:val="TableParagraph"/>
              <w:spacing w:before="137"/>
              <w:ind w:left="141"/>
              <w:rPr>
                <w:b/>
                <w:sz w:val="21"/>
              </w:rPr>
            </w:pPr>
            <w:r>
              <w:rPr>
                <w:b/>
                <w:sz w:val="21"/>
              </w:rPr>
              <w:t>保证续保</w:t>
            </w:r>
          </w:p>
        </w:tc>
        <w:tc>
          <w:tcPr>
            <w:tcW w:w="7340" w:type="dxa"/>
          </w:tcPr>
          <w:p>
            <w:pPr>
              <w:pStyle w:val="TableParagraph"/>
              <w:spacing w:line="300" w:lineRule="auto" w:before="137"/>
              <w:ind w:left="144" w:right="171"/>
              <w:rPr>
                <w:sz w:val="21"/>
              </w:rPr>
            </w:pPr>
            <w:r>
              <w:rPr>
                <w:spacing w:val="-3"/>
                <w:sz w:val="21"/>
              </w:rPr>
              <w:t>在保证续保期间内本公司保证续保。在保证续保期间内，如果主险合同有效</w:t>
            </w:r>
            <w:r>
              <w:rPr>
                <w:spacing w:val="-6"/>
                <w:sz w:val="21"/>
              </w:rPr>
              <w:t>且您在本附加险合同届满前 </w:t>
            </w:r>
            <w:r>
              <w:rPr>
                <w:sz w:val="21"/>
              </w:rPr>
              <w:t>30</w:t>
            </w:r>
            <w:r>
              <w:rPr>
                <w:spacing w:val="-9"/>
                <w:sz w:val="21"/>
              </w:rPr>
              <w:t> 日前未提出不续保申请，本公司视为您申请续</w:t>
            </w:r>
            <w:r>
              <w:rPr>
                <w:spacing w:val="-5"/>
                <w:sz w:val="21"/>
              </w:rPr>
              <w:t>保本附加险合同，本公司保证续保，您应于每个保险期间届满时，按续保时对应的保险费率向本公司支付保险费。未支付保险费的，如您在主险合同中</w:t>
            </w:r>
            <w:r>
              <w:rPr>
                <w:spacing w:val="-3"/>
                <w:sz w:val="21"/>
              </w:rPr>
              <w:t>选择了自动垫交，本公司将用主险合同现金价值垫交本附加险合同保险费。</w:t>
            </w:r>
          </w:p>
        </w:tc>
      </w:tr>
      <w:tr>
        <w:trPr>
          <w:trHeight w:val="3280" w:hRule="atLeast"/>
        </w:trPr>
        <w:tc>
          <w:tcPr>
            <w:tcW w:w="607" w:type="dxa"/>
          </w:tcPr>
          <w:p>
            <w:pPr>
              <w:pStyle w:val="TableParagraph"/>
              <w:spacing w:before="140"/>
              <w:ind w:left="107"/>
              <w:rPr>
                <w:b/>
                <w:sz w:val="21"/>
              </w:rPr>
            </w:pPr>
            <w:r>
              <w:rPr>
                <w:b/>
                <w:sz w:val="21"/>
              </w:rPr>
              <w:t>2.9</w:t>
            </w:r>
          </w:p>
        </w:tc>
        <w:tc>
          <w:tcPr>
            <w:tcW w:w="1411" w:type="dxa"/>
          </w:tcPr>
          <w:p>
            <w:pPr>
              <w:pStyle w:val="TableParagraph"/>
              <w:spacing w:line="300" w:lineRule="auto" w:before="140"/>
              <w:ind w:left="211" w:right="141"/>
              <w:jc w:val="both"/>
              <w:rPr>
                <w:b/>
                <w:sz w:val="21"/>
              </w:rPr>
            </w:pPr>
            <w:r>
              <w:rPr>
                <w:b/>
                <w:sz w:val="21"/>
              </w:rPr>
              <w:t>保证续保期间届满后的续保</w:t>
            </w:r>
          </w:p>
        </w:tc>
        <w:tc>
          <w:tcPr>
            <w:tcW w:w="7340" w:type="dxa"/>
          </w:tcPr>
          <w:p>
            <w:pPr>
              <w:pStyle w:val="TableParagraph"/>
              <w:spacing w:line="285" w:lineRule="auto" w:before="133"/>
              <w:ind w:left="213" w:right="102"/>
              <w:jc w:val="both"/>
              <w:rPr>
                <w:sz w:val="21"/>
              </w:rPr>
            </w:pPr>
            <w:r>
              <w:rPr>
                <w:spacing w:val="-6"/>
                <w:sz w:val="21"/>
              </w:rPr>
              <w:t>保证续保期间届满时，如果主险合同有效，且您在本附加险合同届满前 </w:t>
            </w:r>
            <w:r>
              <w:rPr>
                <w:sz w:val="21"/>
              </w:rPr>
              <w:t>30</w:t>
            </w:r>
            <w:r>
              <w:rPr>
                <w:spacing w:val="-20"/>
                <w:sz w:val="21"/>
              </w:rPr>
              <w:t> 日</w:t>
            </w:r>
            <w:r>
              <w:rPr>
                <w:spacing w:val="-14"/>
                <w:sz w:val="21"/>
              </w:rPr>
              <w:t>前未提出不续保申请，本公司视为您申请续保本附加险合同，本公司会审核</w:t>
            </w:r>
            <w:r>
              <w:rPr>
                <w:spacing w:val="-7"/>
                <w:sz w:val="21"/>
              </w:rPr>
              <w:t>被保险人是否符合续保条件。</w:t>
            </w:r>
          </w:p>
          <w:p>
            <w:pPr>
              <w:pStyle w:val="TableParagraph"/>
              <w:spacing w:line="285" w:lineRule="auto" w:before="13"/>
              <w:ind w:left="213" w:right="102"/>
              <w:jc w:val="both"/>
              <w:rPr>
                <w:sz w:val="21"/>
              </w:rPr>
            </w:pPr>
            <w:r>
              <w:rPr>
                <w:sz w:val="21"/>
              </w:rPr>
              <w:t>如果本公司审核同意您续保，则进入下一个保证续保期间，您应于每个保险期间届满时，按续保时对应的保险费率向本公司支付保险费，本附加险合同将延续有效。未支付保险费的，如您在主险合同中选择了自动垫交，本公司将用主险合同现金价值垫交本附加险合同保险费。</w:t>
            </w:r>
          </w:p>
          <w:p>
            <w:pPr>
              <w:pStyle w:val="TableParagraph"/>
              <w:spacing w:line="300" w:lineRule="auto" w:before="20"/>
              <w:ind w:left="213" w:right="186"/>
              <w:jc w:val="both"/>
              <w:rPr>
                <w:sz w:val="21"/>
              </w:rPr>
            </w:pPr>
            <w:r>
              <w:rPr>
                <w:sz w:val="21"/>
              </w:rPr>
              <w:t>如果本公司不接受续保或须附加条件续保，本公司会在本附加险合同保险期间届满前以书面形式通知您。</w:t>
            </w:r>
          </w:p>
        </w:tc>
      </w:tr>
      <w:tr>
        <w:trPr>
          <w:trHeight w:val="746" w:hRule="atLeast"/>
        </w:trPr>
        <w:tc>
          <w:tcPr>
            <w:tcW w:w="607" w:type="dxa"/>
            <w:tcBorders>
              <w:bottom w:val="single" w:sz="4" w:space="0" w:color="000000"/>
            </w:tcBorders>
          </w:tcPr>
          <w:p>
            <w:pPr>
              <w:pStyle w:val="TableParagraph"/>
              <w:spacing w:before="181"/>
              <w:ind w:left="107"/>
              <w:rPr>
                <w:rFonts w:ascii="Arial" w:hAnsi="Arial"/>
                <w:b/>
                <w:sz w:val="40"/>
              </w:rPr>
            </w:pPr>
            <w:r>
              <w:rPr>
                <w:rFonts w:ascii="Arial" w:hAnsi="Arial"/>
                <w:b/>
                <w:w w:val="119"/>
                <w:sz w:val="40"/>
              </w:rPr>
              <w:t></w:t>
            </w:r>
          </w:p>
        </w:tc>
        <w:tc>
          <w:tcPr>
            <w:tcW w:w="8751" w:type="dxa"/>
            <w:gridSpan w:val="2"/>
            <w:tcBorders>
              <w:bottom w:val="single" w:sz="4" w:space="0" w:color="000000"/>
            </w:tcBorders>
          </w:tcPr>
          <w:p>
            <w:pPr>
              <w:pStyle w:val="TableParagraph"/>
              <w:spacing w:before="10"/>
              <w:ind w:left="0"/>
              <w:rPr>
                <w:b/>
                <w:sz w:val="17"/>
              </w:rPr>
            </w:pPr>
          </w:p>
          <w:p>
            <w:pPr>
              <w:pStyle w:val="TableParagraph"/>
              <w:ind w:left="211"/>
              <w:rPr>
                <w:b/>
                <w:sz w:val="24"/>
              </w:rPr>
            </w:pPr>
            <w:r>
              <w:rPr>
                <w:b/>
                <w:w w:val="95"/>
                <w:sz w:val="24"/>
              </w:rPr>
              <w:t>保险金的申请与给付</w:t>
            </w:r>
          </w:p>
        </w:tc>
      </w:tr>
      <w:tr>
        <w:trPr>
          <w:trHeight w:val="755" w:hRule="atLeast"/>
        </w:trPr>
        <w:tc>
          <w:tcPr>
            <w:tcW w:w="607" w:type="dxa"/>
            <w:tcBorders>
              <w:top w:val="single" w:sz="4" w:space="0" w:color="000000"/>
            </w:tcBorders>
          </w:tcPr>
          <w:p>
            <w:pPr>
              <w:pStyle w:val="TableParagraph"/>
              <w:spacing w:before="67"/>
              <w:ind w:left="107"/>
              <w:rPr>
                <w:b/>
                <w:sz w:val="21"/>
              </w:rPr>
            </w:pPr>
            <w:r>
              <w:rPr>
                <w:b/>
                <w:sz w:val="21"/>
              </w:rPr>
              <w:t>3.1</w:t>
            </w:r>
          </w:p>
        </w:tc>
        <w:tc>
          <w:tcPr>
            <w:tcW w:w="1411" w:type="dxa"/>
            <w:tcBorders>
              <w:top w:val="single" w:sz="4" w:space="0" w:color="000000"/>
            </w:tcBorders>
          </w:tcPr>
          <w:p>
            <w:pPr>
              <w:pStyle w:val="TableParagraph"/>
              <w:spacing w:line="300" w:lineRule="auto" w:before="67"/>
              <w:ind w:left="211" w:right="141"/>
              <w:rPr>
                <w:b/>
                <w:sz w:val="21"/>
              </w:rPr>
            </w:pPr>
            <w:r>
              <w:rPr>
                <w:b/>
                <w:sz w:val="21"/>
              </w:rPr>
              <w:t>保险金受益人</w:t>
            </w:r>
          </w:p>
        </w:tc>
        <w:tc>
          <w:tcPr>
            <w:tcW w:w="7340" w:type="dxa"/>
            <w:tcBorders>
              <w:top w:val="single" w:sz="4" w:space="0" w:color="000000"/>
            </w:tcBorders>
          </w:tcPr>
          <w:p>
            <w:pPr>
              <w:pStyle w:val="TableParagraph"/>
              <w:ind w:left="0"/>
              <w:rPr>
                <w:rFonts w:ascii="Times New Roman"/>
                <w:sz w:val="20"/>
              </w:rPr>
            </w:pPr>
          </w:p>
        </w:tc>
      </w:tr>
      <w:tr>
        <w:trPr>
          <w:trHeight w:val="823" w:hRule="atLeast"/>
        </w:trPr>
        <w:tc>
          <w:tcPr>
            <w:tcW w:w="607" w:type="dxa"/>
          </w:tcPr>
          <w:p>
            <w:pPr>
              <w:pStyle w:val="TableParagraph"/>
              <w:ind w:left="0"/>
              <w:rPr>
                <w:rFonts w:ascii="Times New Roman"/>
                <w:sz w:val="20"/>
              </w:rPr>
            </w:pPr>
          </w:p>
        </w:tc>
        <w:tc>
          <w:tcPr>
            <w:tcW w:w="1411" w:type="dxa"/>
          </w:tcPr>
          <w:p>
            <w:pPr>
              <w:pStyle w:val="TableParagraph"/>
              <w:spacing w:line="300" w:lineRule="auto"/>
              <w:ind w:left="211" w:right="141"/>
              <w:rPr>
                <w:b/>
                <w:sz w:val="21"/>
              </w:rPr>
            </w:pPr>
            <w:r>
              <w:rPr>
                <w:b/>
                <w:sz w:val="21"/>
              </w:rPr>
              <w:t>重大疾病保险金受益人</w:t>
            </w:r>
          </w:p>
        </w:tc>
        <w:tc>
          <w:tcPr>
            <w:tcW w:w="7340" w:type="dxa"/>
          </w:tcPr>
          <w:p>
            <w:pPr>
              <w:pStyle w:val="TableParagraph"/>
              <w:spacing w:line="273" w:lineRule="exact"/>
              <w:ind w:left="213"/>
              <w:rPr>
                <w:sz w:val="21"/>
              </w:rPr>
            </w:pPr>
            <w:r>
              <w:rPr>
                <w:sz w:val="21"/>
              </w:rPr>
              <w:t>除另有约定外，</w:t>
            </w:r>
            <w:r>
              <w:rPr>
                <w:rFonts w:ascii="黑体" w:eastAsia="黑体" w:hint="eastAsia"/>
                <w:sz w:val="21"/>
              </w:rPr>
              <w:t>本附加险合同重大疾病保险金的受益人为被保险人</w:t>
            </w:r>
            <w:r>
              <w:rPr>
                <w:sz w:val="21"/>
              </w:rPr>
              <w:t>。</w:t>
            </w:r>
          </w:p>
        </w:tc>
      </w:tr>
      <w:tr>
        <w:trPr>
          <w:trHeight w:val="1787" w:hRule="atLeast"/>
        </w:trPr>
        <w:tc>
          <w:tcPr>
            <w:tcW w:w="607" w:type="dxa"/>
          </w:tcPr>
          <w:p>
            <w:pPr>
              <w:pStyle w:val="TableParagraph"/>
              <w:spacing w:before="134"/>
              <w:ind w:left="107"/>
              <w:rPr>
                <w:b/>
                <w:sz w:val="21"/>
              </w:rPr>
            </w:pPr>
            <w:r>
              <w:rPr>
                <w:b/>
                <w:sz w:val="21"/>
              </w:rPr>
              <w:t>3.2</w:t>
            </w:r>
          </w:p>
        </w:tc>
        <w:tc>
          <w:tcPr>
            <w:tcW w:w="1411" w:type="dxa"/>
          </w:tcPr>
          <w:p>
            <w:pPr>
              <w:pStyle w:val="TableParagraph"/>
              <w:spacing w:line="300" w:lineRule="auto" w:before="134"/>
              <w:ind w:left="211" w:right="141"/>
              <w:rPr>
                <w:b/>
                <w:sz w:val="21"/>
              </w:rPr>
            </w:pPr>
            <w:r>
              <w:rPr>
                <w:b/>
                <w:sz w:val="21"/>
              </w:rPr>
              <w:t>保险事故通知</w:t>
            </w:r>
          </w:p>
        </w:tc>
        <w:tc>
          <w:tcPr>
            <w:tcW w:w="7340" w:type="dxa"/>
          </w:tcPr>
          <w:p>
            <w:pPr>
              <w:pStyle w:val="TableParagraph"/>
              <w:spacing w:before="134"/>
              <w:ind w:left="213"/>
              <w:rPr>
                <w:sz w:val="21"/>
              </w:rPr>
            </w:pPr>
            <w:r>
              <w:rPr>
                <w:sz w:val="21"/>
              </w:rPr>
              <w:t>您或受益人应当在知道保险事故发生后 10 日内通知本公司。</w:t>
            </w:r>
          </w:p>
          <w:p>
            <w:pPr>
              <w:pStyle w:val="TableParagraph"/>
              <w:spacing w:line="300" w:lineRule="auto" w:before="67"/>
              <w:ind w:left="213" w:right="186"/>
              <w:jc w:val="both"/>
              <w:rPr>
                <w:sz w:val="21"/>
              </w:rPr>
            </w:pPr>
            <w:r>
              <w:rPr>
                <w:rFonts w:ascii="黑体" w:eastAsia="黑体" w:hint="eastAsia"/>
                <w:sz w:val="21"/>
              </w:rPr>
              <w:t>如果您或受益人故意或者因重大过失未及时通知，致使保险事故的性质、原因、损失程度等难以确定的，本公司对无法确定的部分不承担给付保险金的责任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w:t>
            </w:r>
          </w:p>
          <w:p>
            <w:pPr>
              <w:pStyle w:val="TableParagraph"/>
              <w:spacing w:line="259" w:lineRule="exact" w:before="15"/>
              <w:ind w:left="213"/>
              <w:jc w:val="both"/>
              <w:rPr>
                <w:sz w:val="21"/>
              </w:rPr>
            </w:pPr>
            <w:r>
              <w:rPr>
                <w:sz w:val="21"/>
              </w:rPr>
              <w:t>或者虽然未及时通知但不影响本公司确定保险事故的性质、原因、损失程度</w:t>
            </w:r>
          </w:p>
        </w:tc>
      </w:tr>
    </w:tbl>
    <w:p>
      <w:pPr>
        <w:spacing w:after="0" w:line="259" w:lineRule="exact"/>
        <w:jc w:val="both"/>
        <w:rPr>
          <w:sz w:val="21"/>
        </w:rPr>
        <w:sectPr>
          <w:pgSz w:w="11910" w:h="16840"/>
          <w:pgMar w:top="1480" w:bottom="280" w:left="1180" w:right="11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
        <w:gridCol w:w="1483"/>
        <w:gridCol w:w="7234"/>
      </w:tblGrid>
      <w:tr>
        <w:trPr>
          <w:trHeight w:val="412" w:hRule="atLeast"/>
        </w:trPr>
        <w:tc>
          <w:tcPr>
            <w:tcW w:w="642" w:type="dxa"/>
          </w:tcPr>
          <w:p>
            <w:pPr>
              <w:pStyle w:val="TableParagraph"/>
              <w:ind w:left="0"/>
              <w:rPr>
                <w:rFonts w:ascii="Times New Roman"/>
                <w:sz w:val="20"/>
              </w:rPr>
            </w:pPr>
          </w:p>
        </w:tc>
        <w:tc>
          <w:tcPr>
            <w:tcW w:w="1483" w:type="dxa"/>
          </w:tcPr>
          <w:p>
            <w:pPr>
              <w:pStyle w:val="TableParagraph"/>
              <w:ind w:left="0"/>
              <w:rPr>
                <w:rFonts w:ascii="Times New Roman"/>
                <w:sz w:val="20"/>
              </w:rPr>
            </w:pPr>
          </w:p>
        </w:tc>
        <w:tc>
          <w:tcPr>
            <w:tcW w:w="7234" w:type="dxa"/>
          </w:tcPr>
          <w:p>
            <w:pPr>
              <w:pStyle w:val="TableParagraph"/>
              <w:spacing w:line="211" w:lineRule="exact"/>
              <w:ind w:left="106"/>
              <w:rPr>
                <w:sz w:val="21"/>
              </w:rPr>
            </w:pPr>
            <w:r>
              <w:rPr>
                <w:sz w:val="21"/>
              </w:rPr>
              <w:t>的除外。</w:t>
            </w:r>
          </w:p>
        </w:tc>
      </w:tr>
      <w:tr>
        <w:trPr>
          <w:trHeight w:val="478" w:hRule="atLeast"/>
        </w:trPr>
        <w:tc>
          <w:tcPr>
            <w:tcW w:w="642" w:type="dxa"/>
          </w:tcPr>
          <w:p>
            <w:pPr>
              <w:pStyle w:val="TableParagraph"/>
              <w:spacing w:before="138"/>
              <w:ind w:left="107"/>
              <w:rPr>
                <w:b/>
                <w:sz w:val="21"/>
              </w:rPr>
            </w:pPr>
            <w:r>
              <w:rPr>
                <w:b/>
                <w:sz w:val="21"/>
              </w:rPr>
              <w:t>3.3</w:t>
            </w:r>
          </w:p>
        </w:tc>
        <w:tc>
          <w:tcPr>
            <w:tcW w:w="1483" w:type="dxa"/>
          </w:tcPr>
          <w:p>
            <w:pPr>
              <w:pStyle w:val="TableParagraph"/>
              <w:spacing w:before="138"/>
              <w:ind w:left="176"/>
              <w:rPr>
                <w:b/>
                <w:sz w:val="21"/>
              </w:rPr>
            </w:pPr>
            <w:r>
              <w:rPr>
                <w:b/>
                <w:sz w:val="21"/>
              </w:rPr>
              <w:t>保险金申请</w:t>
            </w:r>
          </w:p>
        </w:tc>
        <w:tc>
          <w:tcPr>
            <w:tcW w:w="7234" w:type="dxa"/>
          </w:tcPr>
          <w:p>
            <w:pPr>
              <w:pStyle w:val="TableParagraph"/>
              <w:spacing w:before="138"/>
              <w:ind w:left="106"/>
              <w:rPr>
                <w:sz w:val="21"/>
              </w:rPr>
            </w:pPr>
            <w:r>
              <w:rPr>
                <w:sz w:val="21"/>
              </w:rPr>
              <w:t>在申请保险金时，请按照下列方式办理：</w:t>
            </w:r>
          </w:p>
        </w:tc>
      </w:tr>
      <w:tr>
        <w:trPr>
          <w:trHeight w:val="3536" w:hRule="atLeast"/>
        </w:trPr>
        <w:tc>
          <w:tcPr>
            <w:tcW w:w="642" w:type="dxa"/>
          </w:tcPr>
          <w:p>
            <w:pPr>
              <w:pStyle w:val="TableParagraph"/>
              <w:ind w:left="0"/>
              <w:rPr>
                <w:rFonts w:ascii="Times New Roman"/>
                <w:sz w:val="20"/>
              </w:rPr>
            </w:pPr>
          </w:p>
        </w:tc>
        <w:tc>
          <w:tcPr>
            <w:tcW w:w="1483" w:type="dxa"/>
          </w:tcPr>
          <w:p>
            <w:pPr>
              <w:pStyle w:val="TableParagraph"/>
              <w:spacing w:line="300" w:lineRule="auto" w:before="2"/>
              <w:ind w:left="176" w:right="251"/>
              <w:rPr>
                <w:sz w:val="21"/>
              </w:rPr>
            </w:pPr>
            <w:r>
              <w:rPr>
                <w:sz w:val="21"/>
              </w:rPr>
              <w:t>重大疾病保险金的申请</w:t>
            </w:r>
          </w:p>
        </w:tc>
        <w:tc>
          <w:tcPr>
            <w:tcW w:w="7234" w:type="dxa"/>
          </w:tcPr>
          <w:p>
            <w:pPr>
              <w:pStyle w:val="TableParagraph"/>
              <w:spacing w:before="2"/>
              <w:ind w:left="106"/>
              <w:rPr>
                <w:sz w:val="21"/>
              </w:rPr>
            </w:pPr>
            <w:r>
              <w:rPr>
                <w:sz w:val="21"/>
              </w:rPr>
              <w:t>申请人须填写保险金给付申请书，并须提供下列证明和资料：</w:t>
            </w:r>
          </w:p>
          <w:p>
            <w:pPr>
              <w:pStyle w:val="TableParagraph"/>
              <w:spacing w:before="68"/>
              <w:ind w:left="106"/>
              <w:rPr>
                <w:sz w:val="21"/>
              </w:rPr>
            </w:pPr>
            <w:r>
              <w:rPr>
                <w:sz w:val="21"/>
              </w:rPr>
              <w:t>（1）保险合同；</w:t>
            </w:r>
          </w:p>
          <w:p>
            <w:pPr>
              <w:pStyle w:val="TableParagraph"/>
              <w:spacing w:before="68"/>
              <w:ind w:left="106"/>
              <w:rPr>
                <w:sz w:val="21"/>
              </w:rPr>
            </w:pPr>
            <w:r>
              <w:rPr>
                <w:sz w:val="21"/>
              </w:rPr>
              <w:t>（2）受益人的有效身份证件；</w:t>
            </w:r>
          </w:p>
          <w:p>
            <w:pPr>
              <w:pStyle w:val="TableParagraph"/>
              <w:spacing w:line="300" w:lineRule="auto" w:before="68"/>
              <w:ind w:left="106" w:right="86"/>
              <w:rPr>
                <w:sz w:val="21"/>
              </w:rPr>
            </w:pPr>
            <w:r>
              <w:rPr>
                <w:sz w:val="21"/>
              </w:rPr>
              <w:t>（3）专科医生出具的诊断证明书(包括：完整病历、出院小结、病理组织检查报告、血液检查、其他科学方法检验报告的病史资料及疾病诊断报告书)；</w:t>
            </w:r>
          </w:p>
          <w:p>
            <w:pPr>
              <w:pStyle w:val="TableParagraph"/>
              <w:spacing w:line="288" w:lineRule="auto" w:before="8"/>
              <w:ind w:left="106" w:right="70"/>
              <w:rPr>
                <w:sz w:val="21"/>
              </w:rPr>
            </w:pPr>
            <w:r>
              <w:rPr>
                <w:sz w:val="21"/>
              </w:rPr>
              <w:t>（4）若由代理人代为申请保险金，则还应提供授权委托书、代理人有效身份证件等文件；</w:t>
            </w:r>
          </w:p>
          <w:p>
            <w:pPr>
              <w:pStyle w:val="TableParagraph"/>
              <w:spacing w:line="300" w:lineRule="auto" w:before="17"/>
              <w:ind w:left="106" w:right="188"/>
              <w:rPr>
                <w:sz w:val="21"/>
              </w:rPr>
            </w:pPr>
            <w:r>
              <w:rPr>
                <w:sz w:val="21"/>
              </w:rPr>
              <w:t>（5）所能提供的与确认保险事故的性质、原因等有关的其他证明和资料。以上证明和资料不完整的，本公司将及时一次性通知申请人补充提供有关证明和资料。</w:t>
            </w:r>
          </w:p>
        </w:tc>
      </w:tr>
      <w:tr>
        <w:trPr>
          <w:trHeight w:val="4391" w:hRule="atLeast"/>
        </w:trPr>
        <w:tc>
          <w:tcPr>
            <w:tcW w:w="642" w:type="dxa"/>
          </w:tcPr>
          <w:p>
            <w:pPr>
              <w:pStyle w:val="TableParagraph"/>
              <w:spacing w:before="138"/>
              <w:ind w:left="107"/>
              <w:rPr>
                <w:b/>
                <w:sz w:val="21"/>
              </w:rPr>
            </w:pPr>
            <w:r>
              <w:rPr>
                <w:b/>
                <w:sz w:val="21"/>
              </w:rPr>
              <w:t>3.4</w:t>
            </w:r>
          </w:p>
        </w:tc>
        <w:tc>
          <w:tcPr>
            <w:tcW w:w="1483" w:type="dxa"/>
          </w:tcPr>
          <w:p>
            <w:pPr>
              <w:pStyle w:val="TableParagraph"/>
              <w:spacing w:line="300" w:lineRule="auto" w:before="138"/>
              <w:ind w:left="176" w:right="248"/>
              <w:rPr>
                <w:b/>
                <w:sz w:val="21"/>
              </w:rPr>
            </w:pPr>
            <w:r>
              <w:rPr>
                <w:b/>
                <w:sz w:val="21"/>
              </w:rPr>
              <w:t>保险金的给付</w:t>
            </w:r>
          </w:p>
        </w:tc>
        <w:tc>
          <w:tcPr>
            <w:tcW w:w="7234" w:type="dxa"/>
          </w:tcPr>
          <w:p>
            <w:pPr>
              <w:pStyle w:val="TableParagraph"/>
              <w:spacing w:before="138"/>
              <w:ind w:left="106"/>
              <w:rPr>
                <w:sz w:val="21"/>
              </w:rPr>
            </w:pPr>
            <w:r>
              <w:rPr>
                <w:sz w:val="21"/>
              </w:rPr>
              <w:t>本公司收到申请人的保险金给付申请书及合同约定的证明和资料后，将在 5</w:t>
            </w:r>
          </w:p>
          <w:p>
            <w:pPr>
              <w:pStyle w:val="TableParagraph"/>
              <w:spacing w:line="300" w:lineRule="auto" w:before="68"/>
              <w:ind w:left="106" w:right="103"/>
              <w:rPr>
                <w:sz w:val="21"/>
              </w:rPr>
            </w:pPr>
            <w:r>
              <w:rPr>
                <w:spacing w:val="-7"/>
                <w:sz w:val="21"/>
              </w:rPr>
              <w:t>日内作出核定；情形复杂的，在 </w:t>
            </w:r>
            <w:r>
              <w:rPr>
                <w:sz w:val="21"/>
              </w:rPr>
              <w:t>30</w:t>
            </w:r>
            <w:r>
              <w:rPr>
                <w:spacing w:val="-8"/>
                <w:sz w:val="21"/>
              </w:rPr>
              <w:t> 日内作出核定，本附加险合同另有约定的除外。</w:t>
            </w:r>
          </w:p>
          <w:p>
            <w:pPr>
              <w:pStyle w:val="TableParagraph"/>
              <w:spacing w:line="300" w:lineRule="auto" w:before="15"/>
              <w:ind w:left="106" w:right="100"/>
              <w:rPr>
                <w:sz w:val="21"/>
              </w:rPr>
            </w:pPr>
            <w:r>
              <w:rPr>
                <w:spacing w:val="-6"/>
                <w:sz w:val="21"/>
              </w:rPr>
              <w:t>对属于保险责任的，本公司在与受益人达成给付保险金的协议后 </w:t>
            </w:r>
            <w:r>
              <w:rPr>
                <w:sz w:val="21"/>
              </w:rPr>
              <w:t>10</w:t>
            </w:r>
            <w:r>
              <w:rPr>
                <w:spacing w:val="-11"/>
                <w:sz w:val="21"/>
              </w:rPr>
              <w:t> 日内，履</w:t>
            </w:r>
            <w:r>
              <w:rPr>
                <w:spacing w:val="-6"/>
                <w:sz w:val="21"/>
              </w:rPr>
              <w:t>行给付保险金义务。</w:t>
            </w:r>
          </w:p>
          <w:p>
            <w:pPr>
              <w:pStyle w:val="TableParagraph"/>
              <w:spacing w:line="300" w:lineRule="auto" w:before="15"/>
              <w:ind w:left="106" w:right="188"/>
              <w:rPr>
                <w:sz w:val="21"/>
              </w:rPr>
            </w:pPr>
            <w:r>
              <w:rPr>
                <w:sz w:val="21"/>
              </w:rPr>
              <w:t>本公司未及时履行前款规定义务的，除支付保险金外，应当赔偿受益人因此受到的损失。</w:t>
            </w:r>
          </w:p>
          <w:p>
            <w:pPr>
              <w:pStyle w:val="TableParagraph"/>
              <w:spacing w:line="300" w:lineRule="auto" w:before="15"/>
              <w:ind w:left="106" w:right="187"/>
              <w:rPr>
                <w:sz w:val="21"/>
              </w:rPr>
            </w:pPr>
            <w:r>
              <w:rPr>
                <w:spacing w:val="-5"/>
                <w:sz w:val="21"/>
              </w:rPr>
              <w:t>对不属于保险责任的，本公司自作出核定之日起 </w:t>
            </w:r>
            <w:r>
              <w:rPr>
                <w:sz w:val="21"/>
              </w:rPr>
              <w:t>3</w:t>
            </w:r>
            <w:r>
              <w:rPr>
                <w:spacing w:val="-8"/>
                <w:sz w:val="21"/>
              </w:rPr>
              <w:t> 日内向受益人发出拒绝给</w:t>
            </w:r>
            <w:r>
              <w:rPr>
                <w:spacing w:val="-5"/>
                <w:sz w:val="21"/>
              </w:rPr>
              <w:t>付保险金通知书并说明理由。</w:t>
            </w:r>
          </w:p>
          <w:p>
            <w:pPr>
              <w:pStyle w:val="TableParagraph"/>
              <w:spacing w:line="300" w:lineRule="auto" w:before="15"/>
              <w:ind w:left="106" w:right="100"/>
              <w:rPr>
                <w:sz w:val="21"/>
              </w:rPr>
            </w:pPr>
            <w:r>
              <w:rPr>
                <w:spacing w:val="-5"/>
                <w:sz w:val="21"/>
              </w:rPr>
              <w:t>本公司在收到保险金给付申请书及有关证明和资料之日起 </w:t>
            </w:r>
            <w:r>
              <w:rPr>
                <w:sz w:val="21"/>
              </w:rPr>
              <w:t>60</w:t>
            </w:r>
            <w:r>
              <w:rPr>
                <w:spacing w:val="-11"/>
                <w:sz w:val="21"/>
              </w:rPr>
              <w:t> 日内，对给付保</w:t>
            </w:r>
            <w:r>
              <w:rPr>
                <w:spacing w:val="-6"/>
                <w:sz w:val="21"/>
              </w:rPr>
              <w:t>险金的数额不能确定的，根据已有证明和资料可以确定的数额先予支付；本</w:t>
            </w:r>
            <w:r>
              <w:rPr>
                <w:spacing w:val="-4"/>
                <w:sz w:val="21"/>
              </w:rPr>
              <w:t>公司最终确定给付保险金的数额后，将支付相应的差额。</w:t>
            </w:r>
          </w:p>
        </w:tc>
      </w:tr>
      <w:tr>
        <w:trPr>
          <w:trHeight w:val="976" w:hRule="atLeast"/>
        </w:trPr>
        <w:tc>
          <w:tcPr>
            <w:tcW w:w="642" w:type="dxa"/>
          </w:tcPr>
          <w:p>
            <w:pPr>
              <w:pStyle w:val="TableParagraph"/>
              <w:spacing w:before="139"/>
              <w:ind w:left="107"/>
              <w:rPr>
                <w:b/>
                <w:sz w:val="21"/>
              </w:rPr>
            </w:pPr>
            <w:r>
              <w:rPr>
                <w:b/>
                <w:sz w:val="21"/>
              </w:rPr>
              <w:t>3.5</w:t>
            </w:r>
          </w:p>
        </w:tc>
        <w:tc>
          <w:tcPr>
            <w:tcW w:w="1483" w:type="dxa"/>
          </w:tcPr>
          <w:p>
            <w:pPr>
              <w:pStyle w:val="TableParagraph"/>
              <w:spacing w:before="139"/>
              <w:ind w:left="176"/>
              <w:rPr>
                <w:b/>
                <w:sz w:val="21"/>
              </w:rPr>
            </w:pPr>
            <w:r>
              <w:rPr>
                <w:b/>
                <w:sz w:val="21"/>
              </w:rPr>
              <w:t>诉讼时效</w:t>
            </w:r>
          </w:p>
        </w:tc>
        <w:tc>
          <w:tcPr>
            <w:tcW w:w="7234" w:type="dxa"/>
          </w:tcPr>
          <w:p>
            <w:pPr>
              <w:pStyle w:val="TableParagraph"/>
              <w:spacing w:line="300" w:lineRule="auto" w:before="139"/>
              <w:ind w:left="106" w:right="190"/>
              <w:rPr>
                <w:sz w:val="21"/>
              </w:rPr>
            </w:pPr>
            <w:r>
              <w:rPr>
                <w:spacing w:val="-5"/>
                <w:sz w:val="21"/>
              </w:rPr>
              <w:t>受益人向本公司请求给付保险金的诉讼时效期间为 </w:t>
            </w:r>
            <w:r>
              <w:rPr>
                <w:sz w:val="21"/>
              </w:rPr>
              <w:t>2</w:t>
            </w:r>
            <w:r>
              <w:rPr>
                <w:spacing w:val="-7"/>
                <w:sz w:val="21"/>
              </w:rPr>
              <w:t> 年，自其知道或应当知</w:t>
            </w:r>
            <w:r>
              <w:rPr>
                <w:spacing w:val="-5"/>
                <w:sz w:val="21"/>
              </w:rPr>
              <w:t>道保险事故发生之日起计算。</w:t>
            </w:r>
          </w:p>
        </w:tc>
      </w:tr>
      <w:tr>
        <w:trPr>
          <w:trHeight w:val="742" w:hRule="atLeast"/>
        </w:trPr>
        <w:tc>
          <w:tcPr>
            <w:tcW w:w="642" w:type="dxa"/>
            <w:tcBorders>
              <w:bottom w:val="single" w:sz="8" w:space="0" w:color="000000"/>
            </w:tcBorders>
          </w:tcPr>
          <w:p>
            <w:pPr>
              <w:pStyle w:val="TableParagraph"/>
              <w:spacing w:before="182"/>
              <w:ind w:left="107"/>
              <w:rPr>
                <w:rFonts w:ascii="Arial" w:hAnsi="Arial"/>
                <w:b/>
                <w:sz w:val="40"/>
              </w:rPr>
            </w:pPr>
            <w:r>
              <w:rPr>
                <w:rFonts w:ascii="Arial" w:hAnsi="Arial"/>
                <w:b/>
                <w:w w:val="119"/>
                <w:sz w:val="40"/>
              </w:rPr>
              <w:t></w:t>
            </w:r>
          </w:p>
        </w:tc>
        <w:tc>
          <w:tcPr>
            <w:tcW w:w="8717" w:type="dxa"/>
            <w:gridSpan w:val="2"/>
            <w:tcBorders>
              <w:bottom w:val="single" w:sz="8" w:space="0" w:color="000000"/>
            </w:tcBorders>
          </w:tcPr>
          <w:p>
            <w:pPr>
              <w:pStyle w:val="TableParagraph"/>
              <w:ind w:left="0"/>
              <w:rPr>
                <w:b/>
                <w:sz w:val="18"/>
              </w:rPr>
            </w:pPr>
          </w:p>
          <w:p>
            <w:pPr>
              <w:pStyle w:val="TableParagraph"/>
              <w:spacing w:before="1"/>
              <w:ind w:left="176"/>
              <w:rPr>
                <w:b/>
                <w:sz w:val="24"/>
              </w:rPr>
            </w:pPr>
            <w:r>
              <w:rPr>
                <w:b/>
                <w:w w:val="95"/>
                <w:sz w:val="24"/>
              </w:rPr>
              <w:t>保险费的支付</w:t>
            </w:r>
          </w:p>
        </w:tc>
      </w:tr>
      <w:tr>
        <w:trPr>
          <w:trHeight w:val="1405" w:hRule="atLeast"/>
        </w:trPr>
        <w:tc>
          <w:tcPr>
            <w:tcW w:w="642" w:type="dxa"/>
            <w:tcBorders>
              <w:top w:val="single" w:sz="8" w:space="0" w:color="000000"/>
            </w:tcBorders>
          </w:tcPr>
          <w:p>
            <w:pPr>
              <w:pStyle w:val="TableParagraph"/>
              <w:ind w:left="0"/>
              <w:rPr>
                <w:b/>
                <w:sz w:val="16"/>
              </w:rPr>
            </w:pPr>
          </w:p>
          <w:p>
            <w:pPr>
              <w:pStyle w:val="TableParagraph"/>
              <w:spacing w:before="1"/>
              <w:ind w:left="107"/>
              <w:rPr>
                <w:b/>
                <w:sz w:val="21"/>
              </w:rPr>
            </w:pPr>
            <w:r>
              <w:rPr>
                <w:b/>
                <w:sz w:val="21"/>
              </w:rPr>
              <w:t>4.1</w:t>
            </w:r>
          </w:p>
        </w:tc>
        <w:tc>
          <w:tcPr>
            <w:tcW w:w="1483" w:type="dxa"/>
            <w:tcBorders>
              <w:top w:val="single" w:sz="8" w:space="0" w:color="000000"/>
            </w:tcBorders>
          </w:tcPr>
          <w:p>
            <w:pPr>
              <w:pStyle w:val="TableParagraph"/>
              <w:ind w:left="0"/>
              <w:rPr>
                <w:b/>
                <w:sz w:val="16"/>
              </w:rPr>
            </w:pPr>
          </w:p>
          <w:p>
            <w:pPr>
              <w:pStyle w:val="TableParagraph"/>
              <w:spacing w:line="300" w:lineRule="auto" w:before="1"/>
              <w:ind w:left="176" w:right="104"/>
              <w:rPr>
                <w:b/>
                <w:sz w:val="21"/>
              </w:rPr>
            </w:pPr>
            <w:r>
              <w:rPr>
                <w:b/>
                <w:sz w:val="21"/>
              </w:rPr>
              <w:t>保险费的支付</w:t>
            </w:r>
          </w:p>
        </w:tc>
        <w:tc>
          <w:tcPr>
            <w:tcW w:w="7234" w:type="dxa"/>
            <w:tcBorders>
              <w:top w:val="single" w:sz="8" w:space="0" w:color="000000"/>
            </w:tcBorders>
          </w:tcPr>
          <w:p>
            <w:pPr>
              <w:pStyle w:val="TableParagraph"/>
              <w:ind w:left="0"/>
              <w:rPr>
                <w:b/>
                <w:sz w:val="16"/>
              </w:rPr>
            </w:pPr>
          </w:p>
          <w:p>
            <w:pPr>
              <w:pStyle w:val="TableParagraph"/>
              <w:spacing w:line="300" w:lineRule="auto" w:before="1"/>
              <w:ind w:left="106" w:right="188"/>
              <w:jc w:val="both"/>
              <w:rPr>
                <w:sz w:val="21"/>
              </w:rPr>
            </w:pPr>
            <w:r>
              <w:rPr>
                <w:sz w:val="21"/>
              </w:rPr>
              <w:t>本附加险合同的保险费的计算以被保险人的性别和年龄为基础。本公司若调整保险费率，本附加险合同续保时将根据续保生效当时的保险费率重新计算保险费。</w:t>
            </w:r>
          </w:p>
        </w:tc>
      </w:tr>
      <w:tr>
        <w:trPr>
          <w:trHeight w:val="1777" w:hRule="atLeast"/>
        </w:trPr>
        <w:tc>
          <w:tcPr>
            <w:tcW w:w="642" w:type="dxa"/>
          </w:tcPr>
          <w:p>
            <w:pPr>
              <w:pStyle w:val="TableParagraph"/>
              <w:spacing w:before="177"/>
              <w:ind w:left="107"/>
              <w:rPr>
                <w:b/>
                <w:sz w:val="21"/>
              </w:rPr>
            </w:pPr>
            <w:r>
              <w:rPr>
                <w:b/>
                <w:sz w:val="21"/>
              </w:rPr>
              <w:t>4.2</w:t>
            </w:r>
          </w:p>
        </w:tc>
        <w:tc>
          <w:tcPr>
            <w:tcW w:w="1483" w:type="dxa"/>
          </w:tcPr>
          <w:p>
            <w:pPr>
              <w:pStyle w:val="TableParagraph"/>
              <w:spacing w:before="177"/>
              <w:ind w:left="176"/>
              <w:rPr>
                <w:b/>
                <w:sz w:val="21"/>
              </w:rPr>
            </w:pPr>
            <w:r>
              <w:rPr>
                <w:b/>
                <w:sz w:val="21"/>
              </w:rPr>
              <w:t>宽限期</w:t>
            </w:r>
          </w:p>
        </w:tc>
        <w:tc>
          <w:tcPr>
            <w:tcW w:w="7234" w:type="dxa"/>
          </w:tcPr>
          <w:p>
            <w:pPr>
              <w:pStyle w:val="TableParagraph"/>
              <w:spacing w:line="285" w:lineRule="auto" w:before="170"/>
              <w:ind w:left="106" w:right="103"/>
              <w:rPr>
                <w:sz w:val="21"/>
              </w:rPr>
            </w:pPr>
            <w:r>
              <w:rPr>
                <w:spacing w:val="-3"/>
                <w:sz w:val="21"/>
              </w:rPr>
              <w:t>在保证续保期间内，本附加险合同一年保险期间届满时，自期满日的次日零</w:t>
            </w:r>
            <w:r>
              <w:rPr>
                <w:spacing w:val="-14"/>
                <w:sz w:val="21"/>
              </w:rPr>
              <w:t>时起 </w:t>
            </w:r>
            <w:r>
              <w:rPr>
                <w:sz w:val="21"/>
              </w:rPr>
              <w:t>60</w:t>
            </w:r>
            <w:r>
              <w:rPr>
                <w:spacing w:val="-9"/>
                <w:sz w:val="21"/>
              </w:rPr>
              <w:t> 日为本公司给予您的宽限期。在保证续保期间届满时，若本公司同意</w:t>
            </w:r>
          </w:p>
          <w:p>
            <w:pPr>
              <w:pStyle w:val="TableParagraph"/>
              <w:spacing w:before="14"/>
              <w:ind w:left="106"/>
              <w:rPr>
                <w:sz w:val="21"/>
              </w:rPr>
            </w:pPr>
            <w:r>
              <w:rPr>
                <w:sz w:val="21"/>
              </w:rPr>
              <w:t>您续保，则自期满日的次日零时起 60 日为本公司给予您的宽限期。</w:t>
            </w:r>
          </w:p>
          <w:p>
            <w:pPr>
              <w:pStyle w:val="TableParagraph"/>
              <w:spacing w:line="344" w:lineRule="exact" w:before="29"/>
              <w:ind w:left="106" w:right="187"/>
              <w:rPr>
                <w:sz w:val="21"/>
              </w:rPr>
            </w:pPr>
            <w:r>
              <w:rPr>
                <w:sz w:val="21"/>
              </w:rPr>
              <w:t>宽限期内发生的保险事故，本公司仍会承担保险责任，但在给付保险金时会扣减您欠交的保险费。</w:t>
            </w:r>
          </w:p>
        </w:tc>
      </w:tr>
    </w:tbl>
    <w:p>
      <w:pPr>
        <w:spacing w:after="0" w:line="344" w:lineRule="exact"/>
        <w:rPr>
          <w:sz w:val="21"/>
        </w:rPr>
        <w:sectPr>
          <w:pgSz w:w="11910" w:h="16840"/>
          <w:pgMar w:top="1460" w:bottom="280" w:left="1180" w:right="11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
        <w:gridCol w:w="1501"/>
        <w:gridCol w:w="7218"/>
      </w:tblGrid>
      <w:tr>
        <w:trPr>
          <w:trHeight w:val="769" w:hRule="atLeast"/>
        </w:trPr>
        <w:tc>
          <w:tcPr>
            <w:tcW w:w="642" w:type="dxa"/>
          </w:tcPr>
          <w:p>
            <w:pPr>
              <w:pStyle w:val="TableParagraph"/>
              <w:ind w:left="0"/>
              <w:rPr>
                <w:rFonts w:ascii="Times New Roman"/>
                <w:sz w:val="20"/>
              </w:rPr>
            </w:pPr>
          </w:p>
        </w:tc>
        <w:tc>
          <w:tcPr>
            <w:tcW w:w="1501" w:type="dxa"/>
          </w:tcPr>
          <w:p>
            <w:pPr>
              <w:pStyle w:val="TableParagraph"/>
              <w:ind w:left="0"/>
              <w:rPr>
                <w:rFonts w:ascii="Times New Roman"/>
                <w:sz w:val="20"/>
              </w:rPr>
            </w:pPr>
          </w:p>
        </w:tc>
        <w:tc>
          <w:tcPr>
            <w:tcW w:w="7218" w:type="dxa"/>
          </w:tcPr>
          <w:p>
            <w:pPr>
              <w:pStyle w:val="TableParagraph"/>
              <w:spacing w:line="211" w:lineRule="exact"/>
              <w:ind w:left="88"/>
              <w:rPr>
                <w:sz w:val="21"/>
              </w:rPr>
            </w:pPr>
            <w:r>
              <w:rPr>
                <w:sz w:val="21"/>
              </w:rPr>
              <w:t>除另有约定外，如果您宽限期结束之后仍未支付保险费，则本附加险合同自</w:t>
            </w:r>
          </w:p>
          <w:p>
            <w:pPr>
              <w:pStyle w:val="TableParagraph"/>
              <w:spacing w:before="68"/>
              <w:ind w:left="88"/>
              <w:rPr>
                <w:sz w:val="21"/>
              </w:rPr>
            </w:pPr>
            <w:r>
              <w:rPr>
                <w:sz w:val="21"/>
              </w:rPr>
              <w:t>宽限期满日二十四时起效力终止。</w:t>
            </w:r>
          </w:p>
        </w:tc>
      </w:tr>
      <w:tr>
        <w:trPr>
          <w:trHeight w:val="2947" w:hRule="atLeast"/>
        </w:trPr>
        <w:tc>
          <w:tcPr>
            <w:tcW w:w="642" w:type="dxa"/>
          </w:tcPr>
          <w:p>
            <w:pPr>
              <w:pStyle w:val="TableParagraph"/>
              <w:spacing w:before="158"/>
              <w:ind w:left="107"/>
              <w:rPr>
                <w:b/>
                <w:sz w:val="21"/>
              </w:rPr>
            </w:pPr>
            <w:r>
              <w:rPr>
                <w:b/>
                <w:sz w:val="21"/>
              </w:rPr>
              <w:t>4.3</w:t>
            </w:r>
          </w:p>
        </w:tc>
        <w:tc>
          <w:tcPr>
            <w:tcW w:w="1501" w:type="dxa"/>
          </w:tcPr>
          <w:p>
            <w:pPr>
              <w:pStyle w:val="TableParagraph"/>
              <w:spacing w:line="300" w:lineRule="auto" w:before="158"/>
              <w:ind w:left="176" w:right="86"/>
              <w:rPr>
                <w:b/>
                <w:sz w:val="21"/>
              </w:rPr>
            </w:pPr>
            <w:r>
              <w:rPr>
                <w:b/>
                <w:sz w:val="21"/>
              </w:rPr>
              <w:t>保险费率调整</w:t>
            </w:r>
          </w:p>
        </w:tc>
        <w:tc>
          <w:tcPr>
            <w:tcW w:w="7218" w:type="dxa"/>
          </w:tcPr>
          <w:p>
            <w:pPr>
              <w:pStyle w:val="TableParagraph"/>
              <w:spacing w:line="288" w:lineRule="auto" w:before="151"/>
              <w:ind w:left="88" w:right="189"/>
              <w:jc w:val="both"/>
              <w:rPr>
                <w:sz w:val="21"/>
              </w:rPr>
            </w:pPr>
            <w:r>
              <w:rPr>
                <w:sz w:val="21"/>
              </w:rPr>
              <w:t>因为确定本附加险合同保险费率所使用的发生率等定价基础将可能在未来发生变化，因此本公司保留对保险费率进行调整的权利。</w:t>
            </w:r>
          </w:p>
          <w:p>
            <w:pPr>
              <w:pStyle w:val="TableParagraph"/>
              <w:spacing w:line="285" w:lineRule="auto" w:before="9"/>
              <w:ind w:left="88" w:right="189"/>
              <w:jc w:val="both"/>
              <w:rPr>
                <w:sz w:val="21"/>
              </w:rPr>
            </w:pPr>
            <w:r>
              <w:rPr>
                <w:sz w:val="21"/>
              </w:rPr>
              <w:t>假若需要进行费率调整，本公司将在开始调整费率六个月前向国务院保险监督管理机构上报费率调整方案。调整方案获批后，本公司会向您发放客户通知书，告知您开始执行新费率标准的时间、方式以及调整费率的原因。为保持公平性，保险费率的调整将针对所有被保险人或同一投保年龄的所有被保险人。</w:t>
            </w:r>
          </w:p>
          <w:p>
            <w:pPr>
              <w:pStyle w:val="TableParagraph"/>
              <w:spacing w:before="20"/>
              <w:ind w:left="88"/>
              <w:jc w:val="both"/>
              <w:rPr>
                <w:sz w:val="21"/>
              </w:rPr>
            </w:pPr>
            <w:r>
              <w:rPr>
                <w:sz w:val="21"/>
              </w:rPr>
              <w:t>本公司进行保险费率调整后，您须按调整后的保险费率支付保险费。</w:t>
            </w:r>
          </w:p>
        </w:tc>
      </w:tr>
      <w:tr>
        <w:trPr>
          <w:trHeight w:val="742" w:hRule="atLeast"/>
        </w:trPr>
        <w:tc>
          <w:tcPr>
            <w:tcW w:w="642" w:type="dxa"/>
            <w:tcBorders>
              <w:bottom w:val="single" w:sz="8" w:space="0" w:color="000000"/>
            </w:tcBorders>
          </w:tcPr>
          <w:p>
            <w:pPr>
              <w:pStyle w:val="TableParagraph"/>
              <w:spacing w:before="182"/>
              <w:ind w:left="107"/>
              <w:rPr>
                <w:rFonts w:ascii="Arial" w:hAnsi="Arial"/>
                <w:b/>
                <w:sz w:val="40"/>
              </w:rPr>
            </w:pPr>
            <w:r>
              <w:rPr>
                <w:rFonts w:ascii="Arial" w:hAnsi="Arial"/>
                <w:b/>
                <w:w w:val="119"/>
                <w:sz w:val="40"/>
              </w:rPr>
              <w:t></w:t>
            </w:r>
          </w:p>
        </w:tc>
        <w:tc>
          <w:tcPr>
            <w:tcW w:w="1501" w:type="dxa"/>
            <w:tcBorders>
              <w:bottom w:val="single" w:sz="8" w:space="0" w:color="000000"/>
            </w:tcBorders>
          </w:tcPr>
          <w:p>
            <w:pPr>
              <w:pStyle w:val="TableParagraph"/>
              <w:spacing w:before="11"/>
              <w:ind w:left="0"/>
              <w:rPr>
                <w:b/>
                <w:sz w:val="17"/>
              </w:rPr>
            </w:pPr>
          </w:p>
          <w:p>
            <w:pPr>
              <w:pStyle w:val="TableParagraph"/>
              <w:ind w:left="176"/>
              <w:rPr>
                <w:b/>
                <w:sz w:val="24"/>
              </w:rPr>
            </w:pPr>
            <w:r>
              <w:rPr>
                <w:b/>
                <w:sz w:val="24"/>
              </w:rPr>
              <w:t>其他事项</w:t>
            </w:r>
          </w:p>
        </w:tc>
        <w:tc>
          <w:tcPr>
            <w:tcW w:w="7218" w:type="dxa"/>
            <w:tcBorders>
              <w:bottom w:val="single" w:sz="8" w:space="0" w:color="000000"/>
            </w:tcBorders>
          </w:tcPr>
          <w:p>
            <w:pPr>
              <w:pStyle w:val="TableParagraph"/>
              <w:ind w:left="0"/>
              <w:rPr>
                <w:rFonts w:ascii="Times New Roman"/>
                <w:sz w:val="20"/>
              </w:rPr>
            </w:pPr>
          </w:p>
        </w:tc>
      </w:tr>
      <w:tr>
        <w:trPr>
          <w:trHeight w:val="5492" w:hRule="atLeast"/>
        </w:trPr>
        <w:tc>
          <w:tcPr>
            <w:tcW w:w="642" w:type="dxa"/>
            <w:tcBorders>
              <w:top w:val="single" w:sz="8" w:space="0" w:color="000000"/>
            </w:tcBorders>
          </w:tcPr>
          <w:p>
            <w:pPr>
              <w:pStyle w:val="TableParagraph"/>
              <w:ind w:left="0"/>
              <w:rPr>
                <w:b/>
                <w:sz w:val="16"/>
              </w:rPr>
            </w:pPr>
          </w:p>
          <w:p>
            <w:pPr>
              <w:pStyle w:val="TableParagraph"/>
              <w:spacing w:before="1"/>
              <w:ind w:left="107"/>
              <w:rPr>
                <w:b/>
                <w:sz w:val="21"/>
              </w:rPr>
            </w:pPr>
            <w:r>
              <w:rPr>
                <w:b/>
                <w:sz w:val="21"/>
              </w:rPr>
              <w:t>5.1</w:t>
            </w:r>
          </w:p>
        </w:tc>
        <w:tc>
          <w:tcPr>
            <w:tcW w:w="1501" w:type="dxa"/>
            <w:tcBorders>
              <w:top w:val="single" w:sz="8" w:space="0" w:color="000000"/>
            </w:tcBorders>
          </w:tcPr>
          <w:p>
            <w:pPr>
              <w:pStyle w:val="TableParagraph"/>
              <w:ind w:left="0"/>
              <w:rPr>
                <w:b/>
                <w:sz w:val="16"/>
              </w:rPr>
            </w:pPr>
          </w:p>
          <w:p>
            <w:pPr>
              <w:pStyle w:val="TableParagraph"/>
              <w:spacing w:line="300" w:lineRule="auto" w:before="1"/>
              <w:ind w:left="176" w:right="266"/>
              <w:rPr>
                <w:b/>
                <w:sz w:val="21"/>
              </w:rPr>
            </w:pPr>
            <w:r>
              <w:rPr>
                <w:b/>
                <w:sz w:val="21"/>
              </w:rPr>
              <w:t>明确说明与如实告知</w:t>
            </w:r>
          </w:p>
        </w:tc>
        <w:tc>
          <w:tcPr>
            <w:tcW w:w="7218" w:type="dxa"/>
            <w:tcBorders>
              <w:top w:val="single" w:sz="8" w:space="0" w:color="000000"/>
            </w:tcBorders>
          </w:tcPr>
          <w:p>
            <w:pPr>
              <w:pStyle w:val="TableParagraph"/>
              <w:ind w:left="0"/>
              <w:rPr>
                <w:b/>
                <w:sz w:val="16"/>
              </w:rPr>
            </w:pPr>
          </w:p>
          <w:p>
            <w:pPr>
              <w:pStyle w:val="TableParagraph"/>
              <w:spacing w:before="1"/>
              <w:ind w:left="88"/>
              <w:rPr>
                <w:sz w:val="21"/>
              </w:rPr>
            </w:pPr>
            <w:r>
              <w:rPr>
                <w:sz w:val="21"/>
              </w:rPr>
              <w:t>订立本附加险合同时，本公司应向您说明本附加险合同的内容。</w:t>
            </w:r>
          </w:p>
          <w:p>
            <w:pPr>
              <w:pStyle w:val="TableParagraph"/>
              <w:spacing w:line="300" w:lineRule="auto" w:before="68"/>
              <w:ind w:left="88" w:right="189"/>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15"/>
              <w:ind w:left="88"/>
              <w:rPr>
                <w:sz w:val="21"/>
              </w:rPr>
            </w:pPr>
            <w:r>
              <w:rPr>
                <w:sz w:val="21"/>
              </w:rPr>
              <w:t>本公司就您和被保险人的有关情况提出询问，您应当如实告知。</w:t>
            </w:r>
          </w:p>
          <w:p>
            <w:pPr>
              <w:pStyle w:val="TableParagraph"/>
              <w:spacing w:line="300" w:lineRule="auto" w:before="68"/>
              <w:ind w:left="88"/>
              <w:rPr>
                <w:rFonts w:ascii="黑体" w:eastAsia="黑体" w:hint="eastAsia"/>
                <w:sz w:val="21"/>
              </w:rPr>
            </w:pPr>
            <w:r>
              <w:rPr>
                <w:rFonts w:ascii="黑体" w:eastAsia="黑体" w:hint="eastAsia"/>
                <w:spacing w:val="-3"/>
                <w:sz w:val="21"/>
              </w:rPr>
              <w:t>如果您故意或者因重大过失未履行前款规定的如实告知义务，足以影响本公 司决定是否同意承保或者提高保险费率的，本公司有权解除本附加险合同。 </w:t>
            </w:r>
            <w:r>
              <w:rPr>
                <w:rFonts w:ascii="黑体" w:eastAsia="黑体" w:hint="eastAsia"/>
                <w:spacing w:val="-5"/>
                <w:sz w:val="21"/>
              </w:rPr>
              <w:t>如果您故意不履行如实告知义务，对于本附加险合同解除前发</w:t>
            </w:r>
            <w:r>
              <w:rPr>
                <w:rFonts w:ascii="黑体" w:eastAsia="黑体" w:hint="eastAsia"/>
                <w:sz w:val="21"/>
              </w:rPr>
              <w:t>Th</w:t>
            </w:r>
            <w:r>
              <w:rPr>
                <w:rFonts w:ascii="黑体" w:eastAsia="黑体" w:hint="eastAsia"/>
                <w:spacing w:val="-3"/>
                <w:sz w:val="21"/>
              </w:rPr>
              <w:t>的保险事故， 本公司不承担给付保险金的责任，并不退还保险费。</w:t>
            </w:r>
          </w:p>
          <w:p>
            <w:pPr>
              <w:pStyle w:val="TableParagraph"/>
              <w:spacing w:line="300" w:lineRule="auto" w:before="15"/>
              <w:ind w:left="88" w:right="1"/>
              <w:rPr>
                <w:rFonts w:ascii="黑体" w:eastAsia="黑体" w:hint="eastAsia"/>
                <w:sz w:val="21"/>
              </w:rPr>
            </w:pPr>
            <w:r>
              <w:rPr>
                <w:rFonts w:ascii="黑体" w:eastAsia="黑体" w:hint="eastAsia"/>
                <w:spacing w:val="-3"/>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有严重影响的， 对于本附加险合同解除前发</w:t>
            </w:r>
            <w:r>
              <w:rPr>
                <w:rFonts w:ascii="黑体" w:eastAsia="黑体" w:hint="eastAsia"/>
                <w:sz w:val="21"/>
              </w:rPr>
              <w:t>Th</w:t>
            </w:r>
            <w:r>
              <w:rPr>
                <w:rFonts w:ascii="黑体" w:eastAsia="黑体" w:hint="eastAsia"/>
                <w:spacing w:val="-6"/>
                <w:sz w:val="21"/>
              </w:rPr>
              <w:t>的保险事故，本公司不承担给付保险金的责任， </w:t>
            </w:r>
            <w:r>
              <w:rPr>
                <w:rFonts w:ascii="黑体" w:eastAsia="黑体" w:hint="eastAsia"/>
                <w:spacing w:val="-4"/>
                <w:sz w:val="21"/>
              </w:rPr>
              <w:t>但应当退还保险费。</w:t>
            </w:r>
          </w:p>
          <w:p>
            <w:pPr>
              <w:pStyle w:val="TableParagraph"/>
              <w:spacing w:line="300" w:lineRule="auto" w:before="15"/>
              <w:ind w:left="88" w:right="-15"/>
              <w:rPr>
                <w:sz w:val="21"/>
              </w:rPr>
            </w:pPr>
            <w:r>
              <w:rPr>
                <w:spacing w:val="-4"/>
                <w:sz w:val="21"/>
              </w:rPr>
              <w:t>本公司在合同订立时已经知道您未如实告知的情况的，本公司不得解除合同； </w:t>
            </w:r>
            <w:r>
              <w:rPr>
                <w:spacing w:val="-3"/>
                <w:sz w:val="21"/>
              </w:rPr>
              <w:t>发生保险事故的，本公司承担给付保险金的责任。</w:t>
            </w:r>
          </w:p>
        </w:tc>
      </w:tr>
      <w:tr>
        <w:trPr>
          <w:trHeight w:val="1297" w:hRule="atLeast"/>
        </w:trPr>
        <w:tc>
          <w:tcPr>
            <w:tcW w:w="642" w:type="dxa"/>
          </w:tcPr>
          <w:p>
            <w:pPr>
              <w:pStyle w:val="TableParagraph"/>
              <w:spacing w:before="138"/>
              <w:ind w:left="107"/>
              <w:rPr>
                <w:b/>
                <w:sz w:val="21"/>
              </w:rPr>
            </w:pPr>
            <w:r>
              <w:rPr>
                <w:b/>
                <w:sz w:val="21"/>
              </w:rPr>
              <w:t>5.2</w:t>
            </w:r>
          </w:p>
        </w:tc>
        <w:tc>
          <w:tcPr>
            <w:tcW w:w="1501" w:type="dxa"/>
          </w:tcPr>
          <w:p>
            <w:pPr>
              <w:pStyle w:val="TableParagraph"/>
              <w:spacing w:line="300" w:lineRule="auto" w:before="138"/>
              <w:ind w:left="176" w:right="266"/>
              <w:jc w:val="both"/>
              <w:rPr>
                <w:b/>
                <w:sz w:val="21"/>
              </w:rPr>
            </w:pPr>
            <w:r>
              <w:rPr>
                <w:b/>
                <w:sz w:val="21"/>
              </w:rPr>
              <w:t>本公司合同解除权的限制</w:t>
            </w:r>
          </w:p>
        </w:tc>
        <w:tc>
          <w:tcPr>
            <w:tcW w:w="7218" w:type="dxa"/>
          </w:tcPr>
          <w:p>
            <w:pPr>
              <w:pStyle w:val="TableParagraph"/>
              <w:spacing w:before="138"/>
              <w:ind w:left="88"/>
              <w:rPr>
                <w:sz w:val="21"/>
              </w:rPr>
            </w:pPr>
            <w:r>
              <w:rPr>
                <w:spacing w:val="-6"/>
                <w:sz w:val="21"/>
              </w:rPr>
              <w:t>前款规定的合同解除权，自本公司知道有解除事由之日起，超过 </w:t>
            </w:r>
            <w:r>
              <w:rPr>
                <w:sz w:val="21"/>
              </w:rPr>
              <w:t>30</w:t>
            </w:r>
            <w:r>
              <w:rPr>
                <w:spacing w:val="-9"/>
                <w:sz w:val="21"/>
              </w:rPr>
              <w:t> 日不行使</w:t>
            </w:r>
          </w:p>
          <w:p>
            <w:pPr>
              <w:pStyle w:val="TableParagraph"/>
              <w:spacing w:line="300" w:lineRule="auto" w:before="68"/>
              <w:ind w:left="88" w:right="189"/>
              <w:rPr>
                <w:sz w:val="21"/>
              </w:rPr>
            </w:pPr>
            <w:r>
              <w:rPr>
                <w:spacing w:val="-5"/>
                <w:sz w:val="21"/>
              </w:rPr>
              <w:t>而消灭。自本附加险合同成立之日起超过 </w:t>
            </w:r>
            <w:r>
              <w:rPr>
                <w:sz w:val="21"/>
              </w:rPr>
              <w:t>2</w:t>
            </w:r>
            <w:r>
              <w:rPr>
                <w:spacing w:val="-7"/>
                <w:sz w:val="21"/>
              </w:rPr>
              <w:t> 年的，本公司不得解除本附加险</w:t>
            </w:r>
            <w:r>
              <w:rPr>
                <w:spacing w:val="-3"/>
                <w:sz w:val="21"/>
              </w:rPr>
              <w:t>合同；发生保险事故的，本公司承担给付保险金的责任。</w:t>
            </w:r>
          </w:p>
        </w:tc>
      </w:tr>
      <w:tr>
        <w:trPr>
          <w:trHeight w:val="2375" w:hRule="atLeast"/>
        </w:trPr>
        <w:tc>
          <w:tcPr>
            <w:tcW w:w="642" w:type="dxa"/>
          </w:tcPr>
          <w:p>
            <w:pPr>
              <w:pStyle w:val="TableParagraph"/>
              <w:spacing w:before="141"/>
              <w:ind w:left="107"/>
              <w:rPr>
                <w:b/>
                <w:sz w:val="21"/>
              </w:rPr>
            </w:pPr>
            <w:r>
              <w:rPr>
                <w:b/>
                <w:sz w:val="21"/>
              </w:rPr>
              <w:t>5.3</w:t>
            </w:r>
          </w:p>
        </w:tc>
        <w:tc>
          <w:tcPr>
            <w:tcW w:w="1501" w:type="dxa"/>
          </w:tcPr>
          <w:p>
            <w:pPr>
              <w:pStyle w:val="TableParagraph"/>
              <w:spacing w:line="300" w:lineRule="auto" w:before="141"/>
              <w:ind w:left="176" w:right="266"/>
              <w:rPr>
                <w:b/>
                <w:sz w:val="21"/>
              </w:rPr>
            </w:pPr>
            <w:r>
              <w:rPr>
                <w:b/>
                <w:sz w:val="21"/>
              </w:rPr>
              <w:t>年龄性别错误</w:t>
            </w:r>
          </w:p>
        </w:tc>
        <w:tc>
          <w:tcPr>
            <w:tcW w:w="7218" w:type="dxa"/>
          </w:tcPr>
          <w:p>
            <w:pPr>
              <w:pStyle w:val="TableParagraph"/>
              <w:spacing w:line="288" w:lineRule="auto" w:before="134"/>
              <w:ind w:left="88" w:right="189"/>
              <w:rPr>
                <w:sz w:val="21"/>
              </w:rPr>
            </w:pPr>
            <w:r>
              <w:rPr>
                <w:sz w:val="21"/>
              </w:rPr>
              <w:t>您在申请投保时，应将与有效身份证件相符的被保险人出生日期和性别在投保单上填明，如果发生错误按照下列方式办理：</w:t>
            </w:r>
          </w:p>
          <w:p>
            <w:pPr>
              <w:pStyle w:val="TableParagraph"/>
              <w:spacing w:line="285" w:lineRule="auto" w:before="9"/>
              <w:ind w:left="615" w:right="102" w:hanging="527"/>
              <w:jc w:val="both"/>
              <w:rPr>
                <w:sz w:val="21"/>
              </w:rPr>
            </w:pPr>
            <w:r>
              <w:rPr>
                <w:spacing w:val="-4"/>
                <w:sz w:val="21"/>
              </w:rPr>
              <w:t>（1）</w:t>
            </w:r>
            <w:r>
              <w:rPr>
                <w:rFonts w:ascii="黑体" w:hAnsi="黑体" w:eastAsia="黑体" w:hint="eastAsia"/>
                <w:spacing w:val="-4"/>
                <w:sz w:val="21"/>
              </w:rPr>
              <w:t>您申报的被保险人年龄性别不真实，并且其真实年龄性别不符合本附加</w:t>
            </w:r>
            <w:r>
              <w:rPr>
                <w:rFonts w:ascii="黑体" w:hAnsi="黑体" w:eastAsia="黑体" w:hint="eastAsia"/>
                <w:spacing w:val="-5"/>
                <w:sz w:val="21"/>
              </w:rPr>
              <w:t>险合同约定投保年龄性别限制的，在保险事故发</w:t>
            </w:r>
            <w:r>
              <w:rPr>
                <w:rFonts w:ascii="黑体" w:hAnsi="黑体" w:eastAsia="黑体" w:hint="eastAsia"/>
                <w:sz w:val="21"/>
              </w:rPr>
              <w:t>Th</w:t>
            </w:r>
            <w:r>
              <w:rPr>
                <w:rFonts w:ascii="黑体" w:hAnsi="黑体" w:eastAsia="黑体" w:hint="eastAsia"/>
                <w:spacing w:val="-3"/>
                <w:sz w:val="21"/>
              </w:rPr>
              <w:t>之前本公司有权解除</w:t>
            </w:r>
            <w:r>
              <w:rPr>
                <w:rFonts w:ascii="黑体" w:hAnsi="黑体" w:eastAsia="黑体" w:hint="eastAsia"/>
                <w:spacing w:val="-6"/>
                <w:sz w:val="21"/>
              </w:rPr>
              <w:t>合同，并向您退还本附加险合同的现金价值。</w:t>
            </w:r>
            <w:r>
              <w:rPr>
                <w:spacing w:val="-3"/>
                <w:sz w:val="21"/>
              </w:rPr>
              <w:t>本公司行使合同解除权适用“本公司合同解除权的限制”的规定。</w:t>
            </w:r>
          </w:p>
          <w:p>
            <w:pPr>
              <w:pStyle w:val="TableParagraph"/>
              <w:spacing w:line="255" w:lineRule="exact" w:before="11"/>
              <w:ind w:left="88"/>
              <w:rPr>
                <w:sz w:val="21"/>
              </w:rPr>
            </w:pPr>
            <w:r>
              <w:rPr>
                <w:sz w:val="21"/>
              </w:rPr>
              <w:t>（2）您申报的被保险人年龄性别不真实，致使您实付保险费少于应付保险费</w:t>
            </w:r>
          </w:p>
        </w:tc>
      </w:tr>
    </w:tbl>
    <w:p>
      <w:pPr>
        <w:spacing w:after="0" w:line="255" w:lineRule="exact"/>
        <w:rPr>
          <w:sz w:val="21"/>
        </w:rPr>
        <w:sectPr>
          <w:pgSz w:w="11910" w:h="16840"/>
          <w:pgMar w:top="1460" w:bottom="280" w:left="1180" w:right="11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501"/>
        <w:gridCol w:w="473"/>
        <w:gridCol w:w="6762"/>
      </w:tblGrid>
      <w:tr>
        <w:trPr>
          <w:trHeight w:val="1390" w:hRule="atLeast"/>
        </w:trPr>
        <w:tc>
          <w:tcPr>
            <w:tcW w:w="9361" w:type="dxa"/>
            <w:gridSpan w:val="4"/>
          </w:tcPr>
          <w:p>
            <w:pPr>
              <w:pStyle w:val="TableParagraph"/>
              <w:spacing w:line="211" w:lineRule="exact"/>
              <w:ind w:left="2758"/>
              <w:rPr>
                <w:sz w:val="21"/>
              </w:rPr>
            </w:pPr>
            <w:r>
              <w:rPr>
                <w:sz w:val="21"/>
              </w:rPr>
              <w:t>的，本公司有权更正并要求您补交保险费。若已经发生保险事故，在给</w:t>
            </w:r>
          </w:p>
          <w:p>
            <w:pPr>
              <w:pStyle w:val="TableParagraph"/>
              <w:spacing w:before="51"/>
              <w:ind w:left="2758"/>
              <w:rPr>
                <w:sz w:val="21"/>
              </w:rPr>
            </w:pPr>
            <w:r>
              <w:rPr>
                <w:sz w:val="21"/>
              </w:rPr>
              <w:t>付保险金时按实付保险费和应付保险费的比例给付。</w:t>
            </w:r>
          </w:p>
          <w:p>
            <w:pPr>
              <w:pStyle w:val="TableParagraph"/>
              <w:spacing w:line="285" w:lineRule="auto" w:before="53"/>
              <w:ind w:left="2758" w:right="58" w:hanging="527"/>
              <w:rPr>
                <w:sz w:val="21"/>
              </w:rPr>
            </w:pPr>
            <w:r>
              <w:rPr>
                <w:sz w:val="21"/>
              </w:rPr>
              <w:t>（3）您申报的被保险人年龄性别不真实，致使您实付保险费多于应付保险费的，本公司会将多收的保险费退还给您。</w:t>
            </w:r>
          </w:p>
        </w:tc>
      </w:tr>
      <w:tr>
        <w:trPr>
          <w:trHeight w:val="1640" w:hRule="atLeast"/>
        </w:trPr>
        <w:tc>
          <w:tcPr>
            <w:tcW w:w="625" w:type="dxa"/>
          </w:tcPr>
          <w:p>
            <w:pPr>
              <w:pStyle w:val="TableParagraph"/>
              <w:spacing w:before="134"/>
              <w:ind w:left="107"/>
              <w:rPr>
                <w:b/>
                <w:sz w:val="21"/>
              </w:rPr>
            </w:pPr>
            <w:r>
              <w:rPr>
                <w:b/>
                <w:sz w:val="21"/>
              </w:rPr>
              <w:t>5.4</w:t>
            </w:r>
          </w:p>
        </w:tc>
        <w:tc>
          <w:tcPr>
            <w:tcW w:w="1501" w:type="dxa"/>
          </w:tcPr>
          <w:p>
            <w:pPr>
              <w:pStyle w:val="TableParagraph"/>
              <w:spacing w:before="134"/>
              <w:ind w:left="193"/>
              <w:rPr>
                <w:b/>
                <w:sz w:val="21"/>
              </w:rPr>
            </w:pPr>
            <w:r>
              <w:rPr>
                <w:b/>
                <w:sz w:val="21"/>
              </w:rPr>
              <w:t>效力终止</w:t>
            </w:r>
          </w:p>
        </w:tc>
        <w:tc>
          <w:tcPr>
            <w:tcW w:w="7235" w:type="dxa"/>
            <w:gridSpan w:val="2"/>
          </w:tcPr>
          <w:p>
            <w:pPr>
              <w:pStyle w:val="TableParagraph"/>
              <w:spacing w:before="134"/>
              <w:ind w:left="105"/>
              <w:rPr>
                <w:sz w:val="21"/>
              </w:rPr>
            </w:pPr>
            <w:r>
              <w:rPr>
                <w:sz w:val="21"/>
              </w:rPr>
              <w:t>当发生下列情形之一时，本附加险合同效力终止：</w:t>
            </w:r>
          </w:p>
          <w:p>
            <w:pPr>
              <w:pStyle w:val="TableParagraph"/>
              <w:numPr>
                <w:ilvl w:val="0"/>
                <w:numId w:val="8"/>
              </w:numPr>
              <w:tabs>
                <w:tab w:pos="827" w:val="left" w:leader="none"/>
              </w:tabs>
              <w:spacing w:line="240" w:lineRule="auto" w:before="68" w:after="0"/>
              <w:ind w:left="826" w:right="0" w:hanging="721"/>
              <w:jc w:val="left"/>
              <w:rPr>
                <w:sz w:val="21"/>
              </w:rPr>
            </w:pPr>
            <w:r>
              <w:rPr>
                <w:spacing w:val="-3"/>
                <w:sz w:val="21"/>
              </w:rPr>
              <w:t>主险合同效力中止或终止；</w:t>
            </w:r>
          </w:p>
          <w:p>
            <w:pPr>
              <w:pStyle w:val="TableParagraph"/>
              <w:numPr>
                <w:ilvl w:val="0"/>
                <w:numId w:val="8"/>
              </w:numPr>
              <w:tabs>
                <w:tab w:pos="827" w:val="left" w:leader="none"/>
              </w:tabs>
              <w:spacing w:line="240" w:lineRule="auto" w:before="68" w:after="0"/>
              <w:ind w:left="826" w:right="0" w:hanging="721"/>
              <w:jc w:val="left"/>
              <w:rPr>
                <w:sz w:val="21"/>
              </w:rPr>
            </w:pPr>
            <w:r>
              <w:rPr>
                <w:spacing w:val="-3"/>
                <w:sz w:val="21"/>
              </w:rPr>
              <w:t>您申请解除本附加险合同；</w:t>
            </w:r>
          </w:p>
          <w:p>
            <w:pPr>
              <w:pStyle w:val="TableParagraph"/>
              <w:numPr>
                <w:ilvl w:val="0"/>
                <w:numId w:val="8"/>
              </w:numPr>
              <w:tabs>
                <w:tab w:pos="827" w:val="left" w:leader="none"/>
              </w:tabs>
              <w:spacing w:line="240" w:lineRule="auto" w:before="68" w:after="0"/>
              <w:ind w:left="826" w:right="0" w:hanging="721"/>
              <w:jc w:val="left"/>
              <w:rPr>
                <w:sz w:val="21"/>
              </w:rPr>
            </w:pPr>
            <w:r>
              <w:rPr>
                <w:spacing w:val="-3"/>
                <w:sz w:val="21"/>
              </w:rPr>
              <w:t>本附加险合同约定的其他终止情形。</w:t>
            </w:r>
          </w:p>
        </w:tc>
      </w:tr>
      <w:tr>
        <w:trPr>
          <w:trHeight w:val="1320" w:hRule="atLeast"/>
        </w:trPr>
        <w:tc>
          <w:tcPr>
            <w:tcW w:w="625" w:type="dxa"/>
          </w:tcPr>
          <w:p>
            <w:pPr>
              <w:pStyle w:val="TableParagraph"/>
              <w:spacing w:before="138"/>
              <w:ind w:left="107"/>
              <w:rPr>
                <w:b/>
                <w:sz w:val="21"/>
              </w:rPr>
            </w:pPr>
            <w:r>
              <w:rPr>
                <w:b/>
                <w:sz w:val="21"/>
              </w:rPr>
              <w:t>5.5</w:t>
            </w:r>
          </w:p>
        </w:tc>
        <w:tc>
          <w:tcPr>
            <w:tcW w:w="1501" w:type="dxa"/>
          </w:tcPr>
          <w:p>
            <w:pPr>
              <w:pStyle w:val="TableParagraph"/>
              <w:spacing w:line="300" w:lineRule="auto" w:before="138"/>
              <w:ind w:left="193" w:right="249"/>
              <w:rPr>
                <w:b/>
                <w:sz w:val="21"/>
              </w:rPr>
            </w:pPr>
            <w:r>
              <w:rPr>
                <w:b/>
                <w:sz w:val="21"/>
              </w:rPr>
              <w:t>适用主险合同条款</w:t>
            </w:r>
          </w:p>
        </w:tc>
        <w:tc>
          <w:tcPr>
            <w:tcW w:w="7235" w:type="dxa"/>
            <w:gridSpan w:val="2"/>
          </w:tcPr>
          <w:p>
            <w:pPr>
              <w:pStyle w:val="TableParagraph"/>
              <w:spacing w:before="138"/>
              <w:ind w:left="105"/>
              <w:rPr>
                <w:sz w:val="21"/>
              </w:rPr>
            </w:pPr>
            <w:r>
              <w:rPr>
                <w:sz w:val="21"/>
              </w:rPr>
              <w:t>下列各项条款，适用主险合同条款：</w:t>
            </w:r>
          </w:p>
          <w:p>
            <w:pPr>
              <w:pStyle w:val="TableParagraph"/>
              <w:spacing w:before="69"/>
              <w:ind w:left="105"/>
              <w:rPr>
                <w:sz w:val="21"/>
              </w:rPr>
            </w:pPr>
            <w:r>
              <w:rPr>
                <w:sz w:val="21"/>
              </w:rPr>
              <w:t>（1）合同内容变更；</w:t>
            </w:r>
          </w:p>
          <w:p>
            <w:pPr>
              <w:pStyle w:val="TableParagraph"/>
              <w:spacing w:before="68"/>
              <w:ind w:left="105"/>
              <w:rPr>
                <w:sz w:val="21"/>
              </w:rPr>
            </w:pPr>
            <w:r>
              <w:rPr>
                <w:sz w:val="21"/>
              </w:rPr>
              <w:t>（2）争议处理。</w:t>
            </w:r>
          </w:p>
        </w:tc>
      </w:tr>
      <w:tr>
        <w:trPr>
          <w:trHeight w:val="742" w:hRule="atLeast"/>
        </w:trPr>
        <w:tc>
          <w:tcPr>
            <w:tcW w:w="625" w:type="dxa"/>
            <w:tcBorders>
              <w:bottom w:val="single" w:sz="8" w:space="0" w:color="000000"/>
            </w:tcBorders>
          </w:tcPr>
          <w:p>
            <w:pPr>
              <w:pStyle w:val="TableParagraph"/>
              <w:spacing w:before="183"/>
              <w:ind w:left="107"/>
              <w:rPr>
                <w:rFonts w:ascii="Arial" w:hAnsi="Arial"/>
                <w:b/>
                <w:sz w:val="40"/>
              </w:rPr>
            </w:pPr>
            <w:r>
              <w:rPr>
                <w:rFonts w:ascii="Arial" w:hAnsi="Arial"/>
                <w:b/>
                <w:w w:val="119"/>
                <w:sz w:val="40"/>
              </w:rPr>
              <w:t></w:t>
            </w:r>
          </w:p>
        </w:tc>
        <w:tc>
          <w:tcPr>
            <w:tcW w:w="1501" w:type="dxa"/>
            <w:tcBorders>
              <w:bottom w:val="single" w:sz="8" w:space="0" w:color="000000"/>
            </w:tcBorders>
          </w:tcPr>
          <w:p>
            <w:pPr>
              <w:pStyle w:val="TableParagraph"/>
              <w:spacing w:before="12"/>
              <w:ind w:left="0"/>
              <w:rPr>
                <w:b/>
                <w:sz w:val="17"/>
              </w:rPr>
            </w:pPr>
          </w:p>
          <w:p>
            <w:pPr>
              <w:pStyle w:val="TableParagraph"/>
              <w:ind w:left="193"/>
              <w:rPr>
                <w:b/>
                <w:sz w:val="24"/>
              </w:rPr>
            </w:pPr>
            <w:r>
              <w:rPr>
                <w:b/>
                <w:sz w:val="24"/>
              </w:rPr>
              <w:t>释义</w:t>
            </w:r>
          </w:p>
        </w:tc>
        <w:tc>
          <w:tcPr>
            <w:tcW w:w="473" w:type="dxa"/>
            <w:tcBorders>
              <w:bottom w:val="single" w:sz="8" w:space="0" w:color="000000"/>
            </w:tcBorders>
          </w:tcPr>
          <w:p>
            <w:pPr>
              <w:pStyle w:val="TableParagraph"/>
              <w:ind w:left="0"/>
              <w:rPr>
                <w:rFonts w:ascii="Times New Roman"/>
                <w:sz w:val="20"/>
              </w:rPr>
            </w:pPr>
          </w:p>
        </w:tc>
        <w:tc>
          <w:tcPr>
            <w:tcW w:w="6762" w:type="dxa"/>
            <w:tcBorders>
              <w:bottom w:val="single" w:sz="8" w:space="0" w:color="000000"/>
            </w:tcBorders>
          </w:tcPr>
          <w:p>
            <w:pPr>
              <w:pStyle w:val="TableParagraph"/>
              <w:ind w:left="0"/>
              <w:rPr>
                <w:rFonts w:ascii="Times New Roman"/>
                <w:sz w:val="20"/>
              </w:rPr>
            </w:pPr>
          </w:p>
        </w:tc>
      </w:tr>
      <w:tr>
        <w:trPr>
          <w:trHeight w:val="1028" w:hRule="atLeast"/>
        </w:trPr>
        <w:tc>
          <w:tcPr>
            <w:tcW w:w="625" w:type="dxa"/>
            <w:tcBorders>
              <w:top w:val="single" w:sz="8" w:space="0" w:color="000000"/>
            </w:tcBorders>
          </w:tcPr>
          <w:p>
            <w:pPr>
              <w:pStyle w:val="TableParagraph"/>
              <w:spacing w:before="11"/>
              <w:ind w:left="0"/>
              <w:rPr>
                <w:b/>
                <w:sz w:val="15"/>
              </w:rPr>
            </w:pPr>
          </w:p>
          <w:p>
            <w:pPr>
              <w:pStyle w:val="TableParagraph"/>
              <w:ind w:left="107"/>
              <w:rPr>
                <w:b/>
                <w:sz w:val="21"/>
              </w:rPr>
            </w:pPr>
            <w:r>
              <w:rPr>
                <w:b/>
                <w:sz w:val="21"/>
              </w:rPr>
              <w:t>6.1</w:t>
            </w:r>
          </w:p>
        </w:tc>
        <w:tc>
          <w:tcPr>
            <w:tcW w:w="1501" w:type="dxa"/>
            <w:tcBorders>
              <w:top w:val="single" w:sz="8" w:space="0" w:color="000000"/>
            </w:tcBorders>
          </w:tcPr>
          <w:p>
            <w:pPr>
              <w:pStyle w:val="TableParagraph"/>
              <w:spacing w:before="11"/>
              <w:ind w:left="0"/>
              <w:rPr>
                <w:b/>
                <w:sz w:val="15"/>
              </w:rPr>
            </w:pPr>
          </w:p>
          <w:p>
            <w:pPr>
              <w:pStyle w:val="TableParagraph"/>
              <w:ind w:left="193"/>
              <w:rPr>
                <w:b/>
                <w:sz w:val="21"/>
              </w:rPr>
            </w:pPr>
            <w:r>
              <w:rPr>
                <w:b/>
                <w:sz w:val="21"/>
              </w:rPr>
              <w:t>周岁</w:t>
            </w:r>
          </w:p>
        </w:tc>
        <w:tc>
          <w:tcPr>
            <w:tcW w:w="7235" w:type="dxa"/>
            <w:gridSpan w:val="2"/>
            <w:tcBorders>
              <w:top w:val="single" w:sz="8" w:space="0" w:color="000000"/>
            </w:tcBorders>
          </w:tcPr>
          <w:p>
            <w:pPr>
              <w:pStyle w:val="TableParagraph"/>
              <w:spacing w:before="11"/>
              <w:ind w:left="0"/>
              <w:rPr>
                <w:b/>
                <w:sz w:val="15"/>
              </w:rPr>
            </w:pPr>
          </w:p>
          <w:p>
            <w:pPr>
              <w:pStyle w:val="TableParagraph"/>
              <w:spacing w:line="300" w:lineRule="auto"/>
              <w:ind w:left="105" w:right="113"/>
              <w:rPr>
                <w:sz w:val="21"/>
              </w:rPr>
            </w:pPr>
            <w:r>
              <w:rPr>
                <w:sz w:val="21"/>
              </w:rPr>
              <w:t>周岁是指按法定有效身份证件文件中记载的出生日期计算的年龄，自出生之日起为零周岁，每经过一年增加一岁，不足一年的不计。</w:t>
            </w:r>
          </w:p>
        </w:tc>
      </w:tr>
      <w:tr>
        <w:trPr>
          <w:trHeight w:val="959" w:hRule="atLeast"/>
        </w:trPr>
        <w:tc>
          <w:tcPr>
            <w:tcW w:w="625" w:type="dxa"/>
          </w:tcPr>
          <w:p>
            <w:pPr>
              <w:pStyle w:val="TableParagraph"/>
              <w:spacing w:before="139"/>
              <w:ind w:left="107"/>
              <w:rPr>
                <w:b/>
                <w:sz w:val="21"/>
              </w:rPr>
            </w:pPr>
            <w:r>
              <w:rPr>
                <w:b/>
                <w:sz w:val="21"/>
              </w:rPr>
              <w:t>6.2</w:t>
            </w:r>
          </w:p>
        </w:tc>
        <w:tc>
          <w:tcPr>
            <w:tcW w:w="1501" w:type="dxa"/>
          </w:tcPr>
          <w:p>
            <w:pPr>
              <w:pStyle w:val="TableParagraph"/>
              <w:spacing w:line="300" w:lineRule="auto" w:before="139"/>
              <w:ind w:left="193" w:right="69"/>
              <w:rPr>
                <w:b/>
                <w:sz w:val="21"/>
              </w:rPr>
            </w:pPr>
            <w:r>
              <w:rPr>
                <w:b/>
                <w:sz w:val="21"/>
              </w:rPr>
              <w:t>有效身份证件</w:t>
            </w:r>
          </w:p>
        </w:tc>
        <w:tc>
          <w:tcPr>
            <w:tcW w:w="7235" w:type="dxa"/>
            <w:gridSpan w:val="2"/>
          </w:tcPr>
          <w:p>
            <w:pPr>
              <w:pStyle w:val="TableParagraph"/>
              <w:spacing w:line="300" w:lineRule="auto" w:before="139"/>
              <w:ind w:left="105" w:right="113"/>
              <w:rPr>
                <w:sz w:val="21"/>
              </w:rPr>
            </w:pPr>
            <w:r>
              <w:rPr>
                <w:sz w:val="21"/>
              </w:rPr>
              <w:t>指依据法律规定，由有权机构制作颁发的证明身份的证件、文件等，如：居民身份证、户口簿、护照、军人证等。</w:t>
            </w:r>
          </w:p>
        </w:tc>
      </w:tr>
      <w:tr>
        <w:trPr>
          <w:trHeight w:val="1300" w:hRule="atLeast"/>
        </w:trPr>
        <w:tc>
          <w:tcPr>
            <w:tcW w:w="625" w:type="dxa"/>
          </w:tcPr>
          <w:p>
            <w:pPr>
              <w:pStyle w:val="TableParagraph"/>
              <w:spacing w:before="138"/>
              <w:ind w:left="107"/>
              <w:rPr>
                <w:b/>
                <w:sz w:val="21"/>
              </w:rPr>
            </w:pPr>
            <w:r>
              <w:rPr>
                <w:b/>
                <w:sz w:val="21"/>
              </w:rPr>
              <w:t>6.3</w:t>
            </w:r>
          </w:p>
        </w:tc>
        <w:tc>
          <w:tcPr>
            <w:tcW w:w="1501" w:type="dxa"/>
          </w:tcPr>
          <w:p>
            <w:pPr>
              <w:pStyle w:val="TableParagraph"/>
              <w:spacing w:before="138"/>
              <w:ind w:left="193"/>
              <w:rPr>
                <w:b/>
                <w:sz w:val="21"/>
              </w:rPr>
            </w:pPr>
            <w:r>
              <w:rPr>
                <w:b/>
                <w:sz w:val="21"/>
              </w:rPr>
              <w:t>现金价值</w:t>
            </w:r>
          </w:p>
        </w:tc>
        <w:tc>
          <w:tcPr>
            <w:tcW w:w="7235" w:type="dxa"/>
            <w:gridSpan w:val="2"/>
          </w:tcPr>
          <w:p>
            <w:pPr>
              <w:pStyle w:val="TableParagraph"/>
              <w:spacing w:line="300" w:lineRule="auto" w:before="138"/>
              <w:ind w:left="105" w:right="-15"/>
              <w:rPr>
                <w:sz w:val="21"/>
              </w:rPr>
            </w:pPr>
            <w:r>
              <w:rPr>
                <w:sz w:val="21"/>
              </w:rPr>
              <w:t>指保险合同所具有的价值，通常体现为解除合同时，根据精算原理计算的， </w:t>
            </w:r>
            <w:r>
              <w:rPr>
                <w:spacing w:val="-5"/>
                <w:sz w:val="21"/>
              </w:rPr>
              <w:t>由本公司退还的那部分金额，具体等于本附加险合同所附“现金价值比例表” </w:t>
            </w:r>
            <w:r>
              <w:rPr>
                <w:spacing w:val="-4"/>
                <w:sz w:val="21"/>
              </w:rPr>
              <w:t>所列现金价值比例与当年度本附加险合同保险费的乘积。</w:t>
            </w:r>
          </w:p>
        </w:tc>
      </w:tr>
      <w:tr>
        <w:trPr>
          <w:trHeight w:val="993" w:hRule="atLeast"/>
        </w:trPr>
        <w:tc>
          <w:tcPr>
            <w:tcW w:w="625" w:type="dxa"/>
          </w:tcPr>
          <w:p>
            <w:pPr>
              <w:pStyle w:val="TableParagraph"/>
              <w:spacing w:before="138"/>
              <w:ind w:left="107"/>
              <w:rPr>
                <w:b/>
                <w:sz w:val="21"/>
              </w:rPr>
            </w:pPr>
            <w:r>
              <w:rPr>
                <w:b/>
                <w:sz w:val="21"/>
              </w:rPr>
              <w:t>6.4</w:t>
            </w:r>
          </w:p>
        </w:tc>
        <w:tc>
          <w:tcPr>
            <w:tcW w:w="1501" w:type="dxa"/>
          </w:tcPr>
          <w:p>
            <w:pPr>
              <w:pStyle w:val="TableParagraph"/>
              <w:spacing w:before="138"/>
              <w:ind w:left="193"/>
              <w:rPr>
                <w:b/>
                <w:sz w:val="21"/>
              </w:rPr>
            </w:pPr>
            <w:r>
              <w:rPr>
                <w:b/>
                <w:sz w:val="21"/>
              </w:rPr>
              <w:t>发病</w:t>
            </w:r>
          </w:p>
        </w:tc>
        <w:tc>
          <w:tcPr>
            <w:tcW w:w="7235" w:type="dxa"/>
            <w:gridSpan w:val="2"/>
          </w:tcPr>
          <w:p>
            <w:pPr>
              <w:pStyle w:val="TableParagraph"/>
              <w:spacing w:line="300" w:lineRule="auto" w:before="138"/>
              <w:ind w:left="105" w:right="113"/>
              <w:rPr>
                <w:sz w:val="21"/>
              </w:rPr>
            </w:pPr>
            <w:r>
              <w:rPr>
                <w:sz w:val="21"/>
              </w:rPr>
              <w:t>指被保险人出现可引发本附加合同所界定重大疾病的异常身体状况或前兆， 或已经显现足以使一般人士引起注意并寻求诊断、治疗或护理的病症。</w:t>
            </w:r>
          </w:p>
        </w:tc>
      </w:tr>
      <w:tr>
        <w:trPr>
          <w:trHeight w:val="1990" w:hRule="atLeast"/>
        </w:trPr>
        <w:tc>
          <w:tcPr>
            <w:tcW w:w="625" w:type="dxa"/>
          </w:tcPr>
          <w:p>
            <w:pPr>
              <w:pStyle w:val="TableParagraph"/>
              <w:spacing w:before="174"/>
              <w:ind w:left="74"/>
              <w:rPr>
                <w:b/>
                <w:sz w:val="21"/>
              </w:rPr>
            </w:pPr>
            <w:r>
              <w:rPr>
                <w:b/>
                <w:sz w:val="21"/>
              </w:rPr>
              <w:t>6.5</w:t>
            </w:r>
          </w:p>
        </w:tc>
        <w:tc>
          <w:tcPr>
            <w:tcW w:w="1501" w:type="dxa"/>
          </w:tcPr>
          <w:p>
            <w:pPr>
              <w:pStyle w:val="TableParagraph"/>
              <w:spacing w:before="174"/>
              <w:ind w:left="159"/>
              <w:rPr>
                <w:b/>
                <w:sz w:val="21"/>
              </w:rPr>
            </w:pPr>
            <w:r>
              <w:rPr>
                <w:b/>
                <w:sz w:val="21"/>
              </w:rPr>
              <w:t>医院</w:t>
            </w:r>
          </w:p>
        </w:tc>
        <w:tc>
          <w:tcPr>
            <w:tcW w:w="7235" w:type="dxa"/>
            <w:gridSpan w:val="2"/>
          </w:tcPr>
          <w:p>
            <w:pPr>
              <w:pStyle w:val="TableParagraph"/>
              <w:spacing w:line="300" w:lineRule="auto" w:before="174"/>
              <w:ind w:left="72" w:right="33"/>
              <w:rPr>
                <w:sz w:val="21"/>
              </w:rPr>
            </w:pPr>
            <w:r>
              <w:rPr>
                <w:spacing w:val="-5"/>
                <w:sz w:val="21"/>
              </w:rPr>
              <w:t>指拥有合法经营执照的，有合格医生和护士提供二十四小时医疗护理服务的， </w:t>
            </w:r>
            <w:r>
              <w:rPr>
                <w:spacing w:val="-4"/>
                <w:sz w:val="21"/>
              </w:rPr>
              <w:t>具有系统性诊疗程序、手术设备和住院诊疗设施的符合中华人民共和国卫生 </w:t>
            </w:r>
            <w:r>
              <w:rPr>
                <w:spacing w:val="-3"/>
                <w:sz w:val="21"/>
              </w:rPr>
              <w:t>部规格标准的二级或二级以上医院，但不包括民办医院、疗养院、护理院、 康复中心、戒酒或戒毒中心、精神心理治疗中心以及无相应医护人员或设备 的二级或三级医院的联合医院或联合病房。</w:t>
            </w:r>
          </w:p>
        </w:tc>
      </w:tr>
      <w:tr>
        <w:trPr>
          <w:trHeight w:val="781" w:hRule="atLeast"/>
        </w:trPr>
        <w:tc>
          <w:tcPr>
            <w:tcW w:w="625" w:type="dxa"/>
          </w:tcPr>
          <w:p>
            <w:pPr>
              <w:pStyle w:val="TableParagraph"/>
              <w:spacing w:before="104"/>
              <w:ind w:left="107"/>
              <w:rPr>
                <w:b/>
                <w:sz w:val="21"/>
              </w:rPr>
            </w:pPr>
            <w:r>
              <w:rPr>
                <w:b/>
                <w:sz w:val="21"/>
              </w:rPr>
              <w:t>6.6</w:t>
            </w:r>
          </w:p>
        </w:tc>
        <w:tc>
          <w:tcPr>
            <w:tcW w:w="1501" w:type="dxa"/>
          </w:tcPr>
          <w:p>
            <w:pPr>
              <w:pStyle w:val="TableParagraph"/>
              <w:spacing w:before="104"/>
              <w:ind w:left="193"/>
              <w:rPr>
                <w:b/>
                <w:sz w:val="21"/>
              </w:rPr>
            </w:pPr>
            <w:r>
              <w:rPr>
                <w:b/>
                <w:sz w:val="21"/>
              </w:rPr>
              <w:t>重大疾病</w:t>
            </w:r>
          </w:p>
        </w:tc>
        <w:tc>
          <w:tcPr>
            <w:tcW w:w="7235" w:type="dxa"/>
            <w:gridSpan w:val="2"/>
          </w:tcPr>
          <w:p>
            <w:pPr>
              <w:pStyle w:val="TableParagraph"/>
              <w:spacing w:line="340" w:lineRule="atLeast" w:before="39"/>
              <w:ind w:left="105" w:right="58"/>
              <w:rPr>
                <w:sz w:val="21"/>
              </w:rPr>
            </w:pPr>
            <w:r>
              <w:rPr>
                <w:sz w:val="21"/>
              </w:rPr>
              <w:t>指符合以下疾病定义所述条件的疾病，应当由</w:t>
            </w:r>
            <w:r>
              <w:rPr>
                <w:b/>
                <w:sz w:val="21"/>
              </w:rPr>
              <w:t>专科医生</w:t>
            </w:r>
            <w:r>
              <w:rPr>
                <w:sz w:val="21"/>
              </w:rPr>
              <w:t>(见释义 6.15)明确诊断：</w:t>
            </w:r>
          </w:p>
        </w:tc>
      </w:tr>
      <w:tr>
        <w:trPr>
          <w:trHeight w:val="476" w:hRule="atLeast"/>
        </w:trPr>
        <w:tc>
          <w:tcPr>
            <w:tcW w:w="625" w:type="dxa"/>
          </w:tcPr>
          <w:p>
            <w:pPr>
              <w:pStyle w:val="TableParagraph"/>
              <w:ind w:left="0"/>
              <w:rPr>
                <w:rFonts w:ascii="Times New Roman"/>
                <w:sz w:val="20"/>
              </w:rPr>
            </w:pPr>
          </w:p>
        </w:tc>
        <w:tc>
          <w:tcPr>
            <w:tcW w:w="1501" w:type="dxa"/>
          </w:tcPr>
          <w:p>
            <w:pPr>
              <w:pStyle w:val="TableParagraph"/>
              <w:ind w:left="0"/>
              <w:rPr>
                <w:rFonts w:ascii="Times New Roman"/>
                <w:sz w:val="20"/>
              </w:rPr>
            </w:pPr>
          </w:p>
        </w:tc>
        <w:tc>
          <w:tcPr>
            <w:tcW w:w="473" w:type="dxa"/>
          </w:tcPr>
          <w:p>
            <w:pPr>
              <w:pStyle w:val="TableParagraph"/>
              <w:ind w:left="0"/>
              <w:rPr>
                <w:rFonts w:ascii="Times New Roman"/>
                <w:sz w:val="20"/>
              </w:rPr>
            </w:pPr>
          </w:p>
        </w:tc>
        <w:tc>
          <w:tcPr>
            <w:tcW w:w="6762" w:type="dxa"/>
          </w:tcPr>
          <w:p>
            <w:pPr>
              <w:pStyle w:val="TableParagraph"/>
              <w:spacing w:line="270" w:lineRule="exact"/>
              <w:ind w:left="113"/>
              <w:rPr>
                <w:sz w:val="21"/>
              </w:rPr>
            </w:pPr>
            <w:r>
              <w:rPr>
                <w:sz w:val="21"/>
              </w:rPr>
              <w:t>其中前二十四种是中国保险行业协会推荐的重大疾病种类。</w:t>
            </w:r>
          </w:p>
        </w:tc>
      </w:tr>
      <w:tr>
        <w:trPr>
          <w:trHeight w:val="1042" w:hRule="atLeast"/>
        </w:trPr>
        <w:tc>
          <w:tcPr>
            <w:tcW w:w="625" w:type="dxa"/>
          </w:tcPr>
          <w:p>
            <w:pPr>
              <w:pStyle w:val="TableParagraph"/>
              <w:ind w:left="0"/>
              <w:rPr>
                <w:rFonts w:ascii="Times New Roman"/>
                <w:sz w:val="20"/>
              </w:rPr>
            </w:pPr>
          </w:p>
        </w:tc>
        <w:tc>
          <w:tcPr>
            <w:tcW w:w="1974" w:type="dxa"/>
            <w:gridSpan w:val="2"/>
          </w:tcPr>
          <w:p>
            <w:pPr>
              <w:pStyle w:val="TableParagraph"/>
              <w:spacing w:before="142"/>
              <w:ind w:left="387"/>
              <w:rPr>
                <w:sz w:val="21"/>
              </w:rPr>
            </w:pPr>
            <w:r>
              <w:rPr>
                <w:sz w:val="21"/>
              </w:rPr>
              <w:t>（一）恶性肿瘤</w:t>
            </w:r>
          </w:p>
        </w:tc>
        <w:tc>
          <w:tcPr>
            <w:tcW w:w="6762" w:type="dxa"/>
          </w:tcPr>
          <w:p>
            <w:pPr>
              <w:pStyle w:val="TableParagraph"/>
              <w:spacing w:line="273" w:lineRule="auto" w:before="142"/>
              <w:ind w:left="113" w:right="129"/>
              <w:rPr>
                <w:sz w:val="21"/>
              </w:rPr>
            </w:pPr>
            <w:r>
              <w:rPr>
                <w:sz w:val="21"/>
              </w:rPr>
              <w:t>指恶性细胞不受控制的进行性增长和扩散，浸润和破坏周围正常组织， 可以经血管、淋巴管和体腔扩散转移到身体其他部位的疾病。经病理学</w:t>
            </w:r>
          </w:p>
          <w:p>
            <w:pPr>
              <w:pStyle w:val="TableParagraph"/>
              <w:spacing w:line="255" w:lineRule="exact" w:before="7"/>
              <w:ind w:left="113"/>
              <w:rPr>
                <w:sz w:val="21"/>
              </w:rPr>
            </w:pPr>
            <w:r>
              <w:rPr>
                <w:sz w:val="21"/>
              </w:rPr>
              <w:t>检查结果明确诊断，临床诊断属于世界卫生组织《疾病和有关健康问题</w:t>
            </w:r>
          </w:p>
        </w:tc>
      </w:tr>
    </w:tbl>
    <w:p>
      <w:pPr>
        <w:spacing w:after="0" w:line="255" w:lineRule="exact"/>
        <w:rPr>
          <w:sz w:val="21"/>
        </w:rPr>
        <w:sectPr>
          <w:pgSz w:w="11910" w:h="16840"/>
          <w:pgMar w:top="1460" w:bottom="280" w:left="1180" w:right="1140"/>
        </w:sectPr>
      </w:pPr>
    </w:p>
    <w:tbl>
      <w:tblPr>
        <w:tblW w:w="0" w:type="auto"/>
        <w:jc w:val="left"/>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4"/>
        <w:gridCol w:w="6927"/>
      </w:tblGrid>
      <w:tr>
        <w:trPr>
          <w:trHeight w:val="2581" w:hRule="atLeast"/>
        </w:trPr>
        <w:tc>
          <w:tcPr>
            <w:tcW w:w="1794" w:type="dxa"/>
          </w:tcPr>
          <w:p>
            <w:pPr>
              <w:pStyle w:val="TableParagraph"/>
              <w:ind w:left="0"/>
              <w:rPr>
                <w:rFonts w:ascii="Times New Roman"/>
                <w:sz w:val="20"/>
              </w:rPr>
            </w:pPr>
          </w:p>
        </w:tc>
        <w:tc>
          <w:tcPr>
            <w:tcW w:w="6927" w:type="dxa"/>
          </w:tcPr>
          <w:p>
            <w:pPr>
              <w:pStyle w:val="TableParagraph"/>
              <w:spacing w:line="202" w:lineRule="exact"/>
              <w:ind w:left="105"/>
              <w:rPr>
                <w:sz w:val="21"/>
              </w:rPr>
            </w:pPr>
            <w:r>
              <w:rPr>
                <w:sz w:val="21"/>
              </w:rPr>
              <w:t>的国际统计分类》（ICD-10）的恶性肿瘤范畴。</w:t>
            </w:r>
          </w:p>
          <w:p>
            <w:pPr>
              <w:pStyle w:val="TableParagraph"/>
              <w:spacing w:before="37"/>
              <w:ind w:left="105"/>
              <w:rPr>
                <w:sz w:val="21"/>
              </w:rPr>
            </w:pPr>
            <w:r>
              <w:rPr>
                <w:sz w:val="21"/>
              </w:rPr>
              <w:t>下列疾病不在保障范围内：</w:t>
            </w:r>
          </w:p>
          <w:p>
            <w:pPr>
              <w:pStyle w:val="TableParagraph"/>
              <w:spacing w:before="36"/>
              <w:ind w:left="105"/>
              <w:rPr>
                <w:sz w:val="21"/>
              </w:rPr>
            </w:pPr>
            <w:r>
              <w:rPr>
                <w:sz w:val="21"/>
              </w:rPr>
              <w:t>（1）原位癌；</w:t>
            </w:r>
          </w:p>
          <w:p>
            <w:pPr>
              <w:pStyle w:val="TableParagraph"/>
              <w:spacing w:before="36"/>
              <w:ind w:left="105"/>
              <w:rPr>
                <w:sz w:val="21"/>
              </w:rPr>
            </w:pPr>
            <w:r>
              <w:rPr>
                <w:sz w:val="21"/>
              </w:rPr>
              <w:t>（2）相当于Binet分期方案A期程度的慢性淋巴细胞白血病；</w:t>
            </w:r>
          </w:p>
          <w:p>
            <w:pPr>
              <w:pStyle w:val="TableParagraph"/>
              <w:spacing w:before="36"/>
              <w:ind w:left="105"/>
              <w:rPr>
                <w:sz w:val="21"/>
              </w:rPr>
            </w:pPr>
            <w:r>
              <w:rPr>
                <w:sz w:val="21"/>
              </w:rPr>
              <w:t>（3）相当于Ann Arbor分期方案I期程度的何杰金氏病；</w:t>
            </w:r>
          </w:p>
          <w:p>
            <w:pPr>
              <w:pStyle w:val="TableParagraph"/>
              <w:spacing w:before="36"/>
              <w:ind w:left="105"/>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05"/>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TableParagraph"/>
              <w:spacing w:before="37"/>
              <w:ind w:left="105"/>
              <w:rPr>
                <w:sz w:val="21"/>
              </w:rPr>
            </w:pPr>
            <w:r>
              <w:rPr>
                <w:sz w:val="21"/>
              </w:rPr>
              <w:t>（6）感染艾滋病病毒或患艾滋病期间所患恶性肿瘤。</w:t>
            </w:r>
          </w:p>
        </w:tc>
      </w:tr>
      <w:tr>
        <w:trPr>
          <w:trHeight w:val="2779" w:hRule="atLeast"/>
        </w:trPr>
        <w:tc>
          <w:tcPr>
            <w:tcW w:w="1794" w:type="dxa"/>
          </w:tcPr>
          <w:p>
            <w:pPr>
              <w:pStyle w:val="TableParagraph"/>
              <w:spacing w:line="273" w:lineRule="auto" w:before="113"/>
              <w:ind w:left="200" w:right="105"/>
              <w:rPr>
                <w:sz w:val="21"/>
              </w:rPr>
            </w:pPr>
            <w:r>
              <w:rPr>
                <w:sz w:val="21"/>
              </w:rPr>
              <w:t>（二）急性心肌梗塞</w:t>
            </w:r>
          </w:p>
        </w:tc>
        <w:tc>
          <w:tcPr>
            <w:tcW w:w="6927" w:type="dxa"/>
          </w:tcPr>
          <w:p>
            <w:pPr>
              <w:pStyle w:val="TableParagraph"/>
              <w:spacing w:line="273" w:lineRule="auto" w:before="113"/>
              <w:ind w:left="105" w:right="233"/>
              <w:rPr>
                <w:sz w:val="21"/>
              </w:rPr>
            </w:pPr>
            <w:r>
              <w:rPr>
                <w:sz w:val="21"/>
              </w:rPr>
              <w:t>指因冠状动脉阻塞导致的相应区域供血不足造成部分心肌坏死。须满足下列至少三项条件：</w:t>
            </w:r>
          </w:p>
          <w:p>
            <w:pPr>
              <w:pStyle w:val="TableParagraph"/>
              <w:spacing w:before="8"/>
              <w:ind w:left="105"/>
              <w:rPr>
                <w:sz w:val="21"/>
              </w:rPr>
            </w:pPr>
            <w:r>
              <w:rPr>
                <w:sz w:val="21"/>
              </w:rPr>
              <w:t>（1）典型临床表现，例如急性胸痛等；</w:t>
            </w:r>
          </w:p>
          <w:p>
            <w:pPr>
              <w:pStyle w:val="TableParagraph"/>
              <w:spacing w:before="37"/>
              <w:ind w:left="105"/>
              <w:rPr>
                <w:sz w:val="21"/>
              </w:rPr>
            </w:pPr>
            <w:r>
              <w:rPr>
                <w:sz w:val="21"/>
              </w:rPr>
              <w:t>（2）新近的心电图改变提示急性心肌梗塞；</w:t>
            </w:r>
          </w:p>
          <w:p>
            <w:pPr>
              <w:pStyle w:val="TableParagraph"/>
              <w:spacing w:line="273" w:lineRule="auto" w:before="37"/>
              <w:ind w:left="105" w:right="175"/>
              <w:rPr>
                <w:sz w:val="21"/>
              </w:rPr>
            </w:pPr>
            <w:r>
              <w:rPr>
                <w:sz w:val="21"/>
              </w:rPr>
              <w:t>（3）心肌酶或肌钙蛋白有诊断意义的升高，或呈符合急性心肌梗塞的动态性变化；</w:t>
            </w:r>
          </w:p>
          <w:p>
            <w:pPr>
              <w:pStyle w:val="TableParagraph"/>
              <w:spacing w:line="256" w:lineRule="auto" w:before="8"/>
              <w:ind w:left="105" w:right="225"/>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pacing w:val="-3"/>
                <w:sz w:val="21"/>
              </w:rPr>
              <w:t>天后，经检查证实左心室功能降低，如左心室射血分数低</w:t>
            </w:r>
            <w:r>
              <w:rPr>
                <w:spacing w:val="-28"/>
                <w:sz w:val="21"/>
              </w:rPr>
              <w:t>于 </w:t>
            </w:r>
            <w:r>
              <w:rPr>
                <w:rFonts w:ascii="Times New Roman" w:eastAsia="Times New Roman"/>
                <w:sz w:val="21"/>
              </w:rPr>
              <w:t>50%</w:t>
            </w:r>
            <w:r>
              <w:rPr>
                <w:sz w:val="21"/>
              </w:rPr>
              <w:t>。</w:t>
            </w:r>
          </w:p>
        </w:tc>
      </w:tr>
      <w:tr>
        <w:trPr>
          <w:trHeight w:val="2454" w:hRule="atLeast"/>
        </w:trPr>
        <w:tc>
          <w:tcPr>
            <w:tcW w:w="1794" w:type="dxa"/>
          </w:tcPr>
          <w:p>
            <w:pPr>
              <w:pStyle w:val="TableParagraph"/>
              <w:spacing w:line="273" w:lineRule="auto" w:before="109"/>
              <w:ind w:left="200" w:right="105"/>
              <w:rPr>
                <w:sz w:val="21"/>
              </w:rPr>
            </w:pPr>
            <w:r>
              <w:rPr>
                <w:sz w:val="21"/>
              </w:rPr>
              <w:t>（三）脑中风后遗症</w:t>
            </w:r>
          </w:p>
        </w:tc>
        <w:tc>
          <w:tcPr>
            <w:tcW w:w="6927" w:type="dxa"/>
          </w:tcPr>
          <w:p>
            <w:pPr>
              <w:pStyle w:val="TableParagraph"/>
              <w:spacing w:line="273" w:lineRule="auto" w:before="109"/>
              <w:ind w:left="105" w:right="198"/>
              <w:jc w:val="both"/>
              <w:rPr>
                <w:sz w:val="21"/>
              </w:rPr>
            </w:pPr>
            <w:r>
              <w:rPr>
                <w:sz w:val="21"/>
              </w:rPr>
              <w:t>指因脑血管的突发病变引起脑血管出血、栓塞或梗塞，并导致神经系统永久性的功能障碍。神经系统永久性的功能障碍，指疾病确诊180天后， 仍遗留下列一种或一种以上障碍：</w:t>
            </w:r>
          </w:p>
          <w:p>
            <w:pPr>
              <w:pStyle w:val="TableParagraph"/>
              <w:spacing w:before="7"/>
              <w:ind w:left="105"/>
              <w:rPr>
                <w:sz w:val="21"/>
              </w:rPr>
            </w:pPr>
            <w:r>
              <w:rPr>
                <w:sz w:val="21"/>
              </w:rPr>
              <w:t>（1）一肢或一肢以上</w:t>
            </w:r>
            <w:r>
              <w:rPr>
                <w:b/>
                <w:sz w:val="21"/>
              </w:rPr>
              <w:t>肢体机能完全丧失</w:t>
            </w:r>
            <w:r>
              <w:rPr>
                <w:sz w:val="21"/>
              </w:rPr>
              <w:t>（见释义6.16）；</w:t>
            </w:r>
          </w:p>
          <w:p>
            <w:pPr>
              <w:pStyle w:val="TableParagraph"/>
              <w:spacing w:before="37"/>
              <w:ind w:left="105"/>
              <w:rPr>
                <w:sz w:val="21"/>
              </w:rPr>
            </w:pPr>
            <w:r>
              <w:rPr>
                <w:sz w:val="21"/>
              </w:rPr>
              <w:t>（2）</w:t>
            </w:r>
            <w:r>
              <w:rPr>
                <w:b/>
                <w:sz w:val="21"/>
              </w:rPr>
              <w:t>语言能力或咀嚼吞咽能力完全丧失</w:t>
            </w:r>
            <w:r>
              <w:rPr>
                <w:sz w:val="21"/>
              </w:rPr>
              <w:t>（见释义6.17）；</w:t>
            </w:r>
          </w:p>
          <w:p>
            <w:pPr>
              <w:pStyle w:val="TableParagraph"/>
              <w:spacing w:line="273" w:lineRule="auto" w:before="37"/>
              <w:ind w:left="105" w:right="174"/>
              <w:rPr>
                <w:sz w:val="21"/>
              </w:rPr>
            </w:pPr>
            <w:r>
              <w:rPr>
                <w:sz w:val="21"/>
              </w:rPr>
              <w:t>（3）自主生活能力完全丧失，无法独立完成</w:t>
            </w:r>
            <w:r>
              <w:rPr>
                <w:b/>
                <w:sz w:val="21"/>
              </w:rPr>
              <w:t>六项基本日常生活活动</w:t>
            </w:r>
            <w:r>
              <w:rPr>
                <w:sz w:val="21"/>
              </w:rPr>
              <w:t>（见释义 6.18）中的三项或三项以上。</w:t>
            </w:r>
          </w:p>
        </w:tc>
      </w:tr>
      <w:tr>
        <w:trPr>
          <w:trHeight w:val="1838" w:hRule="atLeast"/>
        </w:trPr>
        <w:tc>
          <w:tcPr>
            <w:tcW w:w="1794" w:type="dxa"/>
          </w:tcPr>
          <w:p>
            <w:pPr>
              <w:pStyle w:val="TableParagraph"/>
              <w:spacing w:line="273" w:lineRule="auto" w:before="117"/>
              <w:ind w:left="200" w:right="104"/>
              <w:jc w:val="both"/>
              <w:rPr>
                <w:sz w:val="21"/>
              </w:rPr>
            </w:pPr>
            <w:r>
              <w:rPr>
                <w:sz w:val="21"/>
              </w:rPr>
              <w:t>（四）重大器官移植术或造血干细胞移植术</w:t>
            </w:r>
          </w:p>
        </w:tc>
        <w:tc>
          <w:tcPr>
            <w:tcW w:w="6927" w:type="dxa"/>
          </w:tcPr>
          <w:p>
            <w:pPr>
              <w:pStyle w:val="TableParagraph"/>
              <w:spacing w:line="273" w:lineRule="auto" w:before="117"/>
              <w:ind w:left="105" w:right="302"/>
              <w:jc w:val="both"/>
              <w:rPr>
                <w:sz w:val="21"/>
              </w:rPr>
            </w:pPr>
            <w:r>
              <w:rPr>
                <w:sz w:val="21"/>
              </w:rPr>
              <w:t>重大器官移植术，指因相应器官功能衰竭，已经实施了肾脏、肝脏、心脏或肺脏的异体移植手术。</w:t>
            </w:r>
          </w:p>
          <w:p>
            <w:pPr>
              <w:pStyle w:val="TableParagraph"/>
              <w:spacing w:line="273" w:lineRule="auto" w:before="7"/>
              <w:ind w:left="105" w:right="233"/>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25" w:hRule="atLeast"/>
        </w:trPr>
        <w:tc>
          <w:tcPr>
            <w:tcW w:w="1794" w:type="dxa"/>
          </w:tcPr>
          <w:p>
            <w:pPr>
              <w:pStyle w:val="TableParagraph"/>
              <w:spacing w:line="273" w:lineRule="auto" w:before="117"/>
              <w:ind w:left="200" w:right="118"/>
              <w:jc w:val="both"/>
              <w:rPr>
                <w:sz w:val="21"/>
              </w:rPr>
            </w:pPr>
            <w:r>
              <w:rPr>
                <w:sz w:val="21"/>
              </w:rPr>
              <w:t>（五）冠状动脉搭桥术（或称冠状动脉旁路移植术）</w:t>
            </w:r>
          </w:p>
        </w:tc>
        <w:tc>
          <w:tcPr>
            <w:tcW w:w="6927" w:type="dxa"/>
          </w:tcPr>
          <w:p>
            <w:pPr>
              <w:pStyle w:val="TableParagraph"/>
              <w:spacing w:line="273" w:lineRule="auto" w:before="117"/>
              <w:ind w:left="105" w:right="233"/>
              <w:rPr>
                <w:sz w:val="21"/>
              </w:rPr>
            </w:pPr>
            <w:r>
              <w:rPr>
                <w:sz w:val="21"/>
              </w:rPr>
              <w:t>指为治疗严重的冠心病，实际实施了开胸进行的冠状动脉血管旁路移植的手术。</w:t>
            </w:r>
          </w:p>
          <w:p>
            <w:pPr>
              <w:pStyle w:val="TableParagraph"/>
              <w:spacing w:line="273" w:lineRule="auto" w:before="7"/>
              <w:ind w:left="105" w:right="233"/>
              <w:rPr>
                <w:sz w:val="21"/>
              </w:rPr>
            </w:pPr>
            <w:r>
              <w:rPr>
                <w:sz w:val="21"/>
              </w:rPr>
              <w:t>冠状动脉支架植入术、心导管球囊扩张术、激光射频技术及其他非开胸的介入手术、腔镜手术不在保障范围内。</w:t>
            </w:r>
          </w:p>
        </w:tc>
      </w:tr>
      <w:tr>
        <w:trPr>
          <w:trHeight w:val="1525" w:hRule="atLeast"/>
        </w:trPr>
        <w:tc>
          <w:tcPr>
            <w:tcW w:w="1794" w:type="dxa"/>
          </w:tcPr>
          <w:p>
            <w:pPr>
              <w:pStyle w:val="TableParagraph"/>
              <w:spacing w:line="273" w:lineRule="auto" w:before="116"/>
              <w:ind w:left="200" w:right="118"/>
              <w:jc w:val="both"/>
              <w:rPr>
                <w:sz w:val="21"/>
              </w:rPr>
            </w:pPr>
            <w:r>
              <w:rPr>
                <w:sz w:val="21"/>
              </w:rPr>
              <w:t>（六）终末期肾病（或称慢性肾功能衰竭尿毒症期）</w:t>
            </w:r>
          </w:p>
        </w:tc>
        <w:tc>
          <w:tcPr>
            <w:tcW w:w="6927" w:type="dxa"/>
          </w:tcPr>
          <w:p>
            <w:pPr>
              <w:pStyle w:val="TableParagraph"/>
              <w:spacing w:line="273" w:lineRule="auto" w:before="116"/>
              <w:ind w:left="105" w:right="302"/>
              <w:rPr>
                <w:sz w:val="21"/>
              </w:rPr>
            </w:pPr>
            <w:r>
              <w:rPr>
                <w:sz w:val="21"/>
              </w:rPr>
              <w:t>指双肾功能慢性不可逆性衰竭，达到尿毒症期，经诊断后已经进行了至少 90 天的规律性透析治疗或实施了肾脏移植手术。</w:t>
            </w:r>
          </w:p>
        </w:tc>
      </w:tr>
      <w:tr>
        <w:trPr>
          <w:trHeight w:val="712" w:hRule="atLeast"/>
        </w:trPr>
        <w:tc>
          <w:tcPr>
            <w:tcW w:w="1794" w:type="dxa"/>
          </w:tcPr>
          <w:p>
            <w:pPr>
              <w:pStyle w:val="TableParagraph"/>
              <w:spacing w:line="310" w:lineRule="atLeast" w:before="82"/>
              <w:ind w:left="200" w:right="118"/>
              <w:rPr>
                <w:sz w:val="21"/>
              </w:rPr>
            </w:pPr>
            <w:r>
              <w:rPr>
                <w:sz w:val="21"/>
              </w:rPr>
              <w:t>（七）多个肢体缺失</w:t>
            </w:r>
          </w:p>
        </w:tc>
        <w:tc>
          <w:tcPr>
            <w:tcW w:w="6927" w:type="dxa"/>
          </w:tcPr>
          <w:p>
            <w:pPr>
              <w:pStyle w:val="TableParagraph"/>
              <w:spacing w:before="117"/>
              <w:ind w:left="105"/>
              <w:rPr>
                <w:sz w:val="21"/>
              </w:rPr>
            </w:pPr>
            <w:r>
              <w:rPr>
                <w:sz w:val="21"/>
              </w:rPr>
              <w:t>指因疾病或意外伤害导致两个或两个以上肢体自腕关节或踝关节近端</w:t>
            </w:r>
          </w:p>
          <w:p>
            <w:pPr>
              <w:pStyle w:val="TableParagraph"/>
              <w:spacing w:line="264" w:lineRule="exact" w:before="37"/>
              <w:ind w:left="105"/>
              <w:rPr>
                <w:sz w:val="21"/>
              </w:rPr>
            </w:pPr>
            <w:r>
              <w:rPr>
                <w:sz w:val="21"/>
              </w:rPr>
              <w:t>（靠近躯干端）以上完全性断离。</w:t>
            </w:r>
          </w:p>
        </w:tc>
      </w:tr>
    </w:tbl>
    <w:p>
      <w:pPr>
        <w:spacing w:after="0" w:line="264" w:lineRule="exact"/>
        <w:rPr>
          <w:sz w:val="21"/>
        </w:rPr>
        <w:sectPr>
          <w:pgSz w:w="11910" w:h="16840"/>
          <w:pgMar w:top="1460" w:bottom="280" w:left="1680" w:right="980"/>
        </w:sectPr>
      </w:pPr>
    </w:p>
    <w:tbl>
      <w:tblPr>
        <w:tblW w:w="0" w:type="auto"/>
        <w:jc w:val="left"/>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7013"/>
      </w:tblGrid>
      <w:tr>
        <w:trPr>
          <w:trHeight w:val="1961" w:hRule="atLeast"/>
        </w:trPr>
        <w:tc>
          <w:tcPr>
            <w:tcW w:w="1787" w:type="dxa"/>
          </w:tcPr>
          <w:p>
            <w:pPr>
              <w:pStyle w:val="TableParagraph"/>
              <w:spacing w:line="202" w:lineRule="exact"/>
              <w:ind w:left="200"/>
              <w:rPr>
                <w:sz w:val="21"/>
              </w:rPr>
            </w:pPr>
            <w:r>
              <w:rPr>
                <w:sz w:val="21"/>
              </w:rPr>
              <w:t>（八）急性或亚</w:t>
            </w:r>
          </w:p>
          <w:p>
            <w:pPr>
              <w:pStyle w:val="TableParagraph"/>
              <w:spacing w:before="37"/>
              <w:ind w:left="200"/>
              <w:rPr>
                <w:sz w:val="21"/>
              </w:rPr>
            </w:pPr>
            <w:r>
              <w:rPr>
                <w:sz w:val="21"/>
              </w:rPr>
              <w:t>急性重症肝炎</w:t>
            </w:r>
          </w:p>
        </w:tc>
        <w:tc>
          <w:tcPr>
            <w:tcW w:w="7013" w:type="dxa"/>
          </w:tcPr>
          <w:p>
            <w:pPr>
              <w:pStyle w:val="TableParagraph"/>
              <w:spacing w:line="202" w:lineRule="exact"/>
              <w:rPr>
                <w:sz w:val="21"/>
              </w:rPr>
            </w:pPr>
            <w:r>
              <w:rPr>
                <w:sz w:val="21"/>
              </w:rPr>
              <w:t>指因肝炎病毒感染引起肝脏组织弥漫性坏死，导致急性肝功能衰竭，且</w:t>
            </w:r>
          </w:p>
          <w:p>
            <w:pPr>
              <w:pStyle w:val="TableParagraph"/>
              <w:spacing w:before="37"/>
              <w:rPr>
                <w:sz w:val="21"/>
              </w:rPr>
            </w:pPr>
            <w:r>
              <w:rPr>
                <w:sz w:val="21"/>
              </w:rPr>
              <w:t>经血清学或病毒学检查证实，并须满足下列全部条件：</w:t>
            </w:r>
          </w:p>
          <w:p>
            <w:pPr>
              <w:pStyle w:val="TableParagraph"/>
              <w:spacing w:before="36"/>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2461" w:hRule="atLeast"/>
        </w:trPr>
        <w:tc>
          <w:tcPr>
            <w:tcW w:w="1787" w:type="dxa"/>
          </w:tcPr>
          <w:p>
            <w:pPr>
              <w:pStyle w:val="TableParagraph"/>
              <w:spacing w:line="273" w:lineRule="auto" w:before="117"/>
              <w:ind w:left="200" w:right="111"/>
              <w:rPr>
                <w:sz w:val="21"/>
              </w:rPr>
            </w:pPr>
            <w:r>
              <w:rPr>
                <w:sz w:val="21"/>
              </w:rPr>
              <w:t>（九）良性脑肿瘤</w:t>
            </w:r>
          </w:p>
        </w:tc>
        <w:tc>
          <w:tcPr>
            <w:tcW w:w="7013" w:type="dxa"/>
          </w:tcPr>
          <w:p>
            <w:pPr>
              <w:pStyle w:val="TableParagraph"/>
              <w:spacing w:line="273" w:lineRule="auto" w:before="117"/>
              <w:ind w:right="198"/>
              <w:rPr>
                <w:sz w:val="21"/>
              </w:rPr>
            </w:pPr>
            <w:r>
              <w:rPr>
                <w:spacing w:val="-3"/>
                <w:sz w:val="21"/>
              </w:rPr>
              <w:t>指脑的良性肿瘤，已经引起颅内压增高，临床表现为视神经乳头水肿、</w:t>
            </w:r>
            <w:r>
              <w:rPr>
                <w:w w:val="100"/>
                <w:sz w:val="21"/>
              </w:rPr>
              <w:t>精</w:t>
            </w:r>
            <w:r>
              <w:rPr>
                <w:spacing w:val="-23"/>
                <w:w w:val="100"/>
                <w:sz w:val="21"/>
              </w:rPr>
              <w:t>神症状、癫痫及运动感觉障碍等，并危及生命。须由头颅断层扫描</w:t>
            </w:r>
            <w:r>
              <w:rPr>
                <w:spacing w:val="-1"/>
                <w:w w:val="100"/>
                <w:sz w:val="21"/>
              </w:rPr>
              <w:t>（</w:t>
            </w:r>
            <w:r>
              <w:rPr>
                <w:spacing w:val="-3"/>
                <w:w w:val="100"/>
                <w:sz w:val="21"/>
              </w:rPr>
              <w:t>C</w:t>
            </w:r>
            <w:r>
              <w:rPr>
                <w:w w:val="100"/>
                <w:sz w:val="21"/>
              </w:rPr>
              <w:t>T</w:t>
            </w:r>
            <w:r>
              <w:rPr>
                <w:spacing w:val="-106"/>
                <w:w w:val="100"/>
                <w:sz w:val="21"/>
              </w:rPr>
              <w:t>）、</w:t>
            </w:r>
            <w:r>
              <w:rPr>
                <w:sz w:val="21"/>
              </w:rPr>
              <w:t>核</w:t>
            </w:r>
            <w:r>
              <w:rPr>
                <w:spacing w:val="-4"/>
                <w:sz w:val="21"/>
              </w:rPr>
              <w:t>磁共振检查</w:t>
            </w:r>
            <w:r>
              <w:rPr>
                <w:spacing w:val="-3"/>
                <w:sz w:val="21"/>
              </w:rPr>
              <w:t>（MRI）</w:t>
            </w:r>
            <w:r>
              <w:rPr>
                <w:spacing w:val="-4"/>
                <w:sz w:val="21"/>
              </w:rPr>
              <w:t>或正电子发射断层扫描</w:t>
            </w:r>
            <w:r>
              <w:rPr>
                <w:spacing w:val="-3"/>
                <w:sz w:val="21"/>
              </w:rPr>
              <w:t>（PET）等影像学检查证实， 并须满足下列至少一项条件：</w:t>
            </w:r>
          </w:p>
          <w:p>
            <w:pPr>
              <w:pStyle w:val="TableParagraph"/>
              <w:spacing w:before="8"/>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37"/>
              <w:rPr>
                <w:sz w:val="21"/>
              </w:rPr>
            </w:pPr>
            <w:r>
              <w:rPr>
                <w:sz w:val="21"/>
              </w:rPr>
              <w:t>脑垂体瘤、脑囊肿、脑血管性疾病不在保障范围内。</w:t>
            </w:r>
          </w:p>
        </w:tc>
      </w:tr>
      <w:tr>
        <w:trPr>
          <w:trHeight w:val="2149" w:hRule="atLeast"/>
        </w:trPr>
        <w:tc>
          <w:tcPr>
            <w:tcW w:w="1787" w:type="dxa"/>
          </w:tcPr>
          <w:p>
            <w:pPr>
              <w:pStyle w:val="TableParagraph"/>
              <w:spacing w:line="273" w:lineRule="auto" w:before="116"/>
              <w:ind w:left="200" w:right="111"/>
              <w:rPr>
                <w:sz w:val="21"/>
              </w:rPr>
            </w:pPr>
            <w:r>
              <w:rPr>
                <w:sz w:val="21"/>
              </w:rPr>
              <w:t>（十）慢性肝功能衰竭失代偿期</w:t>
            </w:r>
          </w:p>
        </w:tc>
        <w:tc>
          <w:tcPr>
            <w:tcW w:w="7013" w:type="dxa"/>
          </w:tcPr>
          <w:p>
            <w:pPr>
              <w:pStyle w:val="TableParagraph"/>
              <w:spacing w:before="116"/>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left="218" w:right="1538" w:hanging="106"/>
              <w:rPr>
                <w:sz w:val="21"/>
              </w:rPr>
            </w:pPr>
            <w:r>
              <w:rPr>
                <w:sz w:val="21"/>
              </w:rPr>
              <w:t>（4）</w:t>
            </w:r>
            <w:r>
              <w:rPr>
                <w:spacing w:val="-3"/>
                <w:sz w:val="21"/>
              </w:rPr>
              <w:t>充血性脾肿大伴脾功能亢进或食管胃底静脉曲张。 因酗酒或药物滥用所导致的肝功能衰竭不在保障范围内。</w:t>
            </w:r>
          </w:p>
        </w:tc>
      </w:tr>
      <w:tr>
        <w:trPr>
          <w:trHeight w:val="2150" w:hRule="atLeast"/>
        </w:trPr>
        <w:tc>
          <w:tcPr>
            <w:tcW w:w="1787" w:type="dxa"/>
          </w:tcPr>
          <w:p>
            <w:pPr>
              <w:pStyle w:val="TableParagraph"/>
              <w:spacing w:line="273" w:lineRule="auto" w:before="117"/>
              <w:ind w:left="200" w:right="111"/>
              <w:jc w:val="both"/>
              <w:rPr>
                <w:sz w:val="21"/>
              </w:rPr>
            </w:pPr>
            <w:r>
              <w:rPr>
                <w:sz w:val="21"/>
              </w:rPr>
              <w:t>（十一）脑炎后遗症或脑膜炎后遗症</w:t>
            </w:r>
          </w:p>
        </w:tc>
        <w:tc>
          <w:tcPr>
            <w:tcW w:w="7013" w:type="dxa"/>
          </w:tcPr>
          <w:p>
            <w:pPr>
              <w:pStyle w:val="TableParagraph"/>
              <w:spacing w:line="273" w:lineRule="auto" w:before="117"/>
              <w:ind w:right="201"/>
              <w:rPr>
                <w:sz w:val="21"/>
              </w:rPr>
            </w:pPr>
            <w:r>
              <w:rPr>
                <w:spacing w:val="-3"/>
                <w:sz w:val="21"/>
              </w:rPr>
              <w:t>指因患脑炎或脑膜炎导致的神经系统永久性的功能障碍。神经系统永久 </w:t>
            </w:r>
            <w:r>
              <w:rPr>
                <w:spacing w:val="-11"/>
                <w:sz w:val="21"/>
              </w:rPr>
              <w:t>性的功能障碍，指疾病确诊 </w:t>
            </w:r>
            <w:r>
              <w:rPr>
                <w:sz w:val="21"/>
              </w:rPr>
              <w:t>180</w:t>
            </w:r>
            <w:r>
              <w:rPr>
                <w:spacing w:val="-5"/>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262"/>
              <w:rPr>
                <w:sz w:val="21"/>
              </w:rPr>
            </w:pPr>
            <w:r>
              <w:rPr>
                <w:sz w:val="21"/>
              </w:rPr>
              <w:t>（3）自主生活能力完全丧失，无法独立完成六项基本日常生活活动中的三项或三项以上。</w:t>
            </w:r>
          </w:p>
        </w:tc>
      </w:tr>
      <w:tr>
        <w:trPr>
          <w:trHeight w:val="1838" w:hRule="atLeast"/>
        </w:trPr>
        <w:tc>
          <w:tcPr>
            <w:tcW w:w="1787" w:type="dxa"/>
          </w:tcPr>
          <w:p>
            <w:pPr>
              <w:pStyle w:val="TableParagraph"/>
              <w:spacing w:line="273" w:lineRule="auto" w:before="117"/>
              <w:ind w:left="200" w:right="111"/>
              <w:rPr>
                <w:sz w:val="21"/>
              </w:rPr>
            </w:pPr>
            <w:r>
              <w:rPr>
                <w:sz w:val="21"/>
              </w:rPr>
              <w:t>（十二）双耳失聪</w:t>
            </w:r>
          </w:p>
        </w:tc>
        <w:tc>
          <w:tcPr>
            <w:tcW w:w="7013" w:type="dxa"/>
          </w:tcPr>
          <w:p>
            <w:pPr>
              <w:pStyle w:val="TableParagraph"/>
              <w:spacing w:line="273" w:lineRule="auto" w:before="117"/>
              <w:ind w:right="198"/>
              <w:rPr>
                <w:sz w:val="21"/>
              </w:rPr>
            </w:pPr>
            <w:r>
              <w:rPr>
                <w:spacing w:val="-3"/>
                <w:sz w:val="21"/>
              </w:rPr>
              <w:t>指因疾病或意外伤害导致双耳听力</w:t>
            </w:r>
            <w:r>
              <w:rPr>
                <w:b/>
                <w:sz w:val="21"/>
              </w:rPr>
              <w:t>永久不可逆</w:t>
            </w:r>
            <w:r>
              <w:rPr>
                <w:spacing w:val="-3"/>
                <w:sz w:val="21"/>
              </w:rPr>
              <w:t>（</w:t>
            </w:r>
            <w:r>
              <w:rPr>
                <w:spacing w:val="-13"/>
                <w:sz w:val="21"/>
              </w:rPr>
              <w:t>见释义 </w:t>
            </w:r>
            <w:r>
              <w:rPr>
                <w:sz w:val="21"/>
              </w:rPr>
              <w:t>6.19）</w:t>
            </w:r>
            <w:r>
              <w:rPr>
                <w:spacing w:val="-3"/>
                <w:sz w:val="21"/>
              </w:rPr>
              <w:t>性丧失， </w:t>
            </w:r>
            <w:r>
              <w:rPr>
                <w:spacing w:val="-26"/>
                <w:sz w:val="21"/>
              </w:rPr>
              <w:t>在 </w:t>
            </w:r>
            <w:r>
              <w:rPr>
                <w:sz w:val="21"/>
              </w:rPr>
              <w:t>500</w:t>
            </w:r>
            <w:r>
              <w:rPr>
                <w:spacing w:val="-25"/>
                <w:sz w:val="21"/>
              </w:rPr>
              <w:t> 赫兹、</w:t>
            </w:r>
            <w:r>
              <w:rPr>
                <w:sz w:val="21"/>
              </w:rPr>
              <w:t>1000</w:t>
            </w:r>
            <w:r>
              <w:rPr>
                <w:spacing w:val="-22"/>
                <w:sz w:val="21"/>
              </w:rPr>
              <w:t> 赫兹和 </w:t>
            </w:r>
            <w:r>
              <w:rPr>
                <w:sz w:val="21"/>
              </w:rPr>
              <w:t>2000</w:t>
            </w:r>
            <w:r>
              <w:rPr>
                <w:spacing w:val="-14"/>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p>
            <w:pPr>
              <w:pStyle w:val="TableParagraph"/>
              <w:spacing w:line="273" w:lineRule="auto" w:before="7"/>
              <w:ind w:right="381"/>
              <w:rPr>
                <w:sz w:val="21"/>
              </w:rPr>
            </w:pPr>
            <w:r>
              <w:rPr>
                <w:sz w:val="21"/>
              </w:rPr>
              <w:t>被保险人申请理赔时年龄必须在三周岁以上，并且需提供理赔当时的听力丧失诊断及检查证据。</w:t>
            </w:r>
          </w:p>
        </w:tc>
      </w:tr>
      <w:tr>
        <w:trPr>
          <w:trHeight w:val="2774" w:hRule="atLeast"/>
        </w:trPr>
        <w:tc>
          <w:tcPr>
            <w:tcW w:w="1787" w:type="dxa"/>
          </w:tcPr>
          <w:p>
            <w:pPr>
              <w:pStyle w:val="TableParagraph"/>
              <w:spacing w:line="273" w:lineRule="auto" w:before="117"/>
              <w:ind w:left="200" w:right="111"/>
              <w:rPr>
                <w:sz w:val="21"/>
              </w:rPr>
            </w:pPr>
            <w:r>
              <w:rPr>
                <w:sz w:val="21"/>
              </w:rPr>
              <w:t>（十三）双目失明</w:t>
            </w:r>
          </w:p>
        </w:tc>
        <w:tc>
          <w:tcPr>
            <w:tcW w:w="7013" w:type="dxa"/>
          </w:tcPr>
          <w:p>
            <w:pPr>
              <w:pStyle w:val="TableParagraph"/>
              <w:spacing w:line="273" w:lineRule="auto" w:before="117"/>
              <w:ind w:right="308"/>
              <w:rPr>
                <w:sz w:val="21"/>
              </w:rPr>
            </w:pPr>
            <w:r>
              <w:rPr>
                <w:sz w:val="21"/>
              </w:rPr>
              <w:t>指因疾病或意外伤害导致双目视力永久不可逆性丧失，须满足下列至少一项条件：</w:t>
            </w:r>
          </w:p>
          <w:p>
            <w:pPr>
              <w:pStyle w:val="TableParagraph"/>
              <w:spacing w:before="7"/>
              <w:rPr>
                <w:sz w:val="21"/>
              </w:rPr>
            </w:pPr>
            <w:r>
              <w:rPr>
                <w:sz w:val="21"/>
              </w:rPr>
              <w:t>（1）双眼眼球缺失或摘除；</w:t>
            </w:r>
          </w:p>
          <w:p>
            <w:pPr>
              <w:pStyle w:val="TableParagraph"/>
              <w:spacing w:line="273" w:lineRule="auto" w:before="36"/>
              <w:ind w:right="304"/>
              <w:rPr>
                <w:sz w:val="21"/>
              </w:rPr>
            </w:pPr>
            <w:r>
              <w:rPr>
                <w:spacing w:val="-10"/>
                <w:sz w:val="21"/>
              </w:rPr>
              <w:t>（2）</w:t>
            </w:r>
            <w:r>
              <w:rPr>
                <w:spacing w:val="-6"/>
                <w:sz w:val="21"/>
              </w:rPr>
              <w:t>双眼矫正视力低于 </w:t>
            </w:r>
            <w:r>
              <w:rPr>
                <w:spacing w:val="-7"/>
                <w:sz w:val="21"/>
              </w:rPr>
              <w:t>0.02（</w:t>
            </w:r>
            <w:r>
              <w:rPr>
                <w:spacing w:val="-6"/>
                <w:sz w:val="21"/>
              </w:rPr>
              <w:t>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7"/>
              <w:rPr>
                <w:sz w:val="21"/>
              </w:rPr>
            </w:pPr>
            <w:r>
              <w:rPr>
                <w:sz w:val="21"/>
              </w:rPr>
              <w:t>（3）双眼视野半径小于 5 度。</w:t>
            </w:r>
          </w:p>
          <w:p>
            <w:pPr>
              <w:pStyle w:val="TableParagraph"/>
              <w:spacing w:line="273" w:lineRule="auto" w:before="37"/>
              <w:ind w:right="312"/>
              <w:rPr>
                <w:sz w:val="21"/>
              </w:rPr>
            </w:pPr>
            <w:r>
              <w:rPr>
                <w:sz w:val="21"/>
              </w:rPr>
              <w:t>被保险人申请理赔时年龄必须在三周岁以上，并且需提供理赔当时视力丧失诊断及检查证据。</w:t>
            </w:r>
          </w:p>
        </w:tc>
      </w:tr>
      <w:tr>
        <w:trPr>
          <w:trHeight w:val="400" w:hRule="atLeast"/>
        </w:trPr>
        <w:tc>
          <w:tcPr>
            <w:tcW w:w="1787" w:type="dxa"/>
          </w:tcPr>
          <w:p>
            <w:pPr>
              <w:pStyle w:val="TableParagraph"/>
              <w:spacing w:line="264" w:lineRule="exact" w:before="117"/>
              <w:ind w:left="200"/>
              <w:rPr>
                <w:sz w:val="21"/>
              </w:rPr>
            </w:pPr>
            <w:r>
              <w:rPr>
                <w:sz w:val="21"/>
              </w:rPr>
              <w:t>（十四）瘫痪</w:t>
            </w:r>
          </w:p>
        </w:tc>
        <w:tc>
          <w:tcPr>
            <w:tcW w:w="7013" w:type="dxa"/>
          </w:tcPr>
          <w:p>
            <w:pPr>
              <w:pStyle w:val="TableParagraph"/>
              <w:spacing w:line="264" w:lineRule="exact" w:before="117"/>
              <w:rPr>
                <w:sz w:val="21"/>
              </w:rPr>
            </w:pPr>
            <w:r>
              <w:rPr>
                <w:sz w:val="21"/>
              </w:rPr>
              <w:t>指因疾病或意外伤害导致两肢或两肢以上肢体机能永久完全丧失。肢体</w:t>
            </w:r>
          </w:p>
        </w:tc>
      </w:tr>
    </w:tbl>
    <w:p>
      <w:pPr>
        <w:spacing w:after="0" w:line="264" w:lineRule="exact"/>
        <w:rPr>
          <w:sz w:val="21"/>
        </w:rPr>
        <w:sectPr>
          <w:pgSz w:w="11910" w:h="16840"/>
          <w:pgMar w:top="1460" w:bottom="280" w:left="1680" w:right="900"/>
        </w:sectPr>
      </w:pPr>
    </w:p>
    <w:tbl>
      <w:tblPr>
        <w:tblW w:w="0" w:type="auto"/>
        <w:jc w:val="left"/>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7013"/>
      </w:tblGrid>
      <w:tr>
        <w:trPr>
          <w:trHeight w:val="713" w:hRule="atLeast"/>
        </w:trPr>
        <w:tc>
          <w:tcPr>
            <w:tcW w:w="1787" w:type="dxa"/>
          </w:tcPr>
          <w:p>
            <w:pPr>
              <w:pStyle w:val="TableParagraph"/>
              <w:ind w:left="0"/>
              <w:rPr>
                <w:rFonts w:ascii="Times New Roman"/>
                <w:sz w:val="20"/>
              </w:rPr>
            </w:pPr>
          </w:p>
        </w:tc>
        <w:tc>
          <w:tcPr>
            <w:tcW w:w="7013" w:type="dxa"/>
          </w:tcPr>
          <w:p>
            <w:pPr>
              <w:pStyle w:val="TableParagraph"/>
              <w:spacing w:line="202" w:lineRule="exact"/>
              <w:rPr>
                <w:sz w:val="21"/>
              </w:rPr>
            </w:pPr>
            <w:r>
              <w:rPr>
                <w:sz w:val="21"/>
              </w:rPr>
              <w:t>机能永久完全丧失，指疾病确诊 180 天后或意外伤害发生 180 天后，每</w:t>
            </w:r>
          </w:p>
          <w:p>
            <w:pPr>
              <w:pStyle w:val="TableParagraph"/>
              <w:spacing w:before="37"/>
              <w:rPr>
                <w:sz w:val="21"/>
              </w:rPr>
            </w:pPr>
            <w:r>
              <w:rPr>
                <w:sz w:val="21"/>
              </w:rPr>
              <w:t>肢三大关节中的两大关节仍然完全僵硬，或不能随意识活动。</w:t>
            </w:r>
          </w:p>
        </w:tc>
      </w:tr>
      <w:tr>
        <w:trPr>
          <w:trHeight w:val="901" w:hRule="atLeast"/>
        </w:trPr>
        <w:tc>
          <w:tcPr>
            <w:tcW w:w="1787" w:type="dxa"/>
          </w:tcPr>
          <w:p>
            <w:pPr>
              <w:pStyle w:val="TableParagraph"/>
              <w:spacing w:line="273" w:lineRule="auto" w:before="117"/>
              <w:ind w:left="200" w:right="111"/>
              <w:rPr>
                <w:sz w:val="21"/>
              </w:rPr>
            </w:pPr>
            <w:r>
              <w:rPr>
                <w:sz w:val="21"/>
              </w:rPr>
              <w:t>（十五）心脏瓣膜手术</w:t>
            </w:r>
          </w:p>
        </w:tc>
        <w:tc>
          <w:tcPr>
            <w:tcW w:w="7013" w:type="dxa"/>
          </w:tcPr>
          <w:p>
            <w:pPr>
              <w:pStyle w:val="TableParagraph"/>
              <w:spacing w:line="273" w:lineRule="auto" w:before="117"/>
              <w:ind w:right="381"/>
              <w:rPr>
                <w:sz w:val="21"/>
              </w:rPr>
            </w:pPr>
            <w:r>
              <w:rPr>
                <w:sz w:val="21"/>
              </w:rPr>
              <w:t>指为治疗心脏瓣膜疾病，实际实施了开胸进行的心脏瓣膜置换或修复的手术。</w:t>
            </w:r>
          </w:p>
        </w:tc>
      </w:tr>
      <w:tr>
        <w:trPr>
          <w:trHeight w:val="2149" w:hRule="atLeast"/>
        </w:trPr>
        <w:tc>
          <w:tcPr>
            <w:tcW w:w="1787" w:type="dxa"/>
          </w:tcPr>
          <w:p>
            <w:pPr>
              <w:pStyle w:val="TableParagraph"/>
              <w:spacing w:line="273" w:lineRule="auto" w:before="116"/>
              <w:ind w:left="200" w:right="111"/>
              <w:rPr>
                <w:sz w:val="21"/>
              </w:rPr>
            </w:pPr>
            <w:r>
              <w:rPr>
                <w:sz w:val="21"/>
              </w:rPr>
              <w:t>（十六）严重阿尔茨海默病</w:t>
            </w:r>
          </w:p>
        </w:tc>
        <w:tc>
          <w:tcPr>
            <w:tcW w:w="7013" w:type="dxa"/>
          </w:tcPr>
          <w:p>
            <w:pPr>
              <w:pStyle w:val="TableParagraph"/>
              <w:spacing w:line="273" w:lineRule="auto" w:before="116"/>
              <w:ind w:right="280"/>
              <w:jc w:val="both"/>
              <w:rPr>
                <w:sz w:val="21"/>
              </w:rPr>
            </w:pPr>
            <w:r>
              <w:rPr>
                <w:sz w:val="21"/>
              </w:rPr>
              <w:t>指因大脑进行性、不可逆性改变导致智能严重衰退或丧失，临床表现为明显的认知能力障碍、行为异常和社交能力减退，其日常生活必须持续</w:t>
            </w:r>
            <w:r>
              <w:rPr>
                <w:w w:val="100"/>
                <w:sz w:val="21"/>
              </w:rPr>
              <w:t>受到他人监护。须由头颅断层扫描</w:t>
            </w:r>
            <w:r>
              <w:rPr>
                <w:spacing w:val="5"/>
                <w:w w:val="100"/>
                <w:sz w:val="21"/>
              </w:rPr>
              <w:t>（</w:t>
            </w:r>
            <w:r>
              <w:rPr>
                <w:w w:val="100"/>
                <w:sz w:val="21"/>
              </w:rPr>
              <w:t>CT</w:t>
            </w:r>
            <w:r>
              <w:rPr>
                <w:spacing w:val="-104"/>
                <w:w w:val="100"/>
                <w:sz w:val="21"/>
              </w:rPr>
              <w:t>）</w:t>
            </w:r>
            <w:r>
              <w:rPr>
                <w:w w:val="100"/>
                <w:sz w:val="21"/>
              </w:rPr>
              <w:t>、核磁共振检查</w:t>
            </w:r>
            <w:r>
              <w:rPr>
                <w:spacing w:val="3"/>
                <w:w w:val="100"/>
                <w:sz w:val="21"/>
              </w:rPr>
              <w:t>（</w:t>
            </w:r>
            <w:r>
              <w:rPr>
                <w:spacing w:val="-3"/>
                <w:w w:val="100"/>
                <w:sz w:val="21"/>
              </w:rPr>
              <w:t>M</w:t>
            </w:r>
            <w:r>
              <w:rPr>
                <w:w w:val="100"/>
                <w:sz w:val="21"/>
              </w:rPr>
              <w:t>R</w:t>
            </w:r>
            <w:r>
              <w:rPr>
                <w:spacing w:val="1"/>
                <w:w w:val="100"/>
                <w:sz w:val="21"/>
              </w:rPr>
              <w:t>I</w:t>
            </w:r>
            <w:r>
              <w:rPr>
                <w:w w:val="100"/>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before="8"/>
              <w:jc w:val="both"/>
              <w:rPr>
                <w:sz w:val="21"/>
              </w:rPr>
            </w:pPr>
            <w:r>
              <w:rPr>
                <w:sz w:val="21"/>
              </w:rPr>
              <w:t>神经官能症和精神疾病不在保障范围内。</w:t>
            </w:r>
          </w:p>
        </w:tc>
      </w:tr>
      <w:tr>
        <w:trPr>
          <w:trHeight w:val="2774" w:hRule="atLeast"/>
        </w:trPr>
        <w:tc>
          <w:tcPr>
            <w:tcW w:w="1787" w:type="dxa"/>
          </w:tcPr>
          <w:p>
            <w:pPr>
              <w:pStyle w:val="TableParagraph"/>
              <w:spacing w:line="273" w:lineRule="auto" w:before="117"/>
              <w:ind w:left="200" w:right="111"/>
              <w:rPr>
                <w:sz w:val="21"/>
              </w:rPr>
            </w:pPr>
            <w:r>
              <w:rPr>
                <w:sz w:val="21"/>
              </w:rPr>
              <w:t>（十七）严重脑损伤</w:t>
            </w:r>
          </w:p>
        </w:tc>
        <w:tc>
          <w:tcPr>
            <w:tcW w:w="7013" w:type="dxa"/>
          </w:tcPr>
          <w:p>
            <w:pPr>
              <w:pStyle w:val="TableParagraph"/>
              <w:spacing w:line="273" w:lineRule="auto" w:before="117"/>
              <w:ind w:right="280"/>
              <w:rPr>
                <w:sz w:val="21"/>
              </w:rPr>
            </w:pPr>
            <w:r>
              <w:rPr>
                <w:spacing w:val="-3"/>
                <w:sz w:val="21"/>
              </w:rPr>
              <w:t>指因头部遭受机械性外力，引起脑重要部位损伤，导致神经系统永久性</w:t>
            </w:r>
            <w:r>
              <w:rPr>
                <w:spacing w:val="-3"/>
                <w:w w:val="100"/>
                <w:sz w:val="21"/>
              </w:rPr>
              <w:t>的功能障碍。须由头颅断层扫描</w:t>
            </w:r>
            <w:r>
              <w:rPr>
                <w:spacing w:val="-1"/>
                <w:w w:val="100"/>
                <w:sz w:val="21"/>
              </w:rPr>
              <w:t>（</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w:t>
            </w:r>
            <w:r>
              <w:rPr>
                <w:spacing w:val="-2"/>
                <w:w w:val="100"/>
                <w:sz w:val="21"/>
              </w:rPr>
              <w:t>或正电子</w:t>
            </w:r>
            <w:r>
              <w:rPr>
                <w:spacing w:val="-3"/>
                <w:sz w:val="21"/>
              </w:rPr>
              <w:t>发射断层扫描</w:t>
            </w:r>
            <w:r>
              <w:rPr>
                <w:sz w:val="21"/>
              </w:rPr>
              <w:t>（PET）</w:t>
            </w:r>
            <w:r>
              <w:rPr>
                <w:spacing w:val="-3"/>
                <w:sz w:val="21"/>
              </w:rPr>
              <w:t>等影像学检查证实。神经系统永久性的功能障碍， </w:t>
            </w:r>
            <w:r>
              <w:rPr>
                <w:spacing w:val="-12"/>
                <w:sz w:val="21"/>
              </w:rPr>
              <w:t>指脑损伤 </w:t>
            </w:r>
            <w:r>
              <w:rPr>
                <w:sz w:val="21"/>
              </w:rPr>
              <w:t>180</w:t>
            </w:r>
            <w:r>
              <w:rPr>
                <w:spacing w:val="-3"/>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262"/>
              <w:rPr>
                <w:sz w:val="21"/>
              </w:rPr>
            </w:pPr>
            <w:r>
              <w:rPr>
                <w:sz w:val="21"/>
              </w:rPr>
              <w:t>（3）自主生活能力完全丧失，无法独立完成六项基本日常生活活动中的三项或三项以上。</w:t>
            </w:r>
          </w:p>
        </w:tc>
      </w:tr>
      <w:tr>
        <w:trPr>
          <w:trHeight w:val="2150" w:hRule="atLeast"/>
        </w:trPr>
        <w:tc>
          <w:tcPr>
            <w:tcW w:w="1787" w:type="dxa"/>
          </w:tcPr>
          <w:p>
            <w:pPr>
              <w:pStyle w:val="TableParagraph"/>
              <w:spacing w:line="273" w:lineRule="auto" w:before="117"/>
              <w:ind w:left="200" w:right="111"/>
              <w:rPr>
                <w:sz w:val="21"/>
              </w:rPr>
            </w:pPr>
            <w:r>
              <w:rPr>
                <w:sz w:val="21"/>
              </w:rPr>
              <w:t>（十八）严重帕金森病</w:t>
            </w:r>
          </w:p>
        </w:tc>
        <w:tc>
          <w:tcPr>
            <w:tcW w:w="7013" w:type="dxa"/>
          </w:tcPr>
          <w:p>
            <w:pPr>
              <w:pStyle w:val="TableParagraph"/>
              <w:spacing w:line="273" w:lineRule="auto" w:before="117"/>
              <w:ind w:right="157"/>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6"/>
              <w:ind w:right="262"/>
              <w:rPr>
                <w:sz w:val="21"/>
              </w:rPr>
            </w:pPr>
            <w:r>
              <w:rPr>
                <w:sz w:val="21"/>
              </w:rPr>
              <w:t>（2）自主生活能力完全丧失，无法独立完成六项基本日常生活活动中的三项或三项以上。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902" w:hRule="atLeast"/>
        </w:trPr>
        <w:tc>
          <w:tcPr>
            <w:tcW w:w="1787" w:type="dxa"/>
          </w:tcPr>
          <w:p>
            <w:pPr>
              <w:pStyle w:val="TableParagraph"/>
              <w:spacing w:line="273" w:lineRule="auto" w:before="117"/>
              <w:ind w:left="200" w:right="111"/>
              <w:rPr>
                <w:sz w:val="21"/>
              </w:rPr>
            </w:pPr>
            <w:r>
              <w:rPr>
                <w:sz w:val="21"/>
              </w:rPr>
              <w:t>（十九）严重Ⅲ 度烧伤</w:t>
            </w:r>
          </w:p>
        </w:tc>
        <w:tc>
          <w:tcPr>
            <w:tcW w:w="7013" w:type="dxa"/>
          </w:tcPr>
          <w:p>
            <w:pPr>
              <w:pStyle w:val="TableParagraph"/>
              <w:spacing w:line="273" w:lineRule="auto" w:before="117"/>
              <w:ind w:right="306"/>
              <w:rPr>
                <w:sz w:val="21"/>
              </w:rPr>
            </w:pPr>
            <w:r>
              <w:rPr>
                <w:spacing w:val="-8"/>
                <w:sz w:val="21"/>
              </w:rPr>
              <w:t>指烧伤程度为Ⅲ度，且Ⅲ度烧伤的面积达到全身体表面积的 </w:t>
            </w:r>
            <w:r>
              <w:rPr>
                <w:sz w:val="21"/>
              </w:rPr>
              <w:t>20</w:t>
            </w:r>
            <w:r>
              <w:rPr>
                <w:spacing w:val="-14"/>
                <w:sz w:val="21"/>
              </w:rPr>
              <w:t>％或 </w:t>
            </w:r>
            <w:r>
              <w:rPr>
                <w:sz w:val="21"/>
              </w:rPr>
              <w:t>20％ </w:t>
            </w:r>
            <w:r>
              <w:rPr>
                <w:spacing w:val="-3"/>
                <w:sz w:val="21"/>
              </w:rPr>
              <w:t>以上。体表面积根据《中国新九分法》计算。</w:t>
            </w:r>
          </w:p>
        </w:tc>
      </w:tr>
      <w:tr>
        <w:trPr>
          <w:trHeight w:val="1220" w:hRule="atLeast"/>
        </w:trPr>
        <w:tc>
          <w:tcPr>
            <w:tcW w:w="1787" w:type="dxa"/>
          </w:tcPr>
          <w:p>
            <w:pPr>
              <w:pStyle w:val="TableParagraph"/>
              <w:spacing w:line="273" w:lineRule="auto" w:before="117"/>
              <w:ind w:left="200" w:right="111"/>
              <w:rPr>
                <w:sz w:val="21"/>
              </w:rPr>
            </w:pPr>
            <w:r>
              <w:rPr>
                <w:sz w:val="21"/>
              </w:rPr>
              <w:t>（</w:t>
            </w:r>
            <w:r>
              <w:rPr>
                <w:spacing w:val="-2"/>
                <w:sz w:val="21"/>
              </w:rPr>
              <w:t>二十</w:t>
            </w:r>
            <w:r>
              <w:rPr>
                <w:sz w:val="21"/>
              </w:rPr>
              <w:t>）</w:t>
            </w:r>
            <w:r>
              <w:rPr>
                <w:spacing w:val="-2"/>
                <w:sz w:val="21"/>
              </w:rPr>
              <w:t>严重原</w:t>
            </w:r>
            <w:r>
              <w:rPr>
                <w:spacing w:val="-3"/>
                <w:sz w:val="21"/>
              </w:rPr>
              <w:t>发性肺动脉高 压”</w:t>
            </w:r>
          </w:p>
        </w:tc>
        <w:tc>
          <w:tcPr>
            <w:tcW w:w="7013" w:type="dxa"/>
          </w:tcPr>
          <w:p>
            <w:pPr>
              <w:pStyle w:val="TableParagraph"/>
              <w:spacing w:line="261" w:lineRule="auto" w:before="117"/>
              <w:ind w:right="381"/>
              <w:jc w:val="both"/>
              <w:rPr>
                <w:sz w:val="24"/>
              </w:rPr>
            </w:pPr>
            <w:r>
              <w:rPr>
                <w:sz w:val="21"/>
              </w:rPr>
              <w:t>指不明原因的肺动脉压力持续性增高，进行性发展而导致的慢性疾病， 已经造成永久不可逆性的体力活动能力受限，达到美国纽约心脏病学会心功能状态分级IV级，且静息状态下肺动脉平均压超过30mmHg</w:t>
            </w:r>
            <w:r>
              <w:rPr>
                <w:sz w:val="24"/>
              </w:rPr>
              <w:t>。</w:t>
            </w:r>
          </w:p>
        </w:tc>
      </w:tr>
      <w:tr>
        <w:trPr>
          <w:trHeight w:val="1519" w:hRule="atLeast"/>
        </w:trPr>
        <w:tc>
          <w:tcPr>
            <w:tcW w:w="1787" w:type="dxa"/>
          </w:tcPr>
          <w:p>
            <w:pPr>
              <w:pStyle w:val="TableParagraph"/>
              <w:spacing w:line="273" w:lineRule="auto" w:before="111"/>
              <w:ind w:left="200" w:right="111"/>
              <w:rPr>
                <w:sz w:val="21"/>
              </w:rPr>
            </w:pPr>
            <w:r>
              <w:rPr>
                <w:sz w:val="21"/>
              </w:rPr>
              <w:t>（二十一）严重运动神经元病</w:t>
            </w:r>
          </w:p>
        </w:tc>
        <w:tc>
          <w:tcPr>
            <w:tcW w:w="7013" w:type="dxa"/>
          </w:tcPr>
          <w:p>
            <w:pPr>
              <w:pStyle w:val="TableParagraph"/>
              <w:spacing w:line="273" w:lineRule="auto" w:before="111"/>
              <w:ind w:right="38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23" w:hRule="atLeast"/>
        </w:trPr>
        <w:tc>
          <w:tcPr>
            <w:tcW w:w="1787" w:type="dxa"/>
          </w:tcPr>
          <w:p>
            <w:pPr>
              <w:pStyle w:val="TableParagraph"/>
              <w:spacing w:line="273" w:lineRule="auto" w:before="116"/>
              <w:ind w:left="200" w:right="111"/>
              <w:rPr>
                <w:sz w:val="21"/>
              </w:rPr>
            </w:pPr>
            <w:r>
              <w:rPr>
                <w:sz w:val="21"/>
              </w:rPr>
              <w:t>（二十二）语言能力丧失</w:t>
            </w:r>
          </w:p>
        </w:tc>
        <w:tc>
          <w:tcPr>
            <w:tcW w:w="7013" w:type="dxa"/>
          </w:tcPr>
          <w:p>
            <w:pPr>
              <w:pStyle w:val="TableParagraph"/>
              <w:spacing w:before="116"/>
              <w:rPr>
                <w:sz w:val="21"/>
              </w:rPr>
            </w:pPr>
            <w:r>
              <w:rPr>
                <w:sz w:val="21"/>
              </w:rPr>
              <w:t>指因疾病或意外伤害导致完全丧失语言能力，经过积极治疗至少 12 个月</w:t>
            </w:r>
          </w:p>
          <w:p>
            <w:pPr>
              <w:pStyle w:val="TableParagraph"/>
              <w:spacing w:line="310" w:lineRule="atLeast" w:before="2"/>
              <w:ind w:right="698"/>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tc>
      </w:tr>
    </w:tbl>
    <w:p>
      <w:pPr>
        <w:spacing w:after="0" w:line="310" w:lineRule="atLeast"/>
        <w:rPr>
          <w:sz w:val="21"/>
        </w:rPr>
        <w:sectPr>
          <w:pgSz w:w="11910" w:h="16840"/>
          <w:pgMar w:top="1460" w:bottom="280" w:left="1680" w:right="900"/>
        </w:sectPr>
      </w:pPr>
    </w:p>
    <w:tbl>
      <w:tblPr>
        <w:tblW w:w="0" w:type="auto"/>
        <w:jc w:val="left"/>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7010"/>
      </w:tblGrid>
      <w:tr>
        <w:trPr>
          <w:trHeight w:val="2273" w:hRule="atLeast"/>
        </w:trPr>
        <w:tc>
          <w:tcPr>
            <w:tcW w:w="1787" w:type="dxa"/>
          </w:tcPr>
          <w:p>
            <w:pPr>
              <w:pStyle w:val="TableParagraph"/>
              <w:spacing w:line="202" w:lineRule="exact"/>
              <w:ind w:left="200"/>
              <w:rPr>
                <w:sz w:val="21"/>
              </w:rPr>
            </w:pPr>
            <w:r>
              <w:rPr>
                <w:sz w:val="21"/>
              </w:rPr>
              <w:t>（二十三）重型</w:t>
            </w:r>
          </w:p>
          <w:p>
            <w:pPr>
              <w:pStyle w:val="TableParagraph"/>
              <w:spacing w:before="37"/>
              <w:ind w:left="200"/>
              <w:rPr>
                <w:sz w:val="21"/>
              </w:rPr>
            </w:pPr>
            <w:r>
              <w:rPr>
                <w:sz w:val="21"/>
              </w:rPr>
              <w:t>再生障碍性贫血</w:t>
            </w:r>
          </w:p>
        </w:tc>
        <w:tc>
          <w:tcPr>
            <w:tcW w:w="7010" w:type="dxa"/>
          </w:tcPr>
          <w:p>
            <w:pPr>
              <w:pStyle w:val="TableParagraph"/>
              <w:spacing w:line="202" w:lineRule="exact"/>
              <w:rPr>
                <w:sz w:val="21"/>
              </w:rPr>
            </w:pPr>
            <w:r>
              <w:rPr>
                <w:sz w:val="21"/>
              </w:rPr>
              <w:t>指因骨髓造血功能慢性持续性衰竭导致的贫血、中性粒细胞减少及血小</w:t>
            </w:r>
          </w:p>
          <w:p>
            <w:pPr>
              <w:pStyle w:val="TableParagraph"/>
              <w:spacing w:before="37"/>
              <w:rPr>
                <w:sz w:val="21"/>
              </w:rPr>
            </w:pPr>
            <w:r>
              <w:rPr>
                <w:sz w:val="21"/>
              </w:rPr>
              <w:t>板减少。须满足下列全部条件：</w:t>
            </w:r>
          </w:p>
          <w:p>
            <w:pPr>
              <w:pStyle w:val="TableParagraph"/>
              <w:spacing w:before="36"/>
              <w:rPr>
                <w:sz w:val="21"/>
              </w:rPr>
            </w:pPr>
            <w:r>
              <w:rPr>
                <w:sz w:val="21"/>
              </w:rPr>
              <w:t>（1）骨髓穿刺检查或骨髓活检结果支持诊断；</w:t>
            </w:r>
          </w:p>
          <w:p>
            <w:pPr>
              <w:pStyle w:val="TableParagraph"/>
              <w:spacing w:before="36"/>
              <w:rPr>
                <w:sz w:val="21"/>
              </w:rPr>
            </w:pPr>
            <w:r>
              <w:rPr>
                <w:sz w:val="21"/>
              </w:rPr>
              <w:t>（2）外周血象须具备以下三项条件：</w:t>
            </w:r>
          </w:p>
          <w:p>
            <w:pPr>
              <w:pStyle w:val="TableParagraph"/>
              <w:spacing w:before="36"/>
              <w:rPr>
                <w:sz w:val="21"/>
              </w:rPr>
            </w:pPr>
            <w:r>
              <w:rPr>
                <w:sz w:val="21"/>
              </w:rPr>
              <w:t>① 中性粒细胞绝对值≤0.5×10</w:t>
            </w:r>
            <w:r>
              <w:rPr>
                <w:position w:val="11"/>
                <w:sz w:val="11"/>
              </w:rPr>
              <w:t>9</w:t>
            </w:r>
            <w:r>
              <w:rPr>
                <w:sz w:val="21"/>
              </w:rPr>
              <w:t>/L ；</w:t>
            </w:r>
          </w:p>
          <w:p>
            <w:pPr>
              <w:pStyle w:val="TableParagraph"/>
              <w:spacing w:before="36"/>
              <w:rPr>
                <w:sz w:val="21"/>
              </w:rPr>
            </w:pPr>
            <w:r>
              <w:rPr>
                <w:sz w:val="21"/>
              </w:rPr>
              <w:t>② 网织红细胞＜1%；</w:t>
            </w:r>
          </w:p>
          <w:p>
            <w:pPr>
              <w:pStyle w:val="TableParagraph"/>
              <w:spacing w:before="36"/>
              <w:rPr>
                <w:sz w:val="21"/>
              </w:rPr>
            </w:pPr>
            <w:r>
              <w:rPr>
                <w:sz w:val="21"/>
              </w:rPr>
              <w:t>③ 血小板绝对值≤20×10</w:t>
            </w:r>
            <w:r>
              <w:rPr>
                <w:position w:val="11"/>
                <w:sz w:val="11"/>
              </w:rPr>
              <w:t>9</w:t>
            </w:r>
            <w:r>
              <w:rPr>
                <w:sz w:val="21"/>
              </w:rPr>
              <w:t>/L。</w:t>
            </w:r>
          </w:p>
        </w:tc>
      </w:tr>
      <w:tr>
        <w:trPr>
          <w:trHeight w:val="1525" w:hRule="atLeast"/>
        </w:trPr>
        <w:tc>
          <w:tcPr>
            <w:tcW w:w="1787" w:type="dxa"/>
          </w:tcPr>
          <w:p>
            <w:pPr>
              <w:pStyle w:val="TableParagraph"/>
              <w:spacing w:line="273" w:lineRule="auto" w:before="117"/>
              <w:ind w:left="200" w:right="111"/>
              <w:rPr>
                <w:sz w:val="21"/>
              </w:rPr>
            </w:pPr>
            <w:r>
              <w:rPr>
                <w:sz w:val="21"/>
              </w:rPr>
              <w:t>（二十四）主动脉手术</w:t>
            </w:r>
          </w:p>
        </w:tc>
        <w:tc>
          <w:tcPr>
            <w:tcW w:w="7010" w:type="dxa"/>
          </w:tcPr>
          <w:p>
            <w:pPr>
              <w:pStyle w:val="TableParagraph"/>
              <w:spacing w:line="273" w:lineRule="auto" w:before="117"/>
              <w:ind w:right="378"/>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
              <w:jc w:val="both"/>
              <w:rPr>
                <w:sz w:val="21"/>
              </w:rPr>
            </w:pPr>
            <w:r>
              <w:rPr>
                <w:sz w:val="21"/>
              </w:rPr>
              <w:t>动脉内血管成形术不在保障范围内。</w:t>
            </w:r>
          </w:p>
        </w:tc>
      </w:tr>
      <w:tr>
        <w:trPr>
          <w:trHeight w:val="2461" w:hRule="atLeast"/>
        </w:trPr>
        <w:tc>
          <w:tcPr>
            <w:tcW w:w="1787" w:type="dxa"/>
          </w:tcPr>
          <w:p>
            <w:pPr>
              <w:pStyle w:val="TableParagraph"/>
              <w:spacing w:line="273" w:lineRule="auto" w:before="116"/>
              <w:ind w:left="200" w:right="111"/>
              <w:rPr>
                <w:sz w:val="21"/>
              </w:rPr>
            </w:pPr>
            <w:r>
              <w:rPr>
                <w:sz w:val="21"/>
              </w:rPr>
              <w:t>（二十五）慢性呼吸功能衰竭</w:t>
            </w:r>
          </w:p>
        </w:tc>
        <w:tc>
          <w:tcPr>
            <w:tcW w:w="7010" w:type="dxa"/>
          </w:tcPr>
          <w:p>
            <w:pPr>
              <w:pStyle w:val="TableParagraph"/>
              <w:spacing w:before="11"/>
              <w:ind w:left="0"/>
              <w:rPr>
                <w:b/>
                <w:sz w:val="14"/>
              </w:rPr>
            </w:pPr>
          </w:p>
          <w:p>
            <w:pPr>
              <w:pStyle w:val="TableParagraph"/>
              <w:spacing w:line="273" w:lineRule="auto" w:before="1"/>
              <w:ind w:right="378"/>
              <w:rPr>
                <w:sz w:val="21"/>
              </w:rPr>
            </w:pPr>
            <w:r>
              <w:rPr>
                <w:sz w:val="21"/>
              </w:rPr>
              <w:t>慢性肺部疾病导致永久不可逆性的慢性呼吸功能衰竭。慢性呼吸功能衰竭必须明确诊断并满足下列全部条件：</w:t>
            </w:r>
          </w:p>
          <w:p>
            <w:pPr>
              <w:pStyle w:val="TableParagraph"/>
              <w:spacing w:before="87"/>
              <w:rPr>
                <w:sz w:val="21"/>
              </w:rPr>
            </w:pPr>
            <w:r>
              <w:rPr>
                <w:sz w:val="21"/>
              </w:rPr>
              <w:t>（1）动脉血氧分压（PaO2）&lt;50mmHg；</w:t>
            </w:r>
          </w:p>
          <w:p>
            <w:pPr>
              <w:pStyle w:val="TableParagraph"/>
              <w:spacing w:before="114"/>
              <w:rPr>
                <w:sz w:val="21"/>
              </w:rPr>
            </w:pPr>
            <w:r>
              <w:rPr>
                <w:sz w:val="21"/>
              </w:rPr>
              <w:t>（2）动脉血氧饱和度（SaO2）&lt;80％；</w:t>
            </w:r>
          </w:p>
          <w:p>
            <w:pPr>
              <w:pStyle w:val="TableParagraph"/>
              <w:spacing w:before="116"/>
              <w:rPr>
                <w:sz w:val="21"/>
              </w:rPr>
            </w:pPr>
            <w:r>
              <w:rPr>
                <w:sz w:val="21"/>
              </w:rPr>
              <w:t>（3）因缺氧必须接受持续的输氧治疗。</w:t>
            </w:r>
          </w:p>
          <w:p>
            <w:pPr>
              <w:pStyle w:val="TableParagraph"/>
              <w:spacing w:before="34"/>
              <w:rPr>
                <w:sz w:val="21"/>
              </w:rPr>
            </w:pPr>
            <w:r>
              <w:rPr>
                <w:sz w:val="21"/>
              </w:rPr>
              <w:t>理赔时必须提供以上三项相应的证明文件或检查报告。</w:t>
            </w:r>
          </w:p>
        </w:tc>
      </w:tr>
      <w:tr>
        <w:trPr>
          <w:trHeight w:val="2462" w:hRule="atLeast"/>
        </w:trPr>
        <w:tc>
          <w:tcPr>
            <w:tcW w:w="1787" w:type="dxa"/>
          </w:tcPr>
          <w:p>
            <w:pPr>
              <w:pStyle w:val="TableParagraph"/>
              <w:spacing w:line="273" w:lineRule="auto" w:before="117"/>
              <w:ind w:left="200" w:right="111"/>
              <w:jc w:val="both"/>
              <w:rPr>
                <w:sz w:val="21"/>
              </w:rPr>
            </w:pPr>
            <w:r>
              <w:rPr>
                <w:sz w:val="21"/>
              </w:rPr>
              <w:t>（二十六）经输血导致的人类免疫缺陷病毒感染</w:t>
            </w:r>
          </w:p>
          <w:p>
            <w:pPr>
              <w:pStyle w:val="TableParagraph"/>
              <w:spacing w:before="7"/>
              <w:ind w:left="200"/>
              <w:jc w:val="both"/>
              <w:rPr>
                <w:sz w:val="21"/>
              </w:rPr>
            </w:pPr>
            <w:r>
              <w:rPr>
                <w:sz w:val="21"/>
              </w:rPr>
              <w:t>（HIV）</w:t>
            </w:r>
          </w:p>
        </w:tc>
        <w:tc>
          <w:tcPr>
            <w:tcW w:w="7010" w:type="dxa"/>
          </w:tcPr>
          <w:p>
            <w:pPr>
              <w:pStyle w:val="TableParagraph"/>
              <w:spacing w:before="117"/>
              <w:rPr>
                <w:sz w:val="21"/>
              </w:rPr>
            </w:pPr>
            <w:r>
              <w:rPr>
                <w:sz w:val="21"/>
              </w:rPr>
              <w:t>被保险人因输血而感染上人类免疫缺陷病毒（HIV）必须满足以下的条件：</w:t>
            </w:r>
          </w:p>
          <w:p>
            <w:pPr>
              <w:pStyle w:val="TableParagraph"/>
              <w:spacing w:before="37"/>
              <w:rPr>
                <w:sz w:val="21"/>
              </w:rPr>
            </w:pPr>
            <w:r>
              <w:rPr>
                <w:sz w:val="21"/>
              </w:rPr>
              <w:t>（1）在保障起始日或复效日之后，被保险人因输血而感染HIV；</w:t>
            </w:r>
          </w:p>
          <w:p>
            <w:pPr>
              <w:pStyle w:val="TableParagraph"/>
              <w:spacing w:line="273" w:lineRule="auto" w:before="36"/>
              <w:ind w:right="252"/>
              <w:rPr>
                <w:sz w:val="21"/>
              </w:rPr>
            </w:pPr>
            <w:r>
              <w:rPr>
                <w:sz w:val="21"/>
              </w:rPr>
              <w:t>（2）提供输血前一个月内HIV检查阴性的报告以及输血后HIV检查阳性的报告。</w:t>
            </w:r>
          </w:p>
          <w:p>
            <w:pPr>
              <w:pStyle w:val="TableParagraph"/>
              <w:spacing w:line="273" w:lineRule="auto" w:before="7"/>
              <w:ind w:right="301"/>
              <w:jc w:val="both"/>
              <w:rPr>
                <w:sz w:val="21"/>
              </w:rPr>
            </w:pPr>
            <w:r>
              <w:rPr>
                <w:spacing w:val="-5"/>
                <w:sz w:val="21"/>
              </w:rPr>
              <w:t>任何因其他传播方式</w:t>
            </w:r>
            <w:r>
              <w:rPr>
                <w:sz w:val="21"/>
              </w:rPr>
              <w:t>（</w:t>
            </w:r>
            <w:r>
              <w:rPr>
                <w:spacing w:val="-4"/>
                <w:sz w:val="21"/>
              </w:rPr>
              <w:t>包括：性传播或静脉注射毒品</w:t>
            </w:r>
            <w:r>
              <w:rPr>
                <w:spacing w:val="-10"/>
                <w:sz w:val="21"/>
              </w:rPr>
              <w:t>）</w:t>
            </w:r>
            <w:r>
              <w:rPr>
                <w:spacing w:val="-2"/>
                <w:sz w:val="21"/>
              </w:rPr>
              <w:t>导致的</w:t>
            </w:r>
            <w:r>
              <w:rPr>
                <w:sz w:val="21"/>
              </w:rPr>
              <w:t>HIV</w:t>
            </w:r>
            <w:r>
              <w:rPr>
                <w:spacing w:val="-2"/>
                <w:sz w:val="21"/>
              </w:rPr>
              <w:t>感染不在本保单保障范围内。保险公司必须拥有获得使用被保险人的所有血液</w:t>
            </w:r>
            <w:r>
              <w:rPr>
                <w:spacing w:val="-3"/>
                <w:sz w:val="21"/>
              </w:rPr>
              <w:t>样本的权利和能够对这些样本进行独立检验的权利。</w:t>
            </w:r>
          </w:p>
        </w:tc>
      </w:tr>
      <w:tr>
        <w:trPr>
          <w:trHeight w:val="2150" w:hRule="atLeast"/>
        </w:trPr>
        <w:tc>
          <w:tcPr>
            <w:tcW w:w="1787" w:type="dxa"/>
          </w:tcPr>
          <w:p>
            <w:pPr>
              <w:pStyle w:val="TableParagraph"/>
              <w:spacing w:line="273" w:lineRule="auto" w:before="117"/>
              <w:ind w:left="200" w:right="111"/>
              <w:rPr>
                <w:sz w:val="21"/>
              </w:rPr>
            </w:pPr>
            <w:r>
              <w:rPr>
                <w:sz w:val="21"/>
              </w:rPr>
              <w:t>（二十七）系统性硬皮病</w:t>
            </w:r>
          </w:p>
        </w:tc>
        <w:tc>
          <w:tcPr>
            <w:tcW w:w="7010" w:type="dxa"/>
          </w:tcPr>
          <w:p>
            <w:pPr>
              <w:pStyle w:val="TableParagraph"/>
              <w:spacing w:line="273" w:lineRule="auto" w:before="117"/>
              <w:ind w:right="301"/>
              <w:jc w:val="both"/>
              <w:rPr>
                <w:sz w:val="21"/>
              </w:rPr>
            </w:pPr>
            <w:r>
              <w:rPr>
                <w:spacing w:val="-5"/>
                <w:w w:val="100"/>
                <w:sz w:val="21"/>
              </w:rPr>
              <w:t>系统性硬皮病</w:t>
            </w:r>
            <w:r>
              <w:rPr>
                <w:spacing w:val="-3"/>
                <w:w w:val="100"/>
                <w:sz w:val="21"/>
              </w:rPr>
              <w:t>（须累及内脏器官</w:t>
            </w:r>
            <w:r>
              <w:rPr>
                <w:spacing w:val="-106"/>
                <w:w w:val="100"/>
                <w:sz w:val="21"/>
              </w:rPr>
              <w:t>）</w:t>
            </w:r>
            <w:r>
              <w:rPr>
                <w:spacing w:val="-5"/>
                <w:w w:val="100"/>
                <w:sz w:val="21"/>
              </w:rPr>
              <w:t>，指一种以局限性或弥漫性皮肤增厚和</w:t>
            </w:r>
            <w:r>
              <w:rPr>
                <w:spacing w:val="-5"/>
                <w:sz w:val="21"/>
              </w:rPr>
              <w:t>皮肤、血管、内脏器官异常纤维化为特征的结缔组织病。本病须经专科</w:t>
            </w:r>
            <w:r>
              <w:rPr>
                <w:spacing w:val="-4"/>
                <w:sz w:val="21"/>
              </w:rPr>
              <w:t>医师明确诊断，并须满足下列至少一项条件：</w:t>
            </w:r>
          </w:p>
          <w:p>
            <w:pPr>
              <w:pStyle w:val="TableParagraph"/>
              <w:spacing w:before="7"/>
              <w:jc w:val="both"/>
              <w:rPr>
                <w:sz w:val="21"/>
              </w:rPr>
            </w:pPr>
            <w:r>
              <w:rPr>
                <w:sz w:val="21"/>
              </w:rPr>
              <w:t>（1）肺脏：肺部病变进而发展为肺间质纤维化和肺动脉高压；</w:t>
            </w:r>
          </w:p>
          <w:p>
            <w:pPr>
              <w:pStyle w:val="TableParagraph"/>
              <w:spacing w:before="37"/>
              <w:jc w:val="both"/>
              <w:rPr>
                <w:sz w:val="21"/>
              </w:rPr>
            </w:pPr>
            <w:r>
              <w:rPr>
                <w:sz w:val="21"/>
              </w:rPr>
              <w:t>（2）心脏：心功能受损达到美国纽约心脏病学会心功能状态分级IV级；</w:t>
            </w:r>
          </w:p>
          <w:p>
            <w:pPr>
              <w:pStyle w:val="TableParagraph"/>
              <w:spacing w:before="37"/>
              <w:jc w:val="both"/>
              <w:rPr>
                <w:sz w:val="21"/>
              </w:rPr>
            </w:pPr>
            <w:r>
              <w:rPr>
                <w:sz w:val="21"/>
              </w:rPr>
              <w:t>（3）肾脏：肾脏受损导致双肾功能慢性不可逆衰竭，达到尿毒症期。</w:t>
            </w:r>
          </w:p>
        </w:tc>
      </w:tr>
      <w:tr>
        <w:trPr>
          <w:trHeight w:val="1214" w:hRule="atLeast"/>
        </w:trPr>
        <w:tc>
          <w:tcPr>
            <w:tcW w:w="1787" w:type="dxa"/>
          </w:tcPr>
          <w:p>
            <w:pPr>
              <w:pStyle w:val="TableParagraph"/>
              <w:spacing w:line="273" w:lineRule="auto" w:before="117"/>
              <w:ind w:left="200" w:right="111"/>
              <w:rPr>
                <w:sz w:val="21"/>
              </w:rPr>
            </w:pPr>
            <w:r>
              <w:rPr>
                <w:sz w:val="21"/>
              </w:rPr>
              <w:t>（二十八）严重克隆病</w:t>
            </w:r>
          </w:p>
        </w:tc>
        <w:tc>
          <w:tcPr>
            <w:tcW w:w="7010" w:type="dxa"/>
          </w:tcPr>
          <w:p>
            <w:pPr>
              <w:pStyle w:val="TableParagraph"/>
              <w:spacing w:line="273" w:lineRule="auto" w:before="117"/>
              <w:ind w:right="155"/>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649" w:hRule="atLeast"/>
        </w:trPr>
        <w:tc>
          <w:tcPr>
            <w:tcW w:w="1787" w:type="dxa"/>
          </w:tcPr>
          <w:p>
            <w:pPr>
              <w:pStyle w:val="TableParagraph"/>
              <w:spacing w:line="273" w:lineRule="auto" w:before="117"/>
              <w:ind w:left="200" w:right="111"/>
              <w:rPr>
                <w:sz w:val="21"/>
              </w:rPr>
            </w:pPr>
            <w:r>
              <w:rPr>
                <w:sz w:val="21"/>
              </w:rPr>
              <w:t>（二十九）多发性硬化</w:t>
            </w:r>
          </w:p>
        </w:tc>
        <w:tc>
          <w:tcPr>
            <w:tcW w:w="7010" w:type="dxa"/>
          </w:tcPr>
          <w:p>
            <w:pPr>
              <w:pStyle w:val="TableParagraph"/>
              <w:spacing w:line="273" w:lineRule="auto" w:before="117"/>
              <w:ind w:right="304"/>
              <w:jc w:val="both"/>
              <w:rPr>
                <w:sz w:val="21"/>
              </w:rPr>
            </w:pPr>
            <w:r>
              <w:rPr>
                <w:sz w:val="21"/>
              </w:rPr>
              <w:t>被保险人因脑及脊髓内的脱髓鞘病变而出现神经系统多灶性（多发性） </w:t>
            </w:r>
            <w:r>
              <w:rPr>
                <w:spacing w:val="-3"/>
                <w:sz w:val="21"/>
              </w:rPr>
              <w:t>多时相（</w:t>
            </w:r>
            <w:r>
              <w:rPr>
                <w:sz w:val="21"/>
              </w:rPr>
              <w:t>至少</w:t>
            </w:r>
            <w:r>
              <w:rPr>
                <w:spacing w:val="-3"/>
                <w:sz w:val="21"/>
              </w:rPr>
              <w:t>6</w:t>
            </w:r>
            <w:r>
              <w:rPr>
                <w:spacing w:val="-4"/>
                <w:sz w:val="21"/>
              </w:rPr>
              <w:t>个月以内有一次以上</w:t>
            </w:r>
            <w:r>
              <w:rPr>
                <w:sz w:val="21"/>
              </w:rPr>
              <w:t>（</w:t>
            </w:r>
            <w:r>
              <w:rPr>
                <w:spacing w:val="-3"/>
                <w:sz w:val="21"/>
              </w:rPr>
              <w:t>不包含一次</w:t>
            </w:r>
            <w:r>
              <w:rPr>
                <w:spacing w:val="-8"/>
                <w:sz w:val="21"/>
              </w:rPr>
              <w:t>）</w:t>
            </w:r>
            <w:r>
              <w:rPr>
                <w:spacing w:val="-1"/>
                <w:sz w:val="21"/>
              </w:rPr>
              <w:t>的发作</w:t>
            </w:r>
            <w:r>
              <w:rPr>
                <w:spacing w:val="-8"/>
                <w:sz w:val="21"/>
              </w:rPr>
              <w:t>）</w:t>
            </w:r>
            <w:r>
              <w:rPr>
                <w:spacing w:val="-4"/>
                <w:sz w:val="21"/>
              </w:rPr>
              <w:t>的病变，须</w:t>
            </w:r>
            <w:r>
              <w:rPr>
                <w:w w:val="100"/>
                <w:sz w:val="21"/>
              </w:rPr>
              <w:t>由计算机断层扫描</w:t>
            </w:r>
            <w:r>
              <w:rPr>
                <w:spacing w:val="2"/>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p>
          <w:p>
            <w:pPr>
              <w:pStyle w:val="TableParagraph"/>
              <w:spacing w:line="312" w:lineRule="exact" w:before="3"/>
              <w:ind w:right="301"/>
              <w:jc w:val="both"/>
              <w:rPr>
                <w:sz w:val="21"/>
              </w:rPr>
            </w:pPr>
            <w:r>
              <w:rPr>
                <w:spacing w:val="-3"/>
                <w:sz w:val="21"/>
              </w:rPr>
              <w:t>（PET）</w:t>
            </w:r>
            <w:r>
              <w:rPr>
                <w:spacing w:val="-5"/>
                <w:sz w:val="21"/>
              </w:rPr>
              <w:t>等影像学检查证实，且已经造成自主生活能力完全丧失，无法独</w:t>
            </w:r>
            <w:r>
              <w:rPr>
                <w:spacing w:val="-3"/>
                <w:sz w:val="21"/>
              </w:rPr>
              <w:t>立完成六项基本日常生活活动中的三项或三项以上，持续至少</w:t>
            </w:r>
            <w:r>
              <w:rPr>
                <w:sz w:val="21"/>
              </w:rPr>
              <w:t>180天。</w:t>
            </w:r>
          </w:p>
        </w:tc>
      </w:tr>
    </w:tbl>
    <w:p>
      <w:pPr>
        <w:spacing w:after="0" w:line="312" w:lineRule="exact"/>
        <w:jc w:val="both"/>
        <w:rPr>
          <w:sz w:val="21"/>
        </w:rPr>
        <w:sectPr>
          <w:pgSz w:w="11910" w:h="16840"/>
          <w:pgMar w:top="1460" w:bottom="280" w:left="1680" w:right="900"/>
        </w:sectPr>
      </w:pPr>
    </w:p>
    <w:p>
      <w:pPr>
        <w:pStyle w:val="BodyText"/>
        <w:rPr>
          <w:rFonts w:ascii="Times New Roman"/>
          <w:sz w:val="13"/>
        </w:rPr>
      </w:pPr>
    </w:p>
    <w:tbl>
      <w:tblPr>
        <w:tblW w:w="0" w:type="auto"/>
        <w:jc w:val="left"/>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7010"/>
      </w:tblGrid>
      <w:tr>
        <w:trPr>
          <w:trHeight w:val="1959" w:hRule="atLeast"/>
        </w:trPr>
        <w:tc>
          <w:tcPr>
            <w:tcW w:w="1787" w:type="dxa"/>
          </w:tcPr>
          <w:p>
            <w:pPr>
              <w:pStyle w:val="TableParagraph"/>
              <w:spacing w:line="211" w:lineRule="exact"/>
              <w:ind w:left="200"/>
              <w:rPr>
                <w:sz w:val="21"/>
              </w:rPr>
            </w:pPr>
            <w:r>
              <w:rPr>
                <w:sz w:val="21"/>
              </w:rPr>
              <w:t>（三十）严重肌</w:t>
            </w:r>
          </w:p>
          <w:p>
            <w:pPr>
              <w:pStyle w:val="TableParagraph"/>
              <w:spacing w:before="37"/>
              <w:ind w:left="200"/>
              <w:rPr>
                <w:sz w:val="21"/>
              </w:rPr>
            </w:pPr>
            <w:r>
              <w:rPr>
                <w:sz w:val="21"/>
              </w:rPr>
              <w:t>营养不良</w:t>
            </w:r>
          </w:p>
        </w:tc>
        <w:tc>
          <w:tcPr>
            <w:tcW w:w="7010" w:type="dxa"/>
          </w:tcPr>
          <w:p>
            <w:pPr>
              <w:pStyle w:val="TableParagraph"/>
              <w:spacing w:line="211" w:lineRule="exact"/>
              <w:rPr>
                <w:sz w:val="21"/>
              </w:rPr>
            </w:pPr>
            <w:r>
              <w:rPr>
                <w:sz w:val="21"/>
              </w:rPr>
              <w:t>指一组原发于肌肉的遗传性疾病，临床表现为与神经系统无关的肌肉无</w:t>
            </w:r>
          </w:p>
          <w:p>
            <w:pPr>
              <w:pStyle w:val="TableParagraph"/>
              <w:spacing w:before="37"/>
              <w:rPr>
                <w:sz w:val="21"/>
              </w:rPr>
            </w:pPr>
            <w:r>
              <w:rPr>
                <w:sz w:val="21"/>
              </w:rPr>
              <w:t>力和肌肉萎缩。须满足下列全部条件：</w:t>
            </w:r>
          </w:p>
          <w:p>
            <w:pPr>
              <w:pStyle w:val="TableParagraph"/>
              <w:spacing w:line="273" w:lineRule="auto" w:before="37"/>
              <w:ind w:right="251"/>
              <w:rPr>
                <w:sz w:val="21"/>
              </w:rPr>
            </w:pPr>
            <w:r>
              <w:rPr>
                <w:sz w:val="21"/>
              </w:rPr>
              <w:t>（1）肌肉组织活检结果满足肌营养不良症的肌肉细胞变性、坏死等阳性改变；</w:t>
            </w:r>
          </w:p>
          <w:p>
            <w:pPr>
              <w:pStyle w:val="TableParagraph"/>
              <w:spacing w:line="273" w:lineRule="auto" w:before="7"/>
              <w:ind w:right="259"/>
              <w:rPr>
                <w:sz w:val="21"/>
              </w:rPr>
            </w:pPr>
            <w:r>
              <w:rPr>
                <w:sz w:val="21"/>
              </w:rPr>
              <w:t>（2）自主生活能力完全丧失，无法独立完成六项基本日常生活活动中的三项或三项以上。</w:t>
            </w:r>
          </w:p>
        </w:tc>
      </w:tr>
      <w:tr>
        <w:trPr>
          <w:trHeight w:val="1525" w:hRule="atLeast"/>
        </w:trPr>
        <w:tc>
          <w:tcPr>
            <w:tcW w:w="1787" w:type="dxa"/>
          </w:tcPr>
          <w:p>
            <w:pPr>
              <w:pStyle w:val="TableParagraph"/>
              <w:spacing w:line="273" w:lineRule="auto" w:before="124"/>
              <w:ind w:left="200" w:right="111"/>
              <w:rPr>
                <w:sz w:val="21"/>
              </w:rPr>
            </w:pPr>
            <w:r>
              <w:rPr>
                <w:sz w:val="21"/>
              </w:rPr>
              <w:t>（三十一）颅脑手术</w:t>
            </w:r>
          </w:p>
        </w:tc>
        <w:tc>
          <w:tcPr>
            <w:tcW w:w="7010" w:type="dxa"/>
          </w:tcPr>
          <w:p>
            <w:pPr>
              <w:pStyle w:val="TableParagraph"/>
              <w:spacing w:line="273" w:lineRule="auto" w:before="124"/>
              <w:ind w:right="304"/>
              <w:rPr>
                <w:sz w:val="21"/>
              </w:rPr>
            </w:pPr>
            <w:r>
              <w:rPr>
                <w:sz w:val="21"/>
              </w:rPr>
              <w:t>被保险人确已实施全麻下的开颅手术（不包括颅骨钻孔手术和经鼻蝶窦</w:t>
            </w:r>
            <w:r>
              <w:rPr>
                <w:spacing w:val="-1"/>
                <w:sz w:val="21"/>
              </w:rPr>
              <w:t>入颅手术</w:t>
            </w:r>
            <w:r>
              <w:rPr>
                <w:spacing w:val="-108"/>
                <w:sz w:val="21"/>
              </w:rPr>
              <w:t>）</w:t>
            </w:r>
            <w:r>
              <w:rPr>
                <w:sz w:val="21"/>
              </w:rPr>
              <w:t>。</w:t>
            </w:r>
          </w:p>
          <w:p>
            <w:pPr>
              <w:pStyle w:val="TableParagraph"/>
              <w:spacing w:before="7"/>
              <w:rPr>
                <w:sz w:val="21"/>
              </w:rPr>
            </w:pPr>
            <w:r>
              <w:rPr>
                <w:sz w:val="21"/>
              </w:rPr>
              <w:t>因外伤而实施的脑外科手术不在保障范围之内。</w:t>
            </w:r>
          </w:p>
          <w:p>
            <w:pPr>
              <w:pStyle w:val="TableParagraph"/>
              <w:spacing w:before="37"/>
              <w:rPr>
                <w:sz w:val="21"/>
              </w:rPr>
            </w:pPr>
            <w:r>
              <w:rPr>
                <w:sz w:val="21"/>
              </w:rPr>
              <w:t>理赔时必须提供由神经外科医生出具的诊断书及手术报告。</w:t>
            </w:r>
          </w:p>
        </w:tc>
      </w:tr>
      <w:tr>
        <w:trPr>
          <w:trHeight w:val="3398" w:hRule="atLeast"/>
        </w:trPr>
        <w:tc>
          <w:tcPr>
            <w:tcW w:w="1787" w:type="dxa"/>
          </w:tcPr>
          <w:p>
            <w:pPr>
              <w:pStyle w:val="TableParagraph"/>
              <w:spacing w:line="273" w:lineRule="auto" w:before="126"/>
              <w:ind w:left="200" w:right="111"/>
              <w:rPr>
                <w:sz w:val="21"/>
              </w:rPr>
            </w:pPr>
            <w:r>
              <w:rPr>
                <w:sz w:val="21"/>
              </w:rPr>
              <w:t>（三十二）重症肌无力</w:t>
            </w:r>
          </w:p>
        </w:tc>
        <w:tc>
          <w:tcPr>
            <w:tcW w:w="7010" w:type="dxa"/>
          </w:tcPr>
          <w:p>
            <w:pPr>
              <w:pStyle w:val="TableParagraph"/>
              <w:spacing w:line="273" w:lineRule="auto" w:before="126"/>
              <w:ind w:right="309"/>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before="8"/>
              <w:rPr>
                <w:sz w:val="21"/>
              </w:rPr>
            </w:pPr>
            <w:r>
              <w:rPr>
                <w:sz w:val="21"/>
              </w:rPr>
              <w:t>（1）经药物、胸腺手术治疗一年以上无法控制病情，丧失正常工作能力；</w:t>
            </w:r>
          </w:p>
          <w:p>
            <w:pPr>
              <w:pStyle w:val="TableParagraph"/>
              <w:spacing w:line="273" w:lineRule="auto" w:before="37"/>
              <w:ind w:right="303"/>
              <w:jc w:val="both"/>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73" w:lineRule="auto" w:before="7"/>
              <w:ind w:right="301"/>
              <w:jc w:val="both"/>
              <w:rPr>
                <w:sz w:val="21"/>
              </w:rPr>
            </w:pPr>
            <w:r>
              <w:rPr>
                <w:spacing w:val="-4"/>
                <w:sz w:val="21"/>
              </w:rPr>
              <w:t>（3）</w:t>
            </w:r>
            <w:r>
              <w:rPr>
                <w:spacing w:val="-6"/>
                <w:sz w:val="21"/>
              </w:rPr>
              <w:t>症状缓解、复发及恶化交替出现，临床接受新斯的明等抗胆碱酯酶</w:t>
            </w:r>
            <w:r>
              <w:rPr>
                <w:spacing w:val="-4"/>
                <w:sz w:val="21"/>
              </w:rPr>
              <w:t>药物治疗的病史。</w:t>
            </w:r>
          </w:p>
        </w:tc>
      </w:tr>
      <w:tr>
        <w:trPr>
          <w:trHeight w:val="1838" w:hRule="atLeast"/>
        </w:trPr>
        <w:tc>
          <w:tcPr>
            <w:tcW w:w="1787" w:type="dxa"/>
          </w:tcPr>
          <w:p>
            <w:pPr>
              <w:pStyle w:val="TableParagraph"/>
              <w:spacing w:line="273" w:lineRule="auto" w:before="126"/>
              <w:ind w:left="200" w:right="111"/>
              <w:rPr>
                <w:sz w:val="21"/>
              </w:rPr>
            </w:pPr>
            <w:r>
              <w:rPr>
                <w:sz w:val="21"/>
              </w:rPr>
              <w:t>（三十三）植物人状态</w:t>
            </w:r>
          </w:p>
        </w:tc>
        <w:tc>
          <w:tcPr>
            <w:tcW w:w="7010" w:type="dxa"/>
          </w:tcPr>
          <w:p>
            <w:pPr>
              <w:pStyle w:val="TableParagraph"/>
              <w:spacing w:line="273" w:lineRule="auto" w:before="126"/>
              <w:ind w:right="303"/>
              <w:jc w:val="both"/>
              <w:rPr>
                <w:sz w:val="21"/>
              </w:rPr>
            </w:pPr>
            <w:r>
              <w:rPr>
                <w:sz w:val="21"/>
              </w:rPr>
              <w:t>一种丧失生理、意识和交流功能后的临床依赖状态。可以是由脑外伤、缺氧持续状态、严重的脑炎或者某种神经毒素造成。患者无法从事主动或者有目的的活动，而只能对疼痛刺激产生反应。被保险人需要在医院</w:t>
            </w:r>
            <w:r>
              <w:rPr>
                <w:spacing w:val="-6"/>
                <w:sz w:val="21"/>
              </w:rPr>
              <w:t>使用辅助机器维持生命。只有在因植物人状态住院</w:t>
            </w:r>
            <w:r>
              <w:rPr>
                <w:sz w:val="21"/>
              </w:rPr>
              <w:t>180</w:t>
            </w:r>
            <w:r>
              <w:rPr>
                <w:spacing w:val="-3"/>
                <w:sz w:val="21"/>
              </w:rPr>
              <w:t>天以后并且必须有神经科专科医生的医学诊断证明的情况下才能得到理赔。</w:t>
            </w:r>
          </w:p>
        </w:tc>
      </w:tr>
      <w:tr>
        <w:trPr>
          <w:trHeight w:val="1527" w:hRule="atLeast"/>
        </w:trPr>
        <w:tc>
          <w:tcPr>
            <w:tcW w:w="1787" w:type="dxa"/>
          </w:tcPr>
          <w:p>
            <w:pPr>
              <w:pStyle w:val="TableParagraph"/>
              <w:spacing w:line="273" w:lineRule="auto" w:before="126"/>
              <w:ind w:left="200" w:right="111"/>
              <w:rPr>
                <w:sz w:val="21"/>
              </w:rPr>
            </w:pPr>
            <w:r>
              <w:rPr>
                <w:sz w:val="21"/>
              </w:rPr>
              <w:t>（三十四）严重心肌病</w:t>
            </w:r>
          </w:p>
        </w:tc>
        <w:tc>
          <w:tcPr>
            <w:tcW w:w="7010" w:type="dxa"/>
          </w:tcPr>
          <w:p>
            <w:pPr>
              <w:pStyle w:val="TableParagraph"/>
              <w:spacing w:line="273" w:lineRule="auto" w:before="126"/>
              <w:ind w:right="305"/>
              <w:jc w:val="both"/>
              <w:rPr>
                <w:sz w:val="21"/>
              </w:rPr>
            </w:pPr>
            <w:r>
              <w:rPr>
                <w:sz w:val="21"/>
              </w:rPr>
              <w:t>由任何病因引起的心室功能损伤，导致被保险人身体永久及不可逆地受损，达到美国纽约心脏病学会心功能状态分级IV级。必须由心脏专科医生确诊，并有包括超声心动图在内的相关检查证实。</w:t>
            </w:r>
          </w:p>
          <w:p>
            <w:pPr>
              <w:pStyle w:val="TableParagraph"/>
              <w:spacing w:before="8"/>
              <w:jc w:val="both"/>
              <w:rPr>
                <w:sz w:val="21"/>
              </w:rPr>
            </w:pPr>
            <w:r>
              <w:rPr>
                <w:sz w:val="21"/>
              </w:rPr>
              <w:t>酗酒或滥用药物引起的心肌病不在保险责任范围内。</w:t>
            </w:r>
          </w:p>
        </w:tc>
      </w:tr>
      <w:tr>
        <w:trPr>
          <w:trHeight w:val="1214" w:hRule="atLeast"/>
        </w:trPr>
        <w:tc>
          <w:tcPr>
            <w:tcW w:w="1787" w:type="dxa"/>
          </w:tcPr>
          <w:p>
            <w:pPr>
              <w:pStyle w:val="TableParagraph"/>
              <w:spacing w:line="273" w:lineRule="auto" w:before="126"/>
              <w:ind w:left="200" w:right="111"/>
              <w:rPr>
                <w:sz w:val="21"/>
              </w:rPr>
            </w:pPr>
            <w:r>
              <w:rPr>
                <w:sz w:val="21"/>
              </w:rPr>
              <w:t>（三十五）象皮病</w:t>
            </w:r>
          </w:p>
        </w:tc>
        <w:tc>
          <w:tcPr>
            <w:tcW w:w="7010" w:type="dxa"/>
          </w:tcPr>
          <w:p>
            <w:pPr>
              <w:pStyle w:val="TableParagraph"/>
              <w:spacing w:line="273" w:lineRule="auto" w:before="126"/>
              <w:ind w:right="309"/>
              <w:jc w:val="both"/>
              <w:rPr>
                <w:sz w:val="21"/>
              </w:rPr>
            </w:pPr>
            <w:r>
              <w:rPr>
                <w:sz w:val="21"/>
              </w:rPr>
              <w:t>指末期丝虫病，按国际淋巴学会分级为三度淋巴液肿，其临床表现为肢体非凹陷性水肿伴畸形增大、硬皮症和疣状增生。此病症须经本公司认可的专科医生根据临床表现和微丝蚴的化验结果确诊。</w:t>
            </w:r>
          </w:p>
        </w:tc>
      </w:tr>
      <w:tr>
        <w:trPr>
          <w:trHeight w:val="1961" w:hRule="atLeast"/>
        </w:trPr>
        <w:tc>
          <w:tcPr>
            <w:tcW w:w="1787" w:type="dxa"/>
          </w:tcPr>
          <w:p>
            <w:pPr>
              <w:pStyle w:val="TableParagraph"/>
              <w:spacing w:line="273" w:lineRule="auto" w:before="126"/>
              <w:ind w:left="200" w:right="111"/>
              <w:jc w:val="both"/>
              <w:rPr>
                <w:sz w:val="21"/>
              </w:rPr>
            </w:pPr>
            <w:r>
              <w:rPr>
                <w:sz w:val="21"/>
              </w:rPr>
              <w:t>（三十六）系统性红斑狼疮-III 型或以上狼疮性肾炎</w:t>
            </w:r>
          </w:p>
        </w:tc>
        <w:tc>
          <w:tcPr>
            <w:tcW w:w="7010" w:type="dxa"/>
          </w:tcPr>
          <w:p>
            <w:pPr>
              <w:pStyle w:val="TableParagraph"/>
              <w:spacing w:line="273" w:lineRule="auto" w:before="126"/>
              <w:ind w:right="309"/>
              <w:jc w:val="both"/>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8"/>
              <w:ind w:right="301"/>
              <w:jc w:val="both"/>
              <w:rPr>
                <w:sz w:val="21"/>
              </w:rPr>
            </w:pPr>
            <w:r>
              <w:rPr>
                <w:sz w:val="21"/>
              </w:rPr>
              <w:t>本保单所指的系统性红斑狼疮仅限于累及肾脏（经肾脏活检确认的，符合WHO</w:t>
            </w:r>
            <w:r>
              <w:rPr>
                <w:spacing w:val="-3"/>
                <w:sz w:val="21"/>
              </w:rPr>
              <w:t>诊断标准定义</w:t>
            </w:r>
            <w:r>
              <w:rPr>
                <w:sz w:val="21"/>
              </w:rPr>
              <w:t>III</w:t>
            </w:r>
            <w:r>
              <w:rPr>
                <w:spacing w:val="-2"/>
                <w:sz w:val="21"/>
              </w:rPr>
              <w:t>型至</w:t>
            </w:r>
            <w:r>
              <w:rPr>
                <w:sz w:val="21"/>
              </w:rPr>
              <w:t>V</w:t>
            </w:r>
            <w:r>
              <w:rPr>
                <w:spacing w:val="-3"/>
                <w:sz w:val="21"/>
              </w:rPr>
              <w:t>型狼疮性肾炎</w:t>
            </w:r>
            <w:r>
              <w:rPr>
                <w:spacing w:val="-15"/>
                <w:sz w:val="21"/>
              </w:rPr>
              <w:t>）</w:t>
            </w:r>
            <w:r>
              <w:rPr>
                <w:spacing w:val="-5"/>
                <w:sz w:val="21"/>
              </w:rPr>
              <w:t>的系统性红斑狼疮。其他类型的红斑性狼疮，如盘状狼疮、仅累及血液及关节的狼疮不在本保单保</w:t>
            </w:r>
          </w:p>
          <w:p>
            <w:pPr>
              <w:pStyle w:val="TableParagraph"/>
              <w:spacing w:line="255" w:lineRule="exact" w:before="8"/>
              <w:jc w:val="both"/>
              <w:rPr>
                <w:sz w:val="21"/>
              </w:rPr>
            </w:pPr>
            <w:r>
              <w:rPr>
                <w:sz w:val="21"/>
              </w:rPr>
              <w:t>障范围內。</w:t>
            </w:r>
          </w:p>
        </w:tc>
      </w:tr>
    </w:tbl>
    <w:p>
      <w:pPr>
        <w:spacing w:after="0" w:line="255" w:lineRule="exact"/>
        <w:jc w:val="both"/>
        <w:rPr>
          <w:sz w:val="21"/>
        </w:rPr>
        <w:sectPr>
          <w:pgSz w:w="11910" w:h="16840"/>
          <w:pgMar w:top="1580" w:bottom="280" w:left="1680" w:right="9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1326"/>
        <w:gridCol w:w="652"/>
        <w:gridCol w:w="6957"/>
      </w:tblGrid>
      <w:tr>
        <w:trPr>
          <w:trHeight w:val="2897" w:hRule="atLeast"/>
        </w:trPr>
        <w:tc>
          <w:tcPr>
            <w:tcW w:w="714" w:type="dxa"/>
          </w:tcPr>
          <w:p>
            <w:pPr>
              <w:pStyle w:val="TableParagraph"/>
              <w:ind w:left="0"/>
              <w:rPr>
                <w:rFonts w:ascii="Times New Roman"/>
                <w:sz w:val="20"/>
              </w:rPr>
            </w:pPr>
          </w:p>
        </w:tc>
        <w:tc>
          <w:tcPr>
            <w:tcW w:w="1326" w:type="dxa"/>
          </w:tcPr>
          <w:p>
            <w:pPr>
              <w:pStyle w:val="TableParagraph"/>
              <w:ind w:left="0"/>
              <w:rPr>
                <w:rFonts w:ascii="Times New Roman"/>
                <w:sz w:val="20"/>
              </w:rPr>
            </w:pPr>
          </w:p>
        </w:tc>
        <w:tc>
          <w:tcPr>
            <w:tcW w:w="652" w:type="dxa"/>
          </w:tcPr>
          <w:p>
            <w:pPr>
              <w:pStyle w:val="TableParagraph"/>
              <w:ind w:left="0"/>
              <w:rPr>
                <w:rFonts w:ascii="Times New Roman"/>
                <w:sz w:val="20"/>
              </w:rPr>
            </w:pPr>
          </w:p>
        </w:tc>
        <w:tc>
          <w:tcPr>
            <w:tcW w:w="6957" w:type="dxa"/>
          </w:tcPr>
          <w:p>
            <w:pPr>
              <w:pStyle w:val="TableParagraph"/>
              <w:spacing w:line="202" w:lineRule="exact"/>
              <w:rPr>
                <w:sz w:val="21"/>
              </w:rPr>
            </w:pPr>
            <w:r>
              <w:rPr>
                <w:sz w:val="21"/>
              </w:rPr>
              <w:t>本病必须由免疫和风湿科专家医师确诊。</w:t>
            </w:r>
          </w:p>
          <w:p>
            <w:pPr>
              <w:pStyle w:val="TableParagraph"/>
              <w:spacing w:before="37"/>
              <w:rPr>
                <w:sz w:val="21"/>
              </w:rPr>
            </w:pPr>
            <w:r>
              <w:rPr>
                <w:sz w:val="21"/>
              </w:rPr>
              <w:t>世界卫生组织（WHO）狼疮性肾炎分型：</w:t>
            </w:r>
          </w:p>
          <w:p>
            <w:pPr>
              <w:pStyle w:val="TableParagraph"/>
              <w:numPr>
                <w:ilvl w:val="0"/>
                <w:numId w:val="9"/>
              </w:numPr>
              <w:tabs>
                <w:tab w:pos="768" w:val="left" w:leader="none"/>
                <w:tab w:pos="2815" w:val="left" w:leader="none"/>
              </w:tabs>
              <w:spacing w:line="240" w:lineRule="auto" w:before="36" w:after="0"/>
              <w:ind w:left="609" w:right="0" w:firstLine="0"/>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9"/>
              </w:numPr>
              <w:tabs>
                <w:tab w:pos="874" w:val="left" w:leader="none"/>
                <w:tab w:pos="2815" w:val="left" w:leader="none"/>
              </w:tabs>
              <w:spacing w:line="240" w:lineRule="auto" w:before="36" w:after="0"/>
              <w:ind w:left="873"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9"/>
              </w:numPr>
              <w:tabs>
                <w:tab w:pos="979" w:val="left" w:leader="none"/>
                <w:tab w:pos="2815" w:val="left" w:leader="none"/>
              </w:tabs>
              <w:spacing w:line="273" w:lineRule="auto" w:before="36" w:after="0"/>
              <w:ind w:left="609" w:right="2245" w:firstLine="0"/>
              <w:jc w:val="left"/>
              <w:rPr>
                <w:sz w:val="21"/>
              </w:rPr>
            </w:pPr>
            <w:r>
              <w:rPr>
                <w:spacing w:val="-60"/>
                <w:sz w:val="21"/>
              </w:rPr>
              <w:t>型</w:t>
            </w:r>
            <w:r>
              <w:rPr>
                <w:spacing w:val="-3"/>
                <w:sz w:val="21"/>
              </w:rPr>
              <w:t>（</w:t>
            </w:r>
            <w:r>
              <w:rPr>
                <w:sz w:val="21"/>
              </w:rPr>
              <w:t>局</w:t>
            </w:r>
            <w:r>
              <w:rPr>
                <w:spacing w:val="-3"/>
                <w:sz w:val="21"/>
              </w:rPr>
              <w:t>灶</w:t>
            </w:r>
            <w:r>
              <w:rPr>
                <w:sz w:val="21"/>
              </w:rPr>
              <w:t>及</w:t>
            </w:r>
            <w:r>
              <w:rPr>
                <w:spacing w:val="-3"/>
                <w:sz w:val="21"/>
              </w:rPr>
              <w:t>节</w:t>
            </w:r>
            <w:r>
              <w:rPr>
                <w:sz w:val="21"/>
              </w:rPr>
              <w:t>段增</w:t>
              <w:tab/>
              <w:t>蛋白</w:t>
            </w:r>
            <w:r>
              <w:rPr>
                <w:spacing w:val="-3"/>
                <w:sz w:val="21"/>
              </w:rPr>
              <w:t>尿</w:t>
            </w:r>
            <w:r>
              <w:rPr>
                <w:sz w:val="21"/>
              </w:rPr>
              <w:t>，</w:t>
            </w:r>
            <w:r>
              <w:rPr>
                <w:spacing w:val="-3"/>
                <w:sz w:val="21"/>
              </w:rPr>
              <w:t>尿</w:t>
            </w:r>
            <w:r>
              <w:rPr>
                <w:sz w:val="21"/>
              </w:rPr>
              <w:t>沉</w:t>
            </w:r>
            <w:r>
              <w:rPr>
                <w:spacing w:val="-3"/>
                <w:sz w:val="21"/>
              </w:rPr>
              <w:t>渣</w:t>
            </w:r>
            <w:r>
              <w:rPr>
                <w:sz w:val="21"/>
              </w:rPr>
              <w:t>改变 生型）</w:t>
            </w:r>
          </w:p>
          <w:p>
            <w:pPr>
              <w:pStyle w:val="TableParagraph"/>
              <w:numPr>
                <w:ilvl w:val="0"/>
                <w:numId w:val="9"/>
              </w:numPr>
              <w:tabs>
                <w:tab w:pos="874" w:val="left" w:leader="none"/>
                <w:tab w:pos="2815" w:val="left" w:leader="none"/>
              </w:tabs>
              <w:spacing w:line="240" w:lineRule="auto" w:before="7" w:after="0"/>
              <w:ind w:left="873"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r>
            <w:r>
              <w:rPr>
                <w:spacing w:val="10"/>
                <w:sz w:val="21"/>
              </w:rPr>
              <w:t>急性肾炎伴有尿</w:t>
            </w:r>
            <w:r>
              <w:rPr>
                <w:spacing w:val="7"/>
                <w:sz w:val="21"/>
              </w:rPr>
              <w:t>沉</w:t>
            </w:r>
            <w:r>
              <w:rPr>
                <w:spacing w:val="10"/>
                <w:sz w:val="21"/>
              </w:rPr>
              <w:t>渣改</w:t>
            </w:r>
            <w:r>
              <w:rPr>
                <w:spacing w:val="7"/>
                <w:sz w:val="21"/>
              </w:rPr>
              <w:t>变</w:t>
            </w:r>
            <w:r>
              <w:rPr>
                <w:spacing w:val="10"/>
                <w:sz w:val="21"/>
              </w:rPr>
              <w:t>及／或肾病综</w:t>
            </w:r>
          </w:p>
          <w:p>
            <w:pPr>
              <w:pStyle w:val="TableParagraph"/>
              <w:spacing w:before="37"/>
              <w:ind w:left="2798" w:right="3699"/>
              <w:jc w:val="center"/>
              <w:rPr>
                <w:sz w:val="21"/>
              </w:rPr>
            </w:pPr>
            <w:r>
              <w:rPr>
                <w:sz w:val="21"/>
              </w:rPr>
              <w:t>合征</w:t>
            </w:r>
          </w:p>
          <w:p>
            <w:pPr>
              <w:pStyle w:val="TableParagraph"/>
              <w:numPr>
                <w:ilvl w:val="0"/>
                <w:numId w:val="9"/>
              </w:numPr>
              <w:tabs>
                <w:tab w:pos="766" w:val="left" w:leader="none"/>
                <w:tab w:pos="2707" w:val="left" w:leader="none"/>
              </w:tabs>
              <w:spacing w:line="240" w:lineRule="auto" w:before="37" w:after="0"/>
              <w:ind w:left="765" w:right="0" w:hanging="159"/>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3397" w:hRule="atLeast"/>
        </w:trPr>
        <w:tc>
          <w:tcPr>
            <w:tcW w:w="714" w:type="dxa"/>
          </w:tcPr>
          <w:p>
            <w:pPr>
              <w:pStyle w:val="TableParagraph"/>
              <w:ind w:left="0"/>
              <w:rPr>
                <w:rFonts w:ascii="Times New Roman"/>
                <w:sz w:val="20"/>
              </w:rPr>
            </w:pPr>
          </w:p>
        </w:tc>
        <w:tc>
          <w:tcPr>
            <w:tcW w:w="1978" w:type="dxa"/>
            <w:gridSpan w:val="2"/>
          </w:tcPr>
          <w:p>
            <w:pPr>
              <w:pStyle w:val="TableParagraph"/>
              <w:spacing w:line="273" w:lineRule="auto" w:before="117"/>
              <w:ind w:left="390" w:right="111"/>
              <w:rPr>
                <w:sz w:val="21"/>
              </w:rPr>
            </w:pPr>
            <w:r>
              <w:rPr>
                <w:sz w:val="21"/>
              </w:rPr>
              <w:t>（三十七）严重类风湿性关节炎</w:t>
            </w:r>
          </w:p>
        </w:tc>
        <w:tc>
          <w:tcPr>
            <w:tcW w:w="6957" w:type="dxa"/>
          </w:tcPr>
          <w:p>
            <w:pPr>
              <w:pStyle w:val="TableParagraph"/>
              <w:spacing w:line="273" w:lineRule="auto" w:before="117"/>
              <w:ind w:right="251"/>
              <w:jc w:val="both"/>
              <w:rPr>
                <w:sz w:val="21"/>
              </w:rPr>
            </w:pPr>
            <w:r>
              <w:rPr>
                <w:sz w:val="21"/>
              </w:rPr>
              <w:t>类风湿性关节炎为广泛分布的慢性进行性多关节病变，表现为关节严重变形，侵犯至少三个主要关节或关节组（如：双手（多手指）关节、双</w:t>
            </w:r>
            <w:r>
              <w:rPr>
                <w:spacing w:val="-5"/>
                <w:sz w:val="21"/>
              </w:rPr>
              <w:t>足</w:t>
            </w:r>
            <w:r>
              <w:rPr>
                <w:spacing w:val="-3"/>
                <w:sz w:val="21"/>
              </w:rPr>
              <w:t>（</w:t>
            </w:r>
            <w:r>
              <w:rPr>
                <w:spacing w:val="-2"/>
                <w:sz w:val="21"/>
              </w:rPr>
              <w:t>多足趾</w:t>
            </w:r>
            <w:r>
              <w:rPr>
                <w:spacing w:val="-8"/>
                <w:sz w:val="21"/>
              </w:rPr>
              <w:t>）</w:t>
            </w:r>
            <w:r>
              <w:rPr>
                <w:spacing w:val="-4"/>
                <w:sz w:val="21"/>
              </w:rPr>
              <w:t>关节、双腕关节、双膝关节和双髋关节</w:t>
            </w:r>
            <w:r>
              <w:rPr>
                <w:spacing w:val="-106"/>
                <w:sz w:val="21"/>
              </w:rPr>
              <w:t>）</w:t>
            </w:r>
            <w:r>
              <w:rPr>
                <w:spacing w:val="-3"/>
                <w:sz w:val="21"/>
              </w:rPr>
              <w:t>。类风湿性关节炎</w:t>
            </w:r>
            <w:r>
              <w:rPr>
                <w:spacing w:val="2"/>
                <w:sz w:val="21"/>
              </w:rPr>
              <w:t>必须明确诊断并且已经达到类风湿性关节炎功能分级</w:t>
            </w:r>
            <w:r>
              <w:rPr>
                <w:sz w:val="21"/>
              </w:rPr>
              <w:t>III</w:t>
            </w:r>
            <w:r>
              <w:rPr>
                <w:spacing w:val="1"/>
                <w:sz w:val="21"/>
              </w:rPr>
              <w:t>级以上的功能障碍（关节活动严重限制，不能完成大部分的日常工作和活动）并且满</w:t>
            </w:r>
            <w:r>
              <w:rPr>
                <w:spacing w:val="-2"/>
                <w:sz w:val="21"/>
              </w:rPr>
              <w:t>足下列全部条件：</w:t>
            </w:r>
          </w:p>
          <w:p>
            <w:pPr>
              <w:pStyle w:val="TableParagraph"/>
              <w:spacing w:before="7"/>
              <w:jc w:val="both"/>
              <w:rPr>
                <w:sz w:val="21"/>
              </w:rPr>
            </w:pPr>
            <w:r>
              <w:rPr>
                <w:sz w:val="21"/>
              </w:rPr>
              <w:t>（1）晨僵；</w:t>
            </w:r>
          </w:p>
          <w:p>
            <w:pPr>
              <w:pStyle w:val="TableParagraph"/>
              <w:spacing w:before="36"/>
              <w:jc w:val="both"/>
              <w:rPr>
                <w:sz w:val="21"/>
              </w:rPr>
            </w:pPr>
            <w:r>
              <w:rPr>
                <w:sz w:val="21"/>
              </w:rPr>
              <w:t>（2）对称性关节炎；</w:t>
            </w:r>
          </w:p>
          <w:p>
            <w:pPr>
              <w:pStyle w:val="TableParagraph"/>
              <w:spacing w:before="36"/>
              <w:jc w:val="both"/>
              <w:rPr>
                <w:sz w:val="21"/>
              </w:rPr>
            </w:pPr>
            <w:r>
              <w:rPr>
                <w:sz w:val="21"/>
              </w:rPr>
              <w:t>（3）类风湿性皮下结节；</w:t>
            </w:r>
          </w:p>
          <w:p>
            <w:pPr>
              <w:pStyle w:val="TableParagraph"/>
              <w:spacing w:before="36"/>
              <w:jc w:val="both"/>
              <w:rPr>
                <w:sz w:val="21"/>
              </w:rPr>
            </w:pPr>
            <w:r>
              <w:rPr>
                <w:sz w:val="21"/>
              </w:rPr>
              <w:t>（4）类风湿因子滴度升高；</w:t>
            </w:r>
          </w:p>
        </w:tc>
      </w:tr>
      <w:tr>
        <w:trPr>
          <w:trHeight w:val="1213" w:hRule="atLeast"/>
        </w:trPr>
        <w:tc>
          <w:tcPr>
            <w:tcW w:w="714" w:type="dxa"/>
          </w:tcPr>
          <w:p>
            <w:pPr>
              <w:pStyle w:val="TableParagraph"/>
              <w:ind w:left="0"/>
              <w:rPr>
                <w:rFonts w:ascii="Times New Roman"/>
                <w:sz w:val="20"/>
              </w:rPr>
            </w:pPr>
          </w:p>
        </w:tc>
        <w:tc>
          <w:tcPr>
            <w:tcW w:w="1978" w:type="dxa"/>
            <w:gridSpan w:val="2"/>
          </w:tcPr>
          <w:p>
            <w:pPr>
              <w:pStyle w:val="TableParagraph"/>
              <w:spacing w:line="273" w:lineRule="auto" w:before="116"/>
              <w:ind w:left="390" w:right="111"/>
              <w:jc w:val="both"/>
              <w:rPr>
                <w:sz w:val="21"/>
              </w:rPr>
            </w:pPr>
            <w:r>
              <w:rPr>
                <w:sz w:val="21"/>
              </w:rPr>
              <w:t>（三十八）急性出血坏死性胰腺炎</w:t>
            </w:r>
          </w:p>
        </w:tc>
        <w:tc>
          <w:tcPr>
            <w:tcW w:w="6957" w:type="dxa"/>
          </w:tcPr>
          <w:p>
            <w:pPr>
              <w:pStyle w:val="TableParagraph"/>
              <w:spacing w:line="273" w:lineRule="auto" w:before="116"/>
              <w:ind w:right="257"/>
              <w:jc w:val="both"/>
              <w:rPr>
                <w:sz w:val="21"/>
              </w:rPr>
            </w:pPr>
            <w:r>
              <w:rPr>
                <w:sz w:val="21"/>
              </w:rPr>
              <w:t>指被保险人因为急性出血坏死性胰腺炎已经接受了外科开腹手术治疗， 以进行坏死组织清除、坏死病灶切除或胰腺切除。因饮酒所致的急性出血坏死性胰腺炎或经腹腔镜手术进行的治疗不在保障范围内。</w:t>
            </w:r>
          </w:p>
        </w:tc>
      </w:tr>
      <w:tr>
        <w:trPr>
          <w:trHeight w:val="1214" w:hRule="atLeast"/>
        </w:trPr>
        <w:tc>
          <w:tcPr>
            <w:tcW w:w="714" w:type="dxa"/>
          </w:tcPr>
          <w:p>
            <w:pPr>
              <w:pStyle w:val="TableParagraph"/>
              <w:ind w:left="0"/>
              <w:rPr>
                <w:rFonts w:ascii="Times New Roman"/>
                <w:sz w:val="20"/>
              </w:rPr>
            </w:pPr>
          </w:p>
        </w:tc>
        <w:tc>
          <w:tcPr>
            <w:tcW w:w="1978" w:type="dxa"/>
            <w:gridSpan w:val="2"/>
          </w:tcPr>
          <w:p>
            <w:pPr>
              <w:pStyle w:val="TableParagraph"/>
              <w:spacing w:line="273" w:lineRule="auto" w:before="117"/>
              <w:ind w:left="390" w:right="111"/>
              <w:jc w:val="both"/>
              <w:rPr>
                <w:sz w:val="21"/>
              </w:rPr>
            </w:pPr>
            <w:r>
              <w:rPr>
                <w:sz w:val="21"/>
              </w:rPr>
              <w:t>（三十九）溶血性链球菌引起的坏疽</w:t>
            </w:r>
          </w:p>
        </w:tc>
        <w:tc>
          <w:tcPr>
            <w:tcW w:w="6957" w:type="dxa"/>
          </w:tcPr>
          <w:p>
            <w:pPr>
              <w:pStyle w:val="TableParagraph"/>
              <w:spacing w:line="273" w:lineRule="auto" w:before="117"/>
              <w:ind w:right="250"/>
              <w:jc w:val="both"/>
              <w:rPr>
                <w:sz w:val="21"/>
              </w:rPr>
            </w:pPr>
            <w:r>
              <w:rPr>
                <w:spacing w:val="-3"/>
                <w:sz w:val="21"/>
              </w:rPr>
              <w:t>包围肢体或躯干的浅筋膜和</w:t>
            </w:r>
            <w:r>
              <w:rPr>
                <w:sz w:val="21"/>
              </w:rPr>
              <w:t>/</w:t>
            </w:r>
            <w:r>
              <w:rPr>
                <w:spacing w:val="-5"/>
                <w:sz w:val="21"/>
              </w:rPr>
              <w:t>或深筋膜受到溶血性链球菌的感染，病情在短时间内急剧恶化，已经立刻进行了手术及清创术。最后的诊断必须由</w:t>
            </w:r>
            <w:r>
              <w:rPr>
                <w:spacing w:val="-4"/>
                <w:sz w:val="21"/>
              </w:rPr>
              <w:t>微生物或病理学专家进行相关检查后证实。</w:t>
            </w:r>
          </w:p>
        </w:tc>
      </w:tr>
      <w:tr>
        <w:trPr>
          <w:trHeight w:val="2154" w:hRule="atLeast"/>
        </w:trPr>
        <w:tc>
          <w:tcPr>
            <w:tcW w:w="714" w:type="dxa"/>
          </w:tcPr>
          <w:p>
            <w:pPr>
              <w:pStyle w:val="TableParagraph"/>
              <w:ind w:left="0"/>
              <w:rPr>
                <w:rFonts w:ascii="Times New Roman"/>
                <w:sz w:val="20"/>
              </w:rPr>
            </w:pPr>
          </w:p>
        </w:tc>
        <w:tc>
          <w:tcPr>
            <w:tcW w:w="1978" w:type="dxa"/>
            <w:gridSpan w:val="2"/>
          </w:tcPr>
          <w:p>
            <w:pPr>
              <w:pStyle w:val="TableParagraph"/>
              <w:spacing w:line="273" w:lineRule="auto" w:before="117"/>
              <w:ind w:left="390" w:right="111"/>
              <w:rPr>
                <w:sz w:val="21"/>
              </w:rPr>
            </w:pPr>
            <w:r>
              <w:rPr>
                <w:sz w:val="21"/>
              </w:rPr>
              <w:t>（四十）坏死性筋膜炎</w:t>
            </w:r>
          </w:p>
        </w:tc>
        <w:tc>
          <w:tcPr>
            <w:tcW w:w="6957" w:type="dxa"/>
          </w:tcPr>
          <w:p>
            <w:pPr>
              <w:pStyle w:val="TableParagraph"/>
              <w:spacing w:before="117"/>
              <w:rPr>
                <w:sz w:val="21"/>
              </w:rPr>
            </w:pPr>
            <w:r>
              <w:rPr>
                <w:sz w:val="21"/>
              </w:rPr>
              <w:t>坏死性筋膜炎的诊断须同时符合下列要求：</w:t>
            </w:r>
          </w:p>
          <w:p>
            <w:pPr>
              <w:pStyle w:val="TableParagraph"/>
              <w:spacing w:before="37"/>
              <w:rPr>
                <w:sz w:val="21"/>
              </w:rPr>
            </w:pPr>
            <w:r>
              <w:rPr>
                <w:sz w:val="21"/>
              </w:rPr>
              <w:t>（1）符合坏死性筋膜炎的一般临床表现；</w:t>
            </w:r>
          </w:p>
          <w:p>
            <w:pPr>
              <w:pStyle w:val="TableParagraph"/>
              <w:spacing w:before="37"/>
              <w:rPr>
                <w:sz w:val="21"/>
              </w:rPr>
            </w:pPr>
            <w:r>
              <w:rPr>
                <w:sz w:val="21"/>
              </w:rPr>
              <w:t>（2）细菌培养检出致病菌；</w:t>
            </w:r>
          </w:p>
          <w:p>
            <w:pPr>
              <w:pStyle w:val="TableParagraph"/>
              <w:spacing w:line="273" w:lineRule="auto" w:before="37"/>
              <w:ind w:right="248"/>
              <w:jc w:val="both"/>
              <w:rPr>
                <w:sz w:val="21"/>
              </w:rPr>
            </w:pPr>
            <w:r>
              <w:rPr>
                <w:spacing w:val="-5"/>
                <w:sz w:val="21"/>
              </w:rPr>
              <w:t>（3）</w:t>
            </w:r>
            <w:r>
              <w:rPr>
                <w:spacing w:val="-4"/>
                <w:sz w:val="21"/>
              </w:rPr>
              <w:t>出现广泛性肌肉及软组织坏死，并导致身体受影响部位永久完全失去功能。所谓永久完全失去功能是指受影响部位的全部功能完全丧失超</w:t>
            </w:r>
            <w:r>
              <w:rPr>
                <w:spacing w:val="-1"/>
                <w:sz w:val="21"/>
              </w:rPr>
              <w:t>过180</w:t>
            </w:r>
            <w:r>
              <w:rPr>
                <w:spacing w:val="-2"/>
                <w:sz w:val="21"/>
              </w:rPr>
              <w:t>天者。</w:t>
            </w:r>
          </w:p>
        </w:tc>
      </w:tr>
      <w:tr>
        <w:trPr>
          <w:trHeight w:val="1293" w:hRule="atLeast"/>
        </w:trPr>
        <w:tc>
          <w:tcPr>
            <w:tcW w:w="714" w:type="dxa"/>
          </w:tcPr>
          <w:p>
            <w:pPr>
              <w:pStyle w:val="TableParagraph"/>
              <w:spacing w:before="120"/>
              <w:ind w:left="200"/>
              <w:rPr>
                <w:b/>
                <w:sz w:val="21"/>
              </w:rPr>
            </w:pPr>
            <w:r>
              <w:rPr>
                <w:b/>
                <w:sz w:val="21"/>
              </w:rPr>
              <w:t>6.7</w:t>
            </w:r>
          </w:p>
        </w:tc>
        <w:tc>
          <w:tcPr>
            <w:tcW w:w="1326" w:type="dxa"/>
          </w:tcPr>
          <w:p>
            <w:pPr>
              <w:pStyle w:val="TableParagraph"/>
              <w:spacing w:before="120"/>
              <w:ind w:left="196"/>
              <w:rPr>
                <w:b/>
                <w:sz w:val="21"/>
              </w:rPr>
            </w:pPr>
            <w:r>
              <w:rPr>
                <w:b/>
                <w:sz w:val="21"/>
              </w:rPr>
              <w:t>意外伤害</w:t>
            </w:r>
          </w:p>
        </w:tc>
        <w:tc>
          <w:tcPr>
            <w:tcW w:w="7609" w:type="dxa"/>
            <w:gridSpan w:val="2"/>
          </w:tcPr>
          <w:p>
            <w:pPr>
              <w:pStyle w:val="TableParagraph"/>
              <w:spacing w:line="300" w:lineRule="auto" w:before="120"/>
              <w:ind w:left="283" w:right="385"/>
              <w:jc w:val="both"/>
              <w:rPr>
                <w:sz w:val="21"/>
              </w:rPr>
            </w:pPr>
            <w:r>
              <w:rPr>
                <w:sz w:val="21"/>
              </w:rPr>
              <w:t>指遭受外来的、突发的、非本意的、非疾病的使身体受到伤害的客观事件， 并以此客观事件为直接且单独原因导致被保险人身体蒙受伤害或者身故，猝死不属于意外伤害。</w:t>
            </w:r>
          </w:p>
        </w:tc>
      </w:tr>
      <w:tr>
        <w:trPr>
          <w:trHeight w:val="1444" w:hRule="atLeast"/>
        </w:trPr>
        <w:tc>
          <w:tcPr>
            <w:tcW w:w="714" w:type="dxa"/>
          </w:tcPr>
          <w:p>
            <w:pPr>
              <w:pStyle w:val="TableParagraph"/>
              <w:spacing w:before="130"/>
              <w:ind w:left="200"/>
              <w:rPr>
                <w:b/>
                <w:sz w:val="21"/>
              </w:rPr>
            </w:pPr>
            <w:r>
              <w:rPr>
                <w:b/>
                <w:sz w:val="21"/>
              </w:rPr>
              <w:t>6.8</w:t>
            </w:r>
          </w:p>
        </w:tc>
        <w:tc>
          <w:tcPr>
            <w:tcW w:w="1326" w:type="dxa"/>
          </w:tcPr>
          <w:p>
            <w:pPr>
              <w:pStyle w:val="TableParagraph"/>
              <w:spacing w:before="130"/>
              <w:ind w:left="196"/>
              <w:rPr>
                <w:b/>
                <w:sz w:val="21"/>
              </w:rPr>
            </w:pPr>
            <w:r>
              <w:rPr>
                <w:b/>
                <w:sz w:val="21"/>
              </w:rPr>
              <w:t>毒品</w:t>
            </w:r>
          </w:p>
        </w:tc>
        <w:tc>
          <w:tcPr>
            <w:tcW w:w="7609" w:type="dxa"/>
            <w:gridSpan w:val="2"/>
          </w:tcPr>
          <w:p>
            <w:pPr>
              <w:pStyle w:val="TableParagraph"/>
              <w:spacing w:line="300" w:lineRule="auto" w:before="130"/>
              <w:ind w:left="283" w:right="198"/>
              <w:rPr>
                <w:sz w:val="21"/>
              </w:rPr>
            </w:pPr>
            <w:r>
              <w:rPr>
                <w:spacing w:val="-11"/>
                <w:sz w:val="21"/>
              </w:rPr>
              <w:t>指《中华人民共和国刑法》规定的鸦片、海洛因、甲基苯丙胺</w:t>
            </w:r>
            <w:r>
              <w:rPr>
                <w:sz w:val="21"/>
              </w:rPr>
              <w:t>（</w:t>
            </w:r>
            <w:r>
              <w:rPr>
                <w:spacing w:val="-2"/>
                <w:sz w:val="21"/>
              </w:rPr>
              <w:t>冰毒</w:t>
            </w:r>
            <w:r>
              <w:rPr>
                <w:spacing w:val="-106"/>
                <w:sz w:val="21"/>
              </w:rPr>
              <w:t>）</w:t>
            </w:r>
            <w:r>
              <w:rPr>
                <w:spacing w:val="-8"/>
                <w:sz w:val="21"/>
              </w:rPr>
              <w:t>、吗啡、</w:t>
            </w:r>
            <w:r>
              <w:rPr>
                <w:spacing w:val="-5"/>
                <w:sz w:val="21"/>
              </w:rPr>
              <w:t>大麻、可卡因以及国家规定管制的其他能够使人形成瘾癖的麻醉药品和精神 </w:t>
            </w:r>
            <w:r>
              <w:rPr>
                <w:spacing w:val="-4"/>
                <w:sz w:val="21"/>
              </w:rPr>
              <w:t>药品，但不包括由医生开具并遵医嘱使用的用于治疗疾病但含有毒品成分的</w:t>
            </w:r>
          </w:p>
          <w:p>
            <w:pPr>
              <w:pStyle w:val="TableParagraph"/>
              <w:spacing w:line="264" w:lineRule="exact" w:before="16"/>
              <w:ind w:left="283"/>
              <w:rPr>
                <w:sz w:val="21"/>
              </w:rPr>
            </w:pPr>
            <w:r>
              <w:rPr>
                <w:sz w:val="21"/>
              </w:rPr>
              <w:t>处方药品。</w:t>
            </w:r>
          </w:p>
        </w:tc>
      </w:tr>
    </w:tbl>
    <w:p>
      <w:pPr>
        <w:spacing w:after="0" w:line="264" w:lineRule="exact"/>
        <w:rPr>
          <w:sz w:val="21"/>
        </w:rPr>
        <w:sectPr>
          <w:pgSz w:w="11910" w:h="16840"/>
          <w:pgMar w:top="1460" w:bottom="280" w:left="1080" w:right="940"/>
        </w:sectPr>
      </w:pPr>
    </w:p>
    <w:p>
      <w:pPr>
        <w:pStyle w:val="BodyText"/>
        <w:spacing w:before="7" w:after="1"/>
        <w:rPr>
          <w:rFonts w:ascii="Times New Roman"/>
          <w:sz w:val="1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436"/>
        <w:gridCol w:w="7447"/>
      </w:tblGrid>
      <w:tr>
        <w:trPr>
          <w:trHeight w:val="1099" w:hRule="atLeast"/>
        </w:trPr>
        <w:tc>
          <w:tcPr>
            <w:tcW w:w="766" w:type="dxa"/>
          </w:tcPr>
          <w:p>
            <w:pPr>
              <w:pStyle w:val="TableParagraph"/>
              <w:spacing w:line="211" w:lineRule="exact"/>
              <w:ind w:left="200"/>
              <w:rPr>
                <w:b/>
                <w:sz w:val="21"/>
              </w:rPr>
            </w:pPr>
            <w:r>
              <w:rPr>
                <w:b/>
                <w:sz w:val="21"/>
              </w:rPr>
              <w:t>6.9</w:t>
            </w:r>
          </w:p>
        </w:tc>
        <w:tc>
          <w:tcPr>
            <w:tcW w:w="1436" w:type="dxa"/>
          </w:tcPr>
          <w:p>
            <w:pPr>
              <w:pStyle w:val="TableParagraph"/>
              <w:spacing w:line="211" w:lineRule="exact"/>
              <w:ind w:left="144"/>
              <w:rPr>
                <w:b/>
                <w:sz w:val="21"/>
              </w:rPr>
            </w:pPr>
            <w:r>
              <w:rPr>
                <w:b/>
                <w:sz w:val="21"/>
              </w:rPr>
              <w:t>酒后驾驶</w:t>
            </w:r>
          </w:p>
        </w:tc>
        <w:tc>
          <w:tcPr>
            <w:tcW w:w="7447" w:type="dxa"/>
          </w:tcPr>
          <w:p>
            <w:pPr>
              <w:pStyle w:val="TableParagraph"/>
              <w:spacing w:line="211" w:lineRule="exact"/>
              <w:ind w:left="121"/>
              <w:rPr>
                <w:sz w:val="21"/>
              </w:rPr>
            </w:pPr>
            <w:r>
              <w:rPr>
                <w:sz w:val="21"/>
              </w:rPr>
              <w:t>指经检测或鉴定，发生事故时车辆驾驶人员每百毫升血液中的酒精含量达到</w:t>
            </w:r>
          </w:p>
          <w:p>
            <w:pPr>
              <w:pStyle w:val="TableParagraph"/>
              <w:spacing w:line="300" w:lineRule="auto" w:before="68"/>
              <w:ind w:left="121" w:right="385"/>
              <w:rPr>
                <w:sz w:val="21"/>
              </w:rPr>
            </w:pPr>
            <w:r>
              <w:rPr>
                <w:sz w:val="21"/>
              </w:rPr>
              <w:t>或超过一定的标准，公安机关交通管理部门依据《中华人民共和国道路交通安全法》的规定认定为饮酒后驾驶或醉酒后驾驶。</w:t>
            </w:r>
          </w:p>
        </w:tc>
      </w:tr>
      <w:tr>
        <w:trPr>
          <w:trHeight w:val="2331" w:hRule="atLeast"/>
        </w:trPr>
        <w:tc>
          <w:tcPr>
            <w:tcW w:w="766" w:type="dxa"/>
          </w:tcPr>
          <w:p>
            <w:pPr>
              <w:pStyle w:val="TableParagraph"/>
              <w:spacing w:before="138"/>
              <w:ind w:left="200"/>
              <w:rPr>
                <w:b/>
                <w:sz w:val="21"/>
              </w:rPr>
            </w:pPr>
            <w:r>
              <w:rPr>
                <w:b/>
                <w:sz w:val="21"/>
              </w:rPr>
              <w:t>6.10</w:t>
            </w:r>
          </w:p>
        </w:tc>
        <w:tc>
          <w:tcPr>
            <w:tcW w:w="1436" w:type="dxa"/>
          </w:tcPr>
          <w:p>
            <w:pPr>
              <w:pStyle w:val="TableParagraph"/>
              <w:spacing w:line="300" w:lineRule="auto" w:before="138"/>
              <w:ind w:left="144" w:right="233"/>
              <w:rPr>
                <w:b/>
                <w:sz w:val="21"/>
              </w:rPr>
            </w:pPr>
            <w:r>
              <w:rPr>
                <w:b/>
                <w:sz w:val="21"/>
              </w:rPr>
              <w:t>无合法有效驾驶证驾驶</w:t>
            </w:r>
          </w:p>
        </w:tc>
        <w:tc>
          <w:tcPr>
            <w:tcW w:w="7447" w:type="dxa"/>
          </w:tcPr>
          <w:p>
            <w:pPr>
              <w:pStyle w:val="TableParagraph"/>
              <w:spacing w:before="138"/>
              <w:ind w:left="121"/>
              <w:rPr>
                <w:sz w:val="21"/>
              </w:rPr>
            </w:pPr>
            <w:r>
              <w:rPr>
                <w:sz w:val="21"/>
              </w:rPr>
              <w:t>指下列情形之一：</w:t>
            </w:r>
          </w:p>
          <w:p>
            <w:pPr>
              <w:pStyle w:val="TableParagraph"/>
              <w:spacing w:before="68"/>
              <w:ind w:left="121"/>
              <w:rPr>
                <w:sz w:val="21"/>
              </w:rPr>
            </w:pPr>
            <w:r>
              <w:rPr>
                <w:sz w:val="21"/>
              </w:rPr>
              <w:t>（1）没有取得驾驶资格；</w:t>
            </w:r>
          </w:p>
          <w:p>
            <w:pPr>
              <w:pStyle w:val="TableParagraph"/>
              <w:spacing w:before="68"/>
              <w:ind w:left="121"/>
              <w:rPr>
                <w:sz w:val="21"/>
              </w:rPr>
            </w:pPr>
            <w:r>
              <w:rPr>
                <w:sz w:val="21"/>
              </w:rPr>
              <w:t>（2）驾驶与驾驶证准驾车型不相符合的车辆；</w:t>
            </w:r>
          </w:p>
          <w:p>
            <w:pPr>
              <w:pStyle w:val="TableParagraph"/>
              <w:spacing w:before="68"/>
              <w:ind w:left="121"/>
              <w:rPr>
                <w:sz w:val="21"/>
              </w:rPr>
            </w:pPr>
            <w:r>
              <w:rPr>
                <w:sz w:val="21"/>
              </w:rPr>
              <w:t>（3）持审验不合格的驾驶证驾驶；</w:t>
            </w:r>
          </w:p>
          <w:p>
            <w:pPr>
              <w:pStyle w:val="TableParagraph"/>
              <w:spacing w:line="300" w:lineRule="auto" w:before="68"/>
              <w:ind w:left="121" w:right="284"/>
              <w:rPr>
                <w:sz w:val="21"/>
              </w:rPr>
            </w:pPr>
            <w:r>
              <w:rPr>
                <w:sz w:val="21"/>
              </w:rPr>
              <w:t>（4）持学习驾驶证学习驾车时，无教练员随车指导，或不按指定时间、路线学习驾车。</w:t>
            </w:r>
          </w:p>
        </w:tc>
      </w:tr>
      <w:tr>
        <w:trPr>
          <w:trHeight w:val="1302" w:hRule="atLeast"/>
        </w:trPr>
        <w:tc>
          <w:tcPr>
            <w:tcW w:w="766" w:type="dxa"/>
          </w:tcPr>
          <w:p>
            <w:pPr>
              <w:pStyle w:val="TableParagraph"/>
              <w:spacing w:before="139"/>
              <w:ind w:left="200"/>
              <w:rPr>
                <w:b/>
                <w:sz w:val="21"/>
              </w:rPr>
            </w:pPr>
            <w:r>
              <w:rPr>
                <w:b/>
                <w:sz w:val="21"/>
              </w:rPr>
              <w:t>6.11</w:t>
            </w:r>
          </w:p>
        </w:tc>
        <w:tc>
          <w:tcPr>
            <w:tcW w:w="1436" w:type="dxa"/>
          </w:tcPr>
          <w:p>
            <w:pPr>
              <w:pStyle w:val="TableParagraph"/>
              <w:spacing w:line="300" w:lineRule="auto" w:before="139"/>
              <w:ind w:left="144" w:right="233"/>
              <w:rPr>
                <w:b/>
                <w:sz w:val="21"/>
              </w:rPr>
            </w:pPr>
            <w:r>
              <w:rPr>
                <w:b/>
                <w:sz w:val="21"/>
              </w:rPr>
              <w:t>无有效行驶证</w:t>
            </w:r>
          </w:p>
        </w:tc>
        <w:tc>
          <w:tcPr>
            <w:tcW w:w="7447" w:type="dxa"/>
          </w:tcPr>
          <w:p>
            <w:pPr>
              <w:pStyle w:val="TableParagraph"/>
              <w:spacing w:before="139"/>
              <w:ind w:left="121"/>
              <w:rPr>
                <w:sz w:val="21"/>
              </w:rPr>
            </w:pPr>
            <w:r>
              <w:rPr>
                <w:sz w:val="21"/>
              </w:rPr>
              <w:t>指下列情形之一：</w:t>
            </w:r>
          </w:p>
          <w:p>
            <w:pPr>
              <w:pStyle w:val="TableParagraph"/>
              <w:spacing w:before="68"/>
              <w:ind w:left="121"/>
              <w:rPr>
                <w:sz w:val="21"/>
              </w:rPr>
            </w:pPr>
            <w:r>
              <w:rPr>
                <w:sz w:val="21"/>
              </w:rPr>
              <w:t>（1）机动车被依法注销登记的；</w:t>
            </w:r>
          </w:p>
          <w:p>
            <w:pPr>
              <w:pStyle w:val="TableParagraph"/>
              <w:spacing w:before="68"/>
              <w:ind w:left="121"/>
              <w:rPr>
                <w:sz w:val="21"/>
              </w:rPr>
            </w:pPr>
            <w:r>
              <w:rPr>
                <w:sz w:val="21"/>
              </w:rPr>
              <w:t>（2）未依法按时进行或通过机动车安全技术检验。</w:t>
            </w:r>
          </w:p>
        </w:tc>
      </w:tr>
      <w:tr>
        <w:trPr>
          <w:trHeight w:val="957" w:hRule="atLeast"/>
        </w:trPr>
        <w:tc>
          <w:tcPr>
            <w:tcW w:w="766" w:type="dxa"/>
          </w:tcPr>
          <w:p>
            <w:pPr>
              <w:pStyle w:val="TableParagraph"/>
              <w:spacing w:before="138"/>
              <w:ind w:left="200"/>
              <w:rPr>
                <w:b/>
                <w:sz w:val="21"/>
              </w:rPr>
            </w:pPr>
            <w:r>
              <w:rPr>
                <w:b/>
                <w:sz w:val="21"/>
              </w:rPr>
              <w:t>6.12</w:t>
            </w:r>
          </w:p>
        </w:tc>
        <w:tc>
          <w:tcPr>
            <w:tcW w:w="1436" w:type="dxa"/>
          </w:tcPr>
          <w:p>
            <w:pPr>
              <w:pStyle w:val="TableParagraph"/>
              <w:spacing w:before="138"/>
              <w:ind w:left="144"/>
              <w:rPr>
                <w:b/>
                <w:sz w:val="21"/>
              </w:rPr>
            </w:pPr>
            <w:r>
              <w:rPr>
                <w:b/>
                <w:sz w:val="21"/>
              </w:rPr>
              <w:t>遗传性疾病</w:t>
            </w:r>
          </w:p>
        </w:tc>
        <w:tc>
          <w:tcPr>
            <w:tcW w:w="7447" w:type="dxa"/>
          </w:tcPr>
          <w:p>
            <w:pPr>
              <w:pStyle w:val="TableParagraph"/>
              <w:spacing w:line="300" w:lineRule="auto" w:before="138"/>
              <w:ind w:left="121" w:right="386"/>
              <w:rPr>
                <w:sz w:val="21"/>
              </w:rPr>
            </w:pPr>
            <w:r>
              <w:rPr>
                <w:sz w:val="21"/>
              </w:rPr>
              <w:t>指生殖细胞或受精卵的遗传物质（染色体和基因）发生突变或畸变所引起的疾病，通常具有由亲代传至后代的垂直传递的特征。</w:t>
            </w:r>
          </w:p>
        </w:tc>
      </w:tr>
      <w:tr>
        <w:trPr>
          <w:trHeight w:val="1302" w:hRule="atLeast"/>
        </w:trPr>
        <w:tc>
          <w:tcPr>
            <w:tcW w:w="766" w:type="dxa"/>
          </w:tcPr>
          <w:p>
            <w:pPr>
              <w:pStyle w:val="TableParagraph"/>
              <w:spacing w:before="138"/>
              <w:ind w:left="200"/>
              <w:rPr>
                <w:b/>
                <w:sz w:val="21"/>
              </w:rPr>
            </w:pPr>
            <w:r>
              <w:rPr>
                <w:b/>
                <w:sz w:val="21"/>
              </w:rPr>
              <w:t>6.13</w:t>
            </w:r>
          </w:p>
        </w:tc>
        <w:tc>
          <w:tcPr>
            <w:tcW w:w="1436" w:type="dxa"/>
          </w:tcPr>
          <w:p>
            <w:pPr>
              <w:pStyle w:val="TableParagraph"/>
              <w:spacing w:line="300" w:lineRule="auto" w:before="138"/>
              <w:ind w:left="144" w:right="22"/>
              <w:rPr>
                <w:b/>
                <w:sz w:val="21"/>
              </w:rPr>
            </w:pPr>
            <w:r>
              <w:rPr>
                <w:b/>
                <w:sz w:val="21"/>
              </w:rPr>
              <w:t>先天性畸形、变形或染色 体异常</w:t>
            </w:r>
          </w:p>
        </w:tc>
        <w:tc>
          <w:tcPr>
            <w:tcW w:w="7447" w:type="dxa"/>
          </w:tcPr>
          <w:p>
            <w:pPr>
              <w:pStyle w:val="TableParagraph"/>
              <w:spacing w:line="300" w:lineRule="auto" w:before="138"/>
              <w:ind w:left="121" w:right="385"/>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16"/>
              <w:ind w:left="121"/>
              <w:rPr>
                <w:sz w:val="21"/>
              </w:rPr>
            </w:pPr>
            <w:r>
              <w:rPr>
                <w:sz w:val="21"/>
              </w:rPr>
              <w:t>（ICD-10）确定。</w:t>
            </w:r>
          </w:p>
        </w:tc>
      </w:tr>
      <w:tr>
        <w:trPr>
          <w:trHeight w:val="1988" w:hRule="atLeast"/>
        </w:trPr>
        <w:tc>
          <w:tcPr>
            <w:tcW w:w="766" w:type="dxa"/>
          </w:tcPr>
          <w:p>
            <w:pPr>
              <w:pStyle w:val="TableParagraph"/>
              <w:spacing w:before="139"/>
              <w:ind w:left="200"/>
              <w:rPr>
                <w:b/>
                <w:sz w:val="21"/>
              </w:rPr>
            </w:pPr>
            <w:r>
              <w:rPr>
                <w:b/>
                <w:sz w:val="21"/>
              </w:rPr>
              <w:t>6.14</w:t>
            </w:r>
          </w:p>
        </w:tc>
        <w:tc>
          <w:tcPr>
            <w:tcW w:w="1436" w:type="dxa"/>
          </w:tcPr>
          <w:p>
            <w:pPr>
              <w:pStyle w:val="TableParagraph"/>
              <w:spacing w:line="300" w:lineRule="auto" w:before="139"/>
              <w:ind w:left="144" w:right="233"/>
              <w:jc w:val="both"/>
              <w:rPr>
                <w:b/>
                <w:sz w:val="21"/>
              </w:rPr>
            </w:pPr>
            <w:r>
              <w:rPr>
                <w:b/>
                <w:sz w:val="21"/>
              </w:rPr>
              <w:t>感染艾滋病病毒或患艾滋病</w:t>
            </w:r>
          </w:p>
        </w:tc>
        <w:tc>
          <w:tcPr>
            <w:tcW w:w="7447" w:type="dxa"/>
          </w:tcPr>
          <w:p>
            <w:pPr>
              <w:pStyle w:val="TableParagraph"/>
              <w:spacing w:line="300" w:lineRule="auto" w:before="139"/>
              <w:ind w:left="121" w:right="299"/>
              <w:rPr>
                <w:sz w:val="21"/>
              </w:rPr>
            </w:pPr>
            <w:r>
              <w:rPr>
                <w:spacing w:val="-7"/>
                <w:sz w:val="21"/>
              </w:rPr>
              <w:t>艾滋病病毒指人类免疫缺陷病毒，英文缩写为 </w:t>
            </w:r>
            <w:r>
              <w:rPr>
                <w:sz w:val="21"/>
              </w:rPr>
              <w:t>HIV</w:t>
            </w:r>
            <w:r>
              <w:rPr>
                <w:spacing w:val="-8"/>
                <w:sz w:val="21"/>
              </w:rPr>
              <w:t>。艾滋病指人类免疫缺陷病</w:t>
            </w:r>
            <w:r>
              <w:rPr>
                <w:spacing w:val="-7"/>
                <w:sz w:val="21"/>
              </w:rPr>
              <w:t>毒引起的获得性免疫缺陷综合征，英文缩写为 </w:t>
            </w:r>
            <w:r>
              <w:rPr>
                <w:sz w:val="21"/>
              </w:rPr>
              <w:t>AIDS。</w:t>
            </w:r>
          </w:p>
          <w:p>
            <w:pPr>
              <w:pStyle w:val="TableParagraph"/>
              <w:spacing w:line="300" w:lineRule="auto" w:before="16"/>
              <w:ind w:left="121" w:right="196"/>
              <w:rPr>
                <w:sz w:val="21"/>
              </w:rPr>
            </w:pPr>
            <w:r>
              <w:rPr>
                <w:spacing w:val="-3"/>
                <w:sz w:val="21"/>
              </w:rPr>
              <w:t>在人体血液或其它样本中检测到艾滋病病毒或其抗体呈阳性，没有出现临床 </w:t>
            </w:r>
            <w:r>
              <w:rPr>
                <w:spacing w:val="-6"/>
                <w:sz w:val="21"/>
              </w:rPr>
              <w:t>症状或体征的，为感染艾滋病病毒；如果同时出现了明显临床症状或体征的， </w:t>
            </w:r>
            <w:r>
              <w:rPr>
                <w:spacing w:val="-2"/>
                <w:sz w:val="21"/>
              </w:rPr>
              <w:t>为患艾滋病。</w:t>
            </w:r>
          </w:p>
        </w:tc>
      </w:tr>
      <w:tr>
        <w:trPr>
          <w:trHeight w:val="2682" w:hRule="atLeast"/>
        </w:trPr>
        <w:tc>
          <w:tcPr>
            <w:tcW w:w="766" w:type="dxa"/>
          </w:tcPr>
          <w:p>
            <w:pPr>
              <w:pStyle w:val="TableParagraph"/>
              <w:spacing w:before="138"/>
              <w:ind w:left="200"/>
              <w:rPr>
                <w:b/>
                <w:sz w:val="21"/>
              </w:rPr>
            </w:pPr>
            <w:r>
              <w:rPr>
                <w:b/>
                <w:sz w:val="21"/>
              </w:rPr>
              <w:t>6.15</w:t>
            </w:r>
          </w:p>
        </w:tc>
        <w:tc>
          <w:tcPr>
            <w:tcW w:w="1436" w:type="dxa"/>
          </w:tcPr>
          <w:p>
            <w:pPr>
              <w:pStyle w:val="TableParagraph"/>
              <w:spacing w:before="138"/>
              <w:ind w:left="144"/>
              <w:rPr>
                <w:b/>
                <w:sz w:val="21"/>
              </w:rPr>
            </w:pPr>
            <w:r>
              <w:rPr>
                <w:b/>
                <w:sz w:val="21"/>
              </w:rPr>
              <w:t>专科医生</w:t>
            </w:r>
          </w:p>
        </w:tc>
        <w:tc>
          <w:tcPr>
            <w:tcW w:w="7447" w:type="dxa"/>
          </w:tcPr>
          <w:p>
            <w:pPr>
              <w:pStyle w:val="TableParagraph"/>
              <w:spacing w:before="138"/>
              <w:ind w:left="25"/>
              <w:rPr>
                <w:sz w:val="21"/>
              </w:rPr>
            </w:pPr>
            <w:r>
              <w:rPr>
                <w:sz w:val="21"/>
              </w:rPr>
              <w:t>专科医生应当同时满足以下四项资格条件：</w:t>
            </w:r>
          </w:p>
          <w:p>
            <w:pPr>
              <w:pStyle w:val="TableParagraph"/>
              <w:spacing w:before="68"/>
              <w:ind w:left="25"/>
              <w:rPr>
                <w:sz w:val="21"/>
              </w:rPr>
            </w:pPr>
            <w:r>
              <w:rPr>
                <w:sz w:val="21"/>
              </w:rPr>
              <w:t>（1）具有有效的中华人民共和国《医师资格证书》；</w:t>
            </w:r>
          </w:p>
          <w:p>
            <w:pPr>
              <w:pStyle w:val="TableParagraph"/>
              <w:spacing w:line="300" w:lineRule="auto" w:before="68"/>
              <w:ind w:left="564" w:right="304" w:hanging="539"/>
              <w:rPr>
                <w:sz w:val="21"/>
              </w:rPr>
            </w:pPr>
            <w:r>
              <w:rPr>
                <w:sz w:val="21"/>
              </w:rPr>
              <w:t>（2）具有有效的中华人民共和国《医师执业证书》，并按期到相关部门登记注册；</w:t>
            </w:r>
          </w:p>
          <w:p>
            <w:pPr>
              <w:pStyle w:val="TableParagraph"/>
              <w:spacing w:line="300" w:lineRule="auto" w:before="15"/>
              <w:ind w:left="638" w:right="304" w:hanging="613"/>
              <w:rPr>
                <w:sz w:val="21"/>
              </w:rPr>
            </w:pPr>
            <w:r>
              <w:rPr>
                <w:sz w:val="21"/>
              </w:rPr>
              <w:t>（3）具有有效的中华人民共和国主治医师或主治医师以上职称的《医师职称证书》；</w:t>
            </w:r>
          </w:p>
          <w:p>
            <w:pPr>
              <w:pStyle w:val="TableParagraph"/>
              <w:spacing w:before="15"/>
              <w:ind w:left="25"/>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950" w:hRule="atLeast"/>
        </w:trPr>
        <w:tc>
          <w:tcPr>
            <w:tcW w:w="766" w:type="dxa"/>
          </w:tcPr>
          <w:p>
            <w:pPr>
              <w:pStyle w:val="TableParagraph"/>
              <w:spacing w:before="130"/>
              <w:ind w:left="200"/>
              <w:rPr>
                <w:b/>
                <w:sz w:val="21"/>
              </w:rPr>
            </w:pPr>
            <w:r>
              <w:rPr>
                <w:b/>
                <w:sz w:val="21"/>
              </w:rPr>
              <w:t>6.16</w:t>
            </w:r>
          </w:p>
        </w:tc>
        <w:tc>
          <w:tcPr>
            <w:tcW w:w="1436" w:type="dxa"/>
          </w:tcPr>
          <w:p>
            <w:pPr>
              <w:pStyle w:val="TableParagraph"/>
              <w:spacing w:line="300" w:lineRule="auto" w:before="130"/>
              <w:ind w:left="144" w:right="233"/>
              <w:rPr>
                <w:b/>
                <w:sz w:val="21"/>
              </w:rPr>
            </w:pPr>
            <w:r>
              <w:rPr>
                <w:b/>
                <w:sz w:val="21"/>
              </w:rPr>
              <w:t>肢体机能完全丧失</w:t>
            </w:r>
          </w:p>
        </w:tc>
        <w:tc>
          <w:tcPr>
            <w:tcW w:w="7447" w:type="dxa"/>
          </w:tcPr>
          <w:p>
            <w:pPr>
              <w:pStyle w:val="TableParagraph"/>
              <w:spacing w:line="300" w:lineRule="auto" w:before="130"/>
              <w:ind w:left="121" w:right="386"/>
              <w:rPr>
                <w:sz w:val="21"/>
              </w:rPr>
            </w:pPr>
            <w:r>
              <w:rPr>
                <w:sz w:val="21"/>
              </w:rPr>
              <w:t>指肢体的三大关节中的两大关节僵硬，或不能随意识活动。肢体是指包括肩关节的整个上肢或包括髋关节的整个下肢。</w:t>
            </w:r>
          </w:p>
        </w:tc>
      </w:tr>
      <w:tr>
        <w:trPr>
          <w:trHeight w:val="757" w:hRule="atLeast"/>
        </w:trPr>
        <w:tc>
          <w:tcPr>
            <w:tcW w:w="766" w:type="dxa"/>
          </w:tcPr>
          <w:p>
            <w:pPr>
              <w:pStyle w:val="TableParagraph"/>
              <w:spacing w:before="139"/>
              <w:ind w:left="200"/>
              <w:rPr>
                <w:b/>
                <w:sz w:val="21"/>
              </w:rPr>
            </w:pPr>
            <w:r>
              <w:rPr>
                <w:b/>
                <w:sz w:val="21"/>
              </w:rPr>
              <w:t>6.17</w:t>
            </w:r>
          </w:p>
        </w:tc>
        <w:tc>
          <w:tcPr>
            <w:tcW w:w="1436" w:type="dxa"/>
          </w:tcPr>
          <w:p>
            <w:pPr>
              <w:pStyle w:val="TableParagraph"/>
              <w:spacing w:line="340" w:lineRule="atLeast" w:before="74"/>
              <w:ind w:left="144" w:right="233"/>
              <w:rPr>
                <w:b/>
                <w:sz w:val="21"/>
              </w:rPr>
            </w:pPr>
            <w:r>
              <w:rPr>
                <w:b/>
                <w:sz w:val="21"/>
              </w:rPr>
              <w:t>语言能力或咀嚼吞咽能</w:t>
            </w:r>
          </w:p>
        </w:tc>
        <w:tc>
          <w:tcPr>
            <w:tcW w:w="7447" w:type="dxa"/>
          </w:tcPr>
          <w:p>
            <w:pPr>
              <w:pStyle w:val="TableParagraph"/>
              <w:spacing w:line="340" w:lineRule="atLeast" w:before="74"/>
              <w:ind w:left="121" w:right="308"/>
              <w:rPr>
                <w:sz w:val="21"/>
              </w:rPr>
            </w:pPr>
            <w:r>
              <w:rPr>
                <w:sz w:val="21"/>
              </w:rPr>
              <w:t>语言能力完全丧失，指无法发出四种语音（包括口唇音、齿舌音、口盖音和喉头音）中的任何三种、或声带全部切除，或因大脑语言中枢受伤害而患失</w:t>
            </w:r>
          </w:p>
        </w:tc>
      </w:tr>
    </w:tbl>
    <w:p>
      <w:pPr>
        <w:spacing w:after="0" w:line="340" w:lineRule="atLeast"/>
        <w:rPr>
          <w:sz w:val="21"/>
        </w:rPr>
        <w:sectPr>
          <w:pgSz w:w="11910" w:h="16840"/>
          <w:pgMar w:top="1580" w:bottom="280" w:left="1080" w:right="9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378"/>
        <w:gridCol w:w="7402"/>
      </w:tblGrid>
      <w:tr>
        <w:trPr>
          <w:trHeight w:val="1099" w:hRule="atLeast"/>
        </w:trPr>
        <w:tc>
          <w:tcPr>
            <w:tcW w:w="766" w:type="dxa"/>
          </w:tcPr>
          <w:p>
            <w:pPr>
              <w:pStyle w:val="TableParagraph"/>
              <w:ind w:left="0"/>
              <w:rPr>
                <w:rFonts w:ascii="Times New Roman"/>
                <w:sz w:val="20"/>
              </w:rPr>
            </w:pPr>
          </w:p>
        </w:tc>
        <w:tc>
          <w:tcPr>
            <w:tcW w:w="1378" w:type="dxa"/>
          </w:tcPr>
          <w:p>
            <w:pPr>
              <w:pStyle w:val="TableParagraph"/>
              <w:spacing w:line="211" w:lineRule="exact"/>
              <w:ind w:left="144"/>
              <w:rPr>
                <w:b/>
                <w:sz w:val="21"/>
              </w:rPr>
            </w:pPr>
            <w:r>
              <w:rPr>
                <w:b/>
                <w:sz w:val="21"/>
              </w:rPr>
              <w:t>力完全丧失</w:t>
            </w:r>
          </w:p>
        </w:tc>
        <w:tc>
          <w:tcPr>
            <w:tcW w:w="7402" w:type="dxa"/>
          </w:tcPr>
          <w:p>
            <w:pPr>
              <w:pStyle w:val="TableParagraph"/>
              <w:spacing w:line="211" w:lineRule="exact"/>
              <w:ind w:left="179"/>
              <w:rPr>
                <w:sz w:val="21"/>
              </w:rPr>
            </w:pPr>
            <w:r>
              <w:rPr>
                <w:sz w:val="21"/>
              </w:rPr>
              <w:t>语症。</w:t>
            </w:r>
          </w:p>
          <w:p>
            <w:pPr>
              <w:pStyle w:val="TableParagraph"/>
              <w:spacing w:line="300" w:lineRule="auto" w:before="68"/>
              <w:ind w:left="179" w:right="283"/>
              <w:rPr>
                <w:sz w:val="21"/>
              </w:rPr>
            </w:pPr>
            <w:r>
              <w:rPr>
                <w:sz w:val="21"/>
              </w:rPr>
              <w:t>咀嚼吞咽能力完全丧失，指因牙齿以外的原因导致器质障碍或机能障碍，以致不能作咀嚼吞咽运动，除流质食物外不能摄取或吞咽的状态。</w:t>
            </w:r>
          </w:p>
        </w:tc>
      </w:tr>
      <w:tr>
        <w:trPr>
          <w:trHeight w:val="2670" w:hRule="atLeast"/>
        </w:trPr>
        <w:tc>
          <w:tcPr>
            <w:tcW w:w="766" w:type="dxa"/>
          </w:tcPr>
          <w:p>
            <w:pPr>
              <w:pStyle w:val="TableParagraph"/>
              <w:spacing w:before="138"/>
              <w:ind w:left="179" w:right="123"/>
              <w:jc w:val="center"/>
              <w:rPr>
                <w:b/>
                <w:sz w:val="21"/>
              </w:rPr>
            </w:pPr>
            <w:r>
              <w:rPr>
                <w:b/>
                <w:sz w:val="21"/>
              </w:rPr>
              <w:t>6.18</w:t>
            </w:r>
          </w:p>
        </w:tc>
        <w:tc>
          <w:tcPr>
            <w:tcW w:w="1378" w:type="dxa"/>
          </w:tcPr>
          <w:p>
            <w:pPr>
              <w:pStyle w:val="TableParagraph"/>
              <w:spacing w:line="300" w:lineRule="auto" w:before="138"/>
              <w:ind w:left="144" w:right="175"/>
              <w:rPr>
                <w:b/>
                <w:sz w:val="21"/>
              </w:rPr>
            </w:pPr>
            <w:r>
              <w:rPr>
                <w:b/>
                <w:sz w:val="21"/>
              </w:rPr>
              <w:t>六项基本日常生活活动</w:t>
            </w:r>
          </w:p>
        </w:tc>
        <w:tc>
          <w:tcPr>
            <w:tcW w:w="7402" w:type="dxa"/>
          </w:tcPr>
          <w:p>
            <w:pPr>
              <w:pStyle w:val="TableParagraph"/>
              <w:spacing w:before="138"/>
              <w:ind w:left="179"/>
              <w:rPr>
                <w:sz w:val="21"/>
              </w:rPr>
            </w:pPr>
            <w:r>
              <w:rPr>
                <w:sz w:val="21"/>
              </w:rPr>
              <w:t>六项基本日常生活活动是指：</w:t>
            </w:r>
          </w:p>
          <w:p>
            <w:pPr>
              <w:pStyle w:val="TableParagraph"/>
              <w:spacing w:before="68"/>
              <w:ind w:left="179"/>
              <w:rPr>
                <w:sz w:val="21"/>
              </w:rPr>
            </w:pPr>
            <w:r>
              <w:rPr>
                <w:sz w:val="21"/>
              </w:rPr>
              <w:t>（1）穿衣：自己能够穿衣及脱衣；</w:t>
            </w:r>
          </w:p>
          <w:p>
            <w:pPr>
              <w:pStyle w:val="TableParagraph"/>
              <w:spacing w:before="68"/>
              <w:ind w:left="179"/>
              <w:rPr>
                <w:sz w:val="21"/>
              </w:rPr>
            </w:pPr>
            <w:r>
              <w:rPr>
                <w:sz w:val="21"/>
              </w:rPr>
              <w:t>（2）移动：自己从一个房间到另一个房间；</w:t>
            </w:r>
          </w:p>
          <w:p>
            <w:pPr>
              <w:pStyle w:val="TableParagraph"/>
              <w:spacing w:before="68"/>
              <w:ind w:left="179"/>
              <w:rPr>
                <w:sz w:val="21"/>
              </w:rPr>
            </w:pPr>
            <w:r>
              <w:rPr>
                <w:sz w:val="21"/>
              </w:rPr>
              <w:t>（3）行动：自己上下床或上下轮椅；</w:t>
            </w:r>
          </w:p>
          <w:p>
            <w:pPr>
              <w:pStyle w:val="TableParagraph"/>
              <w:spacing w:before="68"/>
              <w:ind w:left="179"/>
              <w:rPr>
                <w:sz w:val="21"/>
              </w:rPr>
            </w:pPr>
            <w:r>
              <w:rPr>
                <w:sz w:val="21"/>
              </w:rPr>
              <w:t>（4）如厕：自己控制进行大小便；</w:t>
            </w:r>
          </w:p>
          <w:p>
            <w:pPr>
              <w:pStyle w:val="TableParagraph"/>
              <w:spacing w:before="68"/>
              <w:ind w:left="179"/>
              <w:rPr>
                <w:sz w:val="21"/>
              </w:rPr>
            </w:pPr>
            <w:r>
              <w:rPr>
                <w:sz w:val="21"/>
              </w:rPr>
              <w:t>（5）进食：自己从已准备好的碗或碟中取食物放入口中；</w:t>
            </w:r>
          </w:p>
          <w:p>
            <w:pPr>
              <w:pStyle w:val="TableParagraph"/>
              <w:spacing w:before="68"/>
              <w:ind w:left="179"/>
              <w:rPr>
                <w:sz w:val="21"/>
              </w:rPr>
            </w:pPr>
            <w:r>
              <w:rPr>
                <w:sz w:val="21"/>
              </w:rPr>
              <w:t>（6）洗澡：自己进行淋浴或盆浴。</w:t>
            </w:r>
          </w:p>
        </w:tc>
      </w:tr>
      <w:tr>
        <w:trPr>
          <w:trHeight w:val="759" w:hRule="atLeast"/>
        </w:trPr>
        <w:tc>
          <w:tcPr>
            <w:tcW w:w="766" w:type="dxa"/>
          </w:tcPr>
          <w:p>
            <w:pPr>
              <w:pStyle w:val="TableParagraph"/>
              <w:spacing w:before="141"/>
              <w:ind w:left="179" w:right="123"/>
              <w:jc w:val="center"/>
              <w:rPr>
                <w:b/>
                <w:sz w:val="21"/>
              </w:rPr>
            </w:pPr>
            <w:r>
              <w:rPr>
                <w:b/>
                <w:sz w:val="21"/>
              </w:rPr>
              <w:t>6.19</w:t>
            </w:r>
          </w:p>
        </w:tc>
        <w:tc>
          <w:tcPr>
            <w:tcW w:w="1378" w:type="dxa"/>
          </w:tcPr>
          <w:p>
            <w:pPr>
              <w:pStyle w:val="TableParagraph"/>
              <w:spacing w:before="141"/>
              <w:ind w:left="144"/>
              <w:rPr>
                <w:b/>
                <w:sz w:val="21"/>
              </w:rPr>
            </w:pPr>
            <w:r>
              <w:rPr>
                <w:b/>
                <w:sz w:val="21"/>
              </w:rPr>
              <w:t>永久不可逆</w:t>
            </w:r>
          </w:p>
        </w:tc>
        <w:tc>
          <w:tcPr>
            <w:tcW w:w="7402" w:type="dxa"/>
          </w:tcPr>
          <w:p>
            <w:pPr>
              <w:pStyle w:val="TableParagraph"/>
              <w:spacing w:line="320" w:lineRule="atLeast" w:before="112"/>
              <w:ind w:left="179" w:right="195"/>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spacing w:after="0" w:line="320" w:lineRule="atLeast"/>
        <w:rPr>
          <w:sz w:val="21"/>
        </w:rPr>
        <w:sectPr>
          <w:pgSz w:w="11910" w:h="16840"/>
          <w:pgMar w:top="1460" w:bottom="280" w:left="1080" w:right="1040"/>
        </w:sectPr>
      </w:pPr>
    </w:p>
    <w:p>
      <w:pPr>
        <w:pStyle w:val="BodyText"/>
        <w:spacing w:before="11"/>
        <w:rPr>
          <w:rFonts w:ascii="Times New Roman"/>
          <w:sz w:val="9"/>
        </w:rPr>
      </w:pPr>
    </w:p>
    <w:p>
      <w:pPr>
        <w:pStyle w:val="Heading2"/>
        <w:spacing w:before="36"/>
        <w:ind w:left="3577" w:right="3832"/>
        <w:jc w:val="center"/>
      </w:pPr>
      <w:r>
        <w:rPr/>
        <w:t>附表一：重大疾病分组表</w:t>
      </w:r>
    </w:p>
    <w:p>
      <w:pPr>
        <w:pStyle w:val="BodyText"/>
        <w:spacing w:before="8"/>
        <w:rPr>
          <w:b/>
          <w:sz w:val="15"/>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4"/>
        <w:gridCol w:w="2384"/>
        <w:gridCol w:w="2384"/>
        <w:gridCol w:w="2384"/>
      </w:tblGrid>
      <w:tr>
        <w:trPr>
          <w:trHeight w:val="373" w:hRule="atLeast"/>
        </w:trPr>
        <w:tc>
          <w:tcPr>
            <w:tcW w:w="2384" w:type="dxa"/>
          </w:tcPr>
          <w:p>
            <w:pPr>
              <w:pStyle w:val="TableParagraph"/>
              <w:spacing w:before="18"/>
              <w:ind w:left="770"/>
              <w:rPr>
                <w:b/>
                <w:sz w:val="21"/>
              </w:rPr>
            </w:pPr>
            <w:r>
              <w:rPr>
                <w:b/>
                <w:sz w:val="21"/>
              </w:rPr>
              <w:t>第一组：</w:t>
            </w:r>
          </w:p>
        </w:tc>
        <w:tc>
          <w:tcPr>
            <w:tcW w:w="2384" w:type="dxa"/>
          </w:tcPr>
          <w:p>
            <w:pPr>
              <w:pStyle w:val="TableParagraph"/>
              <w:spacing w:before="18"/>
              <w:ind w:left="769"/>
              <w:rPr>
                <w:b/>
                <w:sz w:val="21"/>
              </w:rPr>
            </w:pPr>
            <w:r>
              <w:rPr>
                <w:b/>
                <w:sz w:val="21"/>
              </w:rPr>
              <w:t>第二组：</w:t>
            </w:r>
          </w:p>
        </w:tc>
        <w:tc>
          <w:tcPr>
            <w:tcW w:w="2384" w:type="dxa"/>
          </w:tcPr>
          <w:p>
            <w:pPr>
              <w:pStyle w:val="TableParagraph"/>
              <w:spacing w:before="18"/>
              <w:ind w:left="769"/>
              <w:rPr>
                <w:b/>
                <w:sz w:val="21"/>
              </w:rPr>
            </w:pPr>
            <w:r>
              <w:rPr>
                <w:b/>
                <w:sz w:val="21"/>
              </w:rPr>
              <w:t>第三组：</w:t>
            </w:r>
          </w:p>
        </w:tc>
        <w:tc>
          <w:tcPr>
            <w:tcW w:w="2384" w:type="dxa"/>
            <w:tcBorders>
              <w:right w:val="single" w:sz="6" w:space="0" w:color="000000"/>
            </w:tcBorders>
          </w:tcPr>
          <w:p>
            <w:pPr>
              <w:pStyle w:val="TableParagraph"/>
              <w:spacing w:before="18"/>
              <w:ind w:left="853" w:right="846"/>
              <w:jc w:val="center"/>
              <w:rPr>
                <w:b/>
                <w:sz w:val="21"/>
              </w:rPr>
            </w:pPr>
            <w:r>
              <w:rPr>
                <w:b/>
                <w:sz w:val="21"/>
              </w:rPr>
              <w:t>第四组</w:t>
            </w:r>
          </w:p>
        </w:tc>
      </w:tr>
      <w:tr>
        <w:trPr>
          <w:trHeight w:val="5616" w:hRule="atLeast"/>
        </w:trPr>
        <w:tc>
          <w:tcPr>
            <w:tcW w:w="2384" w:type="dxa"/>
          </w:tcPr>
          <w:p>
            <w:pPr>
              <w:pStyle w:val="TableParagraph"/>
              <w:spacing w:before="18"/>
              <w:ind w:left="107"/>
              <w:rPr>
                <w:sz w:val="21"/>
              </w:rPr>
            </w:pPr>
            <w:r>
              <w:rPr>
                <w:rFonts w:ascii="Arial" w:eastAsia="Arial"/>
                <w:sz w:val="21"/>
              </w:rPr>
              <w:t>1</w:t>
            </w:r>
            <w:r>
              <w:rPr>
                <w:sz w:val="21"/>
              </w:rPr>
              <w:t>、恶性肿瘤；</w:t>
            </w:r>
          </w:p>
          <w:p>
            <w:pPr>
              <w:pStyle w:val="TableParagraph"/>
              <w:spacing w:line="309" w:lineRule="auto" w:before="84"/>
              <w:ind w:left="107" w:right="32"/>
              <w:rPr>
                <w:sz w:val="21"/>
              </w:rPr>
            </w:pPr>
            <w:r>
              <w:rPr>
                <w:rFonts w:ascii="Arial" w:eastAsia="Arial"/>
                <w:sz w:val="21"/>
              </w:rPr>
              <w:t>2</w:t>
            </w:r>
            <w:r>
              <w:rPr>
                <w:sz w:val="21"/>
              </w:rPr>
              <w:t>、重大器官移植术或造血干细胞移植术；</w:t>
            </w:r>
          </w:p>
          <w:p>
            <w:pPr>
              <w:pStyle w:val="TableParagraph"/>
              <w:spacing w:line="319" w:lineRule="auto" w:before="38"/>
              <w:ind w:left="107" w:right="62"/>
              <w:jc w:val="both"/>
              <w:rPr>
                <w:sz w:val="21"/>
              </w:rPr>
            </w:pPr>
            <w:r>
              <w:rPr>
                <w:rFonts w:ascii="Arial" w:eastAsia="Arial"/>
                <w:sz w:val="21"/>
              </w:rPr>
              <w:t>3</w:t>
            </w:r>
            <w:r>
              <w:rPr>
                <w:spacing w:val="-12"/>
                <w:sz w:val="21"/>
              </w:rPr>
              <w:t>、终末期肾病</w:t>
            </w:r>
            <w:r>
              <w:rPr>
                <w:spacing w:val="-3"/>
                <w:sz w:val="21"/>
              </w:rPr>
              <w:t>（</w:t>
            </w:r>
            <w:r>
              <w:rPr>
                <w:spacing w:val="-2"/>
                <w:sz w:val="21"/>
              </w:rPr>
              <w:t>或称慢</w:t>
            </w:r>
            <w:r>
              <w:rPr>
                <w:spacing w:val="31"/>
                <w:sz w:val="21"/>
              </w:rPr>
              <w:t>性肾功能衰竭尿毒症</w:t>
            </w:r>
            <w:r>
              <w:rPr>
                <w:w w:val="100"/>
                <w:sz w:val="21"/>
              </w:rPr>
              <w:t>期</w:t>
            </w:r>
            <w:r>
              <w:rPr>
                <w:spacing w:val="-106"/>
                <w:w w:val="100"/>
                <w:sz w:val="21"/>
              </w:rPr>
              <w:t>）</w:t>
            </w:r>
            <w:r>
              <w:rPr>
                <w:w w:val="100"/>
                <w:sz w:val="21"/>
              </w:rPr>
              <w:t>；</w:t>
            </w:r>
          </w:p>
          <w:p>
            <w:pPr>
              <w:pStyle w:val="TableParagraph"/>
              <w:spacing w:line="309" w:lineRule="auto" w:before="30"/>
              <w:ind w:left="107" w:right="32"/>
              <w:rPr>
                <w:sz w:val="21"/>
              </w:rPr>
            </w:pPr>
            <w:r>
              <w:rPr>
                <w:rFonts w:ascii="Arial" w:eastAsia="Arial"/>
                <w:sz w:val="21"/>
              </w:rPr>
              <w:t>4</w:t>
            </w:r>
            <w:r>
              <w:rPr>
                <w:sz w:val="21"/>
              </w:rPr>
              <w:t>、慢性肝功能衰竭失代偿期；</w:t>
            </w:r>
          </w:p>
          <w:p>
            <w:pPr>
              <w:pStyle w:val="TableParagraph"/>
              <w:spacing w:before="38"/>
              <w:ind w:left="107"/>
              <w:rPr>
                <w:sz w:val="21"/>
              </w:rPr>
            </w:pPr>
            <w:r>
              <w:rPr>
                <w:rFonts w:ascii="Arial" w:eastAsia="Arial"/>
                <w:sz w:val="21"/>
              </w:rPr>
              <w:t>5</w:t>
            </w:r>
            <w:r>
              <w:rPr>
                <w:sz w:val="21"/>
              </w:rPr>
              <w:t>、慢性呼吸功能衰竭；</w:t>
            </w:r>
          </w:p>
          <w:p>
            <w:pPr>
              <w:pStyle w:val="TableParagraph"/>
              <w:spacing w:line="309" w:lineRule="auto" w:before="84"/>
              <w:ind w:left="107" w:right="94"/>
              <w:rPr>
                <w:sz w:val="21"/>
              </w:rPr>
            </w:pPr>
            <w:r>
              <w:rPr>
                <w:rFonts w:ascii="Arial" w:eastAsia="Arial"/>
                <w:sz w:val="21"/>
              </w:rPr>
              <w:t>6</w:t>
            </w:r>
            <w:r>
              <w:rPr>
                <w:spacing w:val="-9"/>
                <w:sz w:val="21"/>
              </w:rPr>
              <w:t>、经输血导致的人类免</w:t>
            </w:r>
            <w:r>
              <w:rPr>
                <w:spacing w:val="-15"/>
                <w:w w:val="100"/>
                <w:sz w:val="21"/>
              </w:rPr>
              <w:t>疫缺陷病毒感染</w:t>
            </w:r>
            <w:r>
              <w:rPr>
                <w:spacing w:val="-3"/>
                <w:w w:val="100"/>
                <w:sz w:val="21"/>
              </w:rPr>
              <w:t>（</w:t>
            </w:r>
            <w:r>
              <w:rPr>
                <w:rFonts w:ascii="Arial" w:eastAsia="Arial"/>
                <w:w w:val="100"/>
                <w:sz w:val="21"/>
              </w:rPr>
              <w:t>H</w:t>
            </w:r>
            <w:r>
              <w:rPr>
                <w:rFonts w:ascii="Arial" w:eastAsia="Arial"/>
                <w:spacing w:val="-2"/>
                <w:w w:val="100"/>
                <w:sz w:val="21"/>
              </w:rPr>
              <w:t>I</w:t>
            </w:r>
            <w:r>
              <w:rPr>
                <w:rFonts w:ascii="Arial" w:eastAsia="Arial"/>
                <w:w w:val="100"/>
                <w:sz w:val="21"/>
              </w:rPr>
              <w:t>V</w:t>
            </w:r>
            <w:r>
              <w:rPr>
                <w:spacing w:val="-108"/>
                <w:w w:val="100"/>
                <w:sz w:val="21"/>
              </w:rPr>
              <w:t>）；</w:t>
            </w:r>
          </w:p>
          <w:p>
            <w:pPr>
              <w:pStyle w:val="TableParagraph"/>
              <w:spacing w:before="16"/>
              <w:ind w:left="107"/>
              <w:rPr>
                <w:sz w:val="21"/>
              </w:rPr>
            </w:pPr>
            <w:r>
              <w:rPr>
                <w:rFonts w:ascii="Arial" w:eastAsia="Arial"/>
                <w:sz w:val="21"/>
              </w:rPr>
              <w:t>7</w:t>
            </w:r>
            <w:r>
              <w:rPr>
                <w:sz w:val="21"/>
              </w:rPr>
              <w:t>、系统性硬皮病；</w:t>
            </w:r>
          </w:p>
          <w:p>
            <w:pPr>
              <w:pStyle w:val="TableParagraph"/>
              <w:spacing w:before="84"/>
              <w:ind w:left="107"/>
              <w:rPr>
                <w:sz w:val="21"/>
              </w:rPr>
            </w:pPr>
            <w:r>
              <w:rPr>
                <w:rFonts w:ascii="Arial" w:eastAsia="Arial"/>
                <w:sz w:val="21"/>
              </w:rPr>
              <w:t>8</w:t>
            </w:r>
            <w:r>
              <w:rPr>
                <w:sz w:val="21"/>
              </w:rPr>
              <w:t>、严重克隆病；</w:t>
            </w:r>
          </w:p>
          <w:p>
            <w:pPr>
              <w:pStyle w:val="TableParagraph"/>
              <w:spacing w:line="360" w:lineRule="atLeast" w:before="14"/>
              <w:ind w:left="107" w:right="32"/>
              <w:rPr>
                <w:sz w:val="21"/>
              </w:rPr>
            </w:pPr>
            <w:r>
              <w:rPr>
                <w:rFonts w:ascii="Arial" w:eastAsia="Arial"/>
                <w:sz w:val="21"/>
              </w:rPr>
              <w:t>9</w:t>
            </w:r>
            <w:r>
              <w:rPr>
                <w:sz w:val="21"/>
              </w:rPr>
              <w:t>、急性或亚急性重症肝炎；</w:t>
            </w:r>
          </w:p>
        </w:tc>
        <w:tc>
          <w:tcPr>
            <w:tcW w:w="2384" w:type="dxa"/>
          </w:tcPr>
          <w:p>
            <w:pPr>
              <w:pStyle w:val="TableParagraph"/>
              <w:spacing w:before="18"/>
              <w:ind w:left="107"/>
              <w:rPr>
                <w:sz w:val="21"/>
              </w:rPr>
            </w:pPr>
            <w:r>
              <w:rPr>
                <w:rFonts w:ascii="Arial" w:eastAsia="Arial"/>
                <w:sz w:val="21"/>
              </w:rPr>
              <w:t>1</w:t>
            </w:r>
            <w:r>
              <w:rPr>
                <w:sz w:val="21"/>
              </w:rPr>
              <w:t>、良性脑肿瘤；</w:t>
            </w:r>
          </w:p>
          <w:p>
            <w:pPr>
              <w:pStyle w:val="TableParagraph"/>
              <w:spacing w:line="309" w:lineRule="auto" w:before="84"/>
              <w:ind w:left="107" w:right="32"/>
              <w:rPr>
                <w:sz w:val="21"/>
              </w:rPr>
            </w:pPr>
            <w:r>
              <w:rPr>
                <w:rFonts w:ascii="Arial" w:eastAsia="Arial"/>
                <w:sz w:val="21"/>
              </w:rPr>
              <w:t>2</w:t>
            </w:r>
            <w:r>
              <w:rPr>
                <w:sz w:val="21"/>
              </w:rPr>
              <w:t>、脑炎后遗症或脑膜炎后遗症；</w:t>
            </w:r>
          </w:p>
          <w:p>
            <w:pPr>
              <w:pStyle w:val="TableParagraph"/>
              <w:spacing w:before="38"/>
              <w:ind w:left="107"/>
              <w:rPr>
                <w:sz w:val="21"/>
              </w:rPr>
            </w:pPr>
            <w:r>
              <w:rPr>
                <w:rFonts w:ascii="Arial" w:eastAsia="Arial"/>
                <w:sz w:val="21"/>
              </w:rPr>
              <w:t>3</w:t>
            </w:r>
            <w:r>
              <w:rPr>
                <w:sz w:val="21"/>
              </w:rPr>
              <w:t>、瘫痪；</w:t>
            </w:r>
          </w:p>
          <w:p>
            <w:pPr>
              <w:pStyle w:val="TableParagraph"/>
              <w:spacing w:before="84"/>
              <w:ind w:left="107"/>
              <w:rPr>
                <w:sz w:val="21"/>
              </w:rPr>
            </w:pPr>
            <w:r>
              <w:rPr>
                <w:rFonts w:ascii="Arial" w:eastAsia="Arial"/>
                <w:sz w:val="21"/>
              </w:rPr>
              <w:t>4</w:t>
            </w:r>
            <w:r>
              <w:rPr>
                <w:sz w:val="21"/>
              </w:rPr>
              <w:t>、严重帕金森病；</w:t>
            </w:r>
          </w:p>
          <w:p>
            <w:pPr>
              <w:pStyle w:val="TableParagraph"/>
              <w:spacing w:before="84"/>
              <w:ind w:left="107"/>
              <w:rPr>
                <w:sz w:val="21"/>
              </w:rPr>
            </w:pPr>
            <w:r>
              <w:rPr>
                <w:rFonts w:ascii="Arial" w:eastAsia="Arial"/>
                <w:sz w:val="21"/>
              </w:rPr>
              <w:t>5</w:t>
            </w:r>
            <w:r>
              <w:rPr>
                <w:sz w:val="21"/>
              </w:rPr>
              <w:t>、严重运动神经元病；</w:t>
            </w:r>
          </w:p>
          <w:p>
            <w:pPr>
              <w:pStyle w:val="TableParagraph"/>
              <w:spacing w:before="84"/>
              <w:ind w:left="107"/>
              <w:rPr>
                <w:sz w:val="21"/>
              </w:rPr>
            </w:pPr>
            <w:r>
              <w:rPr>
                <w:rFonts w:ascii="Arial" w:eastAsia="Arial"/>
                <w:sz w:val="21"/>
              </w:rPr>
              <w:t>6</w:t>
            </w:r>
            <w:r>
              <w:rPr>
                <w:sz w:val="21"/>
              </w:rPr>
              <w:t>、语言能力丧失；</w:t>
            </w:r>
          </w:p>
          <w:p>
            <w:pPr>
              <w:pStyle w:val="TableParagraph"/>
              <w:spacing w:before="84"/>
              <w:ind w:left="107"/>
              <w:rPr>
                <w:sz w:val="21"/>
              </w:rPr>
            </w:pPr>
            <w:r>
              <w:rPr>
                <w:rFonts w:ascii="Arial" w:eastAsia="Arial"/>
                <w:sz w:val="21"/>
              </w:rPr>
              <w:t>7</w:t>
            </w:r>
            <w:r>
              <w:rPr>
                <w:sz w:val="21"/>
              </w:rPr>
              <w:t>、多发性硬化；</w:t>
            </w:r>
          </w:p>
          <w:p>
            <w:pPr>
              <w:pStyle w:val="TableParagraph"/>
              <w:spacing w:before="84"/>
              <w:ind w:left="107"/>
              <w:rPr>
                <w:sz w:val="21"/>
              </w:rPr>
            </w:pPr>
            <w:r>
              <w:rPr>
                <w:rFonts w:ascii="Arial" w:eastAsia="Arial"/>
                <w:sz w:val="21"/>
              </w:rPr>
              <w:t>8</w:t>
            </w:r>
            <w:r>
              <w:rPr>
                <w:sz w:val="21"/>
              </w:rPr>
              <w:t>、严重肌营养不良症；</w:t>
            </w:r>
          </w:p>
          <w:p>
            <w:pPr>
              <w:pStyle w:val="TableParagraph"/>
              <w:spacing w:before="84"/>
              <w:ind w:left="107"/>
              <w:rPr>
                <w:sz w:val="21"/>
              </w:rPr>
            </w:pPr>
            <w:r>
              <w:rPr>
                <w:rFonts w:ascii="Arial" w:eastAsia="Arial"/>
                <w:sz w:val="21"/>
              </w:rPr>
              <w:t>9</w:t>
            </w:r>
            <w:r>
              <w:rPr>
                <w:sz w:val="21"/>
              </w:rPr>
              <w:t>、颅脑手术；</w:t>
            </w:r>
          </w:p>
          <w:p>
            <w:pPr>
              <w:pStyle w:val="TableParagraph"/>
              <w:spacing w:before="84"/>
              <w:ind w:left="107"/>
              <w:rPr>
                <w:sz w:val="21"/>
              </w:rPr>
            </w:pPr>
            <w:r>
              <w:rPr>
                <w:rFonts w:ascii="Arial" w:eastAsia="Arial"/>
                <w:sz w:val="21"/>
              </w:rPr>
              <w:t>10</w:t>
            </w:r>
            <w:r>
              <w:rPr>
                <w:sz w:val="21"/>
              </w:rPr>
              <w:t>、严重脑损伤；</w:t>
            </w:r>
          </w:p>
          <w:p>
            <w:pPr>
              <w:pStyle w:val="TableParagraph"/>
              <w:spacing w:before="84"/>
              <w:ind w:left="107"/>
              <w:rPr>
                <w:sz w:val="21"/>
              </w:rPr>
            </w:pPr>
            <w:r>
              <w:rPr>
                <w:rFonts w:ascii="Arial" w:eastAsia="Arial"/>
                <w:sz w:val="21"/>
              </w:rPr>
              <w:t>11</w:t>
            </w:r>
            <w:r>
              <w:rPr>
                <w:sz w:val="21"/>
              </w:rPr>
              <w:t>、重症肌无力；</w:t>
            </w:r>
          </w:p>
          <w:p>
            <w:pPr>
              <w:pStyle w:val="TableParagraph"/>
              <w:spacing w:before="84"/>
              <w:ind w:left="107"/>
              <w:rPr>
                <w:sz w:val="21"/>
              </w:rPr>
            </w:pPr>
            <w:r>
              <w:rPr>
                <w:rFonts w:ascii="Arial" w:eastAsia="Arial"/>
                <w:sz w:val="21"/>
              </w:rPr>
              <w:t>12</w:t>
            </w:r>
            <w:r>
              <w:rPr>
                <w:sz w:val="21"/>
              </w:rPr>
              <w:t>、植物人状态</w:t>
            </w:r>
          </w:p>
          <w:p>
            <w:pPr>
              <w:pStyle w:val="TableParagraph"/>
              <w:spacing w:before="84"/>
              <w:ind w:left="107" w:right="-15"/>
              <w:rPr>
                <w:sz w:val="21"/>
              </w:rPr>
            </w:pPr>
            <w:r>
              <w:rPr>
                <w:rFonts w:ascii="Arial" w:eastAsia="Arial"/>
                <w:sz w:val="21"/>
              </w:rPr>
              <w:t>13</w:t>
            </w:r>
            <w:r>
              <w:rPr>
                <w:spacing w:val="-9"/>
                <w:sz w:val="21"/>
              </w:rPr>
              <w:t>、严重阿尔茨海默症；</w:t>
            </w:r>
          </w:p>
        </w:tc>
        <w:tc>
          <w:tcPr>
            <w:tcW w:w="2384" w:type="dxa"/>
          </w:tcPr>
          <w:p>
            <w:pPr>
              <w:pStyle w:val="TableParagraph"/>
              <w:spacing w:before="18"/>
              <w:ind w:left="107"/>
              <w:rPr>
                <w:sz w:val="21"/>
              </w:rPr>
            </w:pPr>
            <w:r>
              <w:rPr>
                <w:rFonts w:ascii="Arial" w:eastAsia="Arial"/>
                <w:sz w:val="21"/>
              </w:rPr>
              <w:t>1</w:t>
            </w:r>
            <w:r>
              <w:rPr>
                <w:sz w:val="21"/>
              </w:rPr>
              <w:t>、脑中风后遗症；</w:t>
            </w:r>
          </w:p>
          <w:p>
            <w:pPr>
              <w:pStyle w:val="TableParagraph"/>
              <w:spacing w:before="84"/>
              <w:ind w:left="107"/>
              <w:rPr>
                <w:sz w:val="21"/>
              </w:rPr>
            </w:pPr>
            <w:r>
              <w:rPr>
                <w:rFonts w:ascii="Arial" w:eastAsia="Arial"/>
                <w:sz w:val="21"/>
              </w:rPr>
              <w:t>2</w:t>
            </w:r>
            <w:r>
              <w:rPr>
                <w:sz w:val="21"/>
              </w:rPr>
              <w:t>、急性心肌梗塞；</w:t>
            </w:r>
          </w:p>
          <w:p>
            <w:pPr>
              <w:pStyle w:val="TableParagraph"/>
              <w:spacing w:line="319" w:lineRule="auto" w:before="84"/>
              <w:ind w:left="107" w:right="61"/>
              <w:jc w:val="both"/>
              <w:rPr>
                <w:sz w:val="21"/>
              </w:rPr>
            </w:pPr>
            <w:r>
              <w:rPr>
                <w:rFonts w:ascii="Arial" w:eastAsia="Arial"/>
                <w:sz w:val="21"/>
              </w:rPr>
              <w:t>3</w:t>
            </w:r>
            <w:r>
              <w:rPr>
                <w:spacing w:val="-10"/>
                <w:sz w:val="21"/>
              </w:rPr>
              <w:t>、冠状动脉搭桥术</w:t>
            </w:r>
            <w:r>
              <w:rPr>
                <w:sz w:val="21"/>
              </w:rPr>
              <w:t>（或</w:t>
            </w:r>
            <w:r>
              <w:rPr>
                <w:spacing w:val="31"/>
                <w:sz w:val="21"/>
              </w:rPr>
              <w:t>称冠状动脉旁路移植</w:t>
            </w:r>
            <w:r>
              <w:rPr>
                <w:w w:val="100"/>
                <w:sz w:val="21"/>
              </w:rPr>
              <w:t>术</w:t>
            </w:r>
            <w:r>
              <w:rPr>
                <w:spacing w:val="-106"/>
                <w:w w:val="100"/>
                <w:sz w:val="21"/>
              </w:rPr>
              <w:t>）</w:t>
            </w:r>
            <w:r>
              <w:rPr>
                <w:w w:val="100"/>
                <w:sz w:val="21"/>
              </w:rPr>
              <w:t>；</w:t>
            </w:r>
          </w:p>
          <w:p>
            <w:pPr>
              <w:pStyle w:val="TableParagraph"/>
              <w:spacing w:before="29"/>
              <w:ind w:left="107"/>
              <w:rPr>
                <w:sz w:val="21"/>
              </w:rPr>
            </w:pPr>
            <w:r>
              <w:rPr>
                <w:rFonts w:ascii="Arial" w:eastAsia="Arial"/>
                <w:sz w:val="21"/>
              </w:rPr>
              <w:t>4</w:t>
            </w:r>
            <w:r>
              <w:rPr>
                <w:sz w:val="21"/>
              </w:rPr>
              <w:t>、心脏瓣膜手术；</w:t>
            </w:r>
          </w:p>
          <w:p>
            <w:pPr>
              <w:pStyle w:val="TableParagraph"/>
              <w:spacing w:before="84"/>
              <w:ind w:left="107"/>
              <w:rPr>
                <w:sz w:val="21"/>
              </w:rPr>
            </w:pPr>
            <w:r>
              <w:rPr>
                <w:rFonts w:ascii="Arial" w:eastAsia="Arial"/>
                <w:sz w:val="21"/>
              </w:rPr>
              <w:t>5</w:t>
            </w:r>
            <w:r>
              <w:rPr>
                <w:sz w:val="21"/>
              </w:rPr>
              <w:t>、主动脉手术；</w:t>
            </w:r>
          </w:p>
          <w:p>
            <w:pPr>
              <w:pStyle w:val="TableParagraph"/>
              <w:spacing w:line="309" w:lineRule="auto" w:before="84"/>
              <w:ind w:left="107" w:right="32"/>
              <w:rPr>
                <w:sz w:val="21"/>
              </w:rPr>
            </w:pPr>
            <w:r>
              <w:rPr>
                <w:rFonts w:ascii="Arial" w:eastAsia="Arial"/>
                <w:sz w:val="21"/>
              </w:rPr>
              <w:t>6</w:t>
            </w:r>
            <w:r>
              <w:rPr>
                <w:sz w:val="21"/>
              </w:rPr>
              <w:t>、严重原发性肺动脉高压；</w:t>
            </w:r>
          </w:p>
          <w:p>
            <w:pPr>
              <w:pStyle w:val="TableParagraph"/>
              <w:spacing w:before="38"/>
              <w:ind w:left="107"/>
              <w:rPr>
                <w:sz w:val="21"/>
              </w:rPr>
            </w:pPr>
            <w:r>
              <w:rPr>
                <w:rFonts w:ascii="Arial" w:eastAsia="Arial"/>
                <w:sz w:val="21"/>
              </w:rPr>
              <w:t>7</w:t>
            </w:r>
            <w:r>
              <w:rPr>
                <w:sz w:val="21"/>
              </w:rPr>
              <w:t>、严重心肌病；</w:t>
            </w:r>
          </w:p>
          <w:p>
            <w:pPr>
              <w:pStyle w:val="TableParagraph"/>
              <w:spacing w:before="84"/>
              <w:ind w:left="107"/>
              <w:rPr>
                <w:sz w:val="21"/>
              </w:rPr>
            </w:pPr>
            <w:r>
              <w:rPr>
                <w:rFonts w:ascii="Arial" w:eastAsia="Arial"/>
                <w:sz w:val="21"/>
              </w:rPr>
              <w:t>8</w:t>
            </w:r>
            <w:r>
              <w:rPr>
                <w:sz w:val="21"/>
              </w:rPr>
              <w:t>、象皮病；</w:t>
            </w:r>
          </w:p>
          <w:p>
            <w:pPr>
              <w:pStyle w:val="TableParagraph"/>
              <w:spacing w:before="84"/>
              <w:ind w:left="107"/>
              <w:rPr>
                <w:rFonts w:ascii="Arial" w:eastAsia="Arial"/>
                <w:sz w:val="21"/>
              </w:rPr>
            </w:pPr>
            <w:r>
              <w:rPr>
                <w:rFonts w:ascii="Arial" w:eastAsia="Arial"/>
                <w:sz w:val="21"/>
              </w:rPr>
              <w:t>9</w:t>
            </w:r>
            <w:r>
              <w:rPr>
                <w:sz w:val="21"/>
              </w:rPr>
              <w:t>、系统性红斑狼疮</w:t>
            </w:r>
            <w:r>
              <w:rPr>
                <w:rFonts w:ascii="Arial" w:eastAsia="Arial"/>
                <w:sz w:val="21"/>
              </w:rPr>
              <w:t>-III</w:t>
            </w:r>
          </w:p>
          <w:p>
            <w:pPr>
              <w:pStyle w:val="TableParagraph"/>
              <w:spacing w:before="84"/>
              <w:ind w:left="107"/>
              <w:rPr>
                <w:sz w:val="21"/>
              </w:rPr>
            </w:pPr>
            <w:r>
              <w:rPr>
                <w:sz w:val="21"/>
              </w:rPr>
              <w:t>型或以上狼疮性肾炎</w:t>
            </w:r>
          </w:p>
          <w:p>
            <w:pPr>
              <w:pStyle w:val="TableParagraph"/>
              <w:spacing w:line="360" w:lineRule="atLeast" w:before="29"/>
              <w:ind w:left="107" w:right="97"/>
              <w:rPr>
                <w:sz w:val="21"/>
              </w:rPr>
            </w:pPr>
            <w:r>
              <w:rPr>
                <w:rFonts w:ascii="Arial" w:eastAsia="Arial"/>
                <w:sz w:val="21"/>
              </w:rPr>
              <w:t>10</w:t>
            </w:r>
            <w:r>
              <w:rPr>
                <w:sz w:val="21"/>
              </w:rPr>
              <w:t>、严重类风湿性关节炎</w:t>
            </w:r>
          </w:p>
        </w:tc>
        <w:tc>
          <w:tcPr>
            <w:tcW w:w="2384" w:type="dxa"/>
            <w:tcBorders>
              <w:right w:val="single" w:sz="6" w:space="0" w:color="000000"/>
            </w:tcBorders>
          </w:tcPr>
          <w:p>
            <w:pPr>
              <w:pStyle w:val="TableParagraph"/>
              <w:spacing w:line="309" w:lineRule="auto" w:before="18"/>
              <w:ind w:left="106" w:right="76"/>
              <w:rPr>
                <w:sz w:val="21"/>
              </w:rPr>
            </w:pPr>
            <w:r>
              <w:rPr>
                <w:rFonts w:ascii="Arial" w:eastAsia="Arial"/>
                <w:sz w:val="21"/>
              </w:rPr>
              <w:t>1</w:t>
            </w:r>
            <w:r>
              <w:rPr>
                <w:sz w:val="21"/>
              </w:rPr>
              <w:t>、重型再生障碍性贫血；</w:t>
            </w:r>
          </w:p>
          <w:p>
            <w:pPr>
              <w:pStyle w:val="TableParagraph"/>
              <w:spacing w:line="309" w:lineRule="auto" w:before="38"/>
              <w:ind w:left="106" w:right="30"/>
              <w:rPr>
                <w:sz w:val="21"/>
              </w:rPr>
            </w:pPr>
            <w:r>
              <w:rPr>
                <w:rFonts w:ascii="Arial" w:eastAsia="Arial"/>
                <w:sz w:val="21"/>
              </w:rPr>
              <w:t>2</w:t>
            </w:r>
            <w:r>
              <w:rPr>
                <w:sz w:val="21"/>
              </w:rPr>
              <w:t>、急性出血坏死性胰腺炎；</w:t>
            </w:r>
          </w:p>
          <w:p>
            <w:pPr>
              <w:pStyle w:val="TableParagraph"/>
              <w:spacing w:before="38"/>
              <w:ind w:left="106"/>
              <w:rPr>
                <w:sz w:val="21"/>
              </w:rPr>
            </w:pPr>
            <w:r>
              <w:rPr>
                <w:rFonts w:ascii="Arial" w:eastAsia="Arial"/>
                <w:sz w:val="21"/>
              </w:rPr>
              <w:t>3</w:t>
            </w:r>
            <w:r>
              <w:rPr>
                <w:sz w:val="21"/>
              </w:rPr>
              <w:t>、严重 </w:t>
            </w:r>
            <w:r>
              <w:rPr>
                <w:rFonts w:ascii="Arial" w:eastAsia="Arial"/>
                <w:sz w:val="21"/>
              </w:rPr>
              <w:t>III </w:t>
            </w:r>
            <w:r>
              <w:rPr>
                <w:sz w:val="21"/>
              </w:rPr>
              <w:t>度烧伤；</w:t>
            </w:r>
          </w:p>
          <w:p>
            <w:pPr>
              <w:pStyle w:val="TableParagraph"/>
              <w:spacing w:before="84"/>
              <w:ind w:left="106"/>
              <w:rPr>
                <w:sz w:val="21"/>
              </w:rPr>
            </w:pPr>
            <w:r>
              <w:rPr>
                <w:rFonts w:ascii="Arial" w:eastAsia="Arial"/>
                <w:sz w:val="21"/>
              </w:rPr>
              <w:t>4</w:t>
            </w:r>
            <w:r>
              <w:rPr>
                <w:sz w:val="21"/>
              </w:rPr>
              <w:t>、双耳失聪；</w:t>
            </w:r>
          </w:p>
          <w:p>
            <w:pPr>
              <w:pStyle w:val="TableParagraph"/>
              <w:spacing w:before="85"/>
              <w:ind w:left="106"/>
              <w:rPr>
                <w:sz w:val="21"/>
              </w:rPr>
            </w:pPr>
            <w:r>
              <w:rPr>
                <w:rFonts w:ascii="Arial" w:eastAsia="Arial"/>
                <w:sz w:val="21"/>
              </w:rPr>
              <w:t>5</w:t>
            </w:r>
            <w:r>
              <w:rPr>
                <w:sz w:val="21"/>
              </w:rPr>
              <w:t>、双目失明；</w:t>
            </w:r>
          </w:p>
          <w:p>
            <w:pPr>
              <w:pStyle w:val="TableParagraph"/>
              <w:spacing w:before="84"/>
              <w:ind w:left="106"/>
              <w:rPr>
                <w:sz w:val="21"/>
              </w:rPr>
            </w:pPr>
            <w:r>
              <w:rPr>
                <w:rFonts w:ascii="Arial" w:eastAsia="Arial"/>
                <w:sz w:val="21"/>
              </w:rPr>
              <w:t>6</w:t>
            </w:r>
            <w:r>
              <w:rPr>
                <w:sz w:val="21"/>
              </w:rPr>
              <w:t>、多个肢体缺失；</w:t>
            </w:r>
          </w:p>
          <w:p>
            <w:pPr>
              <w:pStyle w:val="TableParagraph"/>
              <w:spacing w:line="309" w:lineRule="auto" w:before="84"/>
              <w:ind w:left="106" w:right="30"/>
              <w:rPr>
                <w:sz w:val="21"/>
              </w:rPr>
            </w:pPr>
            <w:r>
              <w:rPr>
                <w:rFonts w:ascii="Arial" w:eastAsia="Arial"/>
                <w:sz w:val="21"/>
              </w:rPr>
              <w:t>7</w:t>
            </w:r>
            <w:r>
              <w:rPr>
                <w:sz w:val="21"/>
              </w:rPr>
              <w:t>、溶血性链球菌引起的坏疽；</w:t>
            </w:r>
          </w:p>
          <w:p>
            <w:pPr>
              <w:pStyle w:val="TableParagraph"/>
              <w:spacing w:before="38"/>
              <w:ind w:left="106"/>
              <w:rPr>
                <w:sz w:val="21"/>
              </w:rPr>
            </w:pPr>
            <w:r>
              <w:rPr>
                <w:rFonts w:ascii="Arial" w:eastAsia="Arial"/>
                <w:sz w:val="21"/>
              </w:rPr>
              <w:t>8</w:t>
            </w:r>
            <w:r>
              <w:rPr>
                <w:sz w:val="21"/>
              </w:rPr>
              <w:t>、坏死性筋膜炎</w:t>
            </w:r>
          </w:p>
        </w:tc>
      </w:tr>
    </w:tbl>
    <w:p>
      <w:pPr>
        <w:pStyle w:val="BodyText"/>
        <w:spacing w:before="3"/>
        <w:rPr>
          <w:b/>
          <w:sz w:val="25"/>
        </w:rPr>
      </w:pPr>
    </w:p>
    <w:p>
      <w:pPr>
        <w:spacing w:before="1" w:after="50"/>
        <w:ind w:left="3577" w:right="3832" w:firstLine="0"/>
        <w:jc w:val="center"/>
        <w:rPr>
          <w:b/>
          <w:sz w:val="21"/>
        </w:rPr>
      </w:pPr>
      <w:r>
        <w:rPr>
          <w:b/>
          <w:sz w:val="21"/>
        </w:rPr>
        <w:t>附表二：现金价值比例表</w:t>
      </w:r>
    </w:p>
    <w:tbl>
      <w:tblPr>
        <w:tblW w:w="0" w:type="auto"/>
        <w:jc w:val="left"/>
        <w:tblInd w:w="1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6"/>
        <w:gridCol w:w="2994"/>
      </w:tblGrid>
      <w:tr>
        <w:trPr>
          <w:trHeight w:val="359" w:hRule="atLeast"/>
        </w:trPr>
        <w:tc>
          <w:tcPr>
            <w:tcW w:w="2996" w:type="dxa"/>
          </w:tcPr>
          <w:p>
            <w:pPr>
              <w:pStyle w:val="TableParagraph"/>
              <w:spacing w:before="11"/>
              <w:ind w:left="321" w:right="314"/>
              <w:jc w:val="center"/>
              <w:rPr>
                <w:sz w:val="21"/>
              </w:rPr>
            </w:pPr>
            <w:r>
              <w:rPr>
                <w:sz w:val="21"/>
              </w:rPr>
              <w:t>本合同未满期月数</w:t>
            </w:r>
          </w:p>
        </w:tc>
        <w:tc>
          <w:tcPr>
            <w:tcW w:w="2994" w:type="dxa"/>
          </w:tcPr>
          <w:p>
            <w:pPr>
              <w:pStyle w:val="TableParagraph"/>
              <w:spacing w:before="11"/>
              <w:ind w:left="845" w:right="839"/>
              <w:jc w:val="center"/>
              <w:rPr>
                <w:sz w:val="21"/>
              </w:rPr>
            </w:pPr>
            <w:r>
              <w:rPr>
                <w:sz w:val="21"/>
              </w:rPr>
              <w:t>现金价值比例</w:t>
            </w:r>
          </w:p>
        </w:tc>
      </w:tr>
      <w:tr>
        <w:trPr>
          <w:trHeight w:val="361" w:hRule="atLeast"/>
        </w:trPr>
        <w:tc>
          <w:tcPr>
            <w:tcW w:w="2996" w:type="dxa"/>
          </w:tcPr>
          <w:p>
            <w:pPr>
              <w:pStyle w:val="TableParagraph"/>
              <w:spacing w:before="13"/>
              <w:ind w:left="321" w:right="314"/>
              <w:jc w:val="center"/>
              <w:rPr>
                <w:sz w:val="21"/>
              </w:rPr>
            </w:pPr>
            <w:r>
              <w:rPr>
                <w:sz w:val="21"/>
              </w:rPr>
              <w:t>足 11 个月</w:t>
            </w:r>
          </w:p>
        </w:tc>
        <w:tc>
          <w:tcPr>
            <w:tcW w:w="2994" w:type="dxa"/>
          </w:tcPr>
          <w:p>
            <w:pPr>
              <w:pStyle w:val="TableParagraph"/>
              <w:spacing w:before="13"/>
              <w:ind w:left="845" w:right="839"/>
              <w:jc w:val="center"/>
              <w:rPr>
                <w:sz w:val="21"/>
              </w:rPr>
            </w:pPr>
            <w:r>
              <w:rPr>
                <w:sz w:val="21"/>
              </w:rPr>
              <w:t>60%</w:t>
            </w:r>
          </w:p>
        </w:tc>
      </w:tr>
      <w:tr>
        <w:trPr>
          <w:trHeight w:val="359" w:hRule="atLeast"/>
        </w:trPr>
        <w:tc>
          <w:tcPr>
            <w:tcW w:w="2996" w:type="dxa"/>
          </w:tcPr>
          <w:p>
            <w:pPr>
              <w:pStyle w:val="TableParagraph"/>
              <w:spacing w:before="11"/>
              <w:ind w:left="321" w:right="314"/>
              <w:jc w:val="center"/>
              <w:rPr>
                <w:sz w:val="21"/>
              </w:rPr>
            </w:pPr>
            <w:r>
              <w:rPr>
                <w:sz w:val="21"/>
              </w:rPr>
              <w:t>足 10 个月少于 11 个月</w:t>
            </w:r>
          </w:p>
        </w:tc>
        <w:tc>
          <w:tcPr>
            <w:tcW w:w="2994" w:type="dxa"/>
          </w:tcPr>
          <w:p>
            <w:pPr>
              <w:pStyle w:val="TableParagraph"/>
              <w:spacing w:before="11"/>
              <w:ind w:left="845" w:right="839"/>
              <w:jc w:val="center"/>
              <w:rPr>
                <w:sz w:val="21"/>
              </w:rPr>
            </w:pPr>
            <w:r>
              <w:rPr>
                <w:sz w:val="21"/>
              </w:rPr>
              <w:t>55%</w:t>
            </w:r>
          </w:p>
        </w:tc>
      </w:tr>
      <w:tr>
        <w:trPr>
          <w:trHeight w:val="359" w:hRule="atLeast"/>
        </w:trPr>
        <w:tc>
          <w:tcPr>
            <w:tcW w:w="2996" w:type="dxa"/>
          </w:tcPr>
          <w:p>
            <w:pPr>
              <w:pStyle w:val="TableParagraph"/>
              <w:spacing w:before="11"/>
              <w:ind w:left="321" w:right="314"/>
              <w:jc w:val="center"/>
              <w:rPr>
                <w:sz w:val="21"/>
              </w:rPr>
            </w:pPr>
            <w:r>
              <w:rPr>
                <w:sz w:val="21"/>
              </w:rPr>
              <w:t>足 9 个月少于 10 个月</w:t>
            </w:r>
          </w:p>
        </w:tc>
        <w:tc>
          <w:tcPr>
            <w:tcW w:w="2994" w:type="dxa"/>
          </w:tcPr>
          <w:p>
            <w:pPr>
              <w:pStyle w:val="TableParagraph"/>
              <w:spacing w:before="11"/>
              <w:ind w:left="845" w:right="839"/>
              <w:jc w:val="center"/>
              <w:rPr>
                <w:sz w:val="21"/>
              </w:rPr>
            </w:pPr>
            <w:r>
              <w:rPr>
                <w:sz w:val="21"/>
              </w:rPr>
              <w:t>50%</w:t>
            </w:r>
          </w:p>
        </w:tc>
      </w:tr>
      <w:tr>
        <w:trPr>
          <w:trHeight w:val="359" w:hRule="atLeast"/>
        </w:trPr>
        <w:tc>
          <w:tcPr>
            <w:tcW w:w="2996" w:type="dxa"/>
          </w:tcPr>
          <w:p>
            <w:pPr>
              <w:pStyle w:val="TableParagraph"/>
              <w:spacing w:before="11"/>
              <w:ind w:left="321" w:right="314"/>
              <w:jc w:val="center"/>
              <w:rPr>
                <w:sz w:val="21"/>
              </w:rPr>
            </w:pPr>
            <w:r>
              <w:rPr>
                <w:sz w:val="21"/>
              </w:rPr>
              <w:t>足 8 个月少于 9 个月</w:t>
            </w:r>
          </w:p>
        </w:tc>
        <w:tc>
          <w:tcPr>
            <w:tcW w:w="2994" w:type="dxa"/>
          </w:tcPr>
          <w:p>
            <w:pPr>
              <w:pStyle w:val="TableParagraph"/>
              <w:spacing w:before="11"/>
              <w:ind w:left="845" w:right="839"/>
              <w:jc w:val="center"/>
              <w:rPr>
                <w:sz w:val="21"/>
              </w:rPr>
            </w:pPr>
            <w:r>
              <w:rPr>
                <w:sz w:val="21"/>
              </w:rPr>
              <w:t>45%</w:t>
            </w:r>
          </w:p>
        </w:tc>
      </w:tr>
      <w:tr>
        <w:trPr>
          <w:trHeight w:val="359" w:hRule="atLeast"/>
        </w:trPr>
        <w:tc>
          <w:tcPr>
            <w:tcW w:w="2996" w:type="dxa"/>
          </w:tcPr>
          <w:p>
            <w:pPr>
              <w:pStyle w:val="TableParagraph"/>
              <w:spacing w:before="11"/>
              <w:ind w:left="321" w:right="314"/>
              <w:jc w:val="center"/>
              <w:rPr>
                <w:sz w:val="21"/>
              </w:rPr>
            </w:pPr>
            <w:r>
              <w:rPr>
                <w:sz w:val="21"/>
              </w:rPr>
              <w:t>足 7 个月少于 8 个月</w:t>
            </w:r>
          </w:p>
        </w:tc>
        <w:tc>
          <w:tcPr>
            <w:tcW w:w="2994" w:type="dxa"/>
          </w:tcPr>
          <w:p>
            <w:pPr>
              <w:pStyle w:val="TableParagraph"/>
              <w:spacing w:before="11"/>
              <w:ind w:left="845" w:right="839"/>
              <w:jc w:val="center"/>
              <w:rPr>
                <w:sz w:val="21"/>
              </w:rPr>
            </w:pPr>
            <w:r>
              <w:rPr>
                <w:sz w:val="21"/>
              </w:rPr>
              <w:t>40%</w:t>
            </w:r>
          </w:p>
        </w:tc>
      </w:tr>
      <w:tr>
        <w:trPr>
          <w:trHeight w:val="359" w:hRule="atLeast"/>
        </w:trPr>
        <w:tc>
          <w:tcPr>
            <w:tcW w:w="2996" w:type="dxa"/>
          </w:tcPr>
          <w:p>
            <w:pPr>
              <w:pStyle w:val="TableParagraph"/>
              <w:spacing w:before="11"/>
              <w:ind w:left="321" w:right="314"/>
              <w:jc w:val="center"/>
              <w:rPr>
                <w:sz w:val="21"/>
              </w:rPr>
            </w:pPr>
            <w:r>
              <w:rPr>
                <w:sz w:val="21"/>
              </w:rPr>
              <w:t>足 6 个月少于 7 个月</w:t>
            </w:r>
          </w:p>
        </w:tc>
        <w:tc>
          <w:tcPr>
            <w:tcW w:w="2994" w:type="dxa"/>
          </w:tcPr>
          <w:p>
            <w:pPr>
              <w:pStyle w:val="TableParagraph"/>
              <w:spacing w:before="11"/>
              <w:ind w:left="845" w:right="839"/>
              <w:jc w:val="center"/>
              <w:rPr>
                <w:sz w:val="21"/>
              </w:rPr>
            </w:pPr>
            <w:r>
              <w:rPr>
                <w:sz w:val="21"/>
              </w:rPr>
              <w:t>35%</w:t>
            </w:r>
          </w:p>
        </w:tc>
      </w:tr>
      <w:tr>
        <w:trPr>
          <w:trHeight w:val="362" w:hRule="atLeast"/>
        </w:trPr>
        <w:tc>
          <w:tcPr>
            <w:tcW w:w="2996" w:type="dxa"/>
          </w:tcPr>
          <w:p>
            <w:pPr>
              <w:pStyle w:val="TableParagraph"/>
              <w:spacing w:before="14"/>
              <w:ind w:left="321" w:right="314"/>
              <w:jc w:val="center"/>
              <w:rPr>
                <w:sz w:val="21"/>
              </w:rPr>
            </w:pPr>
            <w:r>
              <w:rPr>
                <w:sz w:val="21"/>
              </w:rPr>
              <w:t>足 5 个月少于 6 个月</w:t>
            </w:r>
          </w:p>
        </w:tc>
        <w:tc>
          <w:tcPr>
            <w:tcW w:w="2994" w:type="dxa"/>
          </w:tcPr>
          <w:p>
            <w:pPr>
              <w:pStyle w:val="TableParagraph"/>
              <w:spacing w:before="14"/>
              <w:ind w:left="845" w:right="839"/>
              <w:jc w:val="center"/>
              <w:rPr>
                <w:sz w:val="21"/>
              </w:rPr>
            </w:pPr>
            <w:r>
              <w:rPr>
                <w:sz w:val="21"/>
              </w:rPr>
              <w:t>30%</w:t>
            </w:r>
          </w:p>
        </w:tc>
      </w:tr>
      <w:tr>
        <w:trPr>
          <w:trHeight w:val="359" w:hRule="atLeast"/>
        </w:trPr>
        <w:tc>
          <w:tcPr>
            <w:tcW w:w="2996" w:type="dxa"/>
          </w:tcPr>
          <w:p>
            <w:pPr>
              <w:pStyle w:val="TableParagraph"/>
              <w:spacing w:before="11"/>
              <w:ind w:left="321" w:right="314"/>
              <w:jc w:val="center"/>
              <w:rPr>
                <w:sz w:val="21"/>
              </w:rPr>
            </w:pPr>
            <w:r>
              <w:rPr>
                <w:sz w:val="21"/>
              </w:rPr>
              <w:t>足 4 个月少于 5 个月</w:t>
            </w:r>
          </w:p>
        </w:tc>
        <w:tc>
          <w:tcPr>
            <w:tcW w:w="2994" w:type="dxa"/>
          </w:tcPr>
          <w:p>
            <w:pPr>
              <w:pStyle w:val="TableParagraph"/>
              <w:spacing w:before="11"/>
              <w:ind w:left="845" w:right="839"/>
              <w:jc w:val="center"/>
              <w:rPr>
                <w:sz w:val="21"/>
              </w:rPr>
            </w:pPr>
            <w:r>
              <w:rPr>
                <w:sz w:val="21"/>
              </w:rPr>
              <w:t>25%</w:t>
            </w:r>
          </w:p>
        </w:tc>
      </w:tr>
      <w:tr>
        <w:trPr>
          <w:trHeight w:val="359" w:hRule="atLeast"/>
        </w:trPr>
        <w:tc>
          <w:tcPr>
            <w:tcW w:w="2996" w:type="dxa"/>
          </w:tcPr>
          <w:p>
            <w:pPr>
              <w:pStyle w:val="TableParagraph"/>
              <w:spacing w:before="11"/>
              <w:ind w:left="321" w:right="314"/>
              <w:jc w:val="center"/>
              <w:rPr>
                <w:sz w:val="21"/>
              </w:rPr>
            </w:pPr>
            <w:r>
              <w:rPr>
                <w:sz w:val="21"/>
              </w:rPr>
              <w:t>足 3 个月少于 4 个月</w:t>
            </w:r>
          </w:p>
        </w:tc>
        <w:tc>
          <w:tcPr>
            <w:tcW w:w="2994" w:type="dxa"/>
          </w:tcPr>
          <w:p>
            <w:pPr>
              <w:pStyle w:val="TableParagraph"/>
              <w:spacing w:before="11"/>
              <w:ind w:left="845" w:right="839"/>
              <w:jc w:val="center"/>
              <w:rPr>
                <w:sz w:val="21"/>
              </w:rPr>
            </w:pPr>
            <w:r>
              <w:rPr>
                <w:sz w:val="21"/>
              </w:rPr>
              <w:t>20%</w:t>
            </w:r>
          </w:p>
        </w:tc>
      </w:tr>
      <w:tr>
        <w:trPr>
          <w:trHeight w:val="359" w:hRule="atLeast"/>
        </w:trPr>
        <w:tc>
          <w:tcPr>
            <w:tcW w:w="2996" w:type="dxa"/>
          </w:tcPr>
          <w:p>
            <w:pPr>
              <w:pStyle w:val="TableParagraph"/>
              <w:spacing w:before="11"/>
              <w:ind w:left="321" w:right="314"/>
              <w:jc w:val="center"/>
              <w:rPr>
                <w:sz w:val="21"/>
              </w:rPr>
            </w:pPr>
            <w:r>
              <w:rPr>
                <w:sz w:val="21"/>
              </w:rPr>
              <w:t>少于 3 个月</w:t>
            </w:r>
          </w:p>
        </w:tc>
        <w:tc>
          <w:tcPr>
            <w:tcW w:w="2994" w:type="dxa"/>
          </w:tcPr>
          <w:p>
            <w:pPr>
              <w:pStyle w:val="TableParagraph"/>
              <w:spacing w:before="11"/>
              <w:ind w:left="1"/>
              <w:jc w:val="center"/>
              <w:rPr>
                <w:sz w:val="21"/>
              </w:rPr>
            </w:pPr>
            <w:r>
              <w:rPr>
                <w:w w:val="100"/>
                <w:sz w:val="21"/>
              </w:rPr>
              <w:t>0</w:t>
            </w:r>
          </w:p>
        </w:tc>
      </w:tr>
    </w:tbl>
    <w:sectPr>
      <w:pgSz w:w="11910" w:h="16840"/>
      <w:pgMar w:top="1580" w:bottom="28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upperRoman"/>
      <w:lvlText w:val="%1"/>
      <w:lvlJc w:val="left"/>
      <w:pPr>
        <w:ind w:left="609" w:hanging="159"/>
        <w:jc w:val="left"/>
      </w:pPr>
      <w:rPr>
        <w:rFonts w:hint="default" w:ascii="宋体" w:hAnsi="宋体" w:eastAsia="宋体" w:cs="宋体"/>
        <w:w w:val="100"/>
        <w:sz w:val="21"/>
        <w:szCs w:val="21"/>
      </w:rPr>
    </w:lvl>
    <w:lvl w:ilvl="1">
      <w:start w:val="0"/>
      <w:numFmt w:val="bullet"/>
      <w:lvlText w:val="•"/>
      <w:lvlJc w:val="left"/>
      <w:pPr>
        <w:ind w:left="1235" w:hanging="159"/>
      </w:pPr>
      <w:rPr>
        <w:rFonts w:hint="default"/>
      </w:rPr>
    </w:lvl>
    <w:lvl w:ilvl="2">
      <w:start w:val="0"/>
      <w:numFmt w:val="bullet"/>
      <w:lvlText w:val="•"/>
      <w:lvlJc w:val="left"/>
      <w:pPr>
        <w:ind w:left="1871" w:hanging="159"/>
      </w:pPr>
      <w:rPr>
        <w:rFonts w:hint="default"/>
      </w:rPr>
    </w:lvl>
    <w:lvl w:ilvl="3">
      <w:start w:val="0"/>
      <w:numFmt w:val="bullet"/>
      <w:lvlText w:val="•"/>
      <w:lvlJc w:val="left"/>
      <w:pPr>
        <w:ind w:left="2507" w:hanging="159"/>
      </w:pPr>
      <w:rPr>
        <w:rFonts w:hint="default"/>
      </w:rPr>
    </w:lvl>
    <w:lvl w:ilvl="4">
      <w:start w:val="0"/>
      <w:numFmt w:val="bullet"/>
      <w:lvlText w:val="•"/>
      <w:lvlJc w:val="left"/>
      <w:pPr>
        <w:ind w:left="3142" w:hanging="159"/>
      </w:pPr>
      <w:rPr>
        <w:rFonts w:hint="default"/>
      </w:rPr>
    </w:lvl>
    <w:lvl w:ilvl="5">
      <w:start w:val="0"/>
      <w:numFmt w:val="bullet"/>
      <w:lvlText w:val="•"/>
      <w:lvlJc w:val="left"/>
      <w:pPr>
        <w:ind w:left="3778" w:hanging="159"/>
      </w:pPr>
      <w:rPr>
        <w:rFonts w:hint="default"/>
      </w:rPr>
    </w:lvl>
    <w:lvl w:ilvl="6">
      <w:start w:val="0"/>
      <w:numFmt w:val="bullet"/>
      <w:lvlText w:val="•"/>
      <w:lvlJc w:val="left"/>
      <w:pPr>
        <w:ind w:left="4414" w:hanging="159"/>
      </w:pPr>
      <w:rPr>
        <w:rFonts w:hint="default"/>
      </w:rPr>
    </w:lvl>
    <w:lvl w:ilvl="7">
      <w:start w:val="0"/>
      <w:numFmt w:val="bullet"/>
      <w:lvlText w:val="•"/>
      <w:lvlJc w:val="left"/>
      <w:pPr>
        <w:ind w:left="5049" w:hanging="159"/>
      </w:pPr>
      <w:rPr>
        <w:rFonts w:hint="default"/>
      </w:rPr>
    </w:lvl>
    <w:lvl w:ilvl="8">
      <w:start w:val="0"/>
      <w:numFmt w:val="bullet"/>
      <w:lvlText w:val="•"/>
      <w:lvlJc w:val="left"/>
      <w:pPr>
        <w:ind w:left="5685" w:hanging="159"/>
      </w:pPr>
      <w:rPr>
        <w:rFonts w:hint="default"/>
      </w:rPr>
    </w:lvl>
  </w:abstractNum>
  <w:abstractNum w:abstractNumId="7">
    <w:multiLevelType w:val="hybridMultilevel"/>
    <w:lvl w:ilvl="0">
      <w:start w:val="1"/>
      <w:numFmt w:val="decimal"/>
      <w:lvlText w:val="（%1）"/>
      <w:lvlJc w:val="left"/>
      <w:pPr>
        <w:ind w:left="826" w:hanging="721"/>
        <w:jc w:val="left"/>
      </w:pPr>
      <w:rPr>
        <w:rFonts w:hint="default" w:ascii="宋体" w:hAnsi="宋体" w:eastAsia="宋体" w:cs="宋体"/>
        <w:w w:val="100"/>
        <w:sz w:val="21"/>
        <w:szCs w:val="21"/>
      </w:rPr>
    </w:lvl>
    <w:lvl w:ilvl="1">
      <w:start w:val="0"/>
      <w:numFmt w:val="bullet"/>
      <w:lvlText w:val="•"/>
      <w:lvlJc w:val="left"/>
      <w:pPr>
        <w:ind w:left="1461" w:hanging="721"/>
      </w:pPr>
      <w:rPr>
        <w:rFonts w:hint="default"/>
      </w:rPr>
    </w:lvl>
    <w:lvl w:ilvl="2">
      <w:start w:val="0"/>
      <w:numFmt w:val="bullet"/>
      <w:lvlText w:val="•"/>
      <w:lvlJc w:val="left"/>
      <w:pPr>
        <w:ind w:left="2103" w:hanging="721"/>
      </w:pPr>
      <w:rPr>
        <w:rFonts w:hint="default"/>
      </w:rPr>
    </w:lvl>
    <w:lvl w:ilvl="3">
      <w:start w:val="0"/>
      <w:numFmt w:val="bullet"/>
      <w:lvlText w:val="•"/>
      <w:lvlJc w:val="left"/>
      <w:pPr>
        <w:ind w:left="2744" w:hanging="721"/>
      </w:pPr>
      <w:rPr>
        <w:rFonts w:hint="default"/>
      </w:rPr>
    </w:lvl>
    <w:lvl w:ilvl="4">
      <w:start w:val="0"/>
      <w:numFmt w:val="bullet"/>
      <w:lvlText w:val="•"/>
      <w:lvlJc w:val="left"/>
      <w:pPr>
        <w:ind w:left="3386" w:hanging="721"/>
      </w:pPr>
      <w:rPr>
        <w:rFonts w:hint="default"/>
      </w:rPr>
    </w:lvl>
    <w:lvl w:ilvl="5">
      <w:start w:val="0"/>
      <w:numFmt w:val="bullet"/>
      <w:lvlText w:val="•"/>
      <w:lvlJc w:val="left"/>
      <w:pPr>
        <w:ind w:left="4027" w:hanging="721"/>
      </w:pPr>
      <w:rPr>
        <w:rFonts w:hint="default"/>
      </w:rPr>
    </w:lvl>
    <w:lvl w:ilvl="6">
      <w:start w:val="0"/>
      <w:numFmt w:val="bullet"/>
      <w:lvlText w:val="•"/>
      <w:lvlJc w:val="left"/>
      <w:pPr>
        <w:ind w:left="4669" w:hanging="721"/>
      </w:pPr>
      <w:rPr>
        <w:rFonts w:hint="default"/>
      </w:rPr>
    </w:lvl>
    <w:lvl w:ilvl="7">
      <w:start w:val="0"/>
      <w:numFmt w:val="bullet"/>
      <w:lvlText w:val="•"/>
      <w:lvlJc w:val="left"/>
      <w:pPr>
        <w:ind w:left="5310" w:hanging="721"/>
      </w:pPr>
      <w:rPr>
        <w:rFonts w:hint="default"/>
      </w:rPr>
    </w:lvl>
    <w:lvl w:ilvl="8">
      <w:start w:val="0"/>
      <w:numFmt w:val="bullet"/>
      <w:lvlText w:val="•"/>
      <w:lvlJc w:val="left"/>
      <w:pPr>
        <w:ind w:left="5952" w:hanging="721"/>
      </w:pPr>
      <w:rPr>
        <w:rFonts w:hint="default"/>
      </w:rPr>
    </w:lvl>
  </w:abstractNum>
  <w:abstractNum w:abstractNumId="6">
    <w:multiLevelType w:val="hybridMultilevel"/>
    <w:lvl w:ilvl="0">
      <w:start w:val="5"/>
      <w:numFmt w:val="decimal"/>
      <w:lvlText w:val="（%1）"/>
      <w:lvlJc w:val="left"/>
      <w:pPr>
        <w:ind w:left="808" w:hanging="721"/>
        <w:jc w:val="left"/>
      </w:pPr>
      <w:rPr>
        <w:rFonts w:hint="default" w:ascii="黑体" w:hAnsi="黑体" w:eastAsia="黑体" w:cs="黑体"/>
        <w:w w:val="100"/>
        <w:sz w:val="21"/>
        <w:szCs w:val="21"/>
      </w:rPr>
    </w:lvl>
    <w:lvl w:ilvl="1">
      <w:start w:val="0"/>
      <w:numFmt w:val="bullet"/>
      <w:lvlText w:val="•"/>
      <w:lvlJc w:val="left"/>
      <w:pPr>
        <w:ind w:left="1458" w:hanging="721"/>
      </w:pPr>
      <w:rPr>
        <w:rFonts w:hint="default"/>
      </w:rPr>
    </w:lvl>
    <w:lvl w:ilvl="2">
      <w:start w:val="0"/>
      <w:numFmt w:val="bullet"/>
      <w:lvlText w:val="•"/>
      <w:lvlJc w:val="left"/>
      <w:pPr>
        <w:ind w:left="2117" w:hanging="721"/>
      </w:pPr>
      <w:rPr>
        <w:rFonts w:hint="default"/>
      </w:rPr>
    </w:lvl>
    <w:lvl w:ilvl="3">
      <w:start w:val="0"/>
      <w:numFmt w:val="bullet"/>
      <w:lvlText w:val="•"/>
      <w:lvlJc w:val="left"/>
      <w:pPr>
        <w:ind w:left="2775" w:hanging="721"/>
      </w:pPr>
      <w:rPr>
        <w:rFonts w:hint="default"/>
      </w:rPr>
    </w:lvl>
    <w:lvl w:ilvl="4">
      <w:start w:val="0"/>
      <w:numFmt w:val="bullet"/>
      <w:lvlText w:val="•"/>
      <w:lvlJc w:val="left"/>
      <w:pPr>
        <w:ind w:left="3434" w:hanging="721"/>
      </w:pPr>
      <w:rPr>
        <w:rFonts w:hint="default"/>
      </w:rPr>
    </w:lvl>
    <w:lvl w:ilvl="5">
      <w:start w:val="0"/>
      <w:numFmt w:val="bullet"/>
      <w:lvlText w:val="•"/>
      <w:lvlJc w:val="left"/>
      <w:pPr>
        <w:ind w:left="4092" w:hanging="721"/>
      </w:pPr>
      <w:rPr>
        <w:rFonts w:hint="default"/>
      </w:rPr>
    </w:lvl>
    <w:lvl w:ilvl="6">
      <w:start w:val="0"/>
      <w:numFmt w:val="bullet"/>
      <w:lvlText w:val="•"/>
      <w:lvlJc w:val="left"/>
      <w:pPr>
        <w:ind w:left="4751" w:hanging="721"/>
      </w:pPr>
      <w:rPr>
        <w:rFonts w:hint="default"/>
      </w:rPr>
    </w:lvl>
    <w:lvl w:ilvl="7">
      <w:start w:val="0"/>
      <w:numFmt w:val="bullet"/>
      <w:lvlText w:val="•"/>
      <w:lvlJc w:val="left"/>
      <w:pPr>
        <w:ind w:left="5409" w:hanging="721"/>
      </w:pPr>
      <w:rPr>
        <w:rFonts w:hint="default"/>
      </w:rPr>
    </w:lvl>
    <w:lvl w:ilvl="8">
      <w:start w:val="0"/>
      <w:numFmt w:val="bullet"/>
      <w:lvlText w:val="•"/>
      <w:lvlJc w:val="left"/>
      <w:pPr>
        <w:ind w:left="6068" w:hanging="721"/>
      </w:pPr>
      <w:rPr>
        <w:rFonts w:hint="default"/>
      </w:rPr>
    </w:lvl>
  </w:abstractNum>
  <w:abstractNum w:abstractNumId="5">
    <w:multiLevelType w:val="hybridMultilevel"/>
    <w:lvl w:ilvl="0">
      <w:start w:val="1"/>
      <w:numFmt w:val="decimal"/>
      <w:lvlText w:val="（%1）"/>
      <w:lvlJc w:val="left"/>
      <w:pPr>
        <w:ind w:left="808" w:hanging="721"/>
        <w:jc w:val="left"/>
      </w:pPr>
      <w:rPr>
        <w:rFonts w:hint="default" w:ascii="黑体" w:hAnsi="黑体" w:eastAsia="黑体" w:cs="黑体"/>
        <w:w w:val="100"/>
        <w:sz w:val="21"/>
        <w:szCs w:val="21"/>
      </w:rPr>
    </w:lvl>
    <w:lvl w:ilvl="1">
      <w:start w:val="0"/>
      <w:numFmt w:val="bullet"/>
      <w:lvlText w:val="•"/>
      <w:lvlJc w:val="left"/>
      <w:pPr>
        <w:ind w:left="1458" w:hanging="721"/>
      </w:pPr>
      <w:rPr>
        <w:rFonts w:hint="default"/>
      </w:rPr>
    </w:lvl>
    <w:lvl w:ilvl="2">
      <w:start w:val="0"/>
      <w:numFmt w:val="bullet"/>
      <w:lvlText w:val="•"/>
      <w:lvlJc w:val="left"/>
      <w:pPr>
        <w:ind w:left="2117" w:hanging="721"/>
      </w:pPr>
      <w:rPr>
        <w:rFonts w:hint="default"/>
      </w:rPr>
    </w:lvl>
    <w:lvl w:ilvl="3">
      <w:start w:val="0"/>
      <w:numFmt w:val="bullet"/>
      <w:lvlText w:val="•"/>
      <w:lvlJc w:val="left"/>
      <w:pPr>
        <w:ind w:left="2775" w:hanging="721"/>
      </w:pPr>
      <w:rPr>
        <w:rFonts w:hint="default"/>
      </w:rPr>
    </w:lvl>
    <w:lvl w:ilvl="4">
      <w:start w:val="0"/>
      <w:numFmt w:val="bullet"/>
      <w:lvlText w:val="•"/>
      <w:lvlJc w:val="left"/>
      <w:pPr>
        <w:ind w:left="3434" w:hanging="721"/>
      </w:pPr>
      <w:rPr>
        <w:rFonts w:hint="default"/>
      </w:rPr>
    </w:lvl>
    <w:lvl w:ilvl="5">
      <w:start w:val="0"/>
      <w:numFmt w:val="bullet"/>
      <w:lvlText w:val="•"/>
      <w:lvlJc w:val="left"/>
      <w:pPr>
        <w:ind w:left="4092" w:hanging="721"/>
      </w:pPr>
      <w:rPr>
        <w:rFonts w:hint="default"/>
      </w:rPr>
    </w:lvl>
    <w:lvl w:ilvl="6">
      <w:start w:val="0"/>
      <w:numFmt w:val="bullet"/>
      <w:lvlText w:val="•"/>
      <w:lvlJc w:val="left"/>
      <w:pPr>
        <w:ind w:left="4751" w:hanging="721"/>
      </w:pPr>
      <w:rPr>
        <w:rFonts w:hint="default"/>
      </w:rPr>
    </w:lvl>
    <w:lvl w:ilvl="7">
      <w:start w:val="0"/>
      <w:numFmt w:val="bullet"/>
      <w:lvlText w:val="•"/>
      <w:lvlJc w:val="left"/>
      <w:pPr>
        <w:ind w:left="5409" w:hanging="721"/>
      </w:pPr>
      <w:rPr>
        <w:rFonts w:hint="default"/>
      </w:rPr>
    </w:lvl>
    <w:lvl w:ilvl="8">
      <w:start w:val="0"/>
      <w:numFmt w:val="bullet"/>
      <w:lvlText w:val="•"/>
      <w:lvlJc w:val="left"/>
      <w:pPr>
        <w:ind w:left="6068" w:hanging="721"/>
      </w:pPr>
      <w:rPr>
        <w:rFonts w:hint="default"/>
      </w:rPr>
    </w:lvl>
  </w:abstractNum>
  <w:abstractNum w:abstractNumId="4">
    <w:multiLevelType w:val="hybridMultilevel"/>
    <w:lvl w:ilvl="0">
      <w:start w:val="6"/>
      <w:numFmt w:val="decimal"/>
      <w:lvlText w:val="%1"/>
      <w:lvlJc w:val="left"/>
      <w:pPr>
        <w:ind w:left="613" w:hanging="423"/>
        <w:jc w:val="left"/>
      </w:pPr>
      <w:rPr>
        <w:rFonts w:hint="default"/>
      </w:rPr>
    </w:lvl>
    <w:lvl w:ilvl="1">
      <w:start w:val="4"/>
      <w:numFmt w:val="decimal"/>
      <w:lvlText w:val="%1.%2"/>
      <w:lvlJc w:val="left"/>
      <w:pPr>
        <w:ind w:left="717" w:hanging="423"/>
        <w:jc w:val="left"/>
      </w:pPr>
      <w:rPr>
        <w:rFonts w:hint="default" w:ascii="宋体" w:hAnsi="宋体" w:eastAsia="宋体" w:cs="宋体"/>
        <w:w w:val="100"/>
        <w:sz w:val="21"/>
        <w:szCs w:val="21"/>
      </w:rPr>
    </w:lvl>
    <w:lvl w:ilvl="2">
      <w:start w:val="0"/>
      <w:numFmt w:val="bullet"/>
      <w:lvlText w:val="•"/>
      <w:lvlJc w:val="left"/>
      <w:pPr>
        <w:ind w:left="993" w:hanging="423"/>
      </w:pPr>
      <w:rPr>
        <w:rFonts w:hint="default"/>
      </w:rPr>
    </w:lvl>
    <w:lvl w:ilvl="3">
      <w:start w:val="0"/>
      <w:numFmt w:val="bullet"/>
      <w:lvlText w:val="•"/>
      <w:lvlJc w:val="left"/>
      <w:pPr>
        <w:ind w:left="1266" w:hanging="423"/>
      </w:pPr>
      <w:rPr>
        <w:rFonts w:hint="default"/>
      </w:rPr>
    </w:lvl>
    <w:lvl w:ilvl="4">
      <w:start w:val="0"/>
      <w:numFmt w:val="bullet"/>
      <w:lvlText w:val="•"/>
      <w:lvlJc w:val="left"/>
      <w:pPr>
        <w:ind w:left="1539" w:hanging="423"/>
      </w:pPr>
      <w:rPr>
        <w:rFonts w:hint="default"/>
      </w:rPr>
    </w:lvl>
    <w:lvl w:ilvl="5">
      <w:start w:val="0"/>
      <w:numFmt w:val="bullet"/>
      <w:lvlText w:val="•"/>
      <w:lvlJc w:val="left"/>
      <w:pPr>
        <w:ind w:left="1812" w:hanging="423"/>
      </w:pPr>
      <w:rPr>
        <w:rFonts w:hint="default"/>
      </w:rPr>
    </w:lvl>
    <w:lvl w:ilvl="6">
      <w:start w:val="0"/>
      <w:numFmt w:val="bullet"/>
      <w:lvlText w:val="•"/>
      <w:lvlJc w:val="left"/>
      <w:pPr>
        <w:ind w:left="2085" w:hanging="423"/>
      </w:pPr>
      <w:rPr>
        <w:rFonts w:hint="default"/>
      </w:rPr>
    </w:lvl>
    <w:lvl w:ilvl="7">
      <w:start w:val="0"/>
      <w:numFmt w:val="bullet"/>
      <w:lvlText w:val="•"/>
      <w:lvlJc w:val="left"/>
      <w:pPr>
        <w:ind w:left="2358" w:hanging="423"/>
      </w:pPr>
      <w:rPr>
        <w:rFonts w:hint="default"/>
      </w:rPr>
    </w:lvl>
    <w:lvl w:ilvl="8">
      <w:start w:val="0"/>
      <w:numFmt w:val="bullet"/>
      <w:lvlText w:val="•"/>
      <w:lvlJc w:val="left"/>
      <w:pPr>
        <w:ind w:left="2631" w:hanging="423"/>
      </w:pPr>
      <w:rPr>
        <w:rFonts w:hint="default"/>
      </w:rPr>
    </w:lvl>
  </w:abstractNum>
  <w:abstractNum w:abstractNumId="3">
    <w:multiLevelType w:val="hybridMultilevel"/>
    <w:lvl w:ilvl="0">
      <w:start w:val="4"/>
      <w:numFmt w:val="decimal"/>
      <w:lvlText w:val="%1."/>
      <w:lvlJc w:val="left"/>
      <w:pPr>
        <w:ind w:left="428" w:hanging="317"/>
        <w:jc w:val="left"/>
      </w:pPr>
      <w:rPr>
        <w:rFonts w:hint="default" w:ascii="宋体" w:hAnsi="宋体" w:eastAsia="宋体" w:cs="宋体"/>
        <w:b/>
        <w:bCs/>
        <w:w w:val="99"/>
        <w:sz w:val="21"/>
        <w:szCs w:val="21"/>
      </w:rPr>
    </w:lvl>
    <w:lvl w:ilvl="1">
      <w:start w:val="1"/>
      <w:numFmt w:val="decimal"/>
      <w:lvlText w:val="%1.%2"/>
      <w:lvlJc w:val="left"/>
      <w:pPr>
        <w:ind w:left="639" w:hanging="423"/>
        <w:jc w:val="left"/>
      </w:pPr>
      <w:rPr>
        <w:rFonts w:hint="default" w:ascii="宋体" w:hAnsi="宋体" w:eastAsia="宋体" w:cs="宋体"/>
        <w:w w:val="100"/>
        <w:sz w:val="21"/>
        <w:szCs w:val="21"/>
      </w:rPr>
    </w:lvl>
    <w:lvl w:ilvl="2">
      <w:start w:val="0"/>
      <w:numFmt w:val="bullet"/>
      <w:lvlText w:val="•"/>
      <w:lvlJc w:val="left"/>
      <w:pPr>
        <w:ind w:left="918" w:hanging="423"/>
      </w:pPr>
      <w:rPr>
        <w:rFonts w:hint="default"/>
      </w:rPr>
    </w:lvl>
    <w:lvl w:ilvl="3">
      <w:start w:val="0"/>
      <w:numFmt w:val="bullet"/>
      <w:lvlText w:val="•"/>
      <w:lvlJc w:val="left"/>
      <w:pPr>
        <w:ind w:left="1196" w:hanging="423"/>
      </w:pPr>
      <w:rPr>
        <w:rFonts w:hint="default"/>
      </w:rPr>
    </w:lvl>
    <w:lvl w:ilvl="4">
      <w:start w:val="0"/>
      <w:numFmt w:val="bullet"/>
      <w:lvlText w:val="•"/>
      <w:lvlJc w:val="left"/>
      <w:pPr>
        <w:ind w:left="1474" w:hanging="423"/>
      </w:pPr>
      <w:rPr>
        <w:rFonts w:hint="default"/>
      </w:rPr>
    </w:lvl>
    <w:lvl w:ilvl="5">
      <w:start w:val="0"/>
      <w:numFmt w:val="bullet"/>
      <w:lvlText w:val="•"/>
      <w:lvlJc w:val="left"/>
      <w:pPr>
        <w:ind w:left="1752" w:hanging="423"/>
      </w:pPr>
      <w:rPr>
        <w:rFonts w:hint="default"/>
      </w:rPr>
    </w:lvl>
    <w:lvl w:ilvl="6">
      <w:start w:val="0"/>
      <w:numFmt w:val="bullet"/>
      <w:lvlText w:val="•"/>
      <w:lvlJc w:val="left"/>
      <w:pPr>
        <w:ind w:left="2031" w:hanging="423"/>
      </w:pPr>
      <w:rPr>
        <w:rFonts w:hint="default"/>
      </w:rPr>
    </w:lvl>
    <w:lvl w:ilvl="7">
      <w:start w:val="0"/>
      <w:numFmt w:val="bullet"/>
      <w:lvlText w:val="•"/>
      <w:lvlJc w:val="left"/>
      <w:pPr>
        <w:ind w:left="2309" w:hanging="423"/>
      </w:pPr>
      <w:rPr>
        <w:rFonts w:hint="default"/>
      </w:rPr>
    </w:lvl>
    <w:lvl w:ilvl="8">
      <w:start w:val="0"/>
      <w:numFmt w:val="bullet"/>
      <w:lvlText w:val="•"/>
      <w:lvlJc w:val="left"/>
      <w:pPr>
        <w:ind w:left="2587" w:hanging="423"/>
      </w:pPr>
      <w:rPr>
        <w:rFonts w:hint="default"/>
      </w:rPr>
    </w:lvl>
  </w:abstractNum>
  <w:abstractNum w:abstractNumId="2">
    <w:multiLevelType w:val="hybridMultilevel"/>
    <w:lvl w:ilvl="0">
      <w:start w:val="3"/>
      <w:numFmt w:val="decimal"/>
      <w:lvlText w:val="%1"/>
      <w:lvlJc w:val="left"/>
      <w:pPr>
        <w:ind w:left="587" w:hanging="370"/>
        <w:jc w:val="left"/>
      </w:pPr>
      <w:rPr>
        <w:rFonts w:hint="default"/>
      </w:rPr>
    </w:lvl>
    <w:lvl w:ilvl="1">
      <w:start w:val="1"/>
      <w:numFmt w:val="decimal"/>
      <w:lvlText w:val="%1.%2"/>
      <w:lvlJc w:val="left"/>
      <w:pPr>
        <w:ind w:left="587" w:hanging="370"/>
        <w:jc w:val="left"/>
      </w:pPr>
      <w:rPr>
        <w:rFonts w:hint="default" w:ascii="宋体" w:hAnsi="宋体" w:eastAsia="宋体" w:cs="宋体"/>
        <w:w w:val="100"/>
        <w:sz w:val="21"/>
        <w:szCs w:val="21"/>
      </w:rPr>
    </w:lvl>
    <w:lvl w:ilvl="2">
      <w:start w:val="0"/>
      <w:numFmt w:val="bullet"/>
      <w:lvlText w:val="•"/>
      <w:lvlJc w:val="left"/>
      <w:pPr>
        <w:ind w:left="1092" w:hanging="370"/>
      </w:pPr>
      <w:rPr>
        <w:rFonts w:hint="default"/>
      </w:rPr>
    </w:lvl>
    <w:lvl w:ilvl="3">
      <w:start w:val="0"/>
      <w:numFmt w:val="bullet"/>
      <w:lvlText w:val="•"/>
      <w:lvlJc w:val="left"/>
      <w:pPr>
        <w:ind w:left="1349" w:hanging="370"/>
      </w:pPr>
      <w:rPr>
        <w:rFonts w:hint="default"/>
      </w:rPr>
    </w:lvl>
    <w:lvl w:ilvl="4">
      <w:start w:val="0"/>
      <w:numFmt w:val="bullet"/>
      <w:lvlText w:val="•"/>
      <w:lvlJc w:val="left"/>
      <w:pPr>
        <w:ind w:left="1605" w:hanging="370"/>
      </w:pPr>
      <w:rPr>
        <w:rFonts w:hint="default"/>
      </w:rPr>
    </w:lvl>
    <w:lvl w:ilvl="5">
      <w:start w:val="0"/>
      <w:numFmt w:val="bullet"/>
      <w:lvlText w:val="•"/>
      <w:lvlJc w:val="left"/>
      <w:pPr>
        <w:ind w:left="1862" w:hanging="370"/>
      </w:pPr>
      <w:rPr>
        <w:rFonts w:hint="default"/>
      </w:rPr>
    </w:lvl>
    <w:lvl w:ilvl="6">
      <w:start w:val="0"/>
      <w:numFmt w:val="bullet"/>
      <w:lvlText w:val="•"/>
      <w:lvlJc w:val="left"/>
      <w:pPr>
        <w:ind w:left="2118" w:hanging="370"/>
      </w:pPr>
      <w:rPr>
        <w:rFonts w:hint="default"/>
      </w:rPr>
    </w:lvl>
    <w:lvl w:ilvl="7">
      <w:start w:val="0"/>
      <w:numFmt w:val="bullet"/>
      <w:lvlText w:val="•"/>
      <w:lvlJc w:val="left"/>
      <w:pPr>
        <w:ind w:left="2374" w:hanging="370"/>
      </w:pPr>
      <w:rPr>
        <w:rFonts w:hint="default"/>
      </w:rPr>
    </w:lvl>
    <w:lvl w:ilvl="8">
      <w:start w:val="0"/>
      <w:numFmt w:val="bullet"/>
      <w:lvlText w:val="•"/>
      <w:lvlJc w:val="left"/>
      <w:pPr>
        <w:ind w:left="2631" w:hanging="370"/>
      </w:pPr>
      <w:rPr>
        <w:rFonts w:hint="default"/>
      </w:rPr>
    </w:lvl>
  </w:abstractNum>
  <w:abstractNum w:abstractNumId="1">
    <w:multiLevelType w:val="hybridMultilevel"/>
    <w:lvl w:ilvl="0">
      <w:start w:val="1"/>
      <w:numFmt w:val="decimal"/>
      <w:lvlText w:val="%1."/>
      <w:lvlJc w:val="left"/>
      <w:pPr>
        <w:ind w:left="517" w:hanging="318"/>
        <w:jc w:val="left"/>
      </w:pPr>
      <w:rPr>
        <w:rFonts w:hint="default" w:ascii="宋体" w:hAnsi="宋体" w:eastAsia="宋体" w:cs="宋体"/>
        <w:b/>
        <w:bCs/>
        <w:w w:val="99"/>
        <w:sz w:val="21"/>
        <w:szCs w:val="21"/>
      </w:rPr>
    </w:lvl>
    <w:lvl w:ilvl="1">
      <w:start w:val="1"/>
      <w:numFmt w:val="decimal"/>
      <w:lvlText w:val="%1.%2"/>
      <w:lvlJc w:val="left"/>
      <w:pPr>
        <w:ind w:left="726" w:hanging="423"/>
        <w:jc w:val="left"/>
      </w:pPr>
      <w:rPr>
        <w:rFonts w:hint="default" w:ascii="宋体" w:hAnsi="宋体" w:eastAsia="宋体" w:cs="宋体"/>
        <w:w w:val="100"/>
        <w:sz w:val="21"/>
        <w:szCs w:val="21"/>
      </w:rPr>
    </w:lvl>
    <w:lvl w:ilvl="2">
      <w:start w:val="0"/>
      <w:numFmt w:val="bullet"/>
      <w:lvlText w:val="•"/>
      <w:lvlJc w:val="left"/>
      <w:pPr>
        <w:ind w:left="720" w:hanging="423"/>
      </w:pPr>
      <w:rPr>
        <w:rFonts w:hint="default"/>
      </w:rPr>
    </w:lvl>
    <w:lvl w:ilvl="3">
      <w:start w:val="0"/>
      <w:numFmt w:val="bullet"/>
      <w:lvlText w:val="•"/>
      <w:lvlJc w:val="left"/>
      <w:pPr>
        <w:ind w:left="1030" w:hanging="423"/>
      </w:pPr>
      <w:rPr>
        <w:rFonts w:hint="default"/>
      </w:rPr>
    </w:lvl>
    <w:lvl w:ilvl="4">
      <w:start w:val="0"/>
      <w:numFmt w:val="bullet"/>
      <w:lvlText w:val="•"/>
      <w:lvlJc w:val="left"/>
      <w:pPr>
        <w:ind w:left="1340" w:hanging="423"/>
      </w:pPr>
      <w:rPr>
        <w:rFonts w:hint="default"/>
      </w:rPr>
    </w:lvl>
    <w:lvl w:ilvl="5">
      <w:start w:val="0"/>
      <w:numFmt w:val="bullet"/>
      <w:lvlText w:val="•"/>
      <w:lvlJc w:val="left"/>
      <w:pPr>
        <w:ind w:left="1650" w:hanging="423"/>
      </w:pPr>
      <w:rPr>
        <w:rFonts w:hint="default"/>
      </w:rPr>
    </w:lvl>
    <w:lvl w:ilvl="6">
      <w:start w:val="0"/>
      <w:numFmt w:val="bullet"/>
      <w:lvlText w:val="•"/>
      <w:lvlJc w:val="left"/>
      <w:pPr>
        <w:ind w:left="1961" w:hanging="423"/>
      </w:pPr>
      <w:rPr>
        <w:rFonts w:hint="default"/>
      </w:rPr>
    </w:lvl>
    <w:lvl w:ilvl="7">
      <w:start w:val="0"/>
      <w:numFmt w:val="bullet"/>
      <w:lvlText w:val="•"/>
      <w:lvlJc w:val="left"/>
      <w:pPr>
        <w:ind w:left="2271" w:hanging="423"/>
      </w:pPr>
      <w:rPr>
        <w:rFonts w:hint="default"/>
      </w:rPr>
    </w:lvl>
    <w:lvl w:ilvl="8">
      <w:start w:val="0"/>
      <w:numFmt w:val="bullet"/>
      <w:lvlText w:val="•"/>
      <w:lvlJc w:val="left"/>
      <w:pPr>
        <w:ind w:left="2581" w:hanging="423"/>
      </w:pPr>
      <w:rPr>
        <w:rFonts w:hint="default"/>
      </w:rPr>
    </w:lvl>
  </w:abstractNum>
  <w:abstractNum w:abstractNumId="0">
    <w:multiLevelType w:val="hybridMultilevel"/>
    <w:lvl w:ilvl="0">
      <w:start w:val="0"/>
      <w:numFmt w:val="bullet"/>
      <w:lvlText w:val=""/>
      <w:lvlJc w:val="left"/>
      <w:pPr>
        <w:ind w:left="1460" w:hanging="399"/>
      </w:pPr>
      <w:rPr>
        <w:rFonts w:hint="default" w:ascii="Wingdings" w:hAnsi="Wingdings" w:eastAsia="Wingdings" w:cs="Wingdings"/>
        <w:w w:val="100"/>
        <w:sz w:val="21"/>
        <w:szCs w:val="21"/>
      </w:rPr>
    </w:lvl>
    <w:lvl w:ilvl="1">
      <w:start w:val="0"/>
      <w:numFmt w:val="bullet"/>
      <w:lvlText w:val="•"/>
      <w:lvlJc w:val="left"/>
      <w:pPr>
        <w:ind w:left="2340" w:hanging="399"/>
      </w:pPr>
      <w:rPr>
        <w:rFonts w:hint="default"/>
      </w:rPr>
    </w:lvl>
    <w:lvl w:ilvl="2">
      <w:start w:val="0"/>
      <w:numFmt w:val="bullet"/>
      <w:lvlText w:val="•"/>
      <w:lvlJc w:val="left"/>
      <w:pPr>
        <w:ind w:left="3221" w:hanging="399"/>
      </w:pPr>
      <w:rPr>
        <w:rFonts w:hint="default"/>
      </w:rPr>
    </w:lvl>
    <w:lvl w:ilvl="3">
      <w:start w:val="0"/>
      <w:numFmt w:val="bullet"/>
      <w:lvlText w:val="•"/>
      <w:lvlJc w:val="left"/>
      <w:pPr>
        <w:ind w:left="4101" w:hanging="399"/>
      </w:pPr>
      <w:rPr>
        <w:rFonts w:hint="default"/>
      </w:rPr>
    </w:lvl>
    <w:lvl w:ilvl="4">
      <w:start w:val="0"/>
      <w:numFmt w:val="bullet"/>
      <w:lvlText w:val="•"/>
      <w:lvlJc w:val="left"/>
      <w:pPr>
        <w:ind w:left="4982" w:hanging="399"/>
      </w:pPr>
      <w:rPr>
        <w:rFonts w:hint="default"/>
      </w:rPr>
    </w:lvl>
    <w:lvl w:ilvl="5">
      <w:start w:val="0"/>
      <w:numFmt w:val="bullet"/>
      <w:lvlText w:val="•"/>
      <w:lvlJc w:val="left"/>
      <w:pPr>
        <w:ind w:left="5863" w:hanging="399"/>
      </w:pPr>
      <w:rPr>
        <w:rFonts w:hint="default"/>
      </w:rPr>
    </w:lvl>
    <w:lvl w:ilvl="6">
      <w:start w:val="0"/>
      <w:numFmt w:val="bullet"/>
      <w:lvlText w:val="•"/>
      <w:lvlJc w:val="left"/>
      <w:pPr>
        <w:ind w:left="6743" w:hanging="399"/>
      </w:pPr>
      <w:rPr>
        <w:rFonts w:hint="default"/>
      </w:rPr>
    </w:lvl>
    <w:lvl w:ilvl="7">
      <w:start w:val="0"/>
      <w:numFmt w:val="bullet"/>
      <w:lvlText w:val="•"/>
      <w:lvlJc w:val="left"/>
      <w:pPr>
        <w:ind w:left="7624" w:hanging="399"/>
      </w:pPr>
      <w:rPr>
        <w:rFonts w:hint="default"/>
      </w:rPr>
    </w:lvl>
    <w:lvl w:ilvl="8">
      <w:start w:val="0"/>
      <w:numFmt w:val="bullet"/>
      <w:lvlText w:val="•"/>
      <w:lvlJc w:val="left"/>
      <w:pPr>
        <w:ind w:left="8505" w:hanging="399"/>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222"/>
      <w:outlineLvl w:val="1"/>
    </w:pPr>
    <w:rPr>
      <w:rFonts w:ascii="宋体" w:hAnsi="宋体" w:eastAsia="宋体" w:cs="宋体"/>
      <w:b/>
      <w:bCs/>
      <w:sz w:val="32"/>
      <w:szCs w:val="32"/>
    </w:rPr>
  </w:style>
  <w:style w:styleId="Heading2" w:type="paragraph">
    <w:name w:val="Heading 2"/>
    <w:basedOn w:val="Normal"/>
    <w:uiPriority w:val="1"/>
    <w:qFormat/>
    <w:pPr>
      <w:spacing w:before="1"/>
      <w:ind w:left="257"/>
      <w:outlineLvl w:val="2"/>
    </w:pPr>
    <w:rPr>
      <w:rFonts w:ascii="宋体" w:hAnsi="宋体" w:eastAsia="宋体" w:cs="宋体"/>
      <w:b/>
      <w:bCs/>
      <w:sz w:val="21"/>
      <w:szCs w:val="21"/>
    </w:rPr>
  </w:style>
  <w:style w:styleId="ListParagraph" w:type="paragraph">
    <w:name w:val="List Paragraph"/>
    <w:basedOn w:val="Normal"/>
    <w:uiPriority w:val="1"/>
    <w:qFormat/>
    <w:pPr>
      <w:spacing w:before="70"/>
      <w:ind w:left="1496" w:hanging="399"/>
    </w:pPr>
    <w:rPr>
      <w:rFonts w:ascii="宋体" w:hAnsi="宋体" w:eastAsia="宋体" w:cs="宋体"/>
    </w:rPr>
  </w:style>
  <w:style w:styleId="TableParagraph" w:type="paragraph">
    <w:name w:val="Table Paragraph"/>
    <w:basedOn w:val="Normal"/>
    <w:uiPriority w:val="1"/>
    <w:qFormat/>
    <w:pPr>
      <w:ind w:left="11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dc:subject>附件3</dc:subject>
  <dc:title>安邦人寿团险报备材料</dc:title>
  <dcterms:created xsi:type="dcterms:W3CDTF">2018-10-19T23:30:25Z</dcterms:created>
  <dcterms:modified xsi:type="dcterms:W3CDTF">2018-10-19T23:30:25Z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2014-05-05T00:00:00Z</vt:filetime>
  </property>
  <property fmtid="{D5CDD505-2E9C-101B-9397-08002B2CF9AE}" pid="3" name="Creator">
    <vt:lpwstr>Microsoft® Office Word 2007</vt:lpwstr>
  </property>
  <property fmtid="{D5CDD505-2E9C-101B-9397-08002B2CF9AE}" pid="4" name="LastSaved">
    <vt:filetime>2018-10-19T00:00:00Z</vt:filetime>
  </property>
</Properties>
</file>