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53" w:firstLine="0"/>
        <w:jc w:val="right"/>
        <w:rPr>
          <w:sz w:val="18"/>
        </w:rPr>
      </w:pPr>
      <w:r>
        <w:rPr/>
        <w:drawing>
          <wp:anchor distT="0" distB="0" distL="0" distR="0" allowOverlap="1" layoutInCell="1" locked="0" behindDoc="0" simplePos="0" relativeHeight="0">
            <wp:simplePos x="0" y="0"/>
            <wp:positionH relativeFrom="page">
              <wp:posOffset>6316979</wp:posOffset>
            </wp:positionH>
            <wp:positionV relativeFrom="paragraph">
              <wp:posOffset>239035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合众人寿〔2010〕疾病保险 001 号</w:t>
      </w:r>
    </w:p>
    <w:p>
      <w:pPr>
        <w:pStyle w:val="BodyText"/>
        <w:rPr>
          <w:sz w:val="20"/>
        </w:rPr>
      </w:pPr>
    </w:p>
    <w:p>
      <w:pPr>
        <w:pStyle w:val="BodyText"/>
        <w:rPr>
          <w:sz w:val="20"/>
        </w:rPr>
      </w:pPr>
    </w:p>
    <w:p>
      <w:pPr>
        <w:pStyle w:val="BodyText"/>
        <w:rPr>
          <w:sz w:val="20"/>
        </w:rPr>
      </w:pPr>
    </w:p>
    <w:p>
      <w:pPr>
        <w:pStyle w:val="BodyText"/>
        <w:spacing w:before="3"/>
      </w:pPr>
    </w:p>
    <w:p>
      <w:pPr>
        <w:spacing w:after="0"/>
        <w:sectPr>
          <w:footerReference w:type="default" r:id="rId5"/>
          <w:type w:val="continuous"/>
          <w:pgSz w:w="11910" w:h="16840"/>
          <w:pgMar w:footer="912" w:top="80" w:bottom="1100" w:left="1100" w:right="0"/>
          <w:pgNumType w:start="1"/>
        </w:sectPr>
      </w:pPr>
    </w:p>
    <w:p>
      <w:pPr>
        <w:pStyle w:val="Heading1"/>
        <w:spacing w:line="505" w:lineRule="exact"/>
      </w:pPr>
      <w:r>
        <w:rPr/>
        <w:t>合众康健人生团体重大疾病保险条款目录</w:t>
      </w:r>
    </w:p>
    <w:p>
      <w:pPr>
        <w:pStyle w:val="BodyText"/>
        <w:spacing w:before="2"/>
        <w:rPr>
          <w:rFonts w:ascii="微软雅黑"/>
          <w:b/>
          <w:sz w:val="15"/>
        </w:rPr>
      </w:pPr>
      <w:r>
        <w:rPr/>
        <w:br w:type="column"/>
      </w:r>
      <w:r>
        <w:rPr>
          <w:rFonts w:ascii="微软雅黑"/>
          <w:b/>
          <w:sz w:val="15"/>
        </w:rPr>
      </w:r>
    </w:p>
    <w:p>
      <w:pPr>
        <w:spacing w:before="0"/>
        <w:ind w:left="630" w:right="0" w:firstLine="0"/>
        <w:jc w:val="left"/>
        <w:rPr>
          <w:sz w:val="18"/>
        </w:rPr>
      </w:pPr>
      <w:r>
        <w:rPr>
          <w:sz w:val="18"/>
        </w:rPr>
        <w:t>请扫描以查询验证条款</w:t>
      </w:r>
    </w:p>
    <w:p>
      <w:pPr>
        <w:spacing w:after="0"/>
        <w:jc w:val="left"/>
        <w:rPr>
          <w:sz w:val="18"/>
        </w:rPr>
        <w:sectPr>
          <w:type w:val="continuous"/>
          <w:pgSz w:w="11910" w:h="16840"/>
          <w:pgMar w:top="80" w:bottom="1100" w:left="1100" w:right="0"/>
          <w:cols w:num="2" w:equalWidth="0">
            <w:col w:w="7852" w:space="40"/>
            <w:col w:w="2918"/>
          </w:cols>
        </w:sectPr>
      </w:pPr>
    </w:p>
    <w:p>
      <w:pPr>
        <w:pStyle w:val="BodyText"/>
        <w:spacing w:before="4"/>
        <w:rPr>
          <w:sz w:val="29"/>
        </w:rPr>
      </w:pPr>
    </w:p>
    <w:p>
      <w:pPr>
        <w:pStyle w:val="BodyText"/>
        <w:spacing w:before="36"/>
        <w:ind w:left="1394"/>
      </w:pPr>
      <w:r>
        <w:rPr/>
        <w:t>条款是保险合同的重要内容，为充分保障贵单位的权益，请仔细阅读本条款。</w:t>
      </w:r>
    </w:p>
    <w:p>
      <w:pPr>
        <w:pStyle w:val="BodyText"/>
        <w:rPr>
          <w:sz w:val="20"/>
        </w:rPr>
      </w:pPr>
    </w:p>
    <w:p>
      <w:pPr>
        <w:pStyle w:val="BodyText"/>
        <w:spacing w:before="7"/>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8"/>
        <w:gridCol w:w="5061"/>
      </w:tblGrid>
      <w:tr>
        <w:trPr>
          <w:trHeight w:val="9260" w:hRule="atLeast"/>
        </w:trPr>
        <w:tc>
          <w:tcPr>
            <w:tcW w:w="4538" w:type="dxa"/>
          </w:tcPr>
          <w:p>
            <w:pPr>
              <w:pStyle w:val="TableParagraph"/>
              <w:spacing w:line="211" w:lineRule="exact" w:before="0"/>
              <w:ind w:left="200"/>
              <w:rPr>
                <w:b/>
                <w:sz w:val="21"/>
              </w:rPr>
            </w:pPr>
            <w:r>
              <w:rPr>
                <w:b/>
                <w:sz w:val="21"/>
              </w:rPr>
              <w:t>1． 关于本保险合同</w:t>
            </w:r>
          </w:p>
          <w:p>
            <w:pPr>
              <w:pStyle w:val="TableParagraph"/>
              <w:numPr>
                <w:ilvl w:val="1"/>
                <w:numId w:val="1"/>
              </w:numPr>
              <w:tabs>
                <w:tab w:pos="1463" w:val="left" w:leader="none"/>
              </w:tabs>
              <w:spacing w:line="240" w:lineRule="auto" w:before="37" w:after="0"/>
              <w:ind w:left="1462" w:right="0" w:hanging="423"/>
              <w:jc w:val="left"/>
              <w:rPr>
                <w:sz w:val="21"/>
              </w:rPr>
            </w:pPr>
            <w:r>
              <w:rPr>
                <w:spacing w:val="-3"/>
                <w:sz w:val="21"/>
              </w:rPr>
              <w:t>合同构成</w:t>
            </w:r>
          </w:p>
          <w:p>
            <w:pPr>
              <w:pStyle w:val="TableParagraph"/>
              <w:numPr>
                <w:ilvl w:val="1"/>
                <w:numId w:val="1"/>
              </w:numPr>
              <w:tabs>
                <w:tab w:pos="1463" w:val="left" w:leader="none"/>
              </w:tabs>
              <w:spacing w:line="240" w:lineRule="auto" w:before="37" w:after="0"/>
              <w:ind w:left="1462" w:right="0" w:hanging="423"/>
              <w:jc w:val="left"/>
              <w:rPr>
                <w:sz w:val="21"/>
              </w:rPr>
            </w:pPr>
            <w:r>
              <w:rPr>
                <w:spacing w:val="-3"/>
                <w:sz w:val="21"/>
              </w:rPr>
              <w:t>投保范围</w:t>
            </w:r>
          </w:p>
          <w:p>
            <w:pPr>
              <w:pStyle w:val="TableParagraph"/>
              <w:numPr>
                <w:ilvl w:val="1"/>
                <w:numId w:val="1"/>
              </w:numPr>
              <w:tabs>
                <w:tab w:pos="1463" w:val="left" w:leader="none"/>
              </w:tabs>
              <w:spacing w:line="240" w:lineRule="auto" w:before="37" w:after="0"/>
              <w:ind w:left="1462" w:right="0" w:hanging="423"/>
              <w:jc w:val="left"/>
              <w:rPr>
                <w:sz w:val="21"/>
              </w:rPr>
            </w:pPr>
            <w:r>
              <w:rPr>
                <w:spacing w:val="-3"/>
                <w:sz w:val="21"/>
              </w:rPr>
              <w:t>合同成立与生效</w:t>
            </w:r>
          </w:p>
          <w:p>
            <w:pPr>
              <w:pStyle w:val="TableParagraph"/>
              <w:numPr>
                <w:ilvl w:val="1"/>
                <w:numId w:val="1"/>
              </w:numPr>
              <w:tabs>
                <w:tab w:pos="1463" w:val="left" w:leader="none"/>
              </w:tabs>
              <w:spacing w:line="240" w:lineRule="auto" w:before="37" w:after="0"/>
              <w:ind w:left="1462" w:right="0" w:hanging="423"/>
              <w:jc w:val="left"/>
              <w:rPr>
                <w:sz w:val="21"/>
              </w:rPr>
            </w:pPr>
            <w:r>
              <w:rPr>
                <w:spacing w:val="-2"/>
                <w:sz w:val="21"/>
              </w:rPr>
              <w:t>犹豫期</w:t>
            </w:r>
          </w:p>
          <w:p>
            <w:pPr>
              <w:pStyle w:val="TableParagraph"/>
              <w:numPr>
                <w:ilvl w:val="1"/>
                <w:numId w:val="1"/>
              </w:numPr>
              <w:tabs>
                <w:tab w:pos="1463" w:val="left" w:leader="none"/>
              </w:tabs>
              <w:spacing w:line="240" w:lineRule="auto" w:before="37" w:after="0"/>
              <w:ind w:left="1462" w:right="0" w:hanging="423"/>
              <w:jc w:val="left"/>
              <w:rPr>
                <w:sz w:val="21"/>
              </w:rPr>
            </w:pPr>
            <w:r>
              <w:rPr>
                <w:spacing w:val="-3"/>
                <w:sz w:val="21"/>
              </w:rPr>
              <w:t>合同内容变更</w:t>
            </w:r>
          </w:p>
          <w:p>
            <w:pPr>
              <w:pStyle w:val="TableParagraph"/>
              <w:numPr>
                <w:ilvl w:val="1"/>
                <w:numId w:val="1"/>
              </w:numPr>
              <w:tabs>
                <w:tab w:pos="1463" w:val="left" w:leader="none"/>
              </w:tabs>
              <w:spacing w:line="240" w:lineRule="auto" w:before="37" w:after="0"/>
              <w:ind w:left="1462" w:right="0" w:hanging="423"/>
              <w:jc w:val="left"/>
              <w:rPr>
                <w:sz w:val="21"/>
              </w:rPr>
            </w:pPr>
            <w:r>
              <w:rPr>
                <w:spacing w:val="-3"/>
                <w:sz w:val="21"/>
              </w:rPr>
              <w:t>投保人解除合同的手续及风险</w:t>
            </w:r>
          </w:p>
          <w:p>
            <w:pPr>
              <w:pStyle w:val="TableParagraph"/>
              <w:spacing w:before="9"/>
              <w:ind w:left="0"/>
              <w:rPr>
                <w:sz w:val="26"/>
              </w:rPr>
            </w:pPr>
          </w:p>
          <w:p>
            <w:pPr>
              <w:pStyle w:val="TableParagraph"/>
              <w:spacing w:before="0"/>
              <w:ind w:left="200"/>
              <w:rPr>
                <w:b/>
                <w:sz w:val="21"/>
              </w:rPr>
            </w:pPr>
            <w:r>
              <w:rPr>
                <w:b/>
                <w:sz w:val="21"/>
              </w:rPr>
              <w:t>2． 本合同保障责任</w:t>
            </w:r>
          </w:p>
          <w:p>
            <w:pPr>
              <w:pStyle w:val="TableParagraph"/>
              <w:numPr>
                <w:ilvl w:val="1"/>
                <w:numId w:val="2"/>
              </w:numPr>
              <w:tabs>
                <w:tab w:pos="1463" w:val="left" w:leader="none"/>
              </w:tabs>
              <w:spacing w:line="240" w:lineRule="auto" w:before="36" w:after="0"/>
              <w:ind w:left="1462" w:right="0" w:hanging="423"/>
              <w:jc w:val="left"/>
              <w:rPr>
                <w:sz w:val="21"/>
              </w:rPr>
            </w:pPr>
            <w:r>
              <w:rPr>
                <w:spacing w:val="-3"/>
                <w:sz w:val="21"/>
              </w:rPr>
              <w:t>保险期间</w:t>
            </w:r>
          </w:p>
          <w:p>
            <w:pPr>
              <w:pStyle w:val="TableParagraph"/>
              <w:numPr>
                <w:ilvl w:val="1"/>
                <w:numId w:val="2"/>
              </w:numPr>
              <w:tabs>
                <w:tab w:pos="1463" w:val="left" w:leader="none"/>
              </w:tabs>
              <w:spacing w:line="240" w:lineRule="auto" w:before="36" w:after="0"/>
              <w:ind w:left="1462" w:right="0" w:hanging="423"/>
              <w:jc w:val="left"/>
              <w:rPr>
                <w:sz w:val="21"/>
              </w:rPr>
            </w:pPr>
            <w:r>
              <w:rPr>
                <w:spacing w:val="-3"/>
                <w:sz w:val="21"/>
              </w:rPr>
              <w:t>未成年人身故保险金限制</w:t>
            </w:r>
          </w:p>
          <w:p>
            <w:pPr>
              <w:pStyle w:val="TableParagraph"/>
              <w:numPr>
                <w:ilvl w:val="1"/>
                <w:numId w:val="2"/>
              </w:numPr>
              <w:tabs>
                <w:tab w:pos="1463" w:val="left" w:leader="none"/>
              </w:tabs>
              <w:spacing w:line="240" w:lineRule="auto" w:before="36" w:after="0"/>
              <w:ind w:left="1462" w:right="0" w:hanging="423"/>
              <w:jc w:val="left"/>
              <w:rPr>
                <w:sz w:val="21"/>
              </w:rPr>
            </w:pPr>
            <w:r>
              <w:rPr>
                <w:spacing w:val="-3"/>
                <w:sz w:val="21"/>
              </w:rPr>
              <w:t>保险责任</w:t>
            </w:r>
          </w:p>
          <w:p>
            <w:pPr>
              <w:pStyle w:val="TableParagraph"/>
              <w:numPr>
                <w:ilvl w:val="1"/>
                <w:numId w:val="2"/>
              </w:numPr>
              <w:tabs>
                <w:tab w:pos="1463" w:val="left" w:leader="none"/>
              </w:tabs>
              <w:spacing w:line="240" w:lineRule="auto" w:before="36" w:after="0"/>
              <w:ind w:left="1462" w:right="0" w:hanging="423"/>
              <w:jc w:val="left"/>
              <w:rPr>
                <w:sz w:val="21"/>
              </w:rPr>
            </w:pPr>
            <w:r>
              <w:rPr>
                <w:spacing w:val="-3"/>
                <w:sz w:val="21"/>
              </w:rPr>
              <w:t>保险责任的免除</w:t>
            </w:r>
          </w:p>
          <w:p>
            <w:pPr>
              <w:pStyle w:val="TableParagraph"/>
              <w:spacing w:before="8"/>
              <w:ind w:left="0"/>
              <w:rPr>
                <w:sz w:val="26"/>
              </w:rPr>
            </w:pPr>
          </w:p>
          <w:p>
            <w:pPr>
              <w:pStyle w:val="TableParagraph"/>
              <w:spacing w:before="0"/>
              <w:ind w:left="200"/>
              <w:rPr>
                <w:b/>
                <w:sz w:val="21"/>
              </w:rPr>
            </w:pPr>
            <w:r>
              <w:rPr>
                <w:b/>
                <w:sz w:val="21"/>
              </w:rPr>
              <w:t>3． 保险费的支付和账户设置</w:t>
            </w:r>
          </w:p>
          <w:p>
            <w:pPr>
              <w:pStyle w:val="TableParagraph"/>
              <w:numPr>
                <w:ilvl w:val="1"/>
                <w:numId w:val="3"/>
              </w:numPr>
              <w:tabs>
                <w:tab w:pos="1463" w:val="left" w:leader="none"/>
              </w:tabs>
              <w:spacing w:line="240" w:lineRule="auto" w:before="36" w:after="0"/>
              <w:ind w:left="1462" w:right="0" w:hanging="423"/>
              <w:jc w:val="left"/>
              <w:rPr>
                <w:sz w:val="21"/>
              </w:rPr>
            </w:pPr>
            <w:r>
              <w:rPr>
                <w:spacing w:val="-3"/>
                <w:sz w:val="21"/>
              </w:rPr>
              <w:t>保险费的支付</w:t>
            </w:r>
          </w:p>
          <w:p>
            <w:pPr>
              <w:pStyle w:val="TableParagraph"/>
              <w:numPr>
                <w:ilvl w:val="1"/>
                <w:numId w:val="3"/>
              </w:numPr>
              <w:tabs>
                <w:tab w:pos="1463" w:val="left" w:leader="none"/>
              </w:tabs>
              <w:spacing w:line="240" w:lineRule="auto" w:before="36" w:after="0"/>
              <w:ind w:left="1462" w:right="0" w:hanging="423"/>
              <w:jc w:val="left"/>
              <w:rPr>
                <w:sz w:val="21"/>
              </w:rPr>
            </w:pPr>
            <w:r>
              <w:rPr>
                <w:spacing w:val="-3"/>
                <w:sz w:val="21"/>
              </w:rPr>
              <w:t>账户设置</w:t>
            </w:r>
          </w:p>
          <w:p>
            <w:pPr>
              <w:pStyle w:val="TableParagraph"/>
              <w:numPr>
                <w:ilvl w:val="1"/>
                <w:numId w:val="3"/>
              </w:numPr>
              <w:tabs>
                <w:tab w:pos="1463" w:val="left" w:leader="none"/>
              </w:tabs>
              <w:spacing w:line="240" w:lineRule="auto" w:before="36" w:after="0"/>
              <w:ind w:left="1462" w:right="0" w:hanging="423"/>
              <w:jc w:val="left"/>
              <w:rPr>
                <w:sz w:val="21"/>
              </w:rPr>
            </w:pPr>
            <w:r>
              <w:rPr>
                <w:spacing w:val="-3"/>
                <w:sz w:val="21"/>
              </w:rPr>
              <w:t>账户价值的累积</w:t>
            </w:r>
          </w:p>
          <w:p>
            <w:pPr>
              <w:pStyle w:val="TableParagraph"/>
              <w:spacing w:before="8"/>
              <w:ind w:left="0"/>
              <w:rPr>
                <w:sz w:val="26"/>
              </w:rPr>
            </w:pPr>
          </w:p>
          <w:p>
            <w:pPr>
              <w:pStyle w:val="TableParagraph"/>
              <w:spacing w:before="0"/>
              <w:ind w:left="200"/>
              <w:rPr>
                <w:b/>
                <w:sz w:val="21"/>
              </w:rPr>
            </w:pPr>
            <w:r>
              <w:rPr>
                <w:b/>
                <w:sz w:val="21"/>
              </w:rPr>
              <w:t>4． 管理费和风险保险费</w:t>
            </w:r>
          </w:p>
          <w:p>
            <w:pPr>
              <w:pStyle w:val="TableParagraph"/>
              <w:numPr>
                <w:ilvl w:val="1"/>
                <w:numId w:val="4"/>
              </w:numPr>
              <w:tabs>
                <w:tab w:pos="1465" w:val="left" w:leader="none"/>
              </w:tabs>
              <w:spacing w:line="240" w:lineRule="auto" w:before="36" w:after="0"/>
              <w:ind w:left="1464" w:right="0" w:hanging="420"/>
              <w:jc w:val="left"/>
              <w:rPr>
                <w:sz w:val="21"/>
              </w:rPr>
            </w:pPr>
            <w:r>
              <w:rPr>
                <w:spacing w:val="-2"/>
                <w:sz w:val="21"/>
              </w:rPr>
              <w:t>管理费</w:t>
            </w:r>
          </w:p>
          <w:p>
            <w:pPr>
              <w:pStyle w:val="TableParagraph"/>
              <w:numPr>
                <w:ilvl w:val="1"/>
                <w:numId w:val="4"/>
              </w:numPr>
              <w:tabs>
                <w:tab w:pos="1463" w:val="left" w:leader="none"/>
              </w:tabs>
              <w:spacing w:line="240" w:lineRule="auto" w:before="36" w:after="0"/>
              <w:ind w:left="1462" w:right="0" w:hanging="420"/>
              <w:jc w:val="left"/>
              <w:rPr>
                <w:sz w:val="21"/>
              </w:rPr>
            </w:pPr>
            <w:r>
              <w:rPr>
                <w:spacing w:val="-3"/>
                <w:sz w:val="21"/>
              </w:rPr>
              <w:t>风险保险费</w:t>
            </w:r>
          </w:p>
          <w:p>
            <w:pPr>
              <w:pStyle w:val="TableParagraph"/>
              <w:numPr>
                <w:ilvl w:val="1"/>
                <w:numId w:val="4"/>
              </w:numPr>
              <w:tabs>
                <w:tab w:pos="1463" w:val="left" w:leader="none"/>
              </w:tabs>
              <w:spacing w:line="240" w:lineRule="auto" w:before="36" w:after="0"/>
              <w:ind w:left="1462" w:right="0" w:hanging="420"/>
              <w:jc w:val="left"/>
              <w:rPr>
                <w:sz w:val="21"/>
              </w:rPr>
            </w:pPr>
            <w:r>
              <w:rPr>
                <w:spacing w:val="-3"/>
                <w:sz w:val="21"/>
              </w:rPr>
              <w:t>风险保险费率调整</w:t>
            </w:r>
          </w:p>
          <w:p>
            <w:pPr>
              <w:pStyle w:val="TableParagraph"/>
              <w:spacing w:before="8"/>
              <w:ind w:left="0"/>
              <w:rPr>
                <w:sz w:val="26"/>
              </w:rPr>
            </w:pPr>
          </w:p>
          <w:p>
            <w:pPr>
              <w:pStyle w:val="TableParagraph"/>
              <w:spacing w:before="0"/>
              <w:ind w:left="200"/>
              <w:rPr>
                <w:b/>
                <w:sz w:val="21"/>
              </w:rPr>
            </w:pPr>
            <w:r>
              <w:rPr>
                <w:b/>
                <w:sz w:val="21"/>
              </w:rPr>
              <w:t>5． 如何申请领取保险金</w:t>
            </w:r>
          </w:p>
          <w:p>
            <w:pPr>
              <w:pStyle w:val="TableParagraph"/>
              <w:numPr>
                <w:ilvl w:val="1"/>
                <w:numId w:val="5"/>
              </w:numPr>
              <w:tabs>
                <w:tab w:pos="1463" w:val="left" w:leader="none"/>
              </w:tabs>
              <w:spacing w:line="240" w:lineRule="auto" w:before="37" w:after="0"/>
              <w:ind w:left="1462" w:right="0" w:hanging="423"/>
              <w:jc w:val="left"/>
              <w:rPr>
                <w:sz w:val="21"/>
              </w:rPr>
            </w:pPr>
            <w:r>
              <w:rPr>
                <w:spacing w:val="-3"/>
                <w:sz w:val="21"/>
              </w:rPr>
              <w:t>保险金受益人</w:t>
            </w:r>
          </w:p>
          <w:p>
            <w:pPr>
              <w:pStyle w:val="TableParagraph"/>
              <w:numPr>
                <w:ilvl w:val="1"/>
                <w:numId w:val="5"/>
              </w:numPr>
              <w:tabs>
                <w:tab w:pos="1463" w:val="left" w:leader="none"/>
              </w:tabs>
              <w:spacing w:line="240" w:lineRule="auto" w:before="37" w:after="0"/>
              <w:ind w:left="1462" w:right="0" w:hanging="423"/>
              <w:jc w:val="left"/>
              <w:rPr>
                <w:sz w:val="21"/>
              </w:rPr>
            </w:pPr>
            <w:r>
              <w:rPr>
                <w:spacing w:val="-3"/>
                <w:sz w:val="21"/>
              </w:rPr>
              <w:t>保险事故通知</w:t>
            </w:r>
          </w:p>
          <w:p>
            <w:pPr>
              <w:pStyle w:val="TableParagraph"/>
              <w:numPr>
                <w:ilvl w:val="1"/>
                <w:numId w:val="5"/>
              </w:numPr>
              <w:tabs>
                <w:tab w:pos="1463" w:val="left" w:leader="none"/>
              </w:tabs>
              <w:spacing w:line="240" w:lineRule="auto" w:before="37" w:after="0"/>
              <w:ind w:left="1462" w:right="0" w:hanging="420"/>
              <w:jc w:val="left"/>
              <w:rPr>
                <w:sz w:val="21"/>
              </w:rPr>
            </w:pPr>
            <w:r>
              <w:rPr>
                <w:spacing w:val="-3"/>
                <w:sz w:val="21"/>
              </w:rPr>
              <w:t>保险金申请</w:t>
            </w:r>
          </w:p>
          <w:p>
            <w:pPr>
              <w:pStyle w:val="TableParagraph"/>
              <w:numPr>
                <w:ilvl w:val="1"/>
                <w:numId w:val="5"/>
              </w:numPr>
              <w:tabs>
                <w:tab w:pos="1463" w:val="left" w:leader="none"/>
              </w:tabs>
              <w:spacing w:line="240" w:lineRule="auto" w:before="37" w:after="0"/>
              <w:ind w:left="1462" w:right="0" w:hanging="420"/>
              <w:jc w:val="left"/>
              <w:rPr>
                <w:sz w:val="21"/>
              </w:rPr>
            </w:pPr>
            <w:r>
              <w:rPr>
                <w:spacing w:val="-3"/>
                <w:sz w:val="21"/>
              </w:rPr>
              <w:t>保险金给付</w:t>
            </w:r>
          </w:p>
          <w:p>
            <w:pPr>
              <w:pStyle w:val="TableParagraph"/>
              <w:numPr>
                <w:ilvl w:val="1"/>
                <w:numId w:val="5"/>
              </w:numPr>
              <w:tabs>
                <w:tab w:pos="1463" w:val="left" w:leader="none"/>
              </w:tabs>
              <w:spacing w:line="255" w:lineRule="exact" w:before="37" w:after="0"/>
              <w:ind w:left="1462" w:right="0" w:hanging="420"/>
              <w:jc w:val="left"/>
              <w:rPr>
                <w:sz w:val="21"/>
              </w:rPr>
            </w:pPr>
            <w:r>
              <w:rPr>
                <w:spacing w:val="-3"/>
                <w:sz w:val="21"/>
              </w:rPr>
              <w:t>诉讼时效</w:t>
            </w:r>
          </w:p>
        </w:tc>
        <w:tc>
          <w:tcPr>
            <w:tcW w:w="5061" w:type="dxa"/>
          </w:tcPr>
          <w:p>
            <w:pPr>
              <w:pStyle w:val="TableParagraph"/>
              <w:spacing w:line="211" w:lineRule="exact" w:before="0"/>
              <w:ind w:left="342"/>
              <w:rPr>
                <w:b/>
                <w:sz w:val="21"/>
              </w:rPr>
            </w:pPr>
            <w:r>
              <w:rPr>
                <w:b/>
                <w:sz w:val="21"/>
              </w:rPr>
              <w:t>6． 其它事项</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明确说明与如实告知</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本公司合同解除权的限制</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年龄性别错误</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被保险人变动</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投保信息变更</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失踪处理</w:t>
            </w:r>
          </w:p>
          <w:p>
            <w:pPr>
              <w:pStyle w:val="TableParagraph"/>
              <w:numPr>
                <w:ilvl w:val="1"/>
                <w:numId w:val="6"/>
              </w:numPr>
              <w:tabs>
                <w:tab w:pos="1606" w:val="left" w:leader="none"/>
              </w:tabs>
              <w:spacing w:line="240" w:lineRule="auto" w:before="37" w:after="0"/>
              <w:ind w:left="1605" w:right="0" w:hanging="423"/>
              <w:jc w:val="left"/>
              <w:rPr>
                <w:sz w:val="21"/>
              </w:rPr>
            </w:pPr>
            <w:r>
              <w:rPr>
                <w:spacing w:val="-3"/>
                <w:sz w:val="21"/>
              </w:rPr>
              <w:t>事故鉴定</w:t>
            </w:r>
          </w:p>
          <w:p>
            <w:pPr>
              <w:pStyle w:val="TableParagraph"/>
              <w:numPr>
                <w:ilvl w:val="1"/>
                <w:numId w:val="6"/>
              </w:numPr>
              <w:tabs>
                <w:tab w:pos="1606" w:val="left" w:leader="none"/>
              </w:tabs>
              <w:spacing w:line="240" w:lineRule="auto" w:before="36" w:after="0"/>
              <w:ind w:left="1605" w:right="0" w:hanging="423"/>
              <w:jc w:val="left"/>
              <w:rPr>
                <w:sz w:val="21"/>
              </w:rPr>
            </w:pPr>
            <w:r>
              <w:rPr>
                <w:spacing w:val="-3"/>
                <w:sz w:val="21"/>
              </w:rPr>
              <w:t>争议处理</w:t>
            </w:r>
          </w:p>
          <w:p>
            <w:pPr>
              <w:pStyle w:val="TableParagraph"/>
              <w:spacing w:before="0"/>
              <w:ind w:left="0"/>
              <w:rPr>
                <w:sz w:val="20"/>
              </w:rPr>
            </w:pPr>
          </w:p>
          <w:p>
            <w:pPr>
              <w:pStyle w:val="TableParagraph"/>
              <w:spacing w:before="0"/>
              <w:ind w:left="0"/>
              <w:rPr>
                <w:sz w:val="20"/>
              </w:rPr>
            </w:pPr>
          </w:p>
          <w:p>
            <w:pPr>
              <w:pStyle w:val="TableParagraph"/>
              <w:spacing w:before="137"/>
              <w:ind w:left="342"/>
              <w:rPr>
                <w:b/>
                <w:sz w:val="21"/>
              </w:rPr>
            </w:pPr>
            <w:r>
              <w:rPr>
                <w:b/>
                <w:sz w:val="21"/>
              </w:rPr>
              <w:t>7． 释义</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现金价值</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重大疾病</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意外伤害</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专科医生</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毒品</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酒后驾驶</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无合法有效驾驶证驾驶</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无有效行驶证</w:t>
            </w:r>
          </w:p>
          <w:p>
            <w:pPr>
              <w:pStyle w:val="TableParagraph"/>
              <w:numPr>
                <w:ilvl w:val="1"/>
                <w:numId w:val="7"/>
              </w:numPr>
              <w:tabs>
                <w:tab w:pos="1606" w:val="left" w:leader="none"/>
              </w:tabs>
              <w:spacing w:line="240" w:lineRule="auto" w:before="37" w:after="0"/>
              <w:ind w:left="1605" w:right="0" w:hanging="423"/>
              <w:jc w:val="left"/>
              <w:rPr>
                <w:sz w:val="21"/>
              </w:rPr>
            </w:pPr>
            <w:r>
              <w:rPr>
                <w:spacing w:val="-3"/>
                <w:sz w:val="21"/>
              </w:rPr>
              <w:t>遗传性疾病</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先天性畸形、变形和染色体异常</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账户累积利率</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有效身份证件</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本公司认可的医疗机构</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肢体机能完全丧失</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语言能力或咀嚼吞咽能力完全丧失</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六项基本日常生活活动</w:t>
            </w:r>
          </w:p>
          <w:p>
            <w:pPr>
              <w:pStyle w:val="TableParagraph"/>
              <w:numPr>
                <w:ilvl w:val="1"/>
                <w:numId w:val="7"/>
              </w:numPr>
              <w:tabs>
                <w:tab w:pos="1709" w:val="left" w:leader="none"/>
              </w:tabs>
              <w:spacing w:line="240" w:lineRule="auto" w:before="37" w:after="0"/>
              <w:ind w:left="1708"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80" w:bottom="1100" w:left="1100" w:right="0"/>
        </w:sectPr>
      </w:pPr>
    </w:p>
    <w:p>
      <w:pPr>
        <w:pStyle w:val="Heading1"/>
        <w:ind w:left="2424"/>
      </w:pPr>
      <w:r>
        <w:rPr/>
        <w:t>合众康健人生团体重大疾病保险条款</w:t>
      </w:r>
    </w:p>
    <w:p>
      <w:pPr>
        <w:pStyle w:val="BodyText"/>
        <w:spacing w:before="107"/>
        <w:ind w:left="223"/>
      </w:pPr>
      <w:r>
        <w:rPr/>
        <w:t>在本条款中，“贵单位”指投保人，“我们”、“本公司”均指合众人寿保险股份有限公司。</w:t>
      </w:r>
    </w:p>
    <w:p>
      <w:pPr>
        <w:pStyle w:val="BodyText"/>
        <w:rPr>
          <w:sz w:val="20"/>
        </w:rPr>
      </w:pPr>
    </w:p>
    <w:p>
      <w:pPr>
        <w:pStyle w:val="BodyText"/>
        <w:spacing w:before="2"/>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838"/>
        <w:gridCol w:w="6807"/>
      </w:tblGrid>
      <w:tr>
        <w:trPr>
          <w:trHeight w:val="522" w:hRule="atLeast"/>
        </w:trPr>
        <w:tc>
          <w:tcPr>
            <w:tcW w:w="728" w:type="dxa"/>
            <w:tcBorders>
              <w:bottom w:val="single" w:sz="8" w:space="0" w:color="000000"/>
            </w:tcBorders>
          </w:tcPr>
          <w:p>
            <w:pPr>
              <w:pStyle w:val="TableParagraph"/>
              <w:spacing w:line="423" w:lineRule="exact" w:before="0"/>
              <w:ind w:left="122"/>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14"/>
              <w:ind w:left="246"/>
              <w:rPr>
                <w:b/>
                <w:sz w:val="24"/>
              </w:rPr>
            </w:pPr>
            <w:r>
              <w:rPr>
                <w:b/>
                <w:w w:val="95"/>
                <w:sz w:val="24"/>
              </w:rPr>
              <w:t>关于本保险合同</w:t>
            </w:r>
          </w:p>
        </w:tc>
      </w:tr>
      <w:tr>
        <w:trPr>
          <w:trHeight w:val="1343" w:hRule="atLeast"/>
        </w:trPr>
        <w:tc>
          <w:tcPr>
            <w:tcW w:w="728" w:type="dxa"/>
            <w:tcBorders>
              <w:top w:val="single" w:sz="8" w:space="0" w:color="000000"/>
            </w:tcBorders>
          </w:tcPr>
          <w:p>
            <w:pPr>
              <w:pStyle w:val="TableParagraph"/>
              <w:spacing w:before="10"/>
              <w:ind w:left="0"/>
              <w:rPr>
                <w:sz w:val="14"/>
              </w:rPr>
            </w:pPr>
          </w:p>
          <w:p>
            <w:pPr>
              <w:pStyle w:val="TableParagraph"/>
              <w:spacing w:before="0"/>
              <w:ind w:left="122"/>
              <w:rPr>
                <w:b/>
                <w:sz w:val="21"/>
              </w:rPr>
            </w:pPr>
            <w:r>
              <w:rPr>
                <w:b/>
                <w:sz w:val="21"/>
              </w:rPr>
              <w:t>1.1</w:t>
            </w:r>
          </w:p>
        </w:tc>
        <w:tc>
          <w:tcPr>
            <w:tcW w:w="1838" w:type="dxa"/>
            <w:tcBorders>
              <w:top w:val="single" w:sz="8" w:space="0" w:color="000000"/>
            </w:tcBorders>
          </w:tcPr>
          <w:p>
            <w:pPr>
              <w:pStyle w:val="TableParagraph"/>
              <w:spacing w:before="10"/>
              <w:ind w:left="0"/>
              <w:rPr>
                <w:sz w:val="14"/>
              </w:rPr>
            </w:pPr>
          </w:p>
          <w:p>
            <w:pPr>
              <w:pStyle w:val="TableParagraph"/>
              <w:spacing w:before="0"/>
              <w:ind w:left="246"/>
              <w:rPr>
                <w:b/>
                <w:sz w:val="21"/>
              </w:rPr>
            </w:pPr>
            <w:r>
              <w:rPr>
                <w:b/>
                <w:sz w:val="21"/>
              </w:rPr>
              <w:t>合同构成</w:t>
            </w:r>
          </w:p>
        </w:tc>
        <w:tc>
          <w:tcPr>
            <w:tcW w:w="6807" w:type="dxa"/>
            <w:tcBorders>
              <w:top w:val="single" w:sz="8" w:space="0" w:color="000000"/>
            </w:tcBorders>
          </w:tcPr>
          <w:p>
            <w:pPr>
              <w:pStyle w:val="TableParagraph"/>
              <w:spacing w:before="10"/>
              <w:ind w:left="0"/>
              <w:rPr>
                <w:sz w:val="14"/>
              </w:rPr>
            </w:pPr>
          </w:p>
          <w:p>
            <w:pPr>
              <w:pStyle w:val="TableParagraph"/>
              <w:spacing w:line="273" w:lineRule="auto" w:before="0"/>
              <w:ind w:left="110" w:right="100"/>
              <w:rPr>
                <w:sz w:val="21"/>
              </w:rPr>
            </w:pPr>
            <w:r>
              <w:rPr>
                <w:spacing w:val="-3"/>
                <w:w w:val="100"/>
                <w:sz w:val="21"/>
              </w:rPr>
              <w:t>本保险合同</w:t>
            </w:r>
            <w:r>
              <w:rPr>
                <w:w w:val="100"/>
                <w:sz w:val="21"/>
              </w:rPr>
              <w:t>（</w:t>
            </w:r>
            <w:r>
              <w:rPr>
                <w:spacing w:val="-17"/>
                <w:w w:val="100"/>
                <w:sz w:val="21"/>
              </w:rPr>
              <w:t>以下简称“本合同”</w:t>
            </w:r>
            <w:r>
              <w:rPr>
                <w:spacing w:val="-10"/>
                <w:w w:val="100"/>
                <w:sz w:val="21"/>
              </w:rPr>
              <w:t>）</w:t>
            </w:r>
            <w:r>
              <w:rPr>
                <w:spacing w:val="-4"/>
                <w:w w:val="100"/>
                <w:sz w:val="21"/>
              </w:rPr>
              <w:t>由本保险条款、保险单或其他保险凭</w:t>
            </w:r>
            <w:r>
              <w:rPr>
                <w:spacing w:val="-3"/>
                <w:sz w:val="21"/>
              </w:rPr>
              <w:t>证、投保书、与保险合同有关的投保文件、合法有效的声明、批注、附贴批单、附加险合同、其他书面协议共同构成。</w:t>
            </w:r>
          </w:p>
        </w:tc>
      </w:tr>
      <w:tr>
        <w:trPr>
          <w:trHeight w:val="1277" w:hRule="atLeast"/>
        </w:trPr>
        <w:tc>
          <w:tcPr>
            <w:tcW w:w="728" w:type="dxa"/>
          </w:tcPr>
          <w:p>
            <w:pPr>
              <w:pStyle w:val="TableParagraph"/>
              <w:spacing w:before="3"/>
              <w:ind w:left="0"/>
              <w:rPr>
                <w:sz w:val="14"/>
              </w:rPr>
            </w:pPr>
          </w:p>
          <w:p>
            <w:pPr>
              <w:pStyle w:val="TableParagraph"/>
              <w:spacing w:before="1"/>
              <w:ind w:left="122"/>
              <w:rPr>
                <w:b/>
                <w:sz w:val="21"/>
              </w:rPr>
            </w:pPr>
            <w:r>
              <w:rPr>
                <w:b/>
                <w:sz w:val="21"/>
              </w:rPr>
              <w:t>1.2</w:t>
            </w:r>
          </w:p>
        </w:tc>
        <w:tc>
          <w:tcPr>
            <w:tcW w:w="1838" w:type="dxa"/>
          </w:tcPr>
          <w:p>
            <w:pPr>
              <w:pStyle w:val="TableParagraph"/>
              <w:spacing w:before="3"/>
              <w:ind w:left="0"/>
              <w:rPr>
                <w:sz w:val="14"/>
              </w:rPr>
            </w:pPr>
          </w:p>
          <w:p>
            <w:pPr>
              <w:pStyle w:val="TableParagraph"/>
              <w:spacing w:before="1"/>
              <w:ind w:left="246"/>
              <w:rPr>
                <w:b/>
                <w:sz w:val="21"/>
              </w:rPr>
            </w:pPr>
            <w:r>
              <w:rPr>
                <w:b/>
                <w:sz w:val="21"/>
              </w:rPr>
              <w:t>投保范围</w:t>
            </w:r>
          </w:p>
        </w:tc>
        <w:tc>
          <w:tcPr>
            <w:tcW w:w="6807" w:type="dxa"/>
          </w:tcPr>
          <w:p>
            <w:pPr>
              <w:pStyle w:val="TableParagraph"/>
              <w:spacing w:before="3"/>
              <w:ind w:left="0"/>
              <w:rPr>
                <w:sz w:val="14"/>
              </w:rPr>
            </w:pPr>
          </w:p>
          <w:p>
            <w:pPr>
              <w:pStyle w:val="TableParagraph"/>
              <w:spacing w:line="273" w:lineRule="auto" w:before="1"/>
              <w:ind w:left="110" w:right="388"/>
              <w:rPr>
                <w:sz w:val="21"/>
              </w:rPr>
            </w:pPr>
            <w:r>
              <w:rPr>
                <w:sz w:val="21"/>
              </w:rPr>
              <w:t>凡在本合同订立时对被保险人有保险利益或经被保险人书面同意的机关、企业、事业单位和社会团体均可作为投保人。</w:t>
            </w:r>
          </w:p>
          <w:p>
            <w:pPr>
              <w:pStyle w:val="TableParagraph"/>
              <w:spacing w:before="8"/>
              <w:ind w:left="110"/>
              <w:rPr>
                <w:sz w:val="21"/>
              </w:rPr>
            </w:pPr>
            <w:r>
              <w:rPr>
                <w:sz w:val="21"/>
              </w:rPr>
              <w:t>凡符合本公司承保条件的人均可作为被保险人。</w:t>
            </w:r>
          </w:p>
        </w:tc>
      </w:tr>
      <w:tr>
        <w:trPr>
          <w:trHeight w:val="2324" w:hRule="atLeast"/>
        </w:trPr>
        <w:tc>
          <w:tcPr>
            <w:tcW w:w="728" w:type="dxa"/>
          </w:tcPr>
          <w:p>
            <w:pPr>
              <w:pStyle w:val="TableParagraph"/>
              <w:spacing w:before="127"/>
              <w:ind w:left="122"/>
              <w:rPr>
                <w:b/>
                <w:sz w:val="21"/>
              </w:rPr>
            </w:pPr>
            <w:r>
              <w:rPr>
                <w:b/>
                <w:sz w:val="21"/>
              </w:rPr>
              <w:t>1.3</w:t>
            </w:r>
          </w:p>
        </w:tc>
        <w:tc>
          <w:tcPr>
            <w:tcW w:w="1838" w:type="dxa"/>
          </w:tcPr>
          <w:p>
            <w:pPr>
              <w:pStyle w:val="TableParagraph"/>
              <w:spacing w:before="127"/>
              <w:ind w:left="246"/>
              <w:rPr>
                <w:b/>
                <w:sz w:val="21"/>
              </w:rPr>
            </w:pPr>
            <w:r>
              <w:rPr>
                <w:b/>
                <w:sz w:val="21"/>
              </w:rPr>
              <w:t>合同成立与生效</w:t>
            </w:r>
          </w:p>
        </w:tc>
        <w:tc>
          <w:tcPr>
            <w:tcW w:w="6807" w:type="dxa"/>
          </w:tcPr>
          <w:p>
            <w:pPr>
              <w:pStyle w:val="TableParagraph"/>
              <w:spacing w:line="273" w:lineRule="auto" w:before="127"/>
              <w:ind w:left="110" w:right="177"/>
              <w:rPr>
                <w:sz w:val="21"/>
              </w:rPr>
            </w:pPr>
            <w:r>
              <w:rPr>
                <w:sz w:val="21"/>
              </w:rPr>
              <w:t>投保人提出保险申请、本公司同意承保，本合同成立，合同成立日期在保险单上载明。</w:t>
            </w:r>
          </w:p>
          <w:p>
            <w:pPr>
              <w:pStyle w:val="TableParagraph"/>
              <w:spacing w:line="273" w:lineRule="auto" w:before="7"/>
              <w:ind w:left="110" w:right="108"/>
              <w:rPr>
                <w:sz w:val="21"/>
              </w:rPr>
            </w:pPr>
            <w:r>
              <w:rPr>
                <w:sz w:val="21"/>
              </w:rPr>
              <w:t>自本合同成立、本公司收取保险费并签发保险单的次日零时起本合同生效，合同生效日期在保险单上载明。</w:t>
            </w:r>
          </w:p>
          <w:p>
            <w:pPr>
              <w:pStyle w:val="TableParagraph"/>
              <w:spacing w:line="273" w:lineRule="auto" w:before="7"/>
              <w:ind w:left="110" w:right="108"/>
              <w:rPr>
                <w:sz w:val="21"/>
              </w:rPr>
            </w:pPr>
            <w:r>
              <w:rPr>
                <w:sz w:val="21"/>
              </w:rPr>
              <w:t>保险合同生效日以后每年的对应日是保单周年日。保单年度以该日期计算。</w:t>
            </w:r>
          </w:p>
          <w:p>
            <w:pPr>
              <w:pStyle w:val="TableParagraph"/>
              <w:spacing w:before="7"/>
              <w:ind w:left="110"/>
              <w:rPr>
                <w:sz w:val="21"/>
              </w:rPr>
            </w:pPr>
            <w:r>
              <w:rPr>
                <w:sz w:val="21"/>
              </w:rPr>
              <w:t>如果当月无对应的同一日，则以该月最后一日作为对应日。</w:t>
            </w:r>
          </w:p>
        </w:tc>
      </w:tr>
      <w:tr>
        <w:trPr>
          <w:trHeight w:val="2340" w:hRule="atLeast"/>
        </w:trPr>
        <w:tc>
          <w:tcPr>
            <w:tcW w:w="728" w:type="dxa"/>
          </w:tcPr>
          <w:p>
            <w:pPr>
              <w:pStyle w:val="TableParagraph"/>
              <w:spacing w:line="261" w:lineRule="exact" w:before="0"/>
              <w:ind w:left="122"/>
              <w:rPr>
                <w:b/>
                <w:sz w:val="21"/>
              </w:rPr>
            </w:pPr>
            <w:r>
              <w:rPr>
                <w:b/>
                <w:sz w:val="21"/>
              </w:rPr>
              <w:t>1.4</w:t>
            </w:r>
          </w:p>
        </w:tc>
        <w:tc>
          <w:tcPr>
            <w:tcW w:w="1838" w:type="dxa"/>
          </w:tcPr>
          <w:p>
            <w:pPr>
              <w:pStyle w:val="TableParagraph"/>
              <w:spacing w:line="261" w:lineRule="exact" w:before="0"/>
              <w:ind w:left="246"/>
              <w:rPr>
                <w:b/>
                <w:sz w:val="21"/>
              </w:rPr>
            </w:pPr>
            <w:r>
              <w:rPr>
                <w:b/>
                <w:sz w:val="21"/>
              </w:rPr>
              <w:t>犹豫期</w:t>
            </w:r>
          </w:p>
        </w:tc>
        <w:tc>
          <w:tcPr>
            <w:tcW w:w="6807" w:type="dxa"/>
          </w:tcPr>
          <w:p>
            <w:pPr>
              <w:pStyle w:val="TableParagraph"/>
              <w:spacing w:line="261" w:lineRule="exact" w:before="0"/>
              <w:ind w:left="110"/>
              <w:rPr>
                <w:sz w:val="21"/>
              </w:rPr>
            </w:pPr>
            <w:r>
              <w:rPr>
                <w:sz w:val="21"/>
              </w:rPr>
              <w:t>为了使投保人充分了解本保险合同的保障范围，确定选择了合适的保险</w:t>
            </w:r>
          </w:p>
          <w:p>
            <w:pPr>
              <w:pStyle w:val="TableParagraph"/>
              <w:spacing w:line="273" w:lineRule="auto"/>
              <w:ind w:left="110" w:right="100"/>
              <w:rPr>
                <w:sz w:val="21"/>
              </w:rPr>
            </w:pPr>
            <w:r>
              <w:rPr>
                <w:spacing w:val="-7"/>
                <w:sz w:val="21"/>
              </w:rPr>
              <w:t>金额、交费期限和交费金额，自投保人签收本保险合同之日起，有 </w:t>
            </w:r>
            <w:r>
              <w:rPr>
                <w:sz w:val="21"/>
              </w:rPr>
              <w:t>10</w:t>
            </w:r>
            <w:r>
              <w:rPr>
                <w:spacing w:val="-19"/>
                <w:sz w:val="21"/>
              </w:rPr>
              <w:t> 天</w:t>
            </w:r>
            <w:r>
              <w:rPr>
                <w:spacing w:val="-8"/>
                <w:sz w:val="21"/>
              </w:rPr>
              <w:t>的犹豫期。如果投保人在此期间提出解除本保险合同，需要填写书面申</w:t>
            </w:r>
            <w:r>
              <w:rPr>
                <w:spacing w:val="-10"/>
                <w:sz w:val="21"/>
              </w:rPr>
              <w:t>请书，并提供保险合同，本公司会在扣除不超过人民币 </w:t>
            </w:r>
            <w:r>
              <w:rPr>
                <w:sz w:val="21"/>
              </w:rPr>
              <w:t>10</w:t>
            </w:r>
            <w:r>
              <w:rPr>
                <w:spacing w:val="-8"/>
                <w:sz w:val="21"/>
              </w:rPr>
              <w:t> 元的保单工本</w:t>
            </w:r>
            <w:r>
              <w:rPr>
                <w:spacing w:val="-5"/>
                <w:sz w:val="21"/>
              </w:rPr>
              <w:t>费后无息退还投保人所交的保险费。自本公司收到投保人解除合同的书</w:t>
            </w:r>
            <w:r>
              <w:rPr>
                <w:spacing w:val="-4"/>
                <w:sz w:val="21"/>
              </w:rPr>
              <w:t>面申请时起，本保险合同即被解除。对本保险合同解除前发生的保险事</w:t>
            </w:r>
            <w:r>
              <w:rPr>
                <w:spacing w:val="-3"/>
                <w:sz w:val="21"/>
              </w:rPr>
              <w:t>故本公司不承担保险责任。</w:t>
            </w:r>
          </w:p>
        </w:tc>
      </w:tr>
      <w:tr>
        <w:trPr>
          <w:trHeight w:val="1286" w:hRule="atLeast"/>
        </w:trPr>
        <w:tc>
          <w:tcPr>
            <w:tcW w:w="728" w:type="dxa"/>
          </w:tcPr>
          <w:p>
            <w:pPr>
              <w:pStyle w:val="TableParagraph"/>
              <w:spacing w:before="142"/>
              <w:ind w:left="122"/>
              <w:rPr>
                <w:b/>
                <w:sz w:val="21"/>
              </w:rPr>
            </w:pPr>
            <w:r>
              <w:rPr>
                <w:b/>
                <w:sz w:val="21"/>
              </w:rPr>
              <w:t>1.5</w:t>
            </w:r>
          </w:p>
        </w:tc>
        <w:tc>
          <w:tcPr>
            <w:tcW w:w="1838" w:type="dxa"/>
          </w:tcPr>
          <w:p>
            <w:pPr>
              <w:pStyle w:val="TableParagraph"/>
              <w:spacing w:before="142"/>
              <w:ind w:left="246"/>
              <w:rPr>
                <w:b/>
                <w:sz w:val="21"/>
              </w:rPr>
            </w:pPr>
            <w:r>
              <w:rPr>
                <w:b/>
                <w:sz w:val="21"/>
              </w:rPr>
              <w:t>合同内容变更</w:t>
            </w:r>
          </w:p>
        </w:tc>
        <w:tc>
          <w:tcPr>
            <w:tcW w:w="6807" w:type="dxa"/>
          </w:tcPr>
          <w:p>
            <w:pPr>
              <w:pStyle w:val="TableParagraph"/>
              <w:spacing w:line="273" w:lineRule="auto" w:before="142"/>
              <w:ind w:left="110" w:right="177"/>
              <w:jc w:val="both"/>
              <w:rPr>
                <w:sz w:val="21"/>
              </w:rPr>
            </w:pPr>
            <w:r>
              <w:rPr>
                <w:sz w:val="21"/>
              </w:rPr>
              <w:t>在本合同有效期内，经投保人与本公司协商一致，可以变更合同的有关内容。变更本合同的，应当由本公司在保险单或者其他保险凭证上批注或者附贴批单，或者由投保人与本公司订立书面的变更协议。</w:t>
            </w:r>
          </w:p>
        </w:tc>
      </w:tr>
      <w:tr>
        <w:trPr>
          <w:trHeight w:val="2606" w:hRule="atLeast"/>
        </w:trPr>
        <w:tc>
          <w:tcPr>
            <w:tcW w:w="728" w:type="dxa"/>
          </w:tcPr>
          <w:p>
            <w:pPr>
              <w:pStyle w:val="TableParagraph"/>
              <w:spacing w:before="11"/>
              <w:ind w:left="0"/>
              <w:rPr>
                <w:sz w:val="13"/>
              </w:rPr>
            </w:pPr>
          </w:p>
          <w:p>
            <w:pPr>
              <w:pStyle w:val="TableParagraph"/>
              <w:spacing w:before="0"/>
              <w:ind w:left="122"/>
              <w:rPr>
                <w:b/>
                <w:sz w:val="21"/>
              </w:rPr>
            </w:pPr>
            <w:r>
              <w:rPr>
                <w:b/>
                <w:sz w:val="21"/>
              </w:rPr>
              <w:t>1.6</w:t>
            </w:r>
          </w:p>
        </w:tc>
        <w:tc>
          <w:tcPr>
            <w:tcW w:w="1838" w:type="dxa"/>
          </w:tcPr>
          <w:p>
            <w:pPr>
              <w:pStyle w:val="TableParagraph"/>
              <w:spacing w:before="11"/>
              <w:ind w:left="0"/>
              <w:rPr>
                <w:sz w:val="13"/>
              </w:rPr>
            </w:pPr>
          </w:p>
          <w:p>
            <w:pPr>
              <w:pStyle w:val="TableParagraph"/>
              <w:spacing w:line="273" w:lineRule="auto" w:before="0"/>
              <w:ind w:left="246" w:right="110"/>
              <w:rPr>
                <w:b/>
                <w:sz w:val="21"/>
              </w:rPr>
            </w:pPr>
            <w:r>
              <w:rPr>
                <w:b/>
                <w:sz w:val="21"/>
              </w:rPr>
              <w:t>投保人解除合同的手续及风险</w:t>
            </w:r>
          </w:p>
        </w:tc>
        <w:tc>
          <w:tcPr>
            <w:tcW w:w="6807" w:type="dxa"/>
          </w:tcPr>
          <w:p>
            <w:pPr>
              <w:pStyle w:val="TableParagraph"/>
              <w:spacing w:before="11"/>
              <w:ind w:left="0"/>
              <w:rPr>
                <w:sz w:val="13"/>
              </w:rPr>
            </w:pPr>
          </w:p>
          <w:p>
            <w:pPr>
              <w:pStyle w:val="TableParagraph"/>
              <w:spacing w:line="273" w:lineRule="auto" w:before="0"/>
              <w:ind w:left="110" w:right="177"/>
              <w:rPr>
                <w:sz w:val="21"/>
              </w:rPr>
            </w:pPr>
            <w:r>
              <w:rPr>
                <w:sz w:val="21"/>
              </w:rPr>
              <w:t>如投保人在犹豫期后申请解除本合同，请填写解除合同申请书并向本公司提供下列资料：</w:t>
            </w:r>
          </w:p>
          <w:p>
            <w:pPr>
              <w:pStyle w:val="TableParagraph"/>
              <w:spacing w:before="7"/>
              <w:ind w:left="110"/>
              <w:rPr>
                <w:sz w:val="21"/>
              </w:rPr>
            </w:pPr>
            <w:r>
              <w:rPr>
                <w:sz w:val="21"/>
              </w:rPr>
              <w:t>（1）保险合同；</w:t>
            </w:r>
          </w:p>
          <w:p>
            <w:pPr>
              <w:pStyle w:val="TableParagraph"/>
              <w:spacing w:before="36"/>
              <w:ind w:left="110"/>
              <w:rPr>
                <w:sz w:val="21"/>
              </w:rPr>
            </w:pPr>
            <w:r>
              <w:rPr>
                <w:sz w:val="21"/>
              </w:rPr>
              <w:t>（2）最近一期保险费收据。</w:t>
            </w:r>
          </w:p>
          <w:p>
            <w:pPr>
              <w:pStyle w:val="TableParagraph"/>
              <w:spacing w:line="264" w:lineRule="auto" w:before="36"/>
              <w:ind w:left="110" w:right="71"/>
              <w:rPr>
                <w:sz w:val="21"/>
              </w:rPr>
            </w:pPr>
            <w:r>
              <w:rPr>
                <w:spacing w:val="-3"/>
                <w:sz w:val="21"/>
              </w:rPr>
              <w:t>自本公司收到解除合同申请书时起，本合同终止，本公司自收到解除合</w:t>
            </w:r>
            <w:r>
              <w:rPr>
                <w:spacing w:val="-3"/>
                <w:w w:val="100"/>
                <w:sz w:val="21"/>
              </w:rPr>
              <w:t>同申请书之日起</w:t>
            </w:r>
            <w:r>
              <w:rPr>
                <w:spacing w:val="-3"/>
                <w:sz w:val="21"/>
              </w:rPr>
              <w:t> </w:t>
            </w:r>
            <w:r>
              <w:rPr>
                <w:w w:val="100"/>
                <w:sz w:val="21"/>
              </w:rPr>
              <w:t>30</w:t>
            </w:r>
            <w:r>
              <w:rPr>
                <w:spacing w:val="-55"/>
                <w:sz w:val="21"/>
              </w:rPr>
              <w:t> </w:t>
            </w:r>
            <w:r>
              <w:rPr>
                <w:spacing w:val="-3"/>
                <w:w w:val="100"/>
                <w:sz w:val="21"/>
              </w:rPr>
              <w:t>日内向投保人退还保险单的</w:t>
            </w:r>
            <w:r>
              <w:rPr>
                <w:b/>
                <w:spacing w:val="-2"/>
                <w:w w:val="100"/>
                <w:sz w:val="21"/>
              </w:rPr>
              <w:t>现金价值</w:t>
            </w:r>
            <w:r>
              <w:rPr>
                <w:w w:val="100"/>
                <w:sz w:val="21"/>
              </w:rPr>
              <w:t>（</w:t>
            </w:r>
            <w:r>
              <w:rPr>
                <w:spacing w:val="-2"/>
                <w:w w:val="100"/>
                <w:sz w:val="21"/>
              </w:rPr>
              <w:t>见释义</w:t>
            </w:r>
            <w:r>
              <w:rPr>
                <w:spacing w:val="-55"/>
                <w:sz w:val="21"/>
              </w:rPr>
              <w:t> </w:t>
            </w:r>
            <w:r>
              <w:rPr>
                <w:rFonts w:ascii="Times New Roman" w:eastAsia="Times New Roman"/>
                <w:w w:val="100"/>
                <w:sz w:val="21"/>
              </w:rPr>
              <w:t>7.1</w:t>
            </w:r>
            <w:r>
              <w:rPr>
                <w:spacing w:val="-106"/>
                <w:w w:val="100"/>
                <w:sz w:val="21"/>
              </w:rPr>
              <w:t>）</w:t>
            </w:r>
            <w:r>
              <w:rPr>
                <w:w w:val="100"/>
                <w:sz w:val="21"/>
              </w:rPr>
              <w:t>。</w:t>
            </w:r>
            <w:r>
              <w:rPr>
                <w:spacing w:val="-3"/>
                <w:sz w:val="21"/>
              </w:rPr>
              <w:t>投保人犹豫期后解除合同会遭受一定损失。</w:t>
            </w:r>
          </w:p>
        </w:tc>
      </w:tr>
      <w:tr>
        <w:trPr>
          <w:trHeight w:val="800" w:hRule="atLeast"/>
        </w:trPr>
        <w:tc>
          <w:tcPr>
            <w:tcW w:w="728" w:type="dxa"/>
            <w:tcBorders>
              <w:bottom w:val="single" w:sz="8" w:space="0" w:color="000000"/>
            </w:tcBorders>
          </w:tcPr>
          <w:p>
            <w:pPr>
              <w:pStyle w:val="TableParagraph"/>
              <w:spacing w:before="241"/>
              <w:ind w:left="122"/>
              <w:rPr>
                <w:rFonts w:ascii="Arial" w:hAnsi="Arial"/>
                <w:b/>
                <w:sz w:val="40"/>
              </w:rPr>
            </w:pPr>
            <w:r>
              <w:rPr>
                <w:rFonts w:ascii="Arial" w:hAnsi="Arial"/>
                <w:b/>
                <w:w w:val="119"/>
                <w:sz w:val="40"/>
              </w:rPr>
              <w:t></w:t>
            </w:r>
          </w:p>
        </w:tc>
        <w:tc>
          <w:tcPr>
            <w:tcW w:w="8645" w:type="dxa"/>
            <w:gridSpan w:val="2"/>
            <w:tcBorders>
              <w:bottom w:val="single" w:sz="8" w:space="0" w:color="000000"/>
            </w:tcBorders>
          </w:tcPr>
          <w:p>
            <w:pPr>
              <w:pStyle w:val="TableParagraph"/>
              <w:spacing w:before="4"/>
              <w:ind w:left="0"/>
              <w:rPr>
                <w:sz w:val="22"/>
              </w:rPr>
            </w:pPr>
          </w:p>
          <w:p>
            <w:pPr>
              <w:pStyle w:val="TableParagraph"/>
              <w:spacing w:before="0"/>
              <w:ind w:left="246"/>
              <w:rPr>
                <w:b/>
                <w:sz w:val="24"/>
              </w:rPr>
            </w:pPr>
            <w:r>
              <w:rPr>
                <w:b/>
                <w:w w:val="95"/>
                <w:sz w:val="24"/>
              </w:rPr>
              <w:t>本合同保障责任</w:t>
            </w:r>
          </w:p>
        </w:tc>
      </w:tr>
    </w:tbl>
    <w:p>
      <w:pPr>
        <w:spacing w:after="0"/>
        <w:rPr>
          <w:sz w:val="24"/>
        </w:rPr>
        <w:sectPr>
          <w:pgSz w:w="11910" w:h="16840"/>
          <w:pgMar w:header="0" w:footer="912" w:top="1420" w:bottom="118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58"/>
        <w:gridCol w:w="6809"/>
      </w:tblGrid>
      <w:tr>
        <w:trPr>
          <w:trHeight w:val="987" w:hRule="atLeast"/>
        </w:trPr>
        <w:tc>
          <w:tcPr>
            <w:tcW w:w="693"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2.1</w:t>
            </w:r>
          </w:p>
        </w:tc>
        <w:tc>
          <w:tcPr>
            <w:tcW w:w="1858" w:type="dxa"/>
            <w:tcBorders>
              <w:top w:val="single" w:sz="8" w:space="0" w:color="000000"/>
            </w:tcBorders>
          </w:tcPr>
          <w:p>
            <w:pPr>
              <w:pStyle w:val="TableParagraph"/>
              <w:spacing w:before="10"/>
              <w:ind w:left="0"/>
              <w:rPr>
                <w:sz w:val="14"/>
              </w:rPr>
            </w:pPr>
          </w:p>
          <w:p>
            <w:pPr>
              <w:pStyle w:val="TableParagraph"/>
              <w:spacing w:before="0"/>
              <w:ind w:left="267"/>
              <w:rPr>
                <w:b/>
                <w:sz w:val="21"/>
              </w:rPr>
            </w:pPr>
            <w:r>
              <w:rPr>
                <w:b/>
                <w:sz w:val="21"/>
              </w:rPr>
              <w:t>保险期间</w:t>
            </w:r>
          </w:p>
        </w:tc>
        <w:tc>
          <w:tcPr>
            <w:tcW w:w="6809" w:type="dxa"/>
            <w:tcBorders>
              <w:top w:val="single" w:sz="8" w:space="0" w:color="000000"/>
            </w:tcBorders>
          </w:tcPr>
          <w:p>
            <w:pPr>
              <w:pStyle w:val="TableParagraph"/>
              <w:spacing w:before="10"/>
              <w:ind w:left="0"/>
              <w:rPr>
                <w:sz w:val="14"/>
              </w:rPr>
            </w:pPr>
          </w:p>
          <w:p>
            <w:pPr>
              <w:pStyle w:val="TableParagraph"/>
              <w:spacing w:line="273" w:lineRule="auto" w:before="0"/>
              <w:ind w:left="111" w:right="178"/>
              <w:rPr>
                <w:sz w:val="21"/>
              </w:rPr>
            </w:pPr>
            <w:r>
              <w:rPr>
                <w:sz w:val="21"/>
              </w:rPr>
              <w:t>本合同的保险期间为被保险人终身，自保险单上记载的本主合同生效日零时起至被保险人身故时止。</w:t>
            </w:r>
          </w:p>
        </w:tc>
      </w:tr>
      <w:tr>
        <w:trPr>
          <w:trHeight w:val="1290" w:hRule="atLeast"/>
        </w:trPr>
        <w:tc>
          <w:tcPr>
            <w:tcW w:w="693" w:type="dxa"/>
          </w:tcPr>
          <w:p>
            <w:pPr>
              <w:pStyle w:val="TableParagraph"/>
              <w:spacing w:before="142"/>
              <w:ind w:left="108"/>
              <w:rPr>
                <w:b/>
                <w:sz w:val="21"/>
              </w:rPr>
            </w:pPr>
            <w:r>
              <w:rPr>
                <w:b/>
                <w:sz w:val="21"/>
              </w:rPr>
              <w:t>2.2</w:t>
            </w:r>
          </w:p>
        </w:tc>
        <w:tc>
          <w:tcPr>
            <w:tcW w:w="1858" w:type="dxa"/>
          </w:tcPr>
          <w:p>
            <w:pPr>
              <w:pStyle w:val="TableParagraph"/>
              <w:spacing w:line="273" w:lineRule="auto" w:before="142"/>
              <w:ind w:left="267" w:right="110"/>
              <w:rPr>
                <w:b/>
                <w:sz w:val="21"/>
              </w:rPr>
            </w:pPr>
            <w:r>
              <w:rPr>
                <w:b/>
                <w:sz w:val="21"/>
              </w:rPr>
              <w:t>未成年人身故保险金限制</w:t>
            </w:r>
          </w:p>
        </w:tc>
        <w:tc>
          <w:tcPr>
            <w:tcW w:w="6809" w:type="dxa"/>
          </w:tcPr>
          <w:p>
            <w:pPr>
              <w:pStyle w:val="TableParagraph"/>
              <w:spacing w:line="273" w:lineRule="auto" w:before="142"/>
              <w:ind w:left="111" w:right="178"/>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6906" w:hRule="atLeast"/>
        </w:trPr>
        <w:tc>
          <w:tcPr>
            <w:tcW w:w="693" w:type="dxa"/>
          </w:tcPr>
          <w:p>
            <w:pPr>
              <w:pStyle w:val="TableParagraph"/>
              <w:spacing w:before="1"/>
              <w:ind w:left="0"/>
              <w:rPr>
                <w:sz w:val="14"/>
              </w:rPr>
            </w:pPr>
          </w:p>
          <w:p>
            <w:pPr>
              <w:pStyle w:val="TableParagraph"/>
              <w:spacing w:before="0"/>
              <w:ind w:left="108"/>
              <w:rPr>
                <w:b/>
                <w:sz w:val="21"/>
              </w:rPr>
            </w:pPr>
            <w:r>
              <w:rPr>
                <w:b/>
                <w:sz w:val="21"/>
              </w:rPr>
              <w:t>2.3</w:t>
            </w:r>
          </w:p>
        </w:tc>
        <w:tc>
          <w:tcPr>
            <w:tcW w:w="1858" w:type="dxa"/>
          </w:tcPr>
          <w:p>
            <w:pPr>
              <w:pStyle w:val="TableParagraph"/>
              <w:spacing w:before="1"/>
              <w:ind w:left="0"/>
              <w:rPr>
                <w:sz w:val="14"/>
              </w:rPr>
            </w:pPr>
          </w:p>
          <w:p>
            <w:pPr>
              <w:pStyle w:val="TableParagraph"/>
              <w:spacing w:before="0"/>
              <w:ind w:left="267"/>
              <w:rPr>
                <w:b/>
                <w:sz w:val="21"/>
              </w:rPr>
            </w:pPr>
            <w:r>
              <w:rPr>
                <w:b/>
                <w:sz w:val="21"/>
              </w:rPr>
              <w:t>保险责任</w:t>
            </w:r>
          </w:p>
          <w:p>
            <w:pPr>
              <w:pStyle w:val="TableParagraph"/>
              <w:spacing w:before="8"/>
              <w:ind w:left="0"/>
              <w:rPr>
                <w:sz w:val="26"/>
              </w:rPr>
            </w:pPr>
          </w:p>
          <w:p>
            <w:pPr>
              <w:pStyle w:val="TableParagraph"/>
              <w:spacing w:before="0"/>
              <w:ind w:left="267"/>
              <w:rPr>
                <w:rFonts w:ascii="黑体" w:eastAsia="黑体" w:hint="eastAsia"/>
                <w:b/>
                <w:sz w:val="21"/>
              </w:rPr>
            </w:pPr>
            <w:r>
              <w:rPr>
                <w:rFonts w:ascii="黑体" w:eastAsia="黑体" w:hint="eastAsia"/>
                <w:b/>
                <w:sz w:val="21"/>
              </w:rPr>
              <w:t>等待期</w:t>
            </w: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9"/>
              <w:ind w:left="0"/>
              <w:rPr>
                <w:sz w:val="29"/>
              </w:rPr>
            </w:pPr>
          </w:p>
          <w:p>
            <w:pPr>
              <w:pStyle w:val="TableParagraph"/>
              <w:spacing w:before="0"/>
              <w:ind w:left="267"/>
              <w:rPr>
                <w:rFonts w:ascii="黑体" w:eastAsia="黑体" w:hint="eastAsia"/>
                <w:b/>
                <w:sz w:val="21"/>
              </w:rPr>
            </w:pPr>
            <w:r>
              <w:rPr>
                <w:rFonts w:ascii="黑体" w:eastAsia="黑体" w:hint="eastAsia"/>
                <w:b/>
                <w:sz w:val="21"/>
              </w:rPr>
              <w:t>重大疾病保险金</w:t>
            </w: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0"/>
              <w:ind w:left="0"/>
              <w:rPr>
                <w:sz w:val="20"/>
              </w:rPr>
            </w:pPr>
          </w:p>
          <w:p>
            <w:pPr>
              <w:pStyle w:val="TableParagraph"/>
              <w:spacing w:before="2"/>
              <w:ind w:left="0"/>
              <w:rPr>
                <w:sz w:val="18"/>
              </w:rPr>
            </w:pPr>
          </w:p>
          <w:p>
            <w:pPr>
              <w:pStyle w:val="TableParagraph"/>
              <w:spacing w:before="0"/>
              <w:ind w:left="267"/>
              <w:rPr>
                <w:rFonts w:ascii="黑体" w:eastAsia="黑体" w:hint="eastAsia"/>
                <w:b/>
                <w:sz w:val="21"/>
              </w:rPr>
            </w:pPr>
            <w:r>
              <w:rPr>
                <w:rFonts w:ascii="黑体" w:eastAsia="黑体" w:hint="eastAsia"/>
                <w:b/>
                <w:sz w:val="21"/>
              </w:rPr>
              <w:t>身故保险金</w:t>
            </w:r>
          </w:p>
        </w:tc>
        <w:tc>
          <w:tcPr>
            <w:tcW w:w="6809" w:type="dxa"/>
          </w:tcPr>
          <w:p>
            <w:pPr>
              <w:pStyle w:val="TableParagraph"/>
              <w:spacing w:before="1"/>
              <w:ind w:left="0"/>
              <w:rPr>
                <w:sz w:val="14"/>
              </w:rPr>
            </w:pPr>
          </w:p>
          <w:p>
            <w:pPr>
              <w:pStyle w:val="TableParagraph"/>
              <w:spacing w:before="0"/>
              <w:ind w:left="111"/>
              <w:rPr>
                <w:sz w:val="21"/>
              </w:rPr>
            </w:pPr>
            <w:r>
              <w:rPr>
                <w:sz w:val="21"/>
              </w:rPr>
              <w:t>在本合同保险期间内，本公司承担下列保险责任：</w:t>
            </w:r>
          </w:p>
          <w:p>
            <w:pPr>
              <w:pStyle w:val="TableParagraph"/>
              <w:spacing w:before="8"/>
              <w:ind w:left="0"/>
              <w:rPr>
                <w:sz w:val="26"/>
              </w:rPr>
            </w:pPr>
          </w:p>
          <w:p>
            <w:pPr>
              <w:pStyle w:val="TableParagraph"/>
              <w:spacing w:before="0"/>
              <w:ind w:left="111"/>
              <w:rPr>
                <w:rFonts w:ascii="黑体" w:eastAsia="黑体" w:hint="eastAsia"/>
                <w:sz w:val="21"/>
              </w:rPr>
            </w:pPr>
            <w:r>
              <w:rPr>
                <w:rFonts w:ascii="黑体" w:eastAsia="黑体" w:hint="eastAsia"/>
                <w:sz w:val="21"/>
              </w:rPr>
              <w:t>首次投保本保险或非连续投保本保险时，被保险人在本合同Th效之日起</w:t>
            </w:r>
          </w:p>
          <w:p>
            <w:pPr>
              <w:pStyle w:val="TableParagraph"/>
              <w:spacing w:line="273" w:lineRule="auto" w:before="36"/>
              <w:ind w:left="111"/>
              <w:rPr>
                <w:rFonts w:ascii="黑体" w:eastAsia="黑体" w:hint="eastAsia"/>
                <w:sz w:val="21"/>
              </w:rPr>
            </w:pPr>
            <w:r>
              <w:rPr>
                <w:rFonts w:ascii="黑体" w:eastAsia="黑体" w:hint="eastAsia"/>
                <w:sz w:val="21"/>
              </w:rPr>
              <w:t>90</w:t>
            </w:r>
            <w:r>
              <w:rPr>
                <w:rFonts w:ascii="黑体" w:eastAsia="黑体" w:hint="eastAsia"/>
                <w:spacing w:val="-9"/>
                <w:sz w:val="21"/>
              </w:rPr>
              <w:t> 天内因疾病被诊断为本合同所定义的</w:t>
            </w:r>
            <w:r>
              <w:rPr>
                <w:rFonts w:ascii="黑体" w:eastAsia="黑体" w:hint="eastAsia"/>
                <w:b/>
                <w:sz w:val="21"/>
              </w:rPr>
              <w:t>重大疾病</w:t>
            </w:r>
            <w:r>
              <w:rPr>
                <w:rFonts w:ascii="黑体" w:eastAsia="黑体" w:hint="eastAsia"/>
                <w:spacing w:val="-3"/>
                <w:sz w:val="21"/>
              </w:rPr>
              <w:t>（</w:t>
            </w:r>
            <w:r>
              <w:rPr>
                <w:rFonts w:ascii="黑体" w:eastAsia="黑体" w:hint="eastAsia"/>
                <w:spacing w:val="-14"/>
                <w:sz w:val="21"/>
              </w:rPr>
              <w:t>见释义 </w:t>
            </w:r>
            <w:r>
              <w:rPr>
                <w:rFonts w:ascii="黑体" w:eastAsia="黑体" w:hint="eastAsia"/>
                <w:sz w:val="21"/>
              </w:rPr>
              <w:t>7.2）</w:t>
            </w:r>
            <w:r>
              <w:rPr>
                <w:rFonts w:ascii="黑体" w:eastAsia="黑体" w:hint="eastAsia"/>
                <w:spacing w:val="-2"/>
                <w:sz w:val="21"/>
              </w:rPr>
              <w:t>或因疾病</w:t>
            </w:r>
            <w:r>
              <w:rPr>
                <w:rFonts w:ascii="黑体" w:eastAsia="黑体" w:hint="eastAsia"/>
                <w:spacing w:val="-3"/>
                <w:sz w:val="21"/>
              </w:rPr>
              <w:t>身故，本公司给付该被保险人重大疾病确诊日或身故日的个人账户价 值</w:t>
            </w:r>
            <w:r>
              <w:rPr>
                <w:rFonts w:ascii="黑体" w:eastAsia="黑体" w:hint="eastAsia"/>
                <w:spacing w:val="-6"/>
                <w:sz w:val="21"/>
              </w:rPr>
              <w:t>，并退还所收取的风险保险费，本合同对该被保险人的保险责任终止。这</w:t>
            </w:r>
            <w:r>
              <w:rPr>
                <w:rFonts w:ascii="黑体" w:eastAsia="黑体" w:hint="eastAsia"/>
                <w:spacing w:val="-48"/>
                <w:sz w:val="21"/>
              </w:rPr>
              <w:t> </w:t>
            </w:r>
            <w:r>
              <w:rPr>
                <w:rFonts w:ascii="黑体" w:eastAsia="黑体" w:hint="eastAsia"/>
                <w:sz w:val="21"/>
              </w:rPr>
              <w:t>90</w:t>
            </w:r>
            <w:r>
              <w:rPr>
                <w:rFonts w:ascii="黑体" w:eastAsia="黑体" w:hint="eastAsia"/>
                <w:spacing w:val="-8"/>
                <w:sz w:val="21"/>
              </w:rPr>
              <w:t> 天的时间称为等待期。被保险人因</w:t>
            </w:r>
            <w:r>
              <w:rPr>
                <w:rFonts w:ascii="黑体" w:eastAsia="黑体" w:hint="eastAsia"/>
                <w:b/>
                <w:sz w:val="21"/>
              </w:rPr>
              <w:t>意外伤害</w:t>
            </w:r>
            <w:r>
              <w:rPr>
                <w:rFonts w:ascii="黑体" w:eastAsia="黑体" w:hint="eastAsia"/>
                <w:spacing w:val="-3"/>
                <w:sz w:val="21"/>
              </w:rPr>
              <w:t>（</w:t>
            </w:r>
            <w:r>
              <w:rPr>
                <w:rFonts w:ascii="黑体" w:eastAsia="黑体" w:hint="eastAsia"/>
                <w:spacing w:val="-14"/>
                <w:sz w:val="21"/>
              </w:rPr>
              <w:t>见释义 </w:t>
            </w:r>
            <w:r>
              <w:rPr>
                <w:rFonts w:ascii="黑体" w:eastAsia="黑体" w:hint="eastAsia"/>
                <w:sz w:val="21"/>
              </w:rPr>
              <w:t>7.3）</w:t>
            </w:r>
            <w:r>
              <w:rPr>
                <w:rFonts w:ascii="黑体" w:eastAsia="黑体" w:hint="eastAsia"/>
                <w:spacing w:val="-2"/>
                <w:sz w:val="21"/>
              </w:rPr>
              <w:t>事故导致</w:t>
            </w:r>
            <w:r>
              <w:rPr>
                <w:rFonts w:ascii="黑体" w:eastAsia="黑体" w:hint="eastAsia"/>
                <w:spacing w:val="-3"/>
                <w:sz w:val="21"/>
              </w:rPr>
              <w:t>本合同定义的重大疾病或身故，无等待期。续保无等待期。</w:t>
            </w:r>
          </w:p>
          <w:p>
            <w:pPr>
              <w:pStyle w:val="TableParagraph"/>
              <w:spacing w:before="7"/>
              <w:ind w:left="111"/>
              <w:rPr>
                <w:rFonts w:ascii="黑体" w:eastAsia="黑体" w:hint="eastAsia"/>
                <w:sz w:val="21"/>
              </w:rPr>
            </w:pPr>
            <w:r>
              <w:rPr>
                <w:rFonts w:ascii="黑体" w:eastAsia="黑体" w:hint="eastAsia"/>
                <w:sz w:val="21"/>
              </w:rPr>
              <w:t>等待期后发Th保险事故，本公司按照下列方式给付保险金：</w:t>
            </w:r>
          </w:p>
          <w:p>
            <w:pPr>
              <w:pStyle w:val="TableParagraph"/>
              <w:spacing w:before="8"/>
              <w:ind w:left="0"/>
              <w:rPr>
                <w:sz w:val="26"/>
              </w:rPr>
            </w:pPr>
          </w:p>
          <w:p>
            <w:pPr>
              <w:pStyle w:val="TableParagraph"/>
              <w:spacing w:before="1"/>
              <w:ind w:left="111"/>
              <w:rPr>
                <w:sz w:val="21"/>
              </w:rPr>
            </w:pPr>
            <w:r>
              <w:rPr>
                <w:sz w:val="21"/>
              </w:rPr>
              <w:t>被保险人年满 65 周岁的保单周年日前初次发生且经</w:t>
            </w:r>
            <w:r>
              <w:rPr>
                <w:b/>
                <w:sz w:val="21"/>
              </w:rPr>
              <w:t>专科医生</w:t>
            </w:r>
            <w:r>
              <w:rPr>
                <w:sz w:val="21"/>
              </w:rPr>
              <w:t>（见释义</w:t>
            </w:r>
          </w:p>
          <w:p>
            <w:pPr>
              <w:pStyle w:val="TableParagraph"/>
              <w:spacing w:line="264" w:lineRule="auto"/>
              <w:ind w:left="111" w:right="128"/>
              <w:jc w:val="both"/>
              <w:rPr>
                <w:sz w:val="21"/>
              </w:rPr>
            </w:pPr>
            <w:r>
              <w:rPr>
                <w:rFonts w:ascii="Times New Roman" w:eastAsia="Times New Roman"/>
                <w:sz w:val="21"/>
              </w:rPr>
              <w:t>7.4</w:t>
            </w:r>
            <w:r>
              <w:rPr>
                <w:sz w:val="21"/>
              </w:rPr>
              <w:t>）</w:t>
            </w:r>
            <w:r>
              <w:rPr>
                <w:spacing w:val="-3"/>
                <w:sz w:val="21"/>
              </w:rPr>
              <w:t>明确诊断患本合同所定义的重大疾病，本公司按照该被保险人确诊</w:t>
            </w:r>
            <w:r>
              <w:rPr>
                <w:spacing w:val="-7"/>
                <w:sz w:val="21"/>
              </w:rPr>
              <w:t>日的个人账户价值的 </w:t>
            </w:r>
            <w:r>
              <w:rPr>
                <w:sz w:val="21"/>
              </w:rPr>
              <w:t>2</w:t>
            </w:r>
            <w:r>
              <w:rPr>
                <w:spacing w:val="-8"/>
                <w:sz w:val="21"/>
              </w:rPr>
              <w:t> 倍给付重大疾病保险金，本合同对该被保险人的</w:t>
            </w:r>
            <w:r>
              <w:rPr>
                <w:spacing w:val="-5"/>
                <w:sz w:val="21"/>
              </w:rPr>
              <w:t>保险责任终止。</w:t>
            </w:r>
          </w:p>
          <w:p>
            <w:pPr>
              <w:pStyle w:val="TableParagraph"/>
              <w:spacing w:before="1"/>
              <w:ind w:left="0"/>
              <w:rPr>
                <w:sz w:val="25"/>
              </w:rPr>
            </w:pPr>
          </w:p>
          <w:p>
            <w:pPr>
              <w:pStyle w:val="TableParagraph"/>
              <w:spacing w:before="0"/>
              <w:ind w:left="111"/>
              <w:rPr>
                <w:sz w:val="21"/>
              </w:rPr>
            </w:pPr>
            <w:r>
              <w:rPr>
                <w:spacing w:val="-7"/>
                <w:sz w:val="21"/>
              </w:rPr>
              <w:t>被保险人年满 </w:t>
            </w:r>
            <w:r>
              <w:rPr>
                <w:sz w:val="21"/>
              </w:rPr>
              <w:t>65</w:t>
            </w:r>
            <w:r>
              <w:rPr>
                <w:spacing w:val="-10"/>
                <w:sz w:val="21"/>
              </w:rPr>
              <w:t> 周岁的保单周年日前身故，本公司按照该被保险人身故</w:t>
            </w:r>
          </w:p>
          <w:p>
            <w:pPr>
              <w:pStyle w:val="TableParagraph"/>
              <w:spacing w:line="273" w:lineRule="auto"/>
              <w:ind w:left="111" w:right="178"/>
              <w:rPr>
                <w:sz w:val="21"/>
              </w:rPr>
            </w:pPr>
            <w:r>
              <w:rPr>
                <w:spacing w:val="-7"/>
                <w:sz w:val="21"/>
              </w:rPr>
              <w:t>日的个人账户价值的 </w:t>
            </w:r>
            <w:r>
              <w:rPr>
                <w:sz w:val="21"/>
              </w:rPr>
              <w:t>2</w:t>
            </w:r>
            <w:r>
              <w:rPr>
                <w:spacing w:val="-8"/>
                <w:sz w:val="21"/>
              </w:rPr>
              <w:t> 倍给付身故保险金，本合同对该被保险人的保险</w:t>
            </w:r>
            <w:r>
              <w:rPr>
                <w:spacing w:val="-5"/>
                <w:sz w:val="21"/>
              </w:rPr>
              <w:t>责任终止。</w:t>
            </w:r>
          </w:p>
          <w:p>
            <w:pPr>
              <w:pStyle w:val="TableParagraph"/>
              <w:spacing w:line="273" w:lineRule="auto" w:before="7"/>
              <w:ind w:left="111" w:right="103"/>
              <w:jc w:val="both"/>
              <w:rPr>
                <w:sz w:val="21"/>
              </w:rPr>
            </w:pPr>
            <w:r>
              <w:rPr>
                <w:spacing w:val="-8"/>
                <w:sz w:val="21"/>
              </w:rPr>
              <w:t>被保险人在年满 </w:t>
            </w:r>
            <w:r>
              <w:rPr>
                <w:sz w:val="21"/>
              </w:rPr>
              <w:t>65</w:t>
            </w:r>
            <w:r>
              <w:rPr>
                <w:spacing w:val="-9"/>
                <w:sz w:val="21"/>
              </w:rPr>
              <w:t> 周岁的保单周年日后因意外伤害事故或疾病身故，本公司按照该被保险人身故日的个人账户价值给付身故保险金，本合同对</w:t>
            </w:r>
            <w:r>
              <w:rPr>
                <w:spacing w:val="-5"/>
                <w:sz w:val="21"/>
              </w:rPr>
              <w:t>该被保险人的保险责任终止。</w:t>
            </w:r>
          </w:p>
        </w:tc>
      </w:tr>
      <w:tr>
        <w:trPr>
          <w:trHeight w:val="4630" w:hRule="atLeast"/>
        </w:trPr>
        <w:tc>
          <w:tcPr>
            <w:tcW w:w="693" w:type="dxa"/>
          </w:tcPr>
          <w:p>
            <w:pPr>
              <w:pStyle w:val="TableParagraph"/>
              <w:spacing w:before="142"/>
              <w:ind w:left="108"/>
              <w:rPr>
                <w:b/>
                <w:sz w:val="21"/>
              </w:rPr>
            </w:pPr>
            <w:r>
              <w:rPr>
                <w:b/>
                <w:sz w:val="21"/>
              </w:rPr>
              <w:t>2.4</w:t>
            </w:r>
          </w:p>
        </w:tc>
        <w:tc>
          <w:tcPr>
            <w:tcW w:w="1858" w:type="dxa"/>
          </w:tcPr>
          <w:p>
            <w:pPr>
              <w:pStyle w:val="TableParagraph"/>
              <w:spacing w:before="142"/>
              <w:ind w:left="267"/>
              <w:rPr>
                <w:rFonts w:ascii="黑体" w:eastAsia="黑体" w:hint="eastAsia"/>
                <w:b/>
                <w:sz w:val="21"/>
              </w:rPr>
            </w:pPr>
            <w:r>
              <w:rPr>
                <w:rFonts w:ascii="黑体" w:eastAsia="黑体" w:hint="eastAsia"/>
                <w:b/>
                <w:sz w:val="21"/>
              </w:rPr>
              <w:t>保险责任的免除</w:t>
            </w:r>
          </w:p>
        </w:tc>
        <w:tc>
          <w:tcPr>
            <w:tcW w:w="6809" w:type="dxa"/>
          </w:tcPr>
          <w:p>
            <w:pPr>
              <w:pStyle w:val="TableParagraph"/>
              <w:spacing w:line="273" w:lineRule="auto" w:before="142"/>
              <w:ind w:left="111" w:right="110"/>
              <w:rPr>
                <w:rFonts w:ascii="黑体" w:eastAsia="黑体" w:hint="eastAsia"/>
                <w:sz w:val="21"/>
              </w:rPr>
            </w:pPr>
            <w:r>
              <w:rPr>
                <w:rFonts w:ascii="黑体" w:eastAsia="黑体" w:hint="eastAsia"/>
                <w:sz w:val="21"/>
              </w:rPr>
              <w:t>被保险人因以下情形之一导致保险事故的，本公司不承担给付保险金的责任：</w:t>
            </w:r>
          </w:p>
          <w:p>
            <w:pPr>
              <w:pStyle w:val="TableParagraph"/>
              <w:numPr>
                <w:ilvl w:val="0"/>
                <w:numId w:val="8"/>
              </w:numPr>
              <w:tabs>
                <w:tab w:pos="832" w:val="left" w:leader="none"/>
              </w:tabs>
              <w:spacing w:line="273" w:lineRule="auto" w:before="163" w:after="0"/>
              <w:ind w:left="831" w:right="101" w:hanging="720"/>
              <w:jc w:val="left"/>
              <w:rPr>
                <w:rFonts w:ascii="黑体" w:eastAsia="黑体" w:hint="eastAsia"/>
                <w:sz w:val="21"/>
              </w:rPr>
            </w:pPr>
            <w:r>
              <w:rPr>
                <w:rFonts w:ascii="黑体" w:eastAsia="黑体" w:hint="eastAsia"/>
                <w:spacing w:val="-6"/>
                <w:sz w:val="21"/>
              </w:rPr>
              <w:t>被保险人自本合同成立之日起 </w:t>
            </w:r>
            <w:r>
              <w:rPr>
                <w:rFonts w:ascii="黑体" w:eastAsia="黑体" w:hint="eastAsia"/>
                <w:sz w:val="21"/>
              </w:rPr>
              <w:t>2</w:t>
            </w:r>
            <w:r>
              <w:rPr>
                <w:rFonts w:ascii="黑体" w:eastAsia="黑体" w:hint="eastAsia"/>
                <w:spacing w:val="-13"/>
                <w:sz w:val="21"/>
              </w:rPr>
              <w:t> 年内自杀</w:t>
            </w:r>
            <w:r>
              <w:rPr>
                <w:rFonts w:ascii="黑体" w:eastAsia="黑体" w:hint="eastAsia"/>
                <w:sz w:val="21"/>
              </w:rPr>
              <w:t>（</w:t>
            </w:r>
            <w:r>
              <w:rPr>
                <w:rFonts w:ascii="黑体" w:eastAsia="黑体" w:hint="eastAsia"/>
                <w:spacing w:val="-3"/>
                <w:sz w:val="21"/>
              </w:rPr>
              <w:t>但被保险人自杀时为</w:t>
            </w:r>
            <w:r>
              <w:rPr>
                <w:rFonts w:ascii="黑体" w:eastAsia="黑体" w:hint="eastAsia"/>
                <w:spacing w:val="-3"/>
                <w:w w:val="100"/>
                <w:sz w:val="21"/>
              </w:rPr>
              <w:t>无民事行为能力人的除外</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8"/>
              </w:numPr>
              <w:tabs>
                <w:tab w:pos="832" w:val="left" w:leader="none"/>
              </w:tabs>
              <w:spacing w:line="240" w:lineRule="auto" w:before="36" w:after="0"/>
              <w:ind w:left="831" w:right="0" w:hanging="7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7.5</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32" w:val="left" w:leader="none"/>
              </w:tabs>
              <w:spacing w:line="273" w:lineRule="auto" w:before="36" w:after="0"/>
              <w:ind w:left="831" w:right="105" w:hanging="720"/>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7"/>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9"/>
                <w:w w:val="100"/>
                <w:sz w:val="21"/>
              </w:rPr>
              <w:t>，</w:t>
            </w:r>
            <w:r>
              <w:rPr>
                <w:rFonts w:ascii="黑体" w:eastAsia="黑体" w:hint="eastAsia"/>
                <w:b/>
                <w:spacing w:val="-4"/>
                <w:w w:val="100"/>
                <w:sz w:val="21"/>
              </w:rPr>
              <w:t>无合法有效驾驶证驾驶</w:t>
            </w:r>
            <w:r>
              <w:rPr>
                <w:rFonts w:ascii="黑体" w:eastAsia="黑体" w:hint="eastAsia"/>
                <w:w w:val="100"/>
                <w:sz w:val="21"/>
              </w:rPr>
              <w:t>（见释</w:t>
            </w:r>
            <w:r>
              <w:rPr>
                <w:rFonts w:ascii="黑体" w:eastAsia="黑体" w:hint="eastAsia"/>
                <w:spacing w:val="-22"/>
                <w:sz w:val="21"/>
              </w:rPr>
              <w:t>义 </w:t>
            </w:r>
            <w:r>
              <w:rPr>
                <w:rFonts w:ascii="黑体" w:eastAsia="黑体" w:hint="eastAsia"/>
                <w:sz w:val="21"/>
              </w:rPr>
              <w:t>7.7）</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13"/>
                <w:sz w:val="21"/>
              </w:rPr>
              <w:t>见释义 </w:t>
            </w:r>
            <w:r>
              <w:rPr>
                <w:rFonts w:ascii="黑体" w:eastAsia="黑体" w:hint="eastAsia"/>
                <w:sz w:val="21"/>
              </w:rPr>
              <w:t>7.8）</w:t>
            </w:r>
            <w:r>
              <w:rPr>
                <w:rFonts w:ascii="黑体" w:eastAsia="黑体" w:hint="eastAsia"/>
                <w:spacing w:val="-2"/>
                <w:sz w:val="21"/>
              </w:rPr>
              <w:t>的机动车；</w:t>
            </w:r>
          </w:p>
          <w:p>
            <w:pPr>
              <w:pStyle w:val="TableParagraph"/>
              <w:numPr>
                <w:ilvl w:val="0"/>
                <w:numId w:val="8"/>
              </w:numPr>
              <w:tabs>
                <w:tab w:pos="832" w:val="left" w:leader="none"/>
              </w:tabs>
              <w:spacing w:line="240" w:lineRule="auto" w:before="7" w:after="0"/>
              <w:ind w:left="831"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8"/>
              </w:numPr>
              <w:tabs>
                <w:tab w:pos="832" w:val="left" w:leader="none"/>
              </w:tabs>
              <w:spacing w:line="240" w:lineRule="auto" w:before="37" w:after="0"/>
              <w:ind w:left="831"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8"/>
              </w:numPr>
              <w:tabs>
                <w:tab w:pos="832" w:val="left" w:leader="none"/>
              </w:tabs>
              <w:spacing w:line="273" w:lineRule="auto" w:before="37" w:after="0"/>
              <w:ind w:left="831" w:right="101" w:hanging="720"/>
              <w:jc w:val="left"/>
              <w:rPr>
                <w:rFonts w:ascii="黑体" w:eastAsia="黑体" w:hint="eastAsia"/>
                <w:sz w:val="21"/>
              </w:rPr>
            </w:pPr>
            <w:r>
              <w:rPr>
                <w:rFonts w:ascii="黑体" w:eastAsia="黑体" w:hint="eastAsia"/>
                <w:spacing w:val="-5"/>
                <w:sz w:val="21"/>
              </w:rPr>
              <w:t>被保险人故意自伤，但被保险人自伤时为无民事行为能力人的除外。</w:t>
            </w:r>
          </w:p>
          <w:p>
            <w:pPr>
              <w:pStyle w:val="TableParagraph"/>
              <w:numPr>
                <w:ilvl w:val="0"/>
                <w:numId w:val="8"/>
              </w:numPr>
              <w:tabs>
                <w:tab w:pos="832" w:val="left" w:leader="none"/>
              </w:tabs>
              <w:spacing w:line="255" w:lineRule="exact" w:before="7" w:after="0"/>
              <w:ind w:left="831" w:right="0" w:hanging="720"/>
              <w:jc w:val="left"/>
              <w:rPr>
                <w:rFonts w:ascii="黑体" w:eastAsia="黑体" w:hint="eastAsia"/>
                <w:sz w:val="21"/>
              </w:rPr>
            </w:pP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spacing w:val="-3"/>
                <w:w w:val="100"/>
                <w:sz w:val="21"/>
              </w:rPr>
              <w:t>7</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22"/>
                <w:w w:val="100"/>
                <w:sz w:val="21"/>
              </w:rPr>
              <w:t>，</w:t>
            </w:r>
            <w:r>
              <w:rPr>
                <w:rFonts w:ascii="黑体" w:eastAsia="黑体" w:hint="eastAsia"/>
                <w:b/>
                <w:spacing w:val="-6"/>
                <w:w w:val="100"/>
                <w:sz w:val="21"/>
              </w:rPr>
              <w:t>先天性畸形、变形或染色体异常</w:t>
            </w:r>
            <w:r>
              <w:rPr>
                <w:rFonts w:ascii="黑体" w:eastAsia="黑体" w:hint="eastAsia"/>
                <w:spacing w:val="-3"/>
                <w:w w:val="100"/>
                <w:sz w:val="21"/>
              </w:rPr>
              <w:t>（见</w:t>
            </w:r>
          </w:p>
        </w:tc>
      </w:tr>
    </w:tbl>
    <w:p>
      <w:pPr>
        <w:spacing w:after="0" w:line="255" w:lineRule="exact"/>
        <w:jc w:val="left"/>
        <w:rPr>
          <w:rFonts w:ascii="黑体" w:eastAsia="黑体" w:hint="eastAsia"/>
          <w:sz w:val="21"/>
        </w:rPr>
        <w:sectPr>
          <w:pgSz w:w="11910" w:h="16840"/>
          <w:pgMar w:header="0" w:footer="912" w:top="140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837"/>
        <w:gridCol w:w="6807"/>
      </w:tblGrid>
      <w:tr>
        <w:trPr>
          <w:trHeight w:val="2938" w:hRule="atLeast"/>
        </w:trPr>
        <w:tc>
          <w:tcPr>
            <w:tcW w:w="713" w:type="dxa"/>
          </w:tcPr>
          <w:p>
            <w:pPr>
              <w:pStyle w:val="TableParagraph"/>
              <w:spacing w:before="0"/>
              <w:ind w:left="0"/>
              <w:rPr>
                <w:rFonts w:ascii="Times New Roman"/>
                <w:sz w:val="20"/>
              </w:rPr>
            </w:pPr>
          </w:p>
        </w:tc>
        <w:tc>
          <w:tcPr>
            <w:tcW w:w="1837" w:type="dxa"/>
          </w:tcPr>
          <w:p>
            <w:pPr>
              <w:pStyle w:val="TableParagraph"/>
              <w:spacing w:before="0"/>
              <w:ind w:left="0"/>
              <w:rPr>
                <w:rFonts w:ascii="Times New Roman"/>
                <w:sz w:val="20"/>
              </w:rPr>
            </w:pPr>
          </w:p>
        </w:tc>
        <w:tc>
          <w:tcPr>
            <w:tcW w:w="6807" w:type="dxa"/>
          </w:tcPr>
          <w:p>
            <w:pPr>
              <w:pStyle w:val="TableParagraph"/>
              <w:spacing w:line="202" w:lineRule="exact" w:before="0"/>
              <w:ind w:left="832"/>
              <w:rPr>
                <w:rFonts w:ascii="黑体" w:eastAsia="黑体" w:hint="eastAsia"/>
                <w:sz w:val="21"/>
              </w:rPr>
            </w:pP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ind w:right="175" w:firstLine="314"/>
              <w:rPr>
                <w:rFonts w:ascii="黑体" w:eastAsia="黑体" w:hint="eastAsia"/>
                <w:sz w:val="21"/>
              </w:rPr>
            </w:pPr>
            <w:r>
              <w:rPr>
                <w:rFonts w:ascii="黑体" w:eastAsia="黑体" w:hint="eastAsia"/>
                <w:sz w:val="21"/>
              </w:rPr>
              <w:t>发Th</w:t>
            </w:r>
            <w:r>
              <w:rPr>
                <w:rFonts w:ascii="黑体" w:eastAsia="黑体" w:hint="eastAsia"/>
                <w:spacing w:val="-13"/>
                <w:sz w:val="21"/>
              </w:rPr>
              <w:t>上述第 </w:t>
            </w:r>
            <w:r>
              <w:rPr>
                <w:rFonts w:ascii="黑体" w:eastAsia="黑体" w:hint="eastAsia"/>
                <w:sz w:val="21"/>
              </w:rPr>
              <w:t>2</w:t>
            </w:r>
            <w:r>
              <w:rPr>
                <w:rFonts w:ascii="黑体" w:eastAsia="黑体" w:hint="eastAsia"/>
                <w:spacing w:val="-8"/>
                <w:sz w:val="21"/>
              </w:rPr>
              <w:t> 项情形导致被保险人身故或患本合同所定义的重大疾</w:t>
            </w:r>
            <w:r>
              <w:rPr>
                <w:rFonts w:ascii="黑体" w:eastAsia="黑体" w:hint="eastAsia"/>
                <w:spacing w:val="-5"/>
                <w:sz w:val="21"/>
              </w:rPr>
              <w:t>病，本公司对该被保险人的保险责任终止，本公司向其他权利人退还该</w:t>
            </w:r>
            <w:r>
              <w:rPr>
                <w:rFonts w:ascii="黑体" w:eastAsia="黑体" w:hint="eastAsia"/>
                <w:spacing w:val="-4"/>
                <w:sz w:val="21"/>
              </w:rPr>
              <w:t>被保险人对应的现金价值。</w:t>
            </w:r>
          </w:p>
          <w:p>
            <w:pPr>
              <w:pStyle w:val="TableParagraph"/>
              <w:spacing w:line="273" w:lineRule="auto" w:before="7"/>
              <w:ind w:right="-15" w:firstLine="314"/>
              <w:rPr>
                <w:rFonts w:ascii="黑体" w:eastAsia="黑体" w:hint="eastAsia"/>
                <w:sz w:val="21"/>
              </w:rPr>
            </w:pPr>
            <w:r>
              <w:rPr>
                <w:rFonts w:ascii="黑体" w:eastAsia="黑体" w:hint="eastAsia"/>
                <w:sz w:val="21"/>
              </w:rPr>
              <w:t>发Th</w:t>
            </w:r>
            <w:r>
              <w:rPr>
                <w:rFonts w:ascii="黑体" w:eastAsia="黑体" w:hint="eastAsia"/>
                <w:spacing w:val="-13"/>
                <w:sz w:val="21"/>
              </w:rPr>
              <w:t>上述第 </w:t>
            </w:r>
            <w:r>
              <w:rPr>
                <w:rFonts w:ascii="黑体" w:eastAsia="黑体" w:hint="eastAsia"/>
                <w:sz w:val="21"/>
              </w:rPr>
              <w:t>1</w:t>
            </w:r>
            <w:r>
              <w:rPr>
                <w:rFonts w:ascii="黑体" w:eastAsia="黑体" w:hint="eastAsia"/>
                <w:spacing w:val="-16"/>
                <w:sz w:val="21"/>
              </w:rPr>
              <w:t> 项、</w:t>
            </w:r>
            <w:r>
              <w:rPr>
                <w:rFonts w:ascii="黑体" w:eastAsia="黑体" w:hint="eastAsia"/>
                <w:sz w:val="21"/>
              </w:rPr>
              <w:t>3</w:t>
            </w:r>
            <w:r>
              <w:rPr>
                <w:rFonts w:ascii="黑体" w:eastAsia="黑体" w:hint="eastAsia"/>
                <w:spacing w:val="-30"/>
                <w:sz w:val="21"/>
              </w:rPr>
              <w:t> 至 </w:t>
            </w:r>
            <w:r>
              <w:rPr>
                <w:rFonts w:ascii="黑体" w:eastAsia="黑体" w:hint="eastAsia"/>
                <w:sz w:val="21"/>
              </w:rPr>
              <w:t>7</w:t>
            </w:r>
            <w:r>
              <w:rPr>
                <w:rFonts w:ascii="黑体" w:eastAsia="黑体" w:hint="eastAsia"/>
                <w:spacing w:val="-8"/>
                <w:sz w:val="21"/>
              </w:rPr>
              <w:t> 项情形导致被保险人身故，本公司对该被保险人的保险责任终止，本公司向投保人退还该被保险人对应的现金价值。</w:t>
            </w:r>
          </w:p>
          <w:p>
            <w:pPr>
              <w:pStyle w:val="TableParagraph"/>
              <w:spacing w:line="273" w:lineRule="auto" w:before="7"/>
              <w:ind w:right="175" w:firstLine="314"/>
              <w:jc w:val="both"/>
              <w:rPr>
                <w:rFonts w:ascii="黑体" w:eastAsia="黑体" w:hint="eastAsia"/>
                <w:sz w:val="21"/>
              </w:rPr>
            </w:pPr>
            <w:r>
              <w:rPr>
                <w:rFonts w:ascii="黑体" w:eastAsia="黑体" w:hint="eastAsia"/>
                <w:sz w:val="21"/>
              </w:rPr>
              <w:t>发Th</w:t>
            </w:r>
            <w:r>
              <w:rPr>
                <w:rFonts w:ascii="黑体" w:eastAsia="黑体" w:hint="eastAsia"/>
                <w:spacing w:val="-13"/>
                <w:sz w:val="21"/>
              </w:rPr>
              <w:t>上述第 </w:t>
            </w:r>
            <w:r>
              <w:rPr>
                <w:rFonts w:ascii="黑体" w:eastAsia="黑体" w:hint="eastAsia"/>
                <w:sz w:val="21"/>
              </w:rPr>
              <w:t>3</w:t>
            </w:r>
            <w:r>
              <w:rPr>
                <w:rFonts w:ascii="黑体" w:eastAsia="黑体" w:hint="eastAsia"/>
                <w:spacing w:val="-31"/>
                <w:sz w:val="21"/>
              </w:rPr>
              <w:t> 至 </w:t>
            </w:r>
            <w:r>
              <w:rPr>
                <w:rFonts w:ascii="黑体" w:eastAsia="黑体" w:hint="eastAsia"/>
                <w:sz w:val="21"/>
              </w:rPr>
              <w:t>13</w:t>
            </w:r>
            <w:r>
              <w:rPr>
                <w:rFonts w:ascii="黑体" w:eastAsia="黑体" w:hint="eastAsia"/>
                <w:spacing w:val="-8"/>
                <w:sz w:val="21"/>
              </w:rPr>
              <w:t> 项情形，导致被保险人患本合同所定义的重大疾</w:t>
            </w:r>
            <w:r>
              <w:rPr>
                <w:rFonts w:ascii="黑体" w:eastAsia="黑体" w:hint="eastAsia"/>
                <w:spacing w:val="-5"/>
                <w:sz w:val="21"/>
              </w:rPr>
              <w:t>病，本公司对该被保险人的保险责任终止，本公司向投保人退还该被保</w:t>
            </w:r>
            <w:r>
              <w:rPr>
                <w:rFonts w:ascii="黑体" w:eastAsia="黑体" w:hint="eastAsia"/>
                <w:spacing w:val="-4"/>
                <w:sz w:val="21"/>
              </w:rPr>
              <w:t>险人对应的现金价值。</w:t>
            </w:r>
          </w:p>
        </w:tc>
      </w:tr>
      <w:tr>
        <w:trPr>
          <w:trHeight w:val="754" w:hRule="atLeast"/>
        </w:trPr>
        <w:tc>
          <w:tcPr>
            <w:tcW w:w="713" w:type="dxa"/>
            <w:tcBorders>
              <w:bottom w:val="single" w:sz="8" w:space="0" w:color="000000"/>
            </w:tcBorders>
          </w:tcPr>
          <w:p>
            <w:pPr>
              <w:pStyle w:val="TableParagraph"/>
              <w:spacing w:before="185"/>
              <w:ind w:left="108"/>
              <w:rPr>
                <w:rFonts w:ascii="Arial" w:hAnsi="Arial"/>
                <w:b/>
                <w:sz w:val="40"/>
              </w:rPr>
            </w:pPr>
            <w:r>
              <w:rPr>
                <w:rFonts w:ascii="Arial" w:hAnsi="Arial"/>
                <w:b/>
                <w:w w:val="119"/>
                <w:sz w:val="40"/>
              </w:rPr>
              <w:t></w:t>
            </w:r>
          </w:p>
        </w:tc>
        <w:tc>
          <w:tcPr>
            <w:tcW w:w="8644" w:type="dxa"/>
            <w:gridSpan w:val="2"/>
            <w:tcBorders>
              <w:bottom w:val="single" w:sz="8" w:space="0" w:color="000000"/>
            </w:tcBorders>
          </w:tcPr>
          <w:p>
            <w:pPr>
              <w:pStyle w:val="TableParagraph"/>
              <w:spacing w:before="1"/>
              <w:ind w:left="0"/>
              <w:rPr>
                <w:sz w:val="18"/>
              </w:rPr>
            </w:pPr>
          </w:p>
          <w:p>
            <w:pPr>
              <w:pStyle w:val="TableParagraph"/>
              <w:spacing w:before="0"/>
              <w:ind w:left="247"/>
              <w:rPr>
                <w:b/>
                <w:sz w:val="24"/>
              </w:rPr>
            </w:pPr>
            <w:r>
              <w:rPr>
                <w:b/>
                <w:w w:val="95"/>
                <w:sz w:val="24"/>
              </w:rPr>
              <w:t>保险费的支付和账户设置</w:t>
            </w:r>
          </w:p>
        </w:tc>
      </w:tr>
      <w:tr>
        <w:trPr>
          <w:trHeight w:val="1001" w:hRule="atLeast"/>
        </w:trPr>
        <w:tc>
          <w:tcPr>
            <w:tcW w:w="713" w:type="dxa"/>
            <w:tcBorders>
              <w:top w:val="single" w:sz="8" w:space="0" w:color="000000"/>
            </w:tcBorders>
          </w:tcPr>
          <w:p>
            <w:pPr>
              <w:pStyle w:val="TableParagraph"/>
              <w:spacing w:before="1"/>
              <w:ind w:left="0"/>
              <w:rPr>
                <w:sz w:val="14"/>
              </w:rPr>
            </w:pPr>
          </w:p>
          <w:p>
            <w:pPr>
              <w:pStyle w:val="TableParagraph"/>
              <w:spacing w:before="1"/>
              <w:ind w:left="108"/>
              <w:rPr>
                <w:b/>
                <w:sz w:val="21"/>
              </w:rPr>
            </w:pPr>
            <w:r>
              <w:rPr>
                <w:b/>
                <w:sz w:val="21"/>
              </w:rPr>
              <w:t>3.1</w:t>
            </w:r>
          </w:p>
        </w:tc>
        <w:tc>
          <w:tcPr>
            <w:tcW w:w="1837" w:type="dxa"/>
            <w:tcBorders>
              <w:top w:val="single" w:sz="8" w:space="0" w:color="000000"/>
            </w:tcBorders>
          </w:tcPr>
          <w:p>
            <w:pPr>
              <w:pStyle w:val="TableParagraph"/>
              <w:spacing w:before="1"/>
              <w:ind w:left="0"/>
              <w:rPr>
                <w:sz w:val="14"/>
              </w:rPr>
            </w:pPr>
          </w:p>
          <w:p>
            <w:pPr>
              <w:pStyle w:val="TableParagraph"/>
              <w:spacing w:before="1"/>
              <w:ind w:left="247"/>
              <w:rPr>
                <w:b/>
                <w:sz w:val="21"/>
              </w:rPr>
            </w:pPr>
            <w:r>
              <w:rPr>
                <w:b/>
                <w:sz w:val="21"/>
              </w:rPr>
              <w:t>保险费的支付</w:t>
            </w:r>
          </w:p>
        </w:tc>
        <w:tc>
          <w:tcPr>
            <w:tcW w:w="6807" w:type="dxa"/>
            <w:tcBorders>
              <w:top w:val="single" w:sz="8" w:space="0" w:color="000000"/>
            </w:tcBorders>
          </w:tcPr>
          <w:p>
            <w:pPr>
              <w:pStyle w:val="TableParagraph"/>
              <w:spacing w:before="1"/>
              <w:ind w:left="0"/>
              <w:rPr>
                <w:sz w:val="14"/>
              </w:rPr>
            </w:pPr>
          </w:p>
          <w:p>
            <w:pPr>
              <w:pStyle w:val="TableParagraph"/>
              <w:spacing w:line="273" w:lineRule="auto" w:before="1"/>
              <w:ind w:right="101"/>
              <w:rPr>
                <w:sz w:val="21"/>
              </w:rPr>
            </w:pPr>
            <w:r>
              <w:rPr>
                <w:sz w:val="21"/>
              </w:rPr>
              <w:t>投保人可定期或不定期、定额或不定额地为被保险人支付保险费，交费额度不低于本公司规定限额。</w:t>
            </w:r>
          </w:p>
        </w:tc>
      </w:tr>
      <w:tr>
        <w:trPr>
          <w:trHeight w:val="1262" w:hRule="atLeast"/>
        </w:trPr>
        <w:tc>
          <w:tcPr>
            <w:tcW w:w="713" w:type="dxa"/>
          </w:tcPr>
          <w:p>
            <w:pPr>
              <w:pStyle w:val="TableParagraph"/>
              <w:spacing w:before="148"/>
              <w:ind w:left="108"/>
              <w:rPr>
                <w:b/>
                <w:sz w:val="21"/>
              </w:rPr>
            </w:pPr>
            <w:r>
              <w:rPr>
                <w:b/>
                <w:sz w:val="21"/>
              </w:rPr>
              <w:t>3.2</w:t>
            </w:r>
          </w:p>
        </w:tc>
        <w:tc>
          <w:tcPr>
            <w:tcW w:w="1837" w:type="dxa"/>
          </w:tcPr>
          <w:p>
            <w:pPr>
              <w:pStyle w:val="TableParagraph"/>
              <w:spacing w:before="148"/>
              <w:ind w:left="247"/>
              <w:rPr>
                <w:b/>
                <w:sz w:val="21"/>
              </w:rPr>
            </w:pPr>
            <w:r>
              <w:rPr>
                <w:b/>
                <w:sz w:val="21"/>
              </w:rPr>
              <w:t>账户设置</w:t>
            </w:r>
          </w:p>
        </w:tc>
        <w:tc>
          <w:tcPr>
            <w:tcW w:w="6807" w:type="dxa"/>
          </w:tcPr>
          <w:p>
            <w:pPr>
              <w:pStyle w:val="TableParagraph"/>
              <w:spacing w:before="148"/>
              <w:rPr>
                <w:sz w:val="21"/>
              </w:rPr>
            </w:pPr>
            <w:r>
              <w:rPr>
                <w:sz w:val="21"/>
              </w:rPr>
              <w:t>本公司为每一位被保险人设立个人账户。</w:t>
            </w:r>
          </w:p>
          <w:p>
            <w:pPr>
              <w:pStyle w:val="TableParagraph"/>
              <w:spacing w:line="273" w:lineRule="auto"/>
              <w:ind w:right="102"/>
              <w:rPr>
                <w:sz w:val="21"/>
              </w:rPr>
            </w:pPr>
            <w:r>
              <w:rPr>
                <w:sz w:val="21"/>
              </w:rPr>
              <w:t>本公司可根据投保人的要求设立团体账户，用以管理贵单位已支付但尚未分配至被保险人个人账户的交费金额。</w:t>
            </w:r>
          </w:p>
        </w:tc>
      </w:tr>
      <w:tr>
        <w:trPr>
          <w:trHeight w:val="969" w:hRule="atLeast"/>
        </w:trPr>
        <w:tc>
          <w:tcPr>
            <w:tcW w:w="713" w:type="dxa"/>
          </w:tcPr>
          <w:p>
            <w:pPr>
              <w:pStyle w:val="TableParagraph"/>
              <w:spacing w:before="134"/>
              <w:ind w:left="108"/>
              <w:rPr>
                <w:b/>
                <w:sz w:val="21"/>
              </w:rPr>
            </w:pPr>
            <w:r>
              <w:rPr>
                <w:b/>
                <w:sz w:val="21"/>
              </w:rPr>
              <w:t>3.3</w:t>
            </w:r>
          </w:p>
        </w:tc>
        <w:tc>
          <w:tcPr>
            <w:tcW w:w="1837" w:type="dxa"/>
          </w:tcPr>
          <w:p>
            <w:pPr>
              <w:pStyle w:val="TableParagraph"/>
              <w:spacing w:before="134"/>
              <w:ind w:left="247"/>
              <w:rPr>
                <w:b/>
                <w:sz w:val="21"/>
              </w:rPr>
            </w:pPr>
            <w:r>
              <w:rPr>
                <w:b/>
                <w:sz w:val="21"/>
              </w:rPr>
              <w:t>账户价值的累积</w:t>
            </w:r>
          </w:p>
        </w:tc>
        <w:tc>
          <w:tcPr>
            <w:tcW w:w="6807" w:type="dxa"/>
          </w:tcPr>
          <w:p>
            <w:pPr>
              <w:pStyle w:val="TableParagraph"/>
              <w:spacing w:before="134"/>
              <w:rPr>
                <w:sz w:val="21"/>
              </w:rPr>
            </w:pPr>
            <w:r>
              <w:rPr>
                <w:sz w:val="21"/>
              </w:rPr>
              <w:t>个人账户价值和团体账户价值依据本合同规定</w:t>
            </w:r>
            <w:r>
              <w:rPr>
                <w:b/>
                <w:sz w:val="21"/>
              </w:rPr>
              <w:t>账户累积利率</w:t>
            </w:r>
            <w:r>
              <w:rPr>
                <w:sz w:val="21"/>
              </w:rPr>
              <w:t>（见释义</w:t>
            </w:r>
          </w:p>
          <w:p>
            <w:pPr>
              <w:pStyle w:val="TableParagraph"/>
              <w:rPr>
                <w:sz w:val="21"/>
              </w:rPr>
            </w:pPr>
            <w:r>
              <w:rPr>
                <w:rFonts w:ascii="Times New Roman" w:eastAsia="Times New Roman"/>
                <w:sz w:val="21"/>
              </w:rPr>
              <w:t>7.11</w:t>
            </w:r>
            <w:r>
              <w:rPr>
                <w:sz w:val="21"/>
              </w:rPr>
              <w:t>）按经过天数以复利累积。</w:t>
            </w:r>
          </w:p>
        </w:tc>
      </w:tr>
      <w:tr>
        <w:trPr>
          <w:trHeight w:val="745" w:hRule="atLeast"/>
        </w:trPr>
        <w:tc>
          <w:tcPr>
            <w:tcW w:w="713" w:type="dxa"/>
            <w:tcBorders>
              <w:bottom w:val="single" w:sz="8" w:space="0" w:color="000000"/>
            </w:tcBorders>
          </w:tcPr>
          <w:p>
            <w:pPr>
              <w:pStyle w:val="TableParagraph"/>
              <w:spacing w:before="177"/>
              <w:ind w:left="108"/>
              <w:rPr>
                <w:rFonts w:ascii="Arial" w:hAnsi="Arial"/>
                <w:b/>
                <w:sz w:val="40"/>
              </w:rPr>
            </w:pPr>
            <w:r>
              <w:rPr>
                <w:rFonts w:ascii="Arial" w:hAnsi="Arial"/>
                <w:b/>
                <w:w w:val="119"/>
                <w:sz w:val="40"/>
              </w:rPr>
              <w:t></w:t>
            </w:r>
          </w:p>
        </w:tc>
        <w:tc>
          <w:tcPr>
            <w:tcW w:w="8644" w:type="dxa"/>
            <w:gridSpan w:val="2"/>
            <w:tcBorders>
              <w:bottom w:val="single" w:sz="8" w:space="0" w:color="000000"/>
            </w:tcBorders>
          </w:tcPr>
          <w:p>
            <w:pPr>
              <w:pStyle w:val="TableParagraph"/>
              <w:spacing w:before="6"/>
              <w:ind w:left="0"/>
              <w:rPr>
                <w:sz w:val="17"/>
              </w:rPr>
            </w:pPr>
          </w:p>
          <w:p>
            <w:pPr>
              <w:pStyle w:val="TableParagraph"/>
              <w:spacing w:before="1"/>
              <w:ind w:left="247"/>
              <w:rPr>
                <w:b/>
                <w:sz w:val="24"/>
              </w:rPr>
            </w:pPr>
            <w:r>
              <w:rPr>
                <w:b/>
                <w:w w:val="95"/>
                <w:sz w:val="24"/>
              </w:rPr>
              <w:t>管理费和风险保险费</w:t>
            </w:r>
          </w:p>
        </w:tc>
      </w:tr>
      <w:tr>
        <w:trPr>
          <w:trHeight w:val="997" w:hRule="atLeast"/>
        </w:trPr>
        <w:tc>
          <w:tcPr>
            <w:tcW w:w="713" w:type="dxa"/>
            <w:tcBorders>
              <w:top w:val="single" w:sz="8" w:space="0" w:color="000000"/>
            </w:tcBorders>
          </w:tcPr>
          <w:p>
            <w:pPr>
              <w:pStyle w:val="TableParagraph"/>
              <w:spacing w:before="4"/>
              <w:ind w:left="0"/>
              <w:rPr>
                <w:sz w:val="14"/>
              </w:rPr>
            </w:pPr>
          </w:p>
          <w:p>
            <w:pPr>
              <w:pStyle w:val="TableParagraph"/>
              <w:spacing w:before="0"/>
              <w:ind w:left="108"/>
              <w:rPr>
                <w:b/>
                <w:sz w:val="21"/>
              </w:rPr>
            </w:pPr>
            <w:r>
              <w:rPr>
                <w:b/>
                <w:sz w:val="21"/>
              </w:rPr>
              <w:t>4.1</w:t>
            </w:r>
          </w:p>
        </w:tc>
        <w:tc>
          <w:tcPr>
            <w:tcW w:w="1837" w:type="dxa"/>
            <w:tcBorders>
              <w:top w:val="single" w:sz="8" w:space="0" w:color="000000"/>
            </w:tcBorders>
          </w:tcPr>
          <w:p>
            <w:pPr>
              <w:pStyle w:val="TableParagraph"/>
              <w:spacing w:before="4"/>
              <w:ind w:left="0"/>
              <w:rPr>
                <w:sz w:val="14"/>
              </w:rPr>
            </w:pPr>
          </w:p>
          <w:p>
            <w:pPr>
              <w:pStyle w:val="TableParagraph"/>
              <w:spacing w:before="0"/>
              <w:ind w:left="247"/>
              <w:rPr>
                <w:b/>
                <w:sz w:val="21"/>
              </w:rPr>
            </w:pPr>
            <w:r>
              <w:rPr>
                <w:b/>
                <w:sz w:val="21"/>
              </w:rPr>
              <w:t>管理费</w:t>
            </w:r>
          </w:p>
        </w:tc>
        <w:tc>
          <w:tcPr>
            <w:tcW w:w="6807" w:type="dxa"/>
            <w:tcBorders>
              <w:top w:val="single" w:sz="8" w:space="0" w:color="000000"/>
            </w:tcBorders>
          </w:tcPr>
          <w:p>
            <w:pPr>
              <w:pStyle w:val="TableParagraph"/>
              <w:spacing w:before="4"/>
              <w:ind w:left="0"/>
              <w:rPr>
                <w:sz w:val="14"/>
              </w:rPr>
            </w:pPr>
          </w:p>
          <w:p>
            <w:pPr>
              <w:pStyle w:val="TableParagraph"/>
              <w:spacing w:before="0"/>
              <w:rPr>
                <w:sz w:val="21"/>
              </w:rPr>
            </w:pPr>
            <w:r>
              <w:rPr>
                <w:sz w:val="21"/>
              </w:rPr>
              <w:t>自本合同生效日起，本公司将投保人所支付的每笔保险费在扣除不高于</w:t>
            </w:r>
          </w:p>
          <w:p>
            <w:pPr>
              <w:pStyle w:val="TableParagraph"/>
              <w:rPr>
                <w:sz w:val="21"/>
              </w:rPr>
            </w:pPr>
            <w:r>
              <w:rPr>
                <w:rFonts w:ascii="Times New Roman" w:eastAsia="Times New Roman"/>
                <w:sz w:val="21"/>
              </w:rPr>
              <w:t>10</w:t>
            </w:r>
            <w:r>
              <w:rPr>
                <w:sz w:val="21"/>
              </w:rPr>
              <w:t>％的管理费后分别记入被保险人个人账户或团体账户。</w:t>
            </w:r>
          </w:p>
        </w:tc>
      </w:tr>
      <w:tr>
        <w:trPr>
          <w:trHeight w:val="2176" w:hRule="atLeast"/>
        </w:trPr>
        <w:tc>
          <w:tcPr>
            <w:tcW w:w="713" w:type="dxa"/>
          </w:tcPr>
          <w:p>
            <w:pPr>
              <w:pStyle w:val="TableParagraph"/>
              <w:spacing w:before="126"/>
              <w:ind w:left="108"/>
              <w:rPr>
                <w:b/>
                <w:sz w:val="21"/>
              </w:rPr>
            </w:pPr>
            <w:r>
              <w:rPr>
                <w:b/>
                <w:sz w:val="21"/>
              </w:rPr>
              <w:t>4.2</w:t>
            </w:r>
          </w:p>
        </w:tc>
        <w:tc>
          <w:tcPr>
            <w:tcW w:w="1837" w:type="dxa"/>
          </w:tcPr>
          <w:p>
            <w:pPr>
              <w:pStyle w:val="TableParagraph"/>
              <w:spacing w:before="126"/>
              <w:ind w:left="247"/>
              <w:rPr>
                <w:b/>
                <w:sz w:val="21"/>
              </w:rPr>
            </w:pPr>
            <w:r>
              <w:rPr>
                <w:b/>
                <w:sz w:val="21"/>
              </w:rPr>
              <w:t>风险保险费</w:t>
            </w:r>
          </w:p>
        </w:tc>
        <w:tc>
          <w:tcPr>
            <w:tcW w:w="6807" w:type="dxa"/>
          </w:tcPr>
          <w:p>
            <w:pPr>
              <w:pStyle w:val="TableParagraph"/>
              <w:spacing w:line="273" w:lineRule="auto" w:before="126"/>
              <w:ind w:right="175"/>
              <w:jc w:val="both"/>
              <w:rPr>
                <w:sz w:val="21"/>
              </w:rPr>
            </w:pPr>
            <w:r>
              <w:rPr>
                <w:sz w:val="21"/>
              </w:rPr>
              <w:t>本公司对本合同为被保险人承担的重大疾病保险责任和身故保险责任收取相应的风险保险费。在每个保单年度初以及每次支付保险费时，本公司将从被保险人的个人账户中按照当时至保单年度末对应的实际天数扣取相应的风险保险费。风险保险费的数额根据被保险人当时的年龄和扣费当时个人账户价值金额确定。每日的风险保险费为年风险保险费的三百六十五分之一。</w:t>
            </w:r>
          </w:p>
        </w:tc>
      </w:tr>
      <w:tr>
        <w:trPr>
          <w:trHeight w:val="2913" w:hRule="atLeast"/>
        </w:trPr>
        <w:tc>
          <w:tcPr>
            <w:tcW w:w="713" w:type="dxa"/>
          </w:tcPr>
          <w:p>
            <w:pPr>
              <w:pStyle w:val="TableParagraph"/>
              <w:spacing w:before="134"/>
              <w:ind w:left="108"/>
              <w:rPr>
                <w:b/>
                <w:sz w:val="21"/>
              </w:rPr>
            </w:pPr>
            <w:r>
              <w:rPr>
                <w:b/>
                <w:sz w:val="21"/>
              </w:rPr>
              <w:t>4.3</w:t>
            </w:r>
          </w:p>
        </w:tc>
        <w:tc>
          <w:tcPr>
            <w:tcW w:w="1837" w:type="dxa"/>
          </w:tcPr>
          <w:p>
            <w:pPr>
              <w:pStyle w:val="TableParagraph"/>
              <w:spacing w:line="273" w:lineRule="auto" w:before="134"/>
              <w:ind w:left="247" w:right="109"/>
              <w:rPr>
                <w:b/>
                <w:sz w:val="21"/>
              </w:rPr>
            </w:pPr>
            <w:r>
              <w:rPr>
                <w:b/>
                <w:sz w:val="21"/>
              </w:rPr>
              <w:t>风险保险费率调整</w:t>
            </w:r>
          </w:p>
        </w:tc>
        <w:tc>
          <w:tcPr>
            <w:tcW w:w="6807" w:type="dxa"/>
          </w:tcPr>
          <w:p>
            <w:pPr>
              <w:pStyle w:val="TableParagraph"/>
              <w:spacing w:line="273" w:lineRule="auto" w:before="134"/>
              <w:ind w:right="101"/>
              <w:rPr>
                <w:sz w:val="21"/>
              </w:rPr>
            </w:pPr>
            <w:r>
              <w:rPr>
                <w:sz w:val="21"/>
              </w:rPr>
              <w:t>因为确定本合同风险保险费率所使用的重大疾病发生率等定价基础将可能在未来发生变化，因此本公司保留对风险保险费率进行调整的权利。假若需要进行风险保险费率调整，本公司将在开始调整费率六个月前向中国保险监督管理委员会上报费率调整方案。调整方案获批后，本公司会向投保人发放客户通知书，告知投保人开始执行新费率标准的时间、方式以及调整费率的原因。为保持公平性，风险保险费率的调整将针对所有被保险人或同一投保年龄的所有被保险人。</w:t>
            </w:r>
          </w:p>
          <w:p>
            <w:pPr>
              <w:pStyle w:val="TableParagraph"/>
              <w:spacing w:line="312" w:lineRule="exact" w:before="3"/>
              <w:ind w:right="103"/>
              <w:rPr>
                <w:sz w:val="21"/>
              </w:rPr>
            </w:pPr>
            <w:r>
              <w:rPr>
                <w:sz w:val="21"/>
              </w:rPr>
              <w:t>本公司进行风险保险费率调整后，本公司将按调整后的风险保险费率扣取风险保险费。</w:t>
            </w:r>
          </w:p>
        </w:tc>
      </w:tr>
    </w:tbl>
    <w:p>
      <w:pPr>
        <w:spacing w:after="0" w:line="312" w:lineRule="exact"/>
        <w:rPr>
          <w:sz w:val="21"/>
        </w:rPr>
        <w:sectPr>
          <w:pgSz w:w="11910" w:h="16840"/>
          <w:pgMar w:header="0" w:footer="912" w:top="1460" w:bottom="1100" w:left="1080" w:right="1240"/>
        </w:sectPr>
      </w:pPr>
    </w:p>
    <w:p>
      <w:pPr>
        <w:pStyle w:val="BodyText"/>
        <w:spacing w:before="3"/>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837"/>
        <w:gridCol w:w="6806"/>
      </w:tblGrid>
      <w:tr>
        <w:trPr>
          <w:trHeight w:val="522" w:hRule="atLeast"/>
        </w:trPr>
        <w:tc>
          <w:tcPr>
            <w:tcW w:w="713"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643" w:type="dxa"/>
            <w:gridSpan w:val="2"/>
            <w:tcBorders>
              <w:bottom w:val="single" w:sz="8" w:space="0" w:color="000000"/>
            </w:tcBorders>
          </w:tcPr>
          <w:p>
            <w:pPr>
              <w:pStyle w:val="TableParagraph"/>
              <w:spacing w:before="14"/>
              <w:ind w:left="247"/>
              <w:rPr>
                <w:b/>
                <w:sz w:val="24"/>
              </w:rPr>
            </w:pPr>
            <w:r>
              <w:rPr>
                <w:b/>
                <w:w w:val="95"/>
                <w:sz w:val="24"/>
              </w:rPr>
              <w:t>如何申请领取保险金</w:t>
            </w:r>
          </w:p>
        </w:tc>
      </w:tr>
      <w:tr>
        <w:trPr>
          <w:trHeight w:val="7534" w:hRule="atLeast"/>
        </w:trPr>
        <w:tc>
          <w:tcPr>
            <w:tcW w:w="713" w:type="dxa"/>
            <w:tcBorders>
              <w:top w:val="single" w:sz="8" w:space="0" w:color="000000"/>
            </w:tcBorders>
          </w:tcPr>
          <w:p>
            <w:pPr>
              <w:pStyle w:val="TableParagraph"/>
              <w:spacing w:before="9"/>
              <w:ind w:left="0"/>
              <w:rPr>
                <w:rFonts w:ascii="Times New Roman"/>
                <w:sz w:val="16"/>
              </w:rPr>
            </w:pPr>
          </w:p>
          <w:p>
            <w:pPr>
              <w:pStyle w:val="TableParagraph"/>
              <w:spacing w:before="0"/>
              <w:ind w:left="108"/>
              <w:rPr>
                <w:b/>
                <w:sz w:val="21"/>
              </w:rPr>
            </w:pPr>
            <w:r>
              <w:rPr>
                <w:b/>
                <w:sz w:val="21"/>
              </w:rPr>
              <w:t>5.1</w:t>
            </w:r>
          </w:p>
        </w:tc>
        <w:tc>
          <w:tcPr>
            <w:tcW w:w="1837" w:type="dxa"/>
            <w:tcBorders>
              <w:top w:val="single" w:sz="8" w:space="0" w:color="000000"/>
            </w:tcBorders>
          </w:tcPr>
          <w:p>
            <w:pPr>
              <w:pStyle w:val="TableParagraph"/>
              <w:spacing w:before="9"/>
              <w:ind w:left="0"/>
              <w:rPr>
                <w:rFonts w:ascii="Times New Roman"/>
                <w:sz w:val="16"/>
              </w:rPr>
            </w:pPr>
          </w:p>
          <w:p>
            <w:pPr>
              <w:pStyle w:val="TableParagraph"/>
              <w:spacing w:before="0"/>
              <w:ind w:left="247"/>
              <w:rPr>
                <w:b/>
                <w:sz w:val="21"/>
              </w:rPr>
            </w:pPr>
            <w:r>
              <w:rPr>
                <w:b/>
                <w:sz w:val="21"/>
              </w:rPr>
              <w:t>保险金受益人</w:t>
            </w:r>
          </w:p>
        </w:tc>
        <w:tc>
          <w:tcPr>
            <w:tcW w:w="6806" w:type="dxa"/>
            <w:tcBorders>
              <w:top w:val="single" w:sz="8" w:space="0" w:color="000000"/>
            </w:tcBorders>
          </w:tcPr>
          <w:p>
            <w:pPr>
              <w:pStyle w:val="TableParagraph"/>
              <w:spacing w:before="193"/>
              <w:rPr>
                <w:sz w:val="21"/>
              </w:rPr>
            </w:pPr>
            <w:r>
              <w:rPr>
                <w:rFonts w:ascii="Times New Roman" w:eastAsia="Times New Roman"/>
                <w:sz w:val="21"/>
              </w:rPr>
              <w:t>1</w:t>
            </w:r>
            <w:r>
              <w:rPr>
                <w:sz w:val="21"/>
              </w:rPr>
              <w:t>、重大疾病保险金受益人</w:t>
            </w:r>
          </w:p>
          <w:p>
            <w:pPr>
              <w:pStyle w:val="TableParagraph"/>
              <w:spacing w:before="20"/>
              <w:rPr>
                <w:sz w:val="21"/>
              </w:rPr>
            </w:pPr>
            <w:r>
              <w:rPr>
                <w:sz w:val="21"/>
              </w:rPr>
              <w:t>除另有约定外，重大疾病保险金的受益人为被保险人本人。</w:t>
            </w:r>
          </w:p>
          <w:p>
            <w:pPr>
              <w:pStyle w:val="TableParagraph"/>
              <w:spacing w:before="36"/>
              <w:rPr>
                <w:sz w:val="21"/>
              </w:rPr>
            </w:pPr>
            <w:r>
              <w:rPr>
                <w:sz w:val="21"/>
              </w:rPr>
              <w:t>2、身故保险金受益人</w:t>
            </w:r>
          </w:p>
          <w:p>
            <w:pPr>
              <w:pStyle w:val="TableParagraph"/>
              <w:spacing w:before="36"/>
              <w:rPr>
                <w:sz w:val="21"/>
              </w:rPr>
            </w:pPr>
            <w:r>
              <w:rPr>
                <w:sz w:val="21"/>
              </w:rPr>
              <w:t>投保人或者被保险人可以指定一人或多人为身故保险金受益人。</w:t>
            </w:r>
          </w:p>
          <w:p>
            <w:pPr>
              <w:pStyle w:val="TableParagraph"/>
              <w:spacing w:line="273" w:lineRule="auto" w:before="36"/>
              <w:ind w:right="106"/>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7"/>
              <w:ind w:right="106"/>
              <w:rPr>
                <w:sz w:val="21"/>
              </w:rPr>
            </w:pPr>
            <w:r>
              <w:rPr>
                <w:sz w:val="21"/>
              </w:rPr>
              <w:t>被保险人为无民事行为能力人或限制民事行为能力人的，可以由其监护人指定受益人。</w:t>
            </w:r>
          </w:p>
          <w:p>
            <w:pPr>
              <w:pStyle w:val="TableParagraph"/>
              <w:spacing w:line="273" w:lineRule="auto" w:before="8"/>
              <w:ind w:right="106"/>
              <w:jc w:val="both"/>
              <w:rPr>
                <w:sz w:val="21"/>
              </w:rPr>
            </w:pPr>
            <w:r>
              <w:rPr>
                <w:sz w:val="21"/>
              </w:rPr>
              <w:t>投保人或者被保险人可以变更身故保险金受益人并书面通知本公司。本公司收到变更身故受益人的书面通知后，将及时在保险单或者其他保险凭证上批注或附贴批单。</w:t>
            </w:r>
          </w:p>
          <w:p>
            <w:pPr>
              <w:pStyle w:val="TableParagraph"/>
              <w:spacing w:line="273" w:lineRule="auto" w:before="7"/>
              <w:ind w:right="106"/>
              <w:rPr>
                <w:sz w:val="21"/>
              </w:rPr>
            </w:pPr>
            <w:r>
              <w:rPr>
                <w:spacing w:val="-3"/>
                <w:sz w:val="21"/>
              </w:rPr>
              <w:t>投保人在指定和变更身故保险金受益人时，必须经过被保险人同意。  投保人为与其有劳动关系的劳动者投保人身保险，不得指定被保险人及其近亲属以外的人为受益人。</w:t>
            </w:r>
          </w:p>
          <w:p>
            <w:pPr>
              <w:pStyle w:val="TableParagraph"/>
              <w:spacing w:line="273" w:lineRule="auto" w:before="7"/>
              <w:ind w:right="106"/>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7"/>
              <w:rPr>
                <w:sz w:val="21"/>
              </w:rPr>
            </w:pPr>
            <w:r>
              <w:rPr>
                <w:sz w:val="21"/>
              </w:rPr>
              <w:t>（1）没有指定受益人，或者受益人指定不明无法确定的；</w:t>
            </w:r>
          </w:p>
          <w:p>
            <w:pPr>
              <w:pStyle w:val="TableParagraph"/>
              <w:spacing w:before="36"/>
              <w:rPr>
                <w:sz w:val="21"/>
              </w:rPr>
            </w:pPr>
            <w:r>
              <w:rPr>
                <w:sz w:val="21"/>
              </w:rPr>
              <w:t>（2）受益人先于被保险人身故，没有其他受益人的；</w:t>
            </w:r>
          </w:p>
          <w:p>
            <w:pPr>
              <w:pStyle w:val="TableParagraph"/>
              <w:spacing w:before="36"/>
              <w:rPr>
                <w:sz w:val="21"/>
              </w:rPr>
            </w:pPr>
            <w:r>
              <w:rPr>
                <w:sz w:val="21"/>
              </w:rPr>
              <w:t>（3）受益人依法丧失受益权或者放弃受益权，没有其他受益人的。</w:t>
            </w:r>
          </w:p>
          <w:p>
            <w:pPr>
              <w:pStyle w:val="TableParagraph"/>
              <w:spacing w:line="273" w:lineRule="auto"/>
              <w:ind w:right="106"/>
              <w:rPr>
                <w:sz w:val="21"/>
              </w:rPr>
            </w:pPr>
            <w:r>
              <w:rPr>
                <w:sz w:val="21"/>
              </w:rPr>
              <w:t>受益人与被保险人在同一事件中身故，且不能确定身故先后顺序的，推定受益人身故在先。</w:t>
            </w:r>
          </w:p>
          <w:p>
            <w:pPr>
              <w:pStyle w:val="TableParagraph"/>
              <w:spacing w:line="273" w:lineRule="auto" w:before="8"/>
              <w:ind w:right="174"/>
              <w:rPr>
                <w:sz w:val="21"/>
              </w:rPr>
            </w:pPr>
            <w:r>
              <w:rPr>
                <w:sz w:val="21"/>
              </w:rPr>
              <w:t>受益人故意造成被保险人身故、伤残、疾病的，或者故意杀害被保险人未遂的，该受益人丧失受益权。</w:t>
            </w:r>
          </w:p>
        </w:tc>
      </w:tr>
      <w:tr>
        <w:trPr>
          <w:trHeight w:val="2189" w:hRule="atLeast"/>
        </w:trPr>
        <w:tc>
          <w:tcPr>
            <w:tcW w:w="713" w:type="dxa"/>
          </w:tcPr>
          <w:p>
            <w:pPr>
              <w:pStyle w:val="TableParagraph"/>
              <w:spacing w:before="147"/>
              <w:ind w:left="108"/>
              <w:rPr>
                <w:b/>
                <w:sz w:val="21"/>
              </w:rPr>
            </w:pPr>
            <w:r>
              <w:rPr>
                <w:b/>
                <w:sz w:val="21"/>
              </w:rPr>
              <w:t>5.2</w:t>
            </w:r>
          </w:p>
        </w:tc>
        <w:tc>
          <w:tcPr>
            <w:tcW w:w="1837" w:type="dxa"/>
          </w:tcPr>
          <w:p>
            <w:pPr>
              <w:pStyle w:val="TableParagraph"/>
              <w:spacing w:before="147"/>
              <w:ind w:left="247"/>
              <w:rPr>
                <w:b/>
                <w:sz w:val="21"/>
              </w:rPr>
            </w:pPr>
            <w:r>
              <w:rPr>
                <w:b/>
                <w:sz w:val="21"/>
              </w:rPr>
              <w:t>保险事故通知</w:t>
            </w:r>
          </w:p>
        </w:tc>
        <w:tc>
          <w:tcPr>
            <w:tcW w:w="6806" w:type="dxa"/>
          </w:tcPr>
          <w:p>
            <w:pPr>
              <w:pStyle w:val="TableParagraph"/>
              <w:spacing w:before="136"/>
              <w:rPr>
                <w:i/>
                <w:sz w:val="22"/>
              </w:rPr>
            </w:pPr>
            <w:r>
              <w:rPr>
                <w:sz w:val="21"/>
              </w:rPr>
              <w:t>投保人或受益人知道保险事故后应当在 10 日内通知本公司</w:t>
            </w:r>
            <w:r>
              <w:rPr>
                <w:i/>
                <w:sz w:val="22"/>
              </w:rPr>
              <w:t>。</w:t>
            </w:r>
          </w:p>
          <w:p>
            <w:pPr>
              <w:pStyle w:val="TableParagraph"/>
              <w:spacing w:line="273" w:lineRule="auto" w:before="36"/>
              <w:ind w:right="174"/>
              <w:jc w:val="both"/>
              <w:rPr>
                <w:sz w:val="21"/>
              </w:rPr>
            </w:pPr>
            <w:r>
              <w:rPr>
                <w:sz w:val="21"/>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468" w:hRule="atLeast"/>
        </w:trPr>
        <w:tc>
          <w:tcPr>
            <w:tcW w:w="713" w:type="dxa"/>
          </w:tcPr>
          <w:p>
            <w:pPr>
              <w:pStyle w:val="TableParagraph"/>
              <w:spacing w:before="143"/>
              <w:ind w:left="108"/>
              <w:rPr>
                <w:b/>
                <w:sz w:val="21"/>
              </w:rPr>
            </w:pPr>
            <w:r>
              <w:rPr>
                <w:b/>
                <w:sz w:val="21"/>
              </w:rPr>
              <w:t>5.3</w:t>
            </w:r>
          </w:p>
        </w:tc>
        <w:tc>
          <w:tcPr>
            <w:tcW w:w="1837" w:type="dxa"/>
          </w:tcPr>
          <w:p>
            <w:pPr>
              <w:pStyle w:val="TableParagraph"/>
              <w:spacing w:before="143"/>
              <w:ind w:left="247"/>
              <w:rPr>
                <w:b/>
                <w:sz w:val="21"/>
              </w:rPr>
            </w:pPr>
            <w:r>
              <w:rPr>
                <w:b/>
                <w:sz w:val="21"/>
              </w:rPr>
              <w:t>保险金申请</w:t>
            </w:r>
          </w:p>
        </w:tc>
        <w:tc>
          <w:tcPr>
            <w:tcW w:w="6806" w:type="dxa"/>
          </w:tcPr>
          <w:p>
            <w:pPr>
              <w:pStyle w:val="TableParagraph"/>
              <w:spacing w:before="0"/>
              <w:ind w:left="0"/>
              <w:rPr>
                <w:rFonts w:ascii="Times New Roman"/>
                <w:sz w:val="20"/>
              </w:rPr>
            </w:pPr>
          </w:p>
        </w:tc>
      </w:tr>
      <w:tr>
        <w:trPr>
          <w:trHeight w:val="2757" w:hRule="atLeast"/>
        </w:trPr>
        <w:tc>
          <w:tcPr>
            <w:tcW w:w="713" w:type="dxa"/>
          </w:tcPr>
          <w:p>
            <w:pPr>
              <w:pStyle w:val="TableParagraph"/>
              <w:spacing w:before="0"/>
              <w:ind w:left="0"/>
              <w:rPr>
                <w:rFonts w:ascii="Times New Roman"/>
                <w:sz w:val="20"/>
              </w:rPr>
            </w:pPr>
          </w:p>
        </w:tc>
        <w:tc>
          <w:tcPr>
            <w:tcW w:w="1837" w:type="dxa"/>
          </w:tcPr>
          <w:p>
            <w:pPr>
              <w:pStyle w:val="TableParagraph"/>
              <w:spacing w:line="261" w:lineRule="exact" w:before="0"/>
              <w:ind w:left="247"/>
              <w:rPr>
                <w:rFonts w:ascii="黑体" w:eastAsia="黑体" w:hint="eastAsia"/>
                <w:b/>
                <w:sz w:val="21"/>
              </w:rPr>
            </w:pPr>
            <w:r>
              <w:rPr>
                <w:rFonts w:ascii="黑体" w:eastAsia="黑体" w:hint="eastAsia"/>
                <w:b/>
                <w:sz w:val="21"/>
              </w:rPr>
              <w:t>重大疾病保险金</w:t>
            </w:r>
          </w:p>
          <w:p>
            <w:pPr>
              <w:pStyle w:val="TableParagraph"/>
              <w:ind w:left="247"/>
              <w:rPr>
                <w:rFonts w:ascii="黑体" w:eastAsia="黑体" w:hint="eastAsia"/>
                <w:b/>
                <w:sz w:val="21"/>
              </w:rPr>
            </w:pPr>
            <w:r>
              <w:rPr>
                <w:rFonts w:ascii="黑体" w:eastAsia="黑体" w:hint="eastAsia"/>
                <w:b/>
                <w:sz w:val="21"/>
              </w:rPr>
              <w:t>的申请</w:t>
            </w:r>
          </w:p>
        </w:tc>
        <w:tc>
          <w:tcPr>
            <w:tcW w:w="6806" w:type="dxa"/>
          </w:tcPr>
          <w:p>
            <w:pPr>
              <w:pStyle w:val="TableParagraph"/>
              <w:spacing w:line="261" w:lineRule="exact" w:before="0"/>
              <w:rPr>
                <w:sz w:val="21"/>
              </w:rPr>
            </w:pPr>
            <w:r>
              <w:rPr>
                <w:sz w:val="21"/>
              </w:rPr>
              <w:t>申请人须填写保险金给付申请书，并须提供下列证明和资料：</w:t>
            </w:r>
          </w:p>
          <w:p>
            <w:pPr>
              <w:pStyle w:val="TableParagraph"/>
              <w:numPr>
                <w:ilvl w:val="0"/>
                <w:numId w:val="9"/>
              </w:numPr>
              <w:tabs>
                <w:tab w:pos="473" w:val="left" w:leader="none"/>
              </w:tabs>
              <w:spacing w:line="240" w:lineRule="auto" w:before="37" w:after="0"/>
              <w:ind w:left="472" w:right="0" w:hanging="360"/>
              <w:jc w:val="left"/>
              <w:rPr>
                <w:sz w:val="21"/>
              </w:rPr>
            </w:pPr>
            <w:r>
              <w:rPr>
                <w:spacing w:val="-1"/>
                <w:sz w:val="21"/>
              </w:rPr>
              <w:t>保险合同；</w:t>
            </w:r>
          </w:p>
          <w:p>
            <w:pPr>
              <w:pStyle w:val="TableParagraph"/>
              <w:numPr>
                <w:ilvl w:val="0"/>
                <w:numId w:val="9"/>
              </w:numPr>
              <w:tabs>
                <w:tab w:pos="473" w:val="left" w:leader="none"/>
              </w:tabs>
              <w:spacing w:line="240" w:lineRule="auto" w:before="37" w:after="0"/>
              <w:ind w:left="472" w:right="0" w:hanging="360"/>
              <w:jc w:val="left"/>
              <w:rPr>
                <w:sz w:val="21"/>
              </w:rPr>
            </w:pPr>
            <w:r>
              <w:rPr>
                <w:spacing w:val="-2"/>
                <w:w w:val="100"/>
                <w:sz w:val="21"/>
              </w:rPr>
              <w:t>申请人的</w:t>
            </w:r>
            <w:r>
              <w:rPr>
                <w:b/>
                <w:w w:val="100"/>
                <w:sz w:val="21"/>
              </w:rPr>
              <w:t>有效身份证件</w:t>
            </w:r>
            <w:r>
              <w:rPr>
                <w:spacing w:val="-3"/>
                <w:w w:val="100"/>
                <w:sz w:val="21"/>
              </w:rPr>
              <w:t>（</w:t>
            </w:r>
            <w:r>
              <w:rPr>
                <w:spacing w:val="-2"/>
                <w:w w:val="100"/>
                <w:sz w:val="21"/>
              </w:rPr>
              <w:t>见释义</w:t>
            </w:r>
            <w:r>
              <w:rPr>
                <w:spacing w:val="-53"/>
                <w:sz w:val="21"/>
              </w:rPr>
              <w:t> </w:t>
            </w:r>
            <w:r>
              <w:rPr>
                <w:rFonts w:ascii="Times New Roman" w:eastAsia="Times New Roman"/>
                <w:w w:val="100"/>
                <w:sz w:val="21"/>
              </w:rPr>
              <w:t>7.1</w:t>
            </w:r>
            <w:r>
              <w:rPr>
                <w:rFonts w:ascii="Times New Roman" w:eastAsia="Times New Roman"/>
                <w:spacing w:val="-3"/>
                <w:w w:val="100"/>
                <w:sz w:val="21"/>
              </w:rPr>
              <w:t>2</w:t>
            </w:r>
            <w:r>
              <w:rPr>
                <w:spacing w:val="-106"/>
                <w:w w:val="100"/>
                <w:sz w:val="21"/>
              </w:rPr>
              <w:t>）</w:t>
            </w:r>
            <w:r>
              <w:rPr>
                <w:w w:val="100"/>
                <w:sz w:val="21"/>
              </w:rPr>
              <w:t>；</w:t>
            </w:r>
          </w:p>
          <w:p>
            <w:pPr>
              <w:pStyle w:val="TableParagraph"/>
              <w:numPr>
                <w:ilvl w:val="0"/>
                <w:numId w:val="9"/>
              </w:numPr>
              <w:tabs>
                <w:tab w:pos="473" w:val="left" w:leader="none"/>
              </w:tabs>
              <w:spacing w:line="273" w:lineRule="auto" w:before="21" w:after="0"/>
              <w:ind w:left="472" w:right="97" w:hanging="360"/>
              <w:jc w:val="both"/>
              <w:rPr>
                <w:sz w:val="21"/>
              </w:rPr>
            </w:pPr>
            <w:r>
              <w:rPr>
                <w:spacing w:val="-3"/>
                <w:sz w:val="21"/>
              </w:rPr>
              <w:t>专科医生出具的诊断证明书(包括：完整病历、出院小结、病理组织</w:t>
            </w:r>
            <w:r>
              <w:rPr>
                <w:spacing w:val="-11"/>
                <w:sz w:val="21"/>
              </w:rPr>
              <w:t>检查报告、血液检查及其它科学方法检验报告的病史资料及疾病诊断</w:t>
            </w:r>
            <w:r>
              <w:rPr>
                <w:spacing w:val="-6"/>
                <w:sz w:val="21"/>
              </w:rPr>
              <w:t>报告书)；</w:t>
            </w:r>
          </w:p>
          <w:p>
            <w:pPr>
              <w:pStyle w:val="TableParagraph"/>
              <w:numPr>
                <w:ilvl w:val="0"/>
                <w:numId w:val="9"/>
              </w:numPr>
              <w:tabs>
                <w:tab w:pos="473" w:val="left" w:leader="none"/>
              </w:tabs>
              <w:spacing w:line="273" w:lineRule="auto" w:before="7" w:after="0"/>
              <w:ind w:left="532" w:right="27" w:hanging="420"/>
              <w:jc w:val="left"/>
              <w:rPr>
                <w:sz w:val="21"/>
              </w:rPr>
            </w:pPr>
            <w:r>
              <w:rPr>
                <w:spacing w:val="-3"/>
                <w:sz w:val="21"/>
              </w:rPr>
              <w:t>所能提供的与确认保险事故的性质、原因等有关的其他证明和资料。以上证明和资料不完整的，本公司将及时一次性通知申请人补充提</w:t>
            </w:r>
          </w:p>
          <w:p>
            <w:pPr>
              <w:pStyle w:val="TableParagraph"/>
              <w:spacing w:line="255" w:lineRule="exact" w:before="7"/>
              <w:rPr>
                <w:sz w:val="21"/>
              </w:rPr>
            </w:pPr>
            <w:r>
              <w:rPr>
                <w:sz w:val="21"/>
              </w:rPr>
              <w:t>供有关证明和资料。</w:t>
            </w:r>
          </w:p>
        </w:tc>
      </w:tr>
    </w:tbl>
    <w:p>
      <w:pPr>
        <w:spacing w:after="0" w:line="255" w:lineRule="exact"/>
        <w:rPr>
          <w:sz w:val="21"/>
        </w:rPr>
        <w:sectPr>
          <w:pgSz w:w="11910" w:h="16840"/>
          <w:pgMar w:header="0" w:footer="912" w:top="1580" w:bottom="1100" w:left="1080" w:right="12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837"/>
        <w:gridCol w:w="6808"/>
      </w:tblGrid>
      <w:tr>
        <w:trPr>
          <w:trHeight w:val="3226" w:hRule="atLeast"/>
        </w:trPr>
        <w:tc>
          <w:tcPr>
            <w:tcW w:w="713" w:type="dxa"/>
          </w:tcPr>
          <w:p>
            <w:pPr>
              <w:pStyle w:val="TableParagraph"/>
              <w:spacing w:before="0"/>
              <w:ind w:left="0"/>
              <w:rPr>
                <w:rFonts w:ascii="Times New Roman"/>
                <w:sz w:val="20"/>
              </w:rPr>
            </w:pPr>
          </w:p>
        </w:tc>
        <w:tc>
          <w:tcPr>
            <w:tcW w:w="1837" w:type="dxa"/>
          </w:tcPr>
          <w:p>
            <w:pPr>
              <w:pStyle w:val="TableParagraph"/>
              <w:spacing w:line="202" w:lineRule="exact" w:before="0"/>
              <w:ind w:left="247"/>
              <w:rPr>
                <w:rFonts w:ascii="黑体" w:eastAsia="黑体" w:hint="eastAsia"/>
                <w:b/>
                <w:sz w:val="21"/>
              </w:rPr>
            </w:pPr>
            <w:r>
              <w:rPr>
                <w:rFonts w:ascii="黑体" w:eastAsia="黑体" w:hint="eastAsia"/>
                <w:b/>
                <w:sz w:val="21"/>
              </w:rPr>
              <w:t>身故保险金的申</w:t>
            </w:r>
          </w:p>
          <w:p>
            <w:pPr>
              <w:pStyle w:val="TableParagraph"/>
              <w:ind w:left="247"/>
              <w:rPr>
                <w:rFonts w:ascii="黑体" w:eastAsia="黑体" w:hint="eastAsia"/>
                <w:b/>
                <w:sz w:val="21"/>
              </w:rPr>
            </w:pPr>
            <w:r>
              <w:rPr>
                <w:rFonts w:ascii="黑体" w:eastAsia="黑体" w:hint="eastAsia"/>
                <w:b/>
                <w:w w:val="100"/>
                <w:sz w:val="21"/>
              </w:rPr>
              <w:t>请</w:t>
            </w:r>
          </w:p>
        </w:tc>
        <w:tc>
          <w:tcPr>
            <w:tcW w:w="6808" w:type="dxa"/>
          </w:tcPr>
          <w:p>
            <w:pPr>
              <w:pStyle w:val="TableParagraph"/>
              <w:spacing w:line="202" w:lineRule="exact" w:before="0"/>
              <w:rPr>
                <w:sz w:val="21"/>
              </w:rPr>
            </w:pPr>
            <w:r>
              <w:rPr>
                <w:sz w:val="21"/>
              </w:rPr>
              <w:t>申请人须填写保险金给付申请书，并提供下列证明和资料：</w:t>
            </w:r>
          </w:p>
          <w:p>
            <w:pPr>
              <w:pStyle w:val="TableParagraph"/>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638" w:right="52" w:hanging="526"/>
              <w:rPr>
                <w:sz w:val="21"/>
              </w:rPr>
            </w:pPr>
            <w:r>
              <w:rPr>
                <w:sz w:val="21"/>
              </w:rPr>
              <w:t>（3）国家卫生行政部门认定的医疗机构、公安部门或其他相关机构出具的被保险人的死亡证明；</w:t>
            </w:r>
          </w:p>
          <w:p>
            <w:pPr>
              <w:pStyle w:val="TableParagraph"/>
              <w:spacing w:line="273" w:lineRule="auto" w:before="7"/>
              <w:ind w:left="532" w:right="-15" w:hanging="420"/>
              <w:rPr>
                <w:sz w:val="21"/>
              </w:rPr>
            </w:pPr>
            <w:r>
              <w:rPr>
                <w:spacing w:val="-23"/>
                <w:sz w:val="21"/>
              </w:rPr>
              <w:t>（4）</w:t>
            </w:r>
            <w:r>
              <w:rPr>
                <w:spacing w:val="-8"/>
                <w:sz w:val="21"/>
              </w:rPr>
              <w:t>所能提供的与确认保险事故的性质、原因等有关的其他证明和资料。保险金作为被保险人遗产时，必须提供可证明合法继承权的相关权</w:t>
            </w:r>
          </w:p>
          <w:p>
            <w:pPr>
              <w:pStyle w:val="TableParagraph"/>
              <w:spacing w:before="7"/>
              <w:rPr>
                <w:sz w:val="21"/>
              </w:rPr>
            </w:pPr>
            <w:r>
              <w:rPr>
                <w:sz w:val="21"/>
              </w:rPr>
              <w:t>利文件。</w:t>
            </w:r>
          </w:p>
          <w:p>
            <w:pPr>
              <w:pStyle w:val="TableParagraph"/>
              <w:spacing w:line="273" w:lineRule="auto" w:before="36"/>
              <w:ind w:right="176" w:firstLine="420"/>
              <w:rPr>
                <w:sz w:val="21"/>
              </w:rPr>
            </w:pPr>
            <w:r>
              <w:rPr>
                <w:sz w:val="21"/>
              </w:rPr>
              <w:t>以上证明和资料不完整的，本公司将及时一次性通知申请人补充提供有关证明和资料。</w:t>
            </w:r>
          </w:p>
        </w:tc>
      </w:tr>
      <w:tr>
        <w:trPr>
          <w:trHeight w:val="3744" w:hRule="atLeast"/>
        </w:trPr>
        <w:tc>
          <w:tcPr>
            <w:tcW w:w="713" w:type="dxa"/>
          </w:tcPr>
          <w:p>
            <w:pPr>
              <w:pStyle w:val="TableParagraph"/>
              <w:spacing w:before="134"/>
              <w:ind w:left="108"/>
              <w:rPr>
                <w:b/>
                <w:sz w:val="21"/>
              </w:rPr>
            </w:pPr>
            <w:r>
              <w:rPr>
                <w:b/>
                <w:sz w:val="21"/>
              </w:rPr>
              <w:t>5.4</w:t>
            </w:r>
          </w:p>
        </w:tc>
        <w:tc>
          <w:tcPr>
            <w:tcW w:w="1837" w:type="dxa"/>
          </w:tcPr>
          <w:p>
            <w:pPr>
              <w:pStyle w:val="TableParagraph"/>
              <w:spacing w:before="134"/>
              <w:ind w:left="247"/>
              <w:rPr>
                <w:b/>
                <w:sz w:val="21"/>
              </w:rPr>
            </w:pPr>
            <w:r>
              <w:rPr>
                <w:b/>
                <w:sz w:val="21"/>
              </w:rPr>
              <w:t>保险金给付</w:t>
            </w:r>
          </w:p>
        </w:tc>
        <w:tc>
          <w:tcPr>
            <w:tcW w:w="6808" w:type="dxa"/>
          </w:tcPr>
          <w:p>
            <w:pPr>
              <w:pStyle w:val="TableParagraph"/>
              <w:spacing w:before="134"/>
              <w:rPr>
                <w:sz w:val="21"/>
              </w:rPr>
            </w:pPr>
            <w:r>
              <w:rPr>
                <w:sz w:val="21"/>
              </w:rPr>
              <w:t>本公司在收到保险金给付申请书及合同约定的证明和资料后，将在 5 日</w:t>
            </w:r>
          </w:p>
          <w:p>
            <w:pPr>
              <w:pStyle w:val="TableParagraph"/>
              <w:spacing w:before="38"/>
              <w:rPr>
                <w:sz w:val="21"/>
              </w:rPr>
            </w:pPr>
            <w:r>
              <w:rPr>
                <w:sz w:val="21"/>
              </w:rPr>
              <w:t>内作出核定；情形复杂的，在 30 日内作出核定。</w:t>
            </w:r>
          </w:p>
          <w:p>
            <w:pPr>
              <w:pStyle w:val="TableParagraph"/>
              <w:spacing w:line="273" w:lineRule="auto"/>
              <w:ind w:right="-15"/>
              <w:rPr>
                <w:sz w:val="21"/>
              </w:rPr>
            </w:pPr>
            <w:r>
              <w:rPr>
                <w:spacing w:val="-14"/>
                <w:sz w:val="21"/>
              </w:rPr>
              <w:t>对属于保险责任的，本公司在与受益人达成给付保险金的协议后 </w:t>
            </w:r>
            <w:r>
              <w:rPr>
                <w:sz w:val="21"/>
              </w:rPr>
              <w:t>10</w:t>
            </w:r>
            <w:r>
              <w:rPr>
                <w:spacing w:val="-15"/>
                <w:sz w:val="21"/>
              </w:rPr>
              <w:t> 日内， </w:t>
            </w:r>
            <w:r>
              <w:rPr>
                <w:spacing w:val="-7"/>
                <w:sz w:val="21"/>
              </w:rPr>
              <w:t>履行给付保险金义务。</w:t>
            </w:r>
          </w:p>
          <w:p>
            <w:pPr>
              <w:pStyle w:val="TableParagraph"/>
              <w:spacing w:line="273" w:lineRule="auto" w:before="7"/>
              <w:ind w:right="108"/>
              <w:rPr>
                <w:sz w:val="21"/>
              </w:rPr>
            </w:pPr>
            <w:r>
              <w:rPr>
                <w:sz w:val="21"/>
              </w:rPr>
              <w:t>本公司未及时履行前款规定义务的，除支付保险金外，应当赔偿受益人因此受到的损失。</w:t>
            </w:r>
          </w:p>
          <w:p>
            <w:pPr>
              <w:pStyle w:val="TableParagraph"/>
              <w:spacing w:line="273" w:lineRule="auto" w:before="7"/>
              <w:ind w:right="49"/>
              <w:rPr>
                <w:sz w:val="21"/>
              </w:rPr>
            </w:pPr>
            <w:r>
              <w:rPr>
                <w:sz w:val="21"/>
              </w:rPr>
              <w:t>对不属于保险责任的，本公司自作出核定之日起 3 日内向受益人发出拒绝给付保险金通知书并说明理由。</w:t>
            </w:r>
          </w:p>
          <w:p>
            <w:pPr>
              <w:pStyle w:val="TableParagraph"/>
              <w:spacing w:line="273" w:lineRule="auto" w:before="7"/>
              <w:ind w:right="99"/>
              <w:rPr>
                <w:sz w:val="21"/>
              </w:rPr>
            </w:pPr>
            <w:r>
              <w:rPr>
                <w:spacing w:val="-5"/>
                <w:sz w:val="21"/>
              </w:rPr>
              <w:t>本公司在收到保险金给付申请书及有关证明和资料之日起 </w:t>
            </w:r>
            <w:r>
              <w:rPr>
                <w:sz w:val="21"/>
              </w:rPr>
              <w:t>60</w:t>
            </w:r>
            <w:r>
              <w:rPr>
                <w:spacing w:val="-13"/>
                <w:sz w:val="21"/>
              </w:rPr>
              <w:t> 日内，对给</w:t>
            </w:r>
            <w:r>
              <w:rPr>
                <w:spacing w:val="-6"/>
                <w:sz w:val="21"/>
              </w:rPr>
              <w:t>付保险金的数额不能确定的，根据已有证明和资料可以确定的数额先予</w:t>
            </w:r>
            <w:r>
              <w:rPr>
                <w:spacing w:val="-4"/>
                <w:sz w:val="21"/>
              </w:rPr>
              <w:t>支付；本公司最终确定给付保险金的数额后，将支付相应的差额。</w:t>
            </w:r>
          </w:p>
        </w:tc>
      </w:tr>
      <w:tr>
        <w:trPr>
          <w:trHeight w:val="1585" w:hRule="atLeast"/>
        </w:trPr>
        <w:tc>
          <w:tcPr>
            <w:tcW w:w="713" w:type="dxa"/>
          </w:tcPr>
          <w:p>
            <w:pPr>
              <w:pStyle w:val="TableParagraph"/>
              <w:spacing w:before="134"/>
              <w:ind w:left="108"/>
              <w:rPr>
                <w:b/>
                <w:sz w:val="21"/>
              </w:rPr>
            </w:pPr>
            <w:r>
              <w:rPr>
                <w:b/>
                <w:sz w:val="21"/>
              </w:rPr>
              <w:t>5.5</w:t>
            </w:r>
          </w:p>
        </w:tc>
        <w:tc>
          <w:tcPr>
            <w:tcW w:w="1837" w:type="dxa"/>
          </w:tcPr>
          <w:p>
            <w:pPr>
              <w:pStyle w:val="TableParagraph"/>
              <w:spacing w:before="134"/>
              <w:ind w:left="247"/>
              <w:rPr>
                <w:b/>
                <w:sz w:val="21"/>
              </w:rPr>
            </w:pPr>
            <w:r>
              <w:rPr>
                <w:b/>
                <w:sz w:val="21"/>
              </w:rPr>
              <w:t>诉讼时效</w:t>
            </w:r>
          </w:p>
        </w:tc>
        <w:tc>
          <w:tcPr>
            <w:tcW w:w="6808" w:type="dxa"/>
          </w:tcPr>
          <w:p>
            <w:pPr>
              <w:pStyle w:val="TableParagraph"/>
              <w:spacing w:line="273" w:lineRule="auto" w:before="134"/>
              <w:ind w:right="176"/>
              <w:rPr>
                <w:sz w:val="21"/>
              </w:rPr>
            </w:pPr>
            <w:r>
              <w:rPr>
                <w:spacing w:val="-5"/>
                <w:sz w:val="21"/>
              </w:rPr>
              <w:t>受益人向本公司请求给付身故保险金的诉讼时效期间为 </w:t>
            </w:r>
            <w:r>
              <w:rPr>
                <w:sz w:val="21"/>
              </w:rPr>
              <w:t>5</w:t>
            </w:r>
            <w:r>
              <w:rPr>
                <w:spacing w:val="-9"/>
                <w:sz w:val="21"/>
              </w:rPr>
              <w:t> 年，自其知道</w:t>
            </w:r>
            <w:r>
              <w:rPr>
                <w:spacing w:val="-5"/>
                <w:sz w:val="21"/>
              </w:rPr>
              <w:t>或者应当知道保险事故发生之日起计算。</w:t>
            </w:r>
          </w:p>
          <w:p>
            <w:pPr>
              <w:pStyle w:val="TableParagraph"/>
              <w:spacing w:line="273" w:lineRule="auto" w:before="7"/>
              <w:ind w:right="176"/>
              <w:rPr>
                <w:sz w:val="21"/>
              </w:rPr>
            </w:pPr>
            <w:r>
              <w:rPr>
                <w:spacing w:val="-5"/>
                <w:sz w:val="21"/>
              </w:rPr>
              <w:t>受益人向本公司请求给付重大疾病保险金的诉讼时效期间为 </w:t>
            </w:r>
            <w:r>
              <w:rPr>
                <w:sz w:val="21"/>
              </w:rPr>
              <w:t>2</w:t>
            </w:r>
            <w:r>
              <w:rPr>
                <w:spacing w:val="-10"/>
                <w:sz w:val="21"/>
              </w:rPr>
              <w:t> 年，自其</w:t>
            </w:r>
            <w:r>
              <w:rPr>
                <w:spacing w:val="-5"/>
                <w:sz w:val="21"/>
              </w:rPr>
              <w:t>知道或者应当知道保险事故发生之日起计算。</w:t>
            </w:r>
          </w:p>
        </w:tc>
      </w:tr>
      <w:tr>
        <w:trPr>
          <w:trHeight w:val="753" w:hRule="atLeast"/>
        </w:trPr>
        <w:tc>
          <w:tcPr>
            <w:tcW w:w="713" w:type="dxa"/>
            <w:tcBorders>
              <w:bottom w:val="single" w:sz="8" w:space="0" w:color="000000"/>
            </w:tcBorders>
          </w:tcPr>
          <w:p>
            <w:pPr>
              <w:pStyle w:val="TableParagraph"/>
              <w:spacing w:before="185"/>
              <w:ind w:left="108"/>
              <w:rPr>
                <w:rFonts w:ascii="Arial" w:hAnsi="Arial"/>
                <w:b/>
                <w:sz w:val="40"/>
              </w:rPr>
            </w:pPr>
            <w:r>
              <w:rPr>
                <w:rFonts w:ascii="Arial" w:hAnsi="Arial"/>
                <w:b/>
                <w:w w:val="119"/>
                <w:sz w:val="40"/>
              </w:rPr>
              <w:t></w:t>
            </w:r>
          </w:p>
        </w:tc>
        <w:tc>
          <w:tcPr>
            <w:tcW w:w="1837" w:type="dxa"/>
            <w:tcBorders>
              <w:bottom w:val="single" w:sz="8" w:space="0" w:color="000000"/>
            </w:tcBorders>
          </w:tcPr>
          <w:p>
            <w:pPr>
              <w:pStyle w:val="TableParagraph"/>
              <w:spacing w:before="7"/>
              <w:ind w:left="0"/>
              <w:rPr>
                <w:rFonts w:ascii="Times New Roman"/>
                <w:sz w:val="20"/>
              </w:rPr>
            </w:pPr>
          </w:p>
          <w:p>
            <w:pPr>
              <w:pStyle w:val="TableParagraph"/>
              <w:spacing w:before="0"/>
              <w:ind w:left="247"/>
              <w:rPr>
                <w:b/>
                <w:sz w:val="24"/>
              </w:rPr>
            </w:pPr>
            <w:r>
              <w:rPr>
                <w:b/>
                <w:sz w:val="24"/>
              </w:rPr>
              <w:t>其他事项</w:t>
            </w:r>
          </w:p>
        </w:tc>
        <w:tc>
          <w:tcPr>
            <w:tcW w:w="6808" w:type="dxa"/>
            <w:tcBorders>
              <w:bottom w:val="single" w:sz="8" w:space="0" w:color="000000"/>
            </w:tcBorders>
          </w:tcPr>
          <w:p>
            <w:pPr>
              <w:pStyle w:val="TableParagraph"/>
              <w:spacing w:before="0"/>
              <w:ind w:left="0"/>
              <w:rPr>
                <w:rFonts w:ascii="Times New Roman"/>
                <w:sz w:val="20"/>
              </w:rPr>
            </w:pPr>
          </w:p>
        </w:tc>
      </w:tr>
      <w:tr>
        <w:trPr>
          <w:trHeight w:val="4525" w:hRule="atLeast"/>
        </w:trPr>
        <w:tc>
          <w:tcPr>
            <w:tcW w:w="713" w:type="dxa"/>
            <w:tcBorders>
              <w:top w:val="single" w:sz="8" w:space="0" w:color="000000"/>
            </w:tcBorders>
          </w:tcPr>
          <w:p>
            <w:pPr>
              <w:pStyle w:val="TableParagraph"/>
              <w:spacing w:before="0"/>
              <w:ind w:left="0"/>
              <w:rPr>
                <w:rFonts w:ascii="Times New Roman"/>
                <w:sz w:val="16"/>
              </w:rPr>
            </w:pPr>
          </w:p>
          <w:p>
            <w:pPr>
              <w:pStyle w:val="TableParagraph"/>
              <w:spacing w:before="1"/>
              <w:ind w:left="108"/>
              <w:rPr>
                <w:b/>
                <w:sz w:val="21"/>
              </w:rPr>
            </w:pPr>
            <w:r>
              <w:rPr>
                <w:b/>
                <w:sz w:val="21"/>
              </w:rPr>
              <w:t>6.1</w:t>
            </w:r>
          </w:p>
        </w:tc>
        <w:tc>
          <w:tcPr>
            <w:tcW w:w="1837" w:type="dxa"/>
            <w:tcBorders>
              <w:top w:val="single" w:sz="8" w:space="0" w:color="000000"/>
            </w:tcBorders>
          </w:tcPr>
          <w:p>
            <w:pPr>
              <w:pStyle w:val="TableParagraph"/>
              <w:spacing w:before="0"/>
              <w:ind w:left="0"/>
              <w:rPr>
                <w:rFonts w:ascii="Times New Roman"/>
                <w:sz w:val="16"/>
              </w:rPr>
            </w:pPr>
          </w:p>
          <w:p>
            <w:pPr>
              <w:pStyle w:val="TableParagraph"/>
              <w:spacing w:line="273" w:lineRule="auto" w:before="1"/>
              <w:ind w:left="247" w:right="109"/>
              <w:rPr>
                <w:b/>
                <w:sz w:val="21"/>
              </w:rPr>
            </w:pPr>
            <w:r>
              <w:rPr>
                <w:b/>
                <w:sz w:val="21"/>
              </w:rPr>
              <w:t>明确说明与如实告知</w:t>
            </w:r>
          </w:p>
        </w:tc>
        <w:tc>
          <w:tcPr>
            <w:tcW w:w="6808" w:type="dxa"/>
            <w:tcBorders>
              <w:top w:val="single" w:sz="8" w:space="0" w:color="000000"/>
            </w:tcBorders>
          </w:tcPr>
          <w:p>
            <w:pPr>
              <w:pStyle w:val="TableParagraph"/>
              <w:spacing w:before="0"/>
              <w:ind w:left="0"/>
              <w:rPr>
                <w:rFonts w:ascii="Times New Roman"/>
                <w:sz w:val="16"/>
              </w:rPr>
            </w:pPr>
          </w:p>
          <w:p>
            <w:pPr>
              <w:pStyle w:val="TableParagraph"/>
              <w:spacing w:before="1"/>
              <w:rPr>
                <w:sz w:val="21"/>
              </w:rPr>
            </w:pPr>
            <w:r>
              <w:rPr>
                <w:sz w:val="21"/>
              </w:rPr>
              <w:t>订立本合同时，本公司应向投保人说明本合同的内容。</w:t>
            </w:r>
          </w:p>
          <w:p>
            <w:pPr>
              <w:pStyle w:val="TableParagraph"/>
              <w:spacing w:line="273" w:lineRule="auto"/>
              <w:ind w:right="176"/>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right="-15"/>
              <w:rPr>
                <w:sz w:val="21"/>
              </w:rPr>
            </w:pPr>
            <w:r>
              <w:rPr>
                <w:spacing w:val="-5"/>
                <w:sz w:val="21"/>
              </w:rPr>
              <w:t>本公司就投保人和被保险人的有关情况提出询问，投保人应当如实告知。</w:t>
            </w:r>
            <w:r>
              <w:rPr>
                <w:spacing w:val="-4"/>
                <w:sz w:val="21"/>
              </w:rPr>
              <w:t>如果投保人故意或者因重大过失未履行前款规定的如实告知义务，足以 </w:t>
            </w:r>
            <w:r>
              <w:rPr>
                <w:spacing w:val="-3"/>
                <w:sz w:val="21"/>
              </w:rPr>
              <w:t>影响本公司决定是否同意承保或者提高保险费率的，本公司有权解除本 合同。</w:t>
            </w:r>
          </w:p>
          <w:p>
            <w:pPr>
              <w:pStyle w:val="TableParagraph"/>
              <w:spacing w:line="273" w:lineRule="auto" w:before="7"/>
              <w:ind w:right="176"/>
              <w:jc w:val="both"/>
              <w:rPr>
                <w:sz w:val="21"/>
              </w:rPr>
            </w:pPr>
            <w:r>
              <w:rPr>
                <w:sz w:val="21"/>
              </w:rPr>
              <w:t>如果投保人故意不履行如实告知义务，对于本合同解除前发生的保险事故，本公司不承担给付保险金的责任，并不退还保险费。</w:t>
            </w:r>
          </w:p>
          <w:p>
            <w:pPr>
              <w:pStyle w:val="TableParagraph"/>
              <w:spacing w:line="312" w:lineRule="exact" w:before="3"/>
              <w:ind w:right="176"/>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tc>
      </w:tr>
    </w:tbl>
    <w:p>
      <w:pPr>
        <w:spacing w:after="0" w:line="312" w:lineRule="exact"/>
        <w:jc w:val="both"/>
        <w:rPr>
          <w:sz w:val="21"/>
        </w:rPr>
        <w:sectPr>
          <w:pgSz w:w="11910" w:h="16840"/>
          <w:pgMar w:header="0" w:footer="912" w:top="1460" w:bottom="1100" w:left="1080" w:right="12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58"/>
        <w:gridCol w:w="6913"/>
      </w:tblGrid>
      <w:tr>
        <w:trPr>
          <w:trHeight w:val="730" w:hRule="atLeast"/>
        </w:trPr>
        <w:tc>
          <w:tcPr>
            <w:tcW w:w="784" w:type="dxa"/>
          </w:tcPr>
          <w:p>
            <w:pPr>
              <w:pStyle w:val="TableParagraph"/>
              <w:spacing w:before="0"/>
              <w:ind w:left="0"/>
              <w:rPr>
                <w:rFonts w:ascii="Times New Roman"/>
                <w:sz w:val="20"/>
              </w:rPr>
            </w:pPr>
          </w:p>
        </w:tc>
        <w:tc>
          <w:tcPr>
            <w:tcW w:w="1858" w:type="dxa"/>
          </w:tcPr>
          <w:p>
            <w:pPr>
              <w:pStyle w:val="TableParagraph"/>
              <w:spacing w:before="0"/>
              <w:ind w:left="0"/>
              <w:rPr>
                <w:rFonts w:ascii="Times New Roman"/>
                <w:sz w:val="20"/>
              </w:rPr>
            </w:pPr>
          </w:p>
        </w:tc>
        <w:tc>
          <w:tcPr>
            <w:tcW w:w="6913" w:type="dxa"/>
          </w:tcPr>
          <w:p>
            <w:pPr>
              <w:pStyle w:val="TableParagraph"/>
              <w:spacing w:line="202" w:lineRule="exact" w:before="0"/>
              <w:rPr>
                <w:sz w:val="21"/>
              </w:rPr>
            </w:pPr>
            <w:r>
              <w:rPr>
                <w:sz w:val="21"/>
              </w:rPr>
              <w:t>本公司在合同订立时已经知道投保人未如实告知的情况的，本公司不得</w:t>
            </w:r>
          </w:p>
          <w:p>
            <w:pPr>
              <w:pStyle w:val="TableParagraph"/>
              <w:rPr>
                <w:sz w:val="21"/>
              </w:rPr>
            </w:pPr>
            <w:r>
              <w:rPr>
                <w:sz w:val="21"/>
              </w:rPr>
              <w:t>解除合同；发生保险事故的，本公司承担给付保险金的责任。</w:t>
            </w:r>
          </w:p>
        </w:tc>
      </w:tr>
      <w:tr>
        <w:trPr>
          <w:trHeight w:val="1204" w:hRule="atLeast"/>
        </w:trPr>
        <w:tc>
          <w:tcPr>
            <w:tcW w:w="784" w:type="dxa"/>
          </w:tcPr>
          <w:p>
            <w:pPr>
              <w:pStyle w:val="TableParagraph"/>
              <w:spacing w:before="134"/>
              <w:ind w:left="200"/>
              <w:rPr>
                <w:b/>
                <w:sz w:val="21"/>
              </w:rPr>
            </w:pPr>
            <w:r>
              <w:rPr>
                <w:b/>
                <w:sz w:val="21"/>
              </w:rPr>
              <w:t>6.2</w:t>
            </w:r>
          </w:p>
        </w:tc>
        <w:tc>
          <w:tcPr>
            <w:tcW w:w="1858" w:type="dxa"/>
          </w:tcPr>
          <w:p>
            <w:pPr>
              <w:pStyle w:val="TableParagraph"/>
              <w:spacing w:line="273" w:lineRule="auto" w:before="134"/>
              <w:ind w:left="267" w:right="109"/>
              <w:rPr>
                <w:b/>
                <w:sz w:val="21"/>
              </w:rPr>
            </w:pPr>
            <w:r>
              <w:rPr>
                <w:b/>
                <w:sz w:val="21"/>
              </w:rPr>
              <w:t>本公司合同解除权的限制</w:t>
            </w:r>
          </w:p>
        </w:tc>
        <w:tc>
          <w:tcPr>
            <w:tcW w:w="6913" w:type="dxa"/>
          </w:tcPr>
          <w:p>
            <w:pPr>
              <w:pStyle w:val="TableParagraph"/>
              <w:spacing w:before="134"/>
              <w:rPr>
                <w:sz w:val="21"/>
              </w:rPr>
            </w:pPr>
            <w:r>
              <w:rPr>
                <w:sz w:val="21"/>
              </w:rPr>
              <w:t>前条规定的合同解除权，自本公司知道有解除事由之日起，超过 30 日不</w:t>
            </w:r>
          </w:p>
          <w:p>
            <w:pPr>
              <w:pStyle w:val="TableParagraph"/>
              <w:spacing w:line="273" w:lineRule="auto"/>
              <w:ind w:right="282"/>
              <w:rPr>
                <w:sz w:val="21"/>
              </w:rPr>
            </w:pPr>
            <w:r>
              <w:rPr>
                <w:spacing w:val="-5"/>
                <w:sz w:val="21"/>
              </w:rPr>
              <w:t>行使而消灭。自本合同成立之日起超过 </w:t>
            </w:r>
            <w:r>
              <w:rPr>
                <w:sz w:val="21"/>
              </w:rPr>
              <w:t>2</w:t>
            </w:r>
            <w:r>
              <w:rPr>
                <w:spacing w:val="-8"/>
                <w:sz w:val="21"/>
              </w:rPr>
              <w:t> 年的，本公司不得解除合同； </w:t>
            </w:r>
            <w:r>
              <w:rPr>
                <w:spacing w:val="-5"/>
                <w:sz w:val="21"/>
              </w:rPr>
              <w:t>发生保险事故的，本公司承担给付保险金的责任。</w:t>
            </w:r>
          </w:p>
        </w:tc>
      </w:tr>
      <w:tr>
        <w:trPr>
          <w:trHeight w:val="4283" w:hRule="atLeast"/>
        </w:trPr>
        <w:tc>
          <w:tcPr>
            <w:tcW w:w="784" w:type="dxa"/>
          </w:tcPr>
          <w:p>
            <w:pPr>
              <w:pStyle w:val="TableParagraph"/>
              <w:spacing w:before="90"/>
              <w:ind w:left="200"/>
              <w:rPr>
                <w:b/>
                <w:sz w:val="21"/>
              </w:rPr>
            </w:pPr>
            <w:r>
              <w:rPr>
                <w:b/>
                <w:sz w:val="21"/>
              </w:rPr>
              <w:t>6.3</w:t>
            </w:r>
          </w:p>
        </w:tc>
        <w:tc>
          <w:tcPr>
            <w:tcW w:w="1858" w:type="dxa"/>
          </w:tcPr>
          <w:p>
            <w:pPr>
              <w:pStyle w:val="TableParagraph"/>
              <w:spacing w:before="90"/>
              <w:ind w:left="267"/>
              <w:rPr>
                <w:b/>
                <w:sz w:val="21"/>
              </w:rPr>
            </w:pPr>
            <w:r>
              <w:rPr>
                <w:b/>
                <w:sz w:val="21"/>
              </w:rPr>
              <w:t>年龄性别错误</w:t>
            </w:r>
          </w:p>
        </w:tc>
        <w:tc>
          <w:tcPr>
            <w:tcW w:w="6913" w:type="dxa"/>
          </w:tcPr>
          <w:p>
            <w:pPr>
              <w:pStyle w:val="TableParagraph"/>
              <w:spacing w:line="273" w:lineRule="auto" w:before="90"/>
              <w:ind w:right="279" w:firstLine="2"/>
              <w:rPr>
                <w:sz w:val="21"/>
              </w:rPr>
            </w:pPr>
            <w:r>
              <w:rPr>
                <w:sz w:val="21"/>
              </w:rPr>
              <w:t>投保人在申请投保时，应将与有效身份证件相符的被保险人的出生日期和性别在投保文件上填明，如果发生错误按照下列方式办理：</w:t>
            </w:r>
          </w:p>
          <w:p>
            <w:pPr>
              <w:pStyle w:val="TableParagraph"/>
              <w:spacing w:line="273" w:lineRule="auto" w:before="7"/>
              <w:ind w:left="616" w:right="197" w:hanging="504"/>
              <w:jc w:val="both"/>
              <w:rPr>
                <w:sz w:val="21"/>
              </w:rPr>
            </w:pPr>
            <w:r>
              <w:rPr>
                <w:spacing w:val="-5"/>
                <w:sz w:val="21"/>
              </w:rPr>
              <w:t>（1）</w:t>
            </w:r>
            <w:r>
              <w:rPr>
                <w:spacing w:val="-4"/>
                <w:sz w:val="21"/>
              </w:rPr>
              <w:t>投保人申报的被保险人年龄不真实，并且其真实年龄不符合本合同</w:t>
            </w:r>
            <w:r>
              <w:rPr>
                <w:spacing w:val="-3"/>
                <w:sz w:val="21"/>
              </w:rPr>
              <w:t>约定投保年龄限制的，在保险事故发生之前本公司有权解除合同， 并向投保人退还保险单的现金价值。本公司行使合同解除权适用</w:t>
            </w:r>
          </w:p>
          <w:p>
            <w:pPr>
              <w:pStyle w:val="TableParagraph"/>
              <w:spacing w:before="8"/>
              <w:ind w:left="616"/>
              <w:rPr>
                <w:sz w:val="21"/>
              </w:rPr>
            </w:pPr>
            <w:r>
              <w:rPr>
                <w:sz w:val="21"/>
              </w:rPr>
              <w:t>“本公司合同解除权的限制”的规定。</w:t>
            </w:r>
          </w:p>
          <w:p>
            <w:pPr>
              <w:pStyle w:val="TableParagraph"/>
              <w:spacing w:line="273" w:lineRule="auto"/>
              <w:ind w:left="637" w:right="204" w:hanging="526"/>
              <w:jc w:val="both"/>
              <w:rPr>
                <w:sz w:val="21"/>
              </w:rPr>
            </w:pPr>
            <w:r>
              <w:rPr>
                <w:spacing w:val="-5"/>
                <w:sz w:val="21"/>
              </w:rPr>
              <w:t>（2）</w:t>
            </w:r>
            <w:r>
              <w:rPr>
                <w:spacing w:val="-4"/>
                <w:sz w:val="21"/>
              </w:rPr>
              <w:t>投保人申报的被保险人年龄或性别不真实，致使本公司已收取的风</w:t>
            </w:r>
            <w:r>
              <w:rPr>
                <w:spacing w:val="-5"/>
                <w:sz w:val="21"/>
              </w:rPr>
              <w:t>险保险费少于应付风险保险费的，本公司有权在账户价值中扣取少</w:t>
            </w:r>
            <w:r>
              <w:rPr>
                <w:spacing w:val="-7"/>
                <w:sz w:val="21"/>
              </w:rPr>
              <w:t>收取的风险保险费。若被保险人已发生保险事故，本公司将根据被</w:t>
            </w:r>
            <w:r>
              <w:rPr>
                <w:spacing w:val="-5"/>
                <w:sz w:val="21"/>
              </w:rPr>
              <w:t>保险人真实年龄和性别，计算实际的保险金额。</w:t>
            </w:r>
          </w:p>
          <w:p>
            <w:pPr>
              <w:pStyle w:val="TableParagraph"/>
              <w:spacing w:line="273" w:lineRule="auto" w:before="8"/>
              <w:ind w:left="637" w:right="205" w:hanging="526"/>
              <w:jc w:val="both"/>
              <w:rPr>
                <w:sz w:val="21"/>
              </w:rPr>
            </w:pPr>
            <w:r>
              <w:rPr>
                <w:spacing w:val="-5"/>
                <w:sz w:val="21"/>
              </w:rPr>
              <w:t>（3）</w:t>
            </w:r>
            <w:r>
              <w:rPr>
                <w:spacing w:val="-4"/>
                <w:sz w:val="21"/>
              </w:rPr>
              <w:t>投保人申报的被保险人年龄或性别不真实，致使已收取的风险保险</w:t>
            </w:r>
            <w:r>
              <w:rPr>
                <w:spacing w:val="-5"/>
                <w:sz w:val="21"/>
              </w:rPr>
              <w:t>费多于应付风险保险费的，本公司会将所有多收取的风险保险费退</w:t>
            </w:r>
            <w:r>
              <w:rPr>
                <w:spacing w:val="-4"/>
                <w:sz w:val="21"/>
              </w:rPr>
              <w:t>还至被保险人的个人账户。</w:t>
            </w:r>
          </w:p>
        </w:tc>
      </w:tr>
      <w:tr>
        <w:trPr>
          <w:trHeight w:val="2142" w:hRule="atLeast"/>
        </w:trPr>
        <w:tc>
          <w:tcPr>
            <w:tcW w:w="784" w:type="dxa"/>
          </w:tcPr>
          <w:p>
            <w:pPr>
              <w:pStyle w:val="TableParagraph"/>
              <w:spacing w:before="92"/>
              <w:ind w:left="200"/>
              <w:rPr>
                <w:b/>
                <w:sz w:val="21"/>
              </w:rPr>
            </w:pPr>
            <w:r>
              <w:rPr>
                <w:b/>
                <w:sz w:val="21"/>
              </w:rPr>
              <w:t>6.4</w:t>
            </w:r>
          </w:p>
        </w:tc>
        <w:tc>
          <w:tcPr>
            <w:tcW w:w="1858" w:type="dxa"/>
          </w:tcPr>
          <w:p>
            <w:pPr>
              <w:pStyle w:val="TableParagraph"/>
              <w:spacing w:before="92"/>
              <w:ind w:left="267"/>
              <w:rPr>
                <w:b/>
                <w:sz w:val="21"/>
              </w:rPr>
            </w:pPr>
            <w:r>
              <w:rPr>
                <w:b/>
                <w:sz w:val="21"/>
              </w:rPr>
              <w:t>被保险人变动</w:t>
            </w:r>
          </w:p>
        </w:tc>
        <w:tc>
          <w:tcPr>
            <w:tcW w:w="6913" w:type="dxa"/>
          </w:tcPr>
          <w:p>
            <w:pPr>
              <w:pStyle w:val="TableParagraph"/>
              <w:spacing w:line="273" w:lineRule="auto" w:before="92"/>
              <w:ind w:right="205"/>
              <w:rPr>
                <w:sz w:val="21"/>
              </w:rPr>
            </w:pPr>
            <w:r>
              <w:rPr>
                <w:spacing w:val="-4"/>
                <w:sz w:val="21"/>
              </w:rPr>
              <w:t>（1）</w:t>
            </w:r>
            <w:r>
              <w:rPr>
                <w:spacing w:val="-5"/>
                <w:sz w:val="21"/>
              </w:rPr>
              <w:t>投保人因被保险人增加需要加保的，应书面通知本公司，本公司审</w:t>
            </w:r>
            <w:r>
              <w:rPr>
                <w:spacing w:val="-4"/>
                <w:sz w:val="21"/>
              </w:rPr>
              <w:t>核同意、收取相应的保险费并扣除相应风险保险费的次日起为该被保险</w:t>
            </w:r>
            <w:r>
              <w:rPr>
                <w:spacing w:val="-3"/>
                <w:sz w:val="21"/>
              </w:rPr>
              <w:t>人建立个人账户，并开始承担保险责任。</w:t>
            </w:r>
          </w:p>
          <w:p>
            <w:pPr>
              <w:pStyle w:val="TableParagraph"/>
              <w:spacing w:line="273" w:lineRule="auto" w:before="8"/>
              <w:ind w:right="180"/>
              <w:rPr>
                <w:sz w:val="21"/>
              </w:rPr>
            </w:pPr>
            <w:r>
              <w:rPr>
                <w:sz w:val="21"/>
              </w:rPr>
              <w:t>（2）投保人与被保险人的团体与成员关系终止的，自团体与成员关系终止之日起，对该被保险人本公司不再承担保险责任，并向投保人退还该被保险人对应的现金价值。</w:t>
            </w:r>
          </w:p>
        </w:tc>
      </w:tr>
      <w:tr>
        <w:trPr>
          <w:trHeight w:val="2184" w:hRule="atLeast"/>
        </w:trPr>
        <w:tc>
          <w:tcPr>
            <w:tcW w:w="784" w:type="dxa"/>
          </w:tcPr>
          <w:p>
            <w:pPr>
              <w:pStyle w:val="TableParagraph"/>
              <w:spacing w:before="134"/>
              <w:ind w:left="200"/>
              <w:rPr>
                <w:b/>
                <w:sz w:val="21"/>
              </w:rPr>
            </w:pPr>
            <w:r>
              <w:rPr>
                <w:b/>
                <w:sz w:val="21"/>
              </w:rPr>
              <w:t>6.5</w:t>
            </w:r>
          </w:p>
        </w:tc>
        <w:tc>
          <w:tcPr>
            <w:tcW w:w="1858" w:type="dxa"/>
          </w:tcPr>
          <w:p>
            <w:pPr>
              <w:pStyle w:val="TableParagraph"/>
              <w:spacing w:before="134"/>
              <w:ind w:left="267"/>
              <w:rPr>
                <w:b/>
                <w:sz w:val="21"/>
              </w:rPr>
            </w:pPr>
            <w:r>
              <w:rPr>
                <w:b/>
                <w:sz w:val="21"/>
              </w:rPr>
              <w:t>投保信息变更</w:t>
            </w:r>
          </w:p>
        </w:tc>
        <w:tc>
          <w:tcPr>
            <w:tcW w:w="6913" w:type="dxa"/>
          </w:tcPr>
          <w:p>
            <w:pPr>
              <w:pStyle w:val="TableParagraph"/>
              <w:spacing w:line="273" w:lineRule="auto" w:before="134"/>
              <w:ind w:right="281"/>
              <w:jc w:val="both"/>
              <w:rPr>
                <w:sz w:val="21"/>
              </w:rPr>
            </w:pPr>
            <w:r>
              <w:rPr>
                <w:sz w:val="21"/>
              </w:rPr>
              <w:t>为了保障投保人的合法权益，在本合同有效期内，如果投保人提供给本公司的住址或其他投保信息发生了变更，请及时以书面或双方认可的其他形式通知本公司，以便于本公司及时为投保人改变保险合同上的相关信息。</w:t>
            </w:r>
          </w:p>
          <w:p>
            <w:pPr>
              <w:pStyle w:val="TableParagraph"/>
              <w:spacing w:line="273" w:lineRule="auto" w:before="8"/>
              <w:ind w:right="281"/>
              <w:jc w:val="both"/>
              <w:rPr>
                <w:sz w:val="21"/>
              </w:rPr>
            </w:pPr>
            <w:r>
              <w:rPr>
                <w:sz w:val="21"/>
              </w:rPr>
              <w:t>若投保人的住所或通讯地址变更而未通知本公司，本公司按本合同载明的最新住所或通讯地址发送的有关通知，均视为已送达给投保人。</w:t>
            </w:r>
          </w:p>
        </w:tc>
      </w:tr>
      <w:tr>
        <w:trPr>
          <w:trHeight w:val="1665" w:hRule="atLeast"/>
        </w:trPr>
        <w:tc>
          <w:tcPr>
            <w:tcW w:w="784" w:type="dxa"/>
          </w:tcPr>
          <w:p>
            <w:pPr>
              <w:pStyle w:val="TableParagraph"/>
              <w:spacing w:before="134"/>
              <w:ind w:left="200"/>
              <w:rPr>
                <w:b/>
                <w:sz w:val="21"/>
              </w:rPr>
            </w:pPr>
            <w:r>
              <w:rPr>
                <w:b/>
                <w:sz w:val="21"/>
              </w:rPr>
              <w:t>6.6</w:t>
            </w:r>
          </w:p>
        </w:tc>
        <w:tc>
          <w:tcPr>
            <w:tcW w:w="1858" w:type="dxa"/>
          </w:tcPr>
          <w:p>
            <w:pPr>
              <w:pStyle w:val="TableParagraph"/>
              <w:spacing w:before="134"/>
              <w:ind w:left="267"/>
              <w:rPr>
                <w:b/>
                <w:sz w:val="21"/>
              </w:rPr>
            </w:pPr>
            <w:r>
              <w:rPr>
                <w:b/>
                <w:sz w:val="21"/>
              </w:rPr>
              <w:t>失踪处理</w:t>
            </w:r>
          </w:p>
        </w:tc>
        <w:tc>
          <w:tcPr>
            <w:tcW w:w="6913" w:type="dxa"/>
          </w:tcPr>
          <w:p>
            <w:pPr>
              <w:pStyle w:val="TableParagraph"/>
              <w:spacing w:line="273" w:lineRule="auto" w:before="134"/>
              <w:ind w:right="281"/>
              <w:jc w:val="both"/>
              <w:rPr>
                <w:sz w:val="21"/>
              </w:rPr>
            </w:pPr>
            <w:r>
              <w:rPr>
                <w:sz w:val="21"/>
              </w:rPr>
              <w:t>如果被保险人在本合同有效期内失踪，而且被法院宣告死亡，本公司以法院判决宣告死亡之日作为被保险人的死亡时间，按本合同的约定给付身故保险金，本公司对该被保险人的保险责任终止。</w:t>
            </w:r>
          </w:p>
          <w:p>
            <w:pPr>
              <w:pStyle w:val="TableParagraph"/>
              <w:spacing w:line="312" w:lineRule="exact" w:before="3"/>
              <w:ind w:right="281"/>
              <w:jc w:val="both"/>
              <w:rPr>
                <w:sz w:val="21"/>
              </w:rPr>
            </w:pPr>
            <w:r>
              <w:rPr>
                <w:sz w:val="21"/>
              </w:rPr>
              <w:t>如果被保险人在宣告死亡后重新出现或确知其没有死亡，受益人应于知道后 30 天内向本公司退还已支付的保险金。</w:t>
            </w:r>
          </w:p>
        </w:tc>
      </w:tr>
    </w:tbl>
    <w:p>
      <w:pPr>
        <w:spacing w:after="0" w:line="312" w:lineRule="exact"/>
        <w:jc w:val="both"/>
        <w:rPr>
          <w:sz w:val="21"/>
        </w:rPr>
        <w:sectPr>
          <w:pgSz w:w="11910" w:h="16840"/>
          <w:pgMar w:header="0" w:footer="912" w:top="1460" w:bottom="1100" w:left="1000" w:right="1140"/>
        </w:sectPr>
      </w:pPr>
    </w:p>
    <w:p>
      <w:pPr>
        <w:pStyle w:val="ListParagraph"/>
        <w:numPr>
          <w:ilvl w:val="1"/>
          <w:numId w:val="10"/>
        </w:numPr>
        <w:tabs>
          <w:tab w:pos="1155" w:val="left" w:leader="none"/>
          <w:tab w:pos="1156" w:val="left" w:leader="none"/>
          <w:tab w:pos="2857" w:val="left" w:leader="none"/>
        </w:tabs>
        <w:spacing w:line="273" w:lineRule="auto" w:before="7" w:after="0"/>
        <w:ind w:left="2857" w:right="382" w:hanging="2554"/>
        <w:jc w:val="left"/>
        <w:rPr>
          <w:sz w:val="21"/>
        </w:rPr>
      </w:pPr>
      <w:r>
        <w:rPr>
          <w:b/>
          <w:sz w:val="21"/>
        </w:rPr>
        <w:t>事故鉴定</w:t>
        <w:tab/>
      </w:r>
      <w:r>
        <w:rPr>
          <w:spacing w:val="-1"/>
          <w:sz w:val="21"/>
        </w:rPr>
        <w:t>在申</w:t>
      </w:r>
      <w:r>
        <w:rPr>
          <w:spacing w:val="-3"/>
          <w:sz w:val="21"/>
        </w:rPr>
        <w:t>请</w:t>
      </w:r>
      <w:r>
        <w:rPr>
          <w:spacing w:val="-1"/>
          <w:sz w:val="21"/>
        </w:rPr>
        <w:t>保</w:t>
      </w:r>
      <w:r>
        <w:rPr>
          <w:spacing w:val="-3"/>
          <w:sz w:val="21"/>
        </w:rPr>
        <w:t>险</w:t>
      </w:r>
      <w:r>
        <w:rPr>
          <w:spacing w:val="-1"/>
          <w:sz w:val="21"/>
        </w:rPr>
        <w:t>金</w:t>
      </w:r>
      <w:r>
        <w:rPr>
          <w:spacing w:val="-3"/>
          <w:sz w:val="21"/>
        </w:rPr>
        <w:t>给</w:t>
      </w:r>
      <w:r>
        <w:rPr>
          <w:sz w:val="21"/>
        </w:rPr>
        <w:t>付</w:t>
      </w:r>
      <w:r>
        <w:rPr>
          <w:spacing w:val="-3"/>
          <w:sz w:val="21"/>
        </w:rPr>
        <w:t>时</w:t>
      </w:r>
      <w:r>
        <w:rPr>
          <w:sz w:val="21"/>
        </w:rPr>
        <w:t>，</w:t>
      </w:r>
      <w:r>
        <w:rPr>
          <w:spacing w:val="-3"/>
          <w:sz w:val="21"/>
        </w:rPr>
        <w:t>本</w:t>
      </w:r>
      <w:r>
        <w:rPr>
          <w:sz w:val="21"/>
        </w:rPr>
        <w:t>公司</w:t>
      </w:r>
      <w:r>
        <w:rPr>
          <w:spacing w:val="-3"/>
          <w:sz w:val="21"/>
        </w:rPr>
        <w:t>有</w:t>
      </w:r>
      <w:r>
        <w:rPr>
          <w:sz w:val="21"/>
        </w:rPr>
        <w:t>权</w:t>
      </w:r>
      <w:r>
        <w:rPr>
          <w:spacing w:val="-3"/>
          <w:sz w:val="21"/>
        </w:rPr>
        <w:t>要</w:t>
      </w:r>
      <w:r>
        <w:rPr>
          <w:sz w:val="21"/>
        </w:rPr>
        <w:t>求</w:t>
      </w:r>
      <w:r>
        <w:rPr>
          <w:spacing w:val="-3"/>
          <w:sz w:val="21"/>
        </w:rPr>
        <w:t>被</w:t>
      </w:r>
      <w:r>
        <w:rPr>
          <w:sz w:val="21"/>
        </w:rPr>
        <w:t>保</w:t>
      </w:r>
      <w:r>
        <w:rPr>
          <w:spacing w:val="-3"/>
          <w:sz w:val="21"/>
        </w:rPr>
        <w:t>险</w:t>
      </w:r>
      <w:r>
        <w:rPr>
          <w:sz w:val="21"/>
        </w:rPr>
        <w:t>人在</w:t>
      </w:r>
      <w:r>
        <w:rPr>
          <w:b/>
          <w:sz w:val="21"/>
        </w:rPr>
        <w:t>本公司认可的医疗机 构</w:t>
      </w:r>
      <w:r>
        <w:rPr>
          <w:sz w:val="21"/>
        </w:rPr>
        <w:t>（</w:t>
      </w:r>
      <w:r>
        <w:rPr>
          <w:spacing w:val="-3"/>
          <w:sz w:val="21"/>
        </w:rPr>
        <w:t>见</w:t>
      </w:r>
      <w:r>
        <w:rPr>
          <w:sz w:val="21"/>
        </w:rPr>
        <w:t>释义</w:t>
      </w:r>
      <w:r>
        <w:rPr>
          <w:spacing w:val="-26"/>
          <w:sz w:val="21"/>
        </w:rPr>
        <w:t> </w:t>
      </w:r>
      <w:r>
        <w:rPr>
          <w:rFonts w:ascii="Times New Roman" w:eastAsia="Times New Roman"/>
          <w:sz w:val="21"/>
        </w:rPr>
        <w:t>7.13</w:t>
      </w:r>
      <w:r>
        <w:rPr>
          <w:sz w:val="21"/>
        </w:rPr>
        <w:t>）</w:t>
      </w:r>
      <w:r>
        <w:rPr>
          <w:spacing w:val="-3"/>
          <w:sz w:val="21"/>
        </w:rPr>
        <w:t>进</w:t>
      </w:r>
      <w:r>
        <w:rPr>
          <w:sz w:val="21"/>
        </w:rPr>
        <w:t>行</w:t>
      </w:r>
      <w:r>
        <w:rPr>
          <w:spacing w:val="-3"/>
          <w:sz w:val="21"/>
        </w:rPr>
        <w:t>身</w:t>
      </w:r>
      <w:r>
        <w:rPr>
          <w:sz w:val="21"/>
        </w:rPr>
        <w:t>体检</w:t>
      </w:r>
      <w:r>
        <w:rPr>
          <w:spacing w:val="-3"/>
          <w:sz w:val="21"/>
        </w:rPr>
        <w:t>查</w:t>
      </w:r>
      <w:r>
        <w:rPr>
          <w:sz w:val="21"/>
        </w:rPr>
        <w:t>或</w:t>
      </w:r>
      <w:r>
        <w:rPr>
          <w:spacing w:val="-3"/>
          <w:sz w:val="21"/>
        </w:rPr>
        <w:t>到</w:t>
      </w:r>
      <w:r>
        <w:rPr>
          <w:sz w:val="21"/>
        </w:rPr>
        <w:t>法</w:t>
      </w:r>
      <w:r>
        <w:rPr>
          <w:spacing w:val="-3"/>
          <w:sz w:val="21"/>
        </w:rPr>
        <w:t>定</w:t>
      </w:r>
      <w:r>
        <w:rPr>
          <w:sz w:val="21"/>
        </w:rPr>
        <w:t>鉴</w:t>
      </w:r>
      <w:r>
        <w:rPr>
          <w:spacing w:val="-3"/>
          <w:sz w:val="21"/>
        </w:rPr>
        <w:t>定</w:t>
      </w:r>
      <w:r>
        <w:rPr>
          <w:sz w:val="21"/>
        </w:rPr>
        <w:t>部</w:t>
      </w:r>
      <w:r>
        <w:rPr>
          <w:spacing w:val="-3"/>
          <w:sz w:val="21"/>
        </w:rPr>
        <w:t>门</w:t>
      </w:r>
      <w:r>
        <w:rPr>
          <w:sz w:val="21"/>
        </w:rPr>
        <w:t>进行</w:t>
      </w:r>
      <w:r>
        <w:rPr>
          <w:spacing w:val="-3"/>
          <w:sz w:val="21"/>
        </w:rPr>
        <w:t>残</w:t>
      </w:r>
      <w:r>
        <w:rPr>
          <w:sz w:val="21"/>
        </w:rPr>
        <w:t>疾</w:t>
      </w:r>
      <w:r>
        <w:rPr>
          <w:spacing w:val="-3"/>
          <w:sz w:val="21"/>
        </w:rPr>
        <w:t>鉴</w:t>
      </w:r>
      <w:r>
        <w:rPr>
          <w:sz w:val="21"/>
        </w:rPr>
        <w:t>定。</w:t>
      </w:r>
    </w:p>
    <w:p>
      <w:pPr>
        <w:pStyle w:val="BodyText"/>
        <w:spacing w:line="273" w:lineRule="auto"/>
        <w:ind w:left="2857" w:right="389"/>
      </w:pPr>
      <w:r>
        <w:rPr/>
        <w:t>如果被保险人身故且身故原因不明的，除法律所不允许的情形外，本公司可以要求解剖检验或要求司法鉴定机构对保险事故进行鉴定。</w:t>
      </w:r>
    </w:p>
    <w:p>
      <w:pPr>
        <w:pStyle w:val="BodyText"/>
        <w:rPr>
          <w:sz w:val="20"/>
        </w:rPr>
      </w:pPr>
    </w:p>
    <w:p>
      <w:pPr>
        <w:pStyle w:val="BodyText"/>
        <w:spacing w:before="1"/>
        <w:rPr>
          <w:sz w:val="17"/>
        </w:rPr>
      </w:pPr>
    </w:p>
    <w:p>
      <w:pPr>
        <w:pStyle w:val="ListParagraph"/>
        <w:numPr>
          <w:ilvl w:val="1"/>
          <w:numId w:val="10"/>
        </w:numPr>
        <w:tabs>
          <w:tab w:pos="1155" w:val="left" w:leader="none"/>
          <w:tab w:pos="1156" w:val="left" w:leader="none"/>
          <w:tab w:pos="2857" w:val="left" w:leader="none"/>
        </w:tabs>
        <w:spacing w:line="273" w:lineRule="auto" w:before="0" w:after="0"/>
        <w:ind w:left="2857" w:right="319" w:hanging="2554"/>
        <w:jc w:val="left"/>
        <w:rPr>
          <w:sz w:val="21"/>
        </w:rPr>
      </w:pPr>
      <w:r>
        <w:rPr>
          <w:b/>
          <w:sz w:val="21"/>
        </w:rPr>
        <w:t>争议处理</w:t>
        <w:tab/>
      </w:r>
      <w:r>
        <w:rPr>
          <w:sz w:val="21"/>
        </w:rPr>
        <w:t>投保人和本公司发生争议时，投保人可以从以下两种争议处理方式中选 择一</w:t>
      </w:r>
      <w:r>
        <w:rPr>
          <w:spacing w:val="-3"/>
          <w:sz w:val="21"/>
        </w:rPr>
        <w:t>种</w:t>
      </w:r>
      <w:r>
        <w:rPr>
          <w:sz w:val="21"/>
        </w:rPr>
        <w:t>：</w:t>
      </w:r>
    </w:p>
    <w:p>
      <w:pPr>
        <w:pStyle w:val="BodyText"/>
        <w:spacing w:line="273" w:lineRule="auto" w:before="7"/>
        <w:ind w:left="3349" w:right="264" w:hanging="492"/>
      </w:pPr>
      <w:r>
        <w:rPr/>
        <w:t>（1）提交仲裁委员会按提交仲裁时该仲裁委员会现行有效的仲裁规则仲裁；</w:t>
      </w:r>
    </w:p>
    <w:p>
      <w:pPr>
        <w:pStyle w:val="BodyText"/>
        <w:spacing w:before="7"/>
        <w:ind w:left="2857"/>
      </w:pPr>
      <w:r>
        <w:rPr/>
        <w:t>（2）向有管辖权的人民法院提起诉讼。</w:t>
      </w:r>
    </w:p>
    <w:p>
      <w:pPr>
        <w:pStyle w:val="BodyText"/>
        <w:spacing w:line="273" w:lineRule="auto" w:before="37"/>
        <w:ind w:left="2857" w:right="389"/>
      </w:pPr>
      <w:r>
        <w:rPr>
          <w:spacing w:val="-3"/>
        </w:rPr>
        <w:t>如果投保人选择以仲裁方式作为合同签署或履行过程中争议处理的方 式，需与本公司协议选定仲裁委员会。如果没有选择争议处理的方式、选择仲裁但仲裁委员会约定不明或者约定的仲裁委员会不存在，则以本</w:t>
      </w:r>
      <w:r>
        <w:rPr>
          <w:spacing w:val="-2"/>
        </w:rPr>
        <w:t>条上述第</w:t>
      </w:r>
      <w:r>
        <w:rPr>
          <w:spacing w:val="-1"/>
        </w:rPr>
        <w:t>（2）</w:t>
      </w:r>
      <w:r>
        <w:rPr>
          <w:spacing w:val="-3"/>
        </w:rPr>
        <w:t>种方式处理争议。</w:t>
      </w:r>
    </w:p>
    <w:p>
      <w:pPr>
        <w:pStyle w:val="BodyText"/>
        <w:spacing w:before="6"/>
        <w:rPr>
          <w:sz w:val="29"/>
        </w:rPr>
      </w:pPr>
    </w:p>
    <w:p>
      <w:pPr>
        <w:tabs>
          <w:tab w:pos="1155" w:val="left" w:leader="none"/>
        </w:tabs>
        <w:spacing w:before="0"/>
        <w:ind w:left="303" w:right="0" w:firstLine="0"/>
        <w:jc w:val="left"/>
        <w:rPr>
          <w:b/>
          <w:sz w:val="24"/>
        </w:rPr>
      </w:pPr>
      <w:r>
        <w:rPr/>
        <w:pict>
          <v:group style="position:absolute;margin-left:59.759998pt;margin-top:28.159761pt;width:467.9pt;height:1pt;mso-position-horizontal-relative:page;mso-position-vertical-relative:paragraph;z-index:1048;mso-wrap-distance-left:0;mso-wrap-distance-right:0" coordorigin="1195,563" coordsize="9358,20">
            <v:line style="position:absolute" from="1195,573" to="2048,573" stroked="true" strokeweight=".95999pt" strokecolor="#000000">
              <v:stroke dashstyle="solid"/>
            </v:line>
            <v:rect style="position:absolute;left:2047;top:563;width:20;height:20" filled="true" fillcolor="#000000" stroked="false">
              <v:fill type="solid"/>
            </v:rect>
            <v:line style="position:absolute" from="2067,573" to="3747,573" stroked="true" strokeweight=".95999pt" strokecolor="#000000">
              <v:stroke dashstyle="solid"/>
            </v:line>
            <v:rect style="position:absolute;left:3747;top:563;width:20;height:20" filled="true" fillcolor="#000000" stroked="false">
              <v:fill type="solid"/>
            </v:rect>
            <v:line style="position:absolute" from="3767,573" to="10552,573" stroked="true" strokeweight=".95999pt" strokecolor="#000000">
              <v:stroke dashstyle="solid"/>
            </v:line>
            <w10:wrap type="topAndBottom"/>
          </v:group>
        </w:pict>
      </w:r>
      <w:r>
        <w:rPr>
          <w:rFonts w:ascii="Arial" w:hAnsi="Arial" w:eastAsia="Arial"/>
          <w:b/>
          <w:w w:val="110"/>
          <w:position w:val="-3"/>
          <w:sz w:val="40"/>
        </w:rPr>
        <w:t></w:t>
        <w:tab/>
      </w:r>
      <w:r>
        <w:rPr>
          <w:b/>
          <w:sz w:val="24"/>
        </w:rPr>
        <w:t>释义</w:t>
      </w:r>
    </w:p>
    <w:p>
      <w:pPr>
        <w:pStyle w:val="BodyText"/>
        <w:spacing w:before="12"/>
        <w:rPr>
          <w:b/>
          <w:sz w:val="9"/>
        </w:rPr>
      </w:pPr>
    </w:p>
    <w:p>
      <w:pPr>
        <w:pStyle w:val="BodyText"/>
        <w:tabs>
          <w:tab w:pos="1155" w:val="left" w:leader="none"/>
          <w:tab w:pos="2857" w:val="left" w:leader="none"/>
        </w:tabs>
        <w:spacing w:line="273" w:lineRule="auto" w:before="37"/>
        <w:ind w:left="2857" w:right="209" w:hanging="2555"/>
      </w:pPr>
      <w:r>
        <w:rPr>
          <w:b/>
        </w:rPr>
        <w:t>7.1</w:t>
        <w:tab/>
        <w:t>现金价值</w:t>
        <w:tab/>
      </w:r>
      <w:r>
        <w:rPr/>
        <w:t>指保</w:t>
      </w:r>
      <w:r>
        <w:rPr>
          <w:spacing w:val="-3"/>
        </w:rPr>
        <w:t>险</w:t>
      </w:r>
      <w:r>
        <w:rPr/>
        <w:t>单</w:t>
      </w:r>
      <w:r>
        <w:rPr>
          <w:spacing w:val="-3"/>
        </w:rPr>
        <w:t>所</w:t>
      </w:r>
      <w:r>
        <w:rPr/>
        <w:t>具</w:t>
      </w:r>
      <w:r>
        <w:rPr>
          <w:spacing w:val="-3"/>
        </w:rPr>
        <w:t>有</w:t>
      </w:r>
      <w:r>
        <w:rPr/>
        <w:t>的</w:t>
      </w:r>
      <w:r>
        <w:rPr>
          <w:spacing w:val="-3"/>
        </w:rPr>
        <w:t>价</w:t>
      </w:r>
      <w:r>
        <w:rPr/>
        <w:t>值</w:t>
      </w:r>
      <w:r>
        <w:rPr>
          <w:spacing w:val="-17"/>
        </w:rPr>
        <w:t>，</w:t>
      </w:r>
      <w:r>
        <w:rPr/>
        <w:t>通常</w:t>
      </w:r>
      <w:r>
        <w:rPr>
          <w:spacing w:val="-3"/>
        </w:rPr>
        <w:t>体</w:t>
      </w:r>
      <w:r>
        <w:rPr/>
        <w:t>现</w:t>
      </w:r>
      <w:r>
        <w:rPr>
          <w:spacing w:val="-3"/>
        </w:rPr>
        <w:t>为</w:t>
      </w:r>
      <w:r>
        <w:rPr/>
        <w:t>解</w:t>
      </w:r>
      <w:r>
        <w:rPr>
          <w:spacing w:val="-3"/>
        </w:rPr>
        <w:t>除</w:t>
      </w:r>
      <w:r>
        <w:rPr/>
        <w:t>合</w:t>
      </w:r>
      <w:r>
        <w:rPr>
          <w:spacing w:val="-3"/>
        </w:rPr>
        <w:t>同</w:t>
      </w:r>
      <w:r>
        <w:rPr/>
        <w:t>时</w:t>
      </w:r>
      <w:r>
        <w:rPr>
          <w:spacing w:val="-17"/>
        </w:rPr>
        <w:t>，</w:t>
      </w:r>
      <w:r>
        <w:rPr/>
        <w:t>根据</w:t>
      </w:r>
      <w:r>
        <w:rPr>
          <w:spacing w:val="-3"/>
        </w:rPr>
        <w:t>精</w:t>
      </w:r>
      <w:r>
        <w:rPr/>
        <w:t>算</w:t>
      </w:r>
      <w:r>
        <w:rPr>
          <w:spacing w:val="-3"/>
        </w:rPr>
        <w:t>原</w:t>
      </w:r>
      <w:r>
        <w:rPr/>
        <w:t>理</w:t>
      </w:r>
      <w:r>
        <w:rPr>
          <w:spacing w:val="-3"/>
        </w:rPr>
        <w:t>计</w:t>
      </w:r>
      <w:r>
        <w:rPr/>
        <w:t>算</w:t>
      </w:r>
      <w:r>
        <w:rPr>
          <w:spacing w:val="-3"/>
        </w:rPr>
        <w:t>的</w:t>
      </w:r>
      <w:r>
        <w:rPr/>
        <w:t>， 由本</w:t>
      </w:r>
      <w:r>
        <w:rPr>
          <w:spacing w:val="-3"/>
        </w:rPr>
        <w:t>公</w:t>
      </w:r>
      <w:r>
        <w:rPr/>
        <w:t>司</w:t>
      </w:r>
      <w:r>
        <w:rPr>
          <w:spacing w:val="-3"/>
        </w:rPr>
        <w:t>退</w:t>
      </w:r>
      <w:r>
        <w:rPr/>
        <w:t>还</w:t>
      </w:r>
      <w:r>
        <w:rPr>
          <w:spacing w:val="-3"/>
        </w:rPr>
        <w:t>的</w:t>
      </w:r>
      <w:r>
        <w:rPr/>
        <w:t>那</w:t>
      </w:r>
      <w:r>
        <w:rPr>
          <w:spacing w:val="-3"/>
        </w:rPr>
        <w:t>部</w:t>
      </w:r>
      <w:r>
        <w:rPr/>
        <w:t>分</w:t>
      </w:r>
      <w:r>
        <w:rPr>
          <w:spacing w:val="-3"/>
        </w:rPr>
        <w:t>金</w:t>
      </w:r>
      <w:r>
        <w:rPr/>
        <w:t>额。</w:t>
      </w:r>
    </w:p>
    <w:p>
      <w:pPr>
        <w:pStyle w:val="BodyText"/>
        <w:spacing w:line="273" w:lineRule="auto" w:before="7"/>
        <w:ind w:left="2857" w:right="389"/>
      </w:pPr>
      <w:r>
        <w:rPr/>
        <w:t>本合同的现金价值等于本合同的账户价值扣除退保手续费后的余额，加并未满期风险保险费的总和。</w:t>
      </w:r>
    </w:p>
    <w:p>
      <w:pPr>
        <w:pStyle w:val="BodyText"/>
        <w:spacing w:before="7" w:after="50"/>
        <w:ind w:left="2857"/>
      </w:pPr>
      <w:r>
        <w:rPr/>
        <w:t>本合同的退保手续费按账户价值乘以下表所列退保手续费率确定：</w:t>
      </w:r>
    </w:p>
    <w:tbl>
      <w:tblPr>
        <w:tblW w:w="0" w:type="auto"/>
        <w:jc w:val="left"/>
        <w:tblInd w:w="2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022"/>
        <w:gridCol w:w="1022"/>
        <w:gridCol w:w="1022"/>
        <w:gridCol w:w="1023"/>
        <w:gridCol w:w="1390"/>
      </w:tblGrid>
      <w:tr>
        <w:trPr>
          <w:trHeight w:val="311" w:hRule="atLeast"/>
        </w:trPr>
        <w:tc>
          <w:tcPr>
            <w:tcW w:w="1094" w:type="dxa"/>
          </w:tcPr>
          <w:p>
            <w:pPr>
              <w:pStyle w:val="TableParagraph"/>
              <w:spacing w:before="8"/>
              <w:ind w:left="172"/>
              <w:rPr>
                <w:sz w:val="18"/>
              </w:rPr>
            </w:pPr>
            <w:r>
              <w:rPr>
                <w:sz w:val="18"/>
              </w:rPr>
              <w:t>保单年度</w:t>
            </w:r>
          </w:p>
        </w:tc>
        <w:tc>
          <w:tcPr>
            <w:tcW w:w="1022" w:type="dxa"/>
          </w:tcPr>
          <w:p>
            <w:pPr>
              <w:pStyle w:val="TableParagraph"/>
              <w:spacing w:before="8"/>
              <w:ind w:left="206" w:right="224"/>
              <w:jc w:val="center"/>
              <w:rPr>
                <w:sz w:val="18"/>
              </w:rPr>
            </w:pPr>
            <w:r>
              <w:rPr>
                <w:sz w:val="18"/>
              </w:rPr>
              <w:t>第一年</w:t>
            </w:r>
          </w:p>
        </w:tc>
        <w:tc>
          <w:tcPr>
            <w:tcW w:w="1022" w:type="dxa"/>
          </w:tcPr>
          <w:p>
            <w:pPr>
              <w:pStyle w:val="TableParagraph"/>
              <w:spacing w:before="8"/>
              <w:ind w:left="207" w:right="223"/>
              <w:jc w:val="center"/>
              <w:rPr>
                <w:sz w:val="18"/>
              </w:rPr>
            </w:pPr>
            <w:r>
              <w:rPr>
                <w:sz w:val="18"/>
              </w:rPr>
              <w:t>第二年</w:t>
            </w:r>
          </w:p>
        </w:tc>
        <w:tc>
          <w:tcPr>
            <w:tcW w:w="1022" w:type="dxa"/>
          </w:tcPr>
          <w:p>
            <w:pPr>
              <w:pStyle w:val="TableParagraph"/>
              <w:spacing w:before="8"/>
              <w:ind w:left="207" w:right="224"/>
              <w:jc w:val="center"/>
              <w:rPr>
                <w:sz w:val="18"/>
              </w:rPr>
            </w:pPr>
            <w:r>
              <w:rPr>
                <w:sz w:val="18"/>
              </w:rPr>
              <w:t>第三年</w:t>
            </w:r>
          </w:p>
        </w:tc>
        <w:tc>
          <w:tcPr>
            <w:tcW w:w="1023" w:type="dxa"/>
          </w:tcPr>
          <w:p>
            <w:pPr>
              <w:pStyle w:val="TableParagraph"/>
              <w:spacing w:before="8"/>
              <w:ind w:left="205" w:right="227"/>
              <w:jc w:val="center"/>
              <w:rPr>
                <w:sz w:val="18"/>
              </w:rPr>
            </w:pPr>
            <w:r>
              <w:rPr>
                <w:sz w:val="18"/>
              </w:rPr>
              <w:t>第四年</w:t>
            </w:r>
          </w:p>
        </w:tc>
        <w:tc>
          <w:tcPr>
            <w:tcW w:w="1390" w:type="dxa"/>
          </w:tcPr>
          <w:p>
            <w:pPr>
              <w:pStyle w:val="TableParagraph"/>
              <w:spacing w:before="8"/>
              <w:ind w:left="121" w:right="138"/>
              <w:jc w:val="center"/>
              <w:rPr>
                <w:sz w:val="18"/>
              </w:rPr>
            </w:pPr>
            <w:r>
              <w:rPr>
                <w:sz w:val="18"/>
              </w:rPr>
              <w:t>第五年及以后</w:t>
            </w:r>
          </w:p>
        </w:tc>
      </w:tr>
      <w:tr>
        <w:trPr>
          <w:trHeight w:val="623" w:hRule="atLeast"/>
        </w:trPr>
        <w:tc>
          <w:tcPr>
            <w:tcW w:w="1094" w:type="dxa"/>
          </w:tcPr>
          <w:p>
            <w:pPr>
              <w:pStyle w:val="TableParagraph"/>
              <w:spacing w:before="8"/>
              <w:ind w:left="154" w:right="170"/>
              <w:jc w:val="center"/>
              <w:rPr>
                <w:sz w:val="18"/>
              </w:rPr>
            </w:pPr>
            <w:r>
              <w:rPr>
                <w:sz w:val="18"/>
              </w:rPr>
              <w:t>退保手续</w:t>
            </w:r>
          </w:p>
          <w:p>
            <w:pPr>
              <w:pStyle w:val="TableParagraph"/>
              <w:spacing w:before="76"/>
              <w:ind w:left="154" w:right="170"/>
              <w:jc w:val="center"/>
              <w:rPr>
                <w:sz w:val="18"/>
              </w:rPr>
            </w:pPr>
            <w:r>
              <w:rPr>
                <w:sz w:val="18"/>
              </w:rPr>
              <w:t>费率</w:t>
            </w:r>
          </w:p>
        </w:tc>
        <w:tc>
          <w:tcPr>
            <w:tcW w:w="1022" w:type="dxa"/>
          </w:tcPr>
          <w:p>
            <w:pPr>
              <w:pStyle w:val="TableParagraph"/>
              <w:spacing w:before="164"/>
              <w:ind w:left="206" w:right="224"/>
              <w:jc w:val="center"/>
              <w:rPr>
                <w:sz w:val="18"/>
              </w:rPr>
            </w:pPr>
            <w:r>
              <w:rPr>
                <w:rFonts w:ascii="Times New Roman" w:eastAsia="Times New Roman"/>
                <w:sz w:val="18"/>
              </w:rPr>
              <w:t>4</w:t>
            </w:r>
            <w:r>
              <w:rPr>
                <w:sz w:val="18"/>
              </w:rPr>
              <w:t>％</w:t>
            </w:r>
          </w:p>
        </w:tc>
        <w:tc>
          <w:tcPr>
            <w:tcW w:w="1022" w:type="dxa"/>
          </w:tcPr>
          <w:p>
            <w:pPr>
              <w:pStyle w:val="TableParagraph"/>
              <w:spacing w:before="164"/>
              <w:ind w:left="207" w:right="223"/>
              <w:jc w:val="center"/>
              <w:rPr>
                <w:sz w:val="18"/>
              </w:rPr>
            </w:pPr>
            <w:r>
              <w:rPr>
                <w:rFonts w:ascii="Times New Roman" w:eastAsia="Times New Roman"/>
                <w:sz w:val="18"/>
              </w:rPr>
              <w:t>3</w:t>
            </w:r>
            <w:r>
              <w:rPr>
                <w:sz w:val="18"/>
              </w:rPr>
              <w:t>％</w:t>
            </w:r>
          </w:p>
        </w:tc>
        <w:tc>
          <w:tcPr>
            <w:tcW w:w="1022" w:type="dxa"/>
          </w:tcPr>
          <w:p>
            <w:pPr>
              <w:pStyle w:val="TableParagraph"/>
              <w:spacing w:before="164"/>
              <w:ind w:left="207" w:right="224"/>
              <w:jc w:val="center"/>
              <w:rPr>
                <w:sz w:val="18"/>
              </w:rPr>
            </w:pPr>
            <w:r>
              <w:rPr>
                <w:rFonts w:ascii="Times New Roman" w:eastAsia="Times New Roman"/>
                <w:sz w:val="18"/>
              </w:rPr>
              <w:t>2</w:t>
            </w:r>
            <w:r>
              <w:rPr>
                <w:sz w:val="18"/>
              </w:rPr>
              <w:t>％</w:t>
            </w:r>
          </w:p>
        </w:tc>
        <w:tc>
          <w:tcPr>
            <w:tcW w:w="1023" w:type="dxa"/>
          </w:tcPr>
          <w:p>
            <w:pPr>
              <w:pStyle w:val="TableParagraph"/>
              <w:spacing w:before="164"/>
              <w:ind w:left="205" w:right="225"/>
              <w:jc w:val="center"/>
              <w:rPr>
                <w:sz w:val="18"/>
              </w:rPr>
            </w:pPr>
            <w:r>
              <w:rPr>
                <w:rFonts w:ascii="Times New Roman" w:eastAsia="Times New Roman"/>
                <w:sz w:val="18"/>
              </w:rPr>
              <w:t>1</w:t>
            </w:r>
            <w:r>
              <w:rPr>
                <w:sz w:val="18"/>
              </w:rPr>
              <w:t>％</w:t>
            </w:r>
          </w:p>
        </w:tc>
        <w:tc>
          <w:tcPr>
            <w:tcW w:w="1390" w:type="dxa"/>
          </w:tcPr>
          <w:p>
            <w:pPr>
              <w:pStyle w:val="TableParagraph"/>
              <w:spacing w:before="164"/>
              <w:ind w:left="120" w:right="138"/>
              <w:jc w:val="center"/>
              <w:rPr>
                <w:sz w:val="18"/>
              </w:rPr>
            </w:pPr>
            <w:r>
              <w:rPr>
                <w:rFonts w:ascii="Times New Roman" w:eastAsia="Times New Roman"/>
                <w:sz w:val="18"/>
              </w:rPr>
              <w:t>0</w:t>
            </w:r>
            <w:r>
              <w:rPr>
                <w:sz w:val="18"/>
              </w:rPr>
              <w:t>％</w:t>
            </w:r>
          </w:p>
        </w:tc>
      </w:tr>
    </w:tbl>
    <w:p>
      <w:pPr>
        <w:pStyle w:val="BodyText"/>
        <w:spacing w:before="9" w:after="1"/>
        <w:rPr>
          <w:sz w:val="2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72"/>
        <w:gridCol w:w="6889"/>
      </w:tblGrid>
      <w:tr>
        <w:trPr>
          <w:trHeight w:val="573" w:hRule="atLeast"/>
        </w:trPr>
        <w:tc>
          <w:tcPr>
            <w:tcW w:w="784" w:type="dxa"/>
          </w:tcPr>
          <w:p>
            <w:pPr>
              <w:pStyle w:val="TableParagraph"/>
              <w:spacing w:line="211" w:lineRule="exact" w:before="0"/>
              <w:ind w:left="200"/>
              <w:rPr>
                <w:b/>
                <w:sz w:val="21"/>
              </w:rPr>
            </w:pPr>
            <w:r>
              <w:rPr>
                <w:b/>
                <w:sz w:val="21"/>
              </w:rPr>
              <w:t>7.2</w:t>
            </w:r>
          </w:p>
        </w:tc>
        <w:tc>
          <w:tcPr>
            <w:tcW w:w="1872" w:type="dxa"/>
          </w:tcPr>
          <w:p>
            <w:pPr>
              <w:pStyle w:val="TableParagraph"/>
              <w:spacing w:line="211" w:lineRule="exact" w:before="0"/>
              <w:ind w:left="267"/>
              <w:rPr>
                <w:b/>
                <w:sz w:val="21"/>
              </w:rPr>
            </w:pPr>
            <w:r>
              <w:rPr>
                <w:b/>
                <w:sz w:val="21"/>
              </w:rPr>
              <w:t>重大疾病</w:t>
            </w:r>
          </w:p>
        </w:tc>
        <w:tc>
          <w:tcPr>
            <w:tcW w:w="6889" w:type="dxa"/>
          </w:tcPr>
          <w:p>
            <w:pPr>
              <w:pStyle w:val="TableParagraph"/>
              <w:spacing w:line="211" w:lineRule="exact" w:before="0"/>
              <w:ind w:left="98"/>
              <w:rPr>
                <w:sz w:val="21"/>
              </w:rPr>
            </w:pPr>
            <w:r>
              <w:rPr>
                <w:sz w:val="21"/>
              </w:rPr>
              <w:t>指保险责任生效后，经</w:t>
            </w:r>
            <w:r>
              <w:rPr>
                <w:b/>
                <w:sz w:val="21"/>
              </w:rPr>
              <w:t>专科医生</w:t>
            </w:r>
            <w:r>
              <w:rPr>
                <w:sz w:val="21"/>
              </w:rPr>
              <w:t>（见释义 7.4）明确诊断，被保险人初次</w:t>
            </w:r>
          </w:p>
          <w:p>
            <w:pPr>
              <w:pStyle w:val="TableParagraph"/>
              <w:ind w:left="98"/>
              <w:rPr>
                <w:sz w:val="21"/>
              </w:rPr>
            </w:pPr>
            <w:r>
              <w:rPr>
                <w:sz w:val="21"/>
              </w:rPr>
              <w:t>发生的符合以下疾病定义所述条件的疾病：</w:t>
            </w:r>
          </w:p>
        </w:tc>
      </w:tr>
      <w:tr>
        <w:trPr>
          <w:trHeight w:val="3547" w:hRule="atLeast"/>
        </w:trPr>
        <w:tc>
          <w:tcPr>
            <w:tcW w:w="784" w:type="dxa"/>
          </w:tcPr>
          <w:p>
            <w:pPr>
              <w:pStyle w:val="TableParagraph"/>
              <w:spacing w:before="0"/>
              <w:ind w:left="0"/>
              <w:rPr>
                <w:rFonts w:ascii="Times New Roman"/>
                <w:sz w:val="20"/>
              </w:rPr>
            </w:pPr>
          </w:p>
        </w:tc>
        <w:tc>
          <w:tcPr>
            <w:tcW w:w="1872" w:type="dxa"/>
          </w:tcPr>
          <w:p>
            <w:pPr>
              <w:pStyle w:val="TableParagraph"/>
              <w:spacing w:line="261" w:lineRule="exact" w:before="0"/>
              <w:ind w:left="267"/>
              <w:rPr>
                <w:sz w:val="21"/>
              </w:rPr>
            </w:pPr>
            <w:r>
              <w:rPr>
                <w:sz w:val="21"/>
              </w:rPr>
              <w:t>( 一) 恶性肿瘤</w:t>
            </w:r>
          </w:p>
          <w:p>
            <w:pPr>
              <w:pStyle w:val="TableParagraph"/>
              <w:spacing w:line="273" w:lineRule="auto"/>
              <w:ind w:left="267" w:right="114"/>
              <w:rPr>
                <w:sz w:val="21"/>
              </w:rPr>
            </w:pPr>
            <w:r>
              <w:rPr>
                <w:sz w:val="21"/>
              </w:rPr>
              <w:t>－“中国保险行业协会推荐”</w:t>
            </w:r>
          </w:p>
        </w:tc>
        <w:tc>
          <w:tcPr>
            <w:tcW w:w="6889" w:type="dxa"/>
          </w:tcPr>
          <w:p>
            <w:pPr>
              <w:pStyle w:val="TableParagraph"/>
              <w:spacing w:line="261" w:lineRule="exact" w:before="0"/>
              <w:ind w:left="98"/>
              <w:rPr>
                <w:sz w:val="21"/>
              </w:rPr>
            </w:pPr>
            <w:r>
              <w:rPr>
                <w:sz w:val="21"/>
              </w:rPr>
              <w:t>指恶性细胞不受控制的进行性增长和扩散，浸润和破坏周围正常组织，</w:t>
            </w:r>
          </w:p>
          <w:p>
            <w:pPr>
              <w:pStyle w:val="TableParagraph"/>
              <w:spacing w:line="273" w:lineRule="auto"/>
              <w:ind w:left="98" w:right="271"/>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98"/>
              <w:jc w:val="both"/>
              <w:rPr>
                <w:sz w:val="21"/>
              </w:rPr>
            </w:pPr>
            <w:r>
              <w:rPr>
                <w:sz w:val="21"/>
              </w:rPr>
              <w:t>下列疾病不在保障范围内：</w:t>
            </w:r>
          </w:p>
          <w:p>
            <w:pPr>
              <w:pStyle w:val="TableParagraph"/>
              <w:ind w:left="98"/>
              <w:jc w:val="both"/>
              <w:rPr>
                <w:sz w:val="21"/>
              </w:rPr>
            </w:pPr>
            <w:r>
              <w:rPr>
                <w:sz w:val="21"/>
              </w:rPr>
              <w:t>（1）原位癌；</w:t>
            </w:r>
          </w:p>
          <w:p>
            <w:pPr>
              <w:pStyle w:val="TableParagraph"/>
              <w:ind w:left="98"/>
              <w:jc w:val="both"/>
              <w:rPr>
                <w:sz w:val="21"/>
              </w:rPr>
            </w:pPr>
            <w:r>
              <w:rPr>
                <w:sz w:val="21"/>
              </w:rPr>
              <w:t>（2）相当于Binet分期方案A期程度的慢性淋巴细胞白血病；</w:t>
            </w:r>
          </w:p>
          <w:p>
            <w:pPr>
              <w:pStyle w:val="TableParagraph"/>
              <w:ind w:left="98"/>
              <w:jc w:val="both"/>
              <w:rPr>
                <w:sz w:val="21"/>
              </w:rPr>
            </w:pPr>
            <w:r>
              <w:rPr>
                <w:sz w:val="21"/>
              </w:rPr>
              <w:t>（3）相当于Ann Arbor分期方案I期程度的何杰金氏病；</w:t>
            </w:r>
          </w:p>
          <w:p>
            <w:pPr>
              <w:pStyle w:val="TableParagraph"/>
              <w:spacing w:line="274" w:lineRule="exact" w:before="15"/>
              <w:ind w:left="98"/>
              <w:jc w:val="both"/>
              <w:rPr>
                <w:sz w:val="21"/>
              </w:rPr>
            </w:pPr>
            <w:r>
              <w:rPr>
                <w:sz w:val="21"/>
              </w:rPr>
              <w:t>（4）皮肤癌（不包括恶性黑色素瘤及已发生转移的皮肤癌）；</w:t>
            </w:r>
          </w:p>
          <w:p>
            <w:pPr>
              <w:pStyle w:val="TableParagraph"/>
              <w:spacing w:line="230" w:lineRule="exact" w:before="0"/>
              <w:ind w:left="98"/>
              <w:jc w:val="both"/>
              <w:rPr>
                <w:sz w:val="21"/>
              </w:rPr>
            </w:pPr>
            <w:r>
              <w:rPr>
                <w:sz w:val="21"/>
              </w:rPr>
              <w:t>（5）TNM分期为T N M 期或更轻分期的前列腺癌；</w:t>
            </w:r>
          </w:p>
          <w:p>
            <w:pPr>
              <w:pStyle w:val="TableParagraph"/>
              <w:spacing w:line="100" w:lineRule="exact" w:before="0"/>
              <w:ind w:left="1674"/>
              <w:rPr>
                <w:sz w:val="11"/>
              </w:rPr>
            </w:pPr>
            <w:r>
              <w:rPr>
                <w:sz w:val="11"/>
              </w:rPr>
              <w:t>1  0 0</w:t>
            </w:r>
          </w:p>
          <w:p>
            <w:pPr>
              <w:pStyle w:val="TableParagraph"/>
              <w:spacing w:before="0"/>
              <w:ind w:left="98"/>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1025" w:hRule="atLeast"/>
        </w:trPr>
        <w:tc>
          <w:tcPr>
            <w:tcW w:w="784" w:type="dxa"/>
          </w:tcPr>
          <w:p>
            <w:pPr>
              <w:pStyle w:val="TableParagraph"/>
              <w:spacing w:before="0"/>
              <w:ind w:left="0"/>
              <w:rPr>
                <w:rFonts w:ascii="Times New Roman"/>
                <w:sz w:val="20"/>
              </w:rPr>
            </w:pPr>
          </w:p>
        </w:tc>
        <w:tc>
          <w:tcPr>
            <w:tcW w:w="1872" w:type="dxa"/>
          </w:tcPr>
          <w:p>
            <w:pPr>
              <w:pStyle w:val="TableParagraph"/>
              <w:spacing w:line="310" w:lineRule="atLeast" w:before="91"/>
              <w:ind w:left="267" w:right="94"/>
              <w:jc w:val="both"/>
              <w:rPr>
                <w:sz w:val="21"/>
              </w:rPr>
            </w:pPr>
            <w:r>
              <w:rPr>
                <w:spacing w:val="1"/>
                <w:sz w:val="21"/>
              </w:rPr>
              <w:t>( 二) 急性心肌</w:t>
            </w:r>
            <w:r>
              <w:rPr>
                <w:sz w:val="21"/>
              </w:rPr>
              <w:t>梗塞－“中国保</w:t>
            </w:r>
            <w:r>
              <w:rPr>
                <w:spacing w:val="-30"/>
                <w:sz w:val="21"/>
              </w:rPr>
              <w:t>险 行 业 协 会 推</w:t>
            </w:r>
          </w:p>
        </w:tc>
        <w:tc>
          <w:tcPr>
            <w:tcW w:w="6889" w:type="dxa"/>
          </w:tcPr>
          <w:p>
            <w:pPr>
              <w:pStyle w:val="TableParagraph"/>
              <w:spacing w:line="273" w:lineRule="auto" w:before="126"/>
              <w:ind w:left="98" w:right="203"/>
              <w:rPr>
                <w:sz w:val="21"/>
              </w:rPr>
            </w:pPr>
            <w:r>
              <w:rPr>
                <w:sz w:val="21"/>
              </w:rPr>
              <w:t>指因冠状动脉阻塞导致的相应区域供血不足造成部分心肌坏死。须满足下列至少三项条件：</w:t>
            </w:r>
          </w:p>
          <w:p>
            <w:pPr>
              <w:pStyle w:val="TableParagraph"/>
              <w:spacing w:line="255" w:lineRule="exact" w:before="7"/>
              <w:ind w:left="98"/>
              <w:rPr>
                <w:sz w:val="21"/>
              </w:rPr>
            </w:pPr>
            <w:r>
              <w:rPr>
                <w:sz w:val="21"/>
              </w:rPr>
              <w:t>（1）典型临床表现，例如急性胸痛等；</w:t>
            </w:r>
          </w:p>
        </w:tc>
      </w:tr>
    </w:tbl>
    <w:p>
      <w:pPr>
        <w:spacing w:after="0" w:line="255" w:lineRule="exact"/>
        <w:rPr>
          <w:sz w:val="21"/>
        </w:rPr>
        <w:sectPr>
          <w:pgSz w:w="11910" w:h="16840"/>
          <w:pgMar w:header="0" w:footer="912" w:top="1380" w:bottom="1100" w:left="1000" w:right="114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6918"/>
      </w:tblGrid>
      <w:tr>
        <w:trPr>
          <w:trHeight w:val="1673" w:hRule="atLeast"/>
        </w:trPr>
        <w:tc>
          <w:tcPr>
            <w:tcW w:w="1805" w:type="dxa"/>
          </w:tcPr>
          <w:p>
            <w:pPr>
              <w:pStyle w:val="TableParagraph"/>
              <w:spacing w:line="202" w:lineRule="exact" w:before="0"/>
              <w:ind w:left="200"/>
              <w:rPr>
                <w:sz w:val="21"/>
              </w:rPr>
            </w:pPr>
            <w:r>
              <w:rPr>
                <w:sz w:val="21"/>
              </w:rPr>
              <w:t>荐”</w:t>
            </w:r>
          </w:p>
        </w:tc>
        <w:tc>
          <w:tcPr>
            <w:tcW w:w="6918" w:type="dxa"/>
          </w:tcPr>
          <w:p>
            <w:pPr>
              <w:pStyle w:val="TableParagraph"/>
              <w:spacing w:line="202" w:lineRule="exact" w:before="0"/>
              <w:ind w:left="97"/>
              <w:rPr>
                <w:sz w:val="21"/>
              </w:rPr>
            </w:pPr>
            <w:r>
              <w:rPr>
                <w:sz w:val="21"/>
              </w:rPr>
              <w:t>（2）新近的心电图改变提示急性心肌梗塞；</w:t>
            </w:r>
          </w:p>
          <w:p>
            <w:pPr>
              <w:pStyle w:val="TableParagraph"/>
              <w:spacing w:line="273" w:lineRule="auto"/>
              <w:ind w:left="97" w:right="175"/>
              <w:rPr>
                <w:sz w:val="21"/>
              </w:rPr>
            </w:pPr>
            <w:r>
              <w:rPr>
                <w:sz w:val="21"/>
              </w:rPr>
              <w:t>（3）心肌酶或肌钙蛋白有诊断意义的升高，或呈符合急性心肌梗塞的动态性变化；</w:t>
            </w:r>
          </w:p>
          <w:p>
            <w:pPr>
              <w:pStyle w:val="TableParagraph"/>
              <w:spacing w:line="256" w:lineRule="auto" w:before="7"/>
              <w:ind w:left="97" w:right="225"/>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96" w:hRule="atLeast"/>
        </w:trPr>
        <w:tc>
          <w:tcPr>
            <w:tcW w:w="1805" w:type="dxa"/>
          </w:tcPr>
          <w:p>
            <w:pPr>
              <w:pStyle w:val="TableParagraph"/>
              <w:spacing w:line="273" w:lineRule="auto" w:before="126"/>
              <w:ind w:left="200" w:right="95"/>
              <w:jc w:val="both"/>
              <w:rPr>
                <w:sz w:val="21"/>
              </w:rPr>
            </w:pPr>
            <w:r>
              <w:rPr>
                <w:spacing w:val="1"/>
                <w:sz w:val="21"/>
              </w:rPr>
              <w:t>( 三) 脑中风后</w:t>
            </w:r>
            <w:r>
              <w:rPr>
                <w:sz w:val="21"/>
              </w:rPr>
              <w:t>遗症－“中国保</w:t>
            </w:r>
            <w:r>
              <w:rPr>
                <w:spacing w:val="-30"/>
                <w:sz w:val="21"/>
              </w:rPr>
              <w:t>险 行 业 协 会 推荐”</w:t>
            </w:r>
          </w:p>
        </w:tc>
        <w:tc>
          <w:tcPr>
            <w:tcW w:w="6918" w:type="dxa"/>
          </w:tcPr>
          <w:p>
            <w:pPr>
              <w:pStyle w:val="TableParagraph"/>
              <w:spacing w:line="273" w:lineRule="auto" w:before="126"/>
              <w:ind w:left="97" w:right="198"/>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8"/>
              <w:ind w:left="97"/>
              <w:rPr>
                <w:sz w:val="21"/>
              </w:rPr>
            </w:pPr>
            <w:r>
              <w:rPr>
                <w:sz w:val="21"/>
              </w:rPr>
              <w:t>（1）一肢或一肢以上</w:t>
            </w:r>
            <w:r>
              <w:rPr>
                <w:b/>
                <w:sz w:val="21"/>
              </w:rPr>
              <w:t>肢体机能完全丧失</w:t>
            </w:r>
            <w:r>
              <w:rPr>
                <w:sz w:val="21"/>
              </w:rPr>
              <w:t>（见释义7.14）；</w:t>
            </w:r>
          </w:p>
          <w:p>
            <w:pPr>
              <w:pStyle w:val="TableParagraph"/>
              <w:ind w:left="97"/>
              <w:rPr>
                <w:sz w:val="21"/>
              </w:rPr>
            </w:pPr>
            <w:r>
              <w:rPr>
                <w:sz w:val="21"/>
              </w:rPr>
              <w:t>（2）</w:t>
            </w:r>
            <w:r>
              <w:rPr>
                <w:b/>
                <w:sz w:val="21"/>
              </w:rPr>
              <w:t>语言能力或咀嚼吞咽能力完全丧失</w:t>
            </w:r>
            <w:r>
              <w:rPr>
                <w:sz w:val="21"/>
              </w:rPr>
              <w:t>（见释义7.15）；</w:t>
            </w:r>
          </w:p>
          <w:p>
            <w:pPr>
              <w:pStyle w:val="TableParagraph"/>
              <w:spacing w:line="259" w:lineRule="auto"/>
              <w:ind w:left="97" w:right="17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（见释义 </w:t>
            </w:r>
            <w:r>
              <w:rPr>
                <w:rFonts w:ascii="Times New Roman" w:eastAsia="Times New Roman"/>
                <w:sz w:val="21"/>
              </w:rPr>
              <w:t>7.16</w:t>
            </w:r>
            <w:r>
              <w:rPr>
                <w:sz w:val="21"/>
              </w:rPr>
              <w:t>）中的三项或三项以上。</w:t>
            </w:r>
          </w:p>
        </w:tc>
      </w:tr>
      <w:tr>
        <w:trPr>
          <w:trHeight w:val="1864" w:hRule="atLeast"/>
        </w:trPr>
        <w:tc>
          <w:tcPr>
            <w:tcW w:w="1805" w:type="dxa"/>
          </w:tcPr>
          <w:p>
            <w:pPr>
              <w:pStyle w:val="TableParagraph"/>
              <w:spacing w:line="273" w:lineRule="auto" w:before="126"/>
              <w:ind w:left="200" w:right="95"/>
              <w:jc w:val="both"/>
              <w:rPr>
                <w:sz w:val="21"/>
              </w:rPr>
            </w:pPr>
            <w:r>
              <w:rPr>
                <w:spacing w:val="1"/>
                <w:sz w:val="21"/>
              </w:rPr>
              <w:t>( 四) 重大器官</w:t>
            </w:r>
            <w:r>
              <w:rPr>
                <w:sz w:val="21"/>
              </w:rPr>
              <w:t>移植术或造血干</w:t>
            </w:r>
            <w:r>
              <w:rPr>
                <w:spacing w:val="-30"/>
                <w:sz w:val="21"/>
              </w:rPr>
              <w:t>细 胞 移 植 术 －</w:t>
            </w:r>
          </w:p>
          <w:p>
            <w:pPr>
              <w:pStyle w:val="TableParagraph"/>
              <w:spacing w:line="273" w:lineRule="auto" w:before="8"/>
              <w:ind w:left="200" w:right="116"/>
              <w:jc w:val="both"/>
              <w:rPr>
                <w:sz w:val="21"/>
              </w:rPr>
            </w:pPr>
            <w:r>
              <w:rPr>
                <w:sz w:val="21"/>
              </w:rPr>
              <w:t>“中国保险行业协会推荐”</w:t>
            </w:r>
          </w:p>
        </w:tc>
        <w:tc>
          <w:tcPr>
            <w:tcW w:w="6918" w:type="dxa"/>
          </w:tcPr>
          <w:p>
            <w:pPr>
              <w:pStyle w:val="TableParagraph"/>
              <w:spacing w:line="273" w:lineRule="auto" w:before="126"/>
              <w:ind w:left="97" w:right="301"/>
              <w:jc w:val="both"/>
              <w:rPr>
                <w:sz w:val="21"/>
              </w:rPr>
            </w:pPr>
            <w:r>
              <w:rPr>
                <w:sz w:val="21"/>
              </w:rPr>
              <w:t>重大器官移植术，指因相应器官功能衰竭，已经实施了肾脏、肝脏、心脏或肺脏的异体移植手术。</w:t>
            </w:r>
          </w:p>
          <w:p>
            <w:pPr>
              <w:pStyle w:val="TableParagraph"/>
              <w:spacing w:line="273" w:lineRule="auto" w:before="8"/>
              <w:ind w:left="97" w:right="23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84" w:hRule="atLeast"/>
        </w:trPr>
        <w:tc>
          <w:tcPr>
            <w:tcW w:w="1805" w:type="dxa"/>
          </w:tcPr>
          <w:p>
            <w:pPr>
              <w:pStyle w:val="TableParagraph"/>
              <w:spacing w:line="273" w:lineRule="auto" w:before="134"/>
              <w:ind w:left="200" w:right="95"/>
              <w:jc w:val="both"/>
              <w:rPr>
                <w:sz w:val="21"/>
              </w:rPr>
            </w:pPr>
            <w:r>
              <w:rPr>
                <w:spacing w:val="1"/>
                <w:sz w:val="21"/>
              </w:rPr>
              <w:t>( 五) 冠状动脉</w:t>
            </w:r>
            <w:r>
              <w:rPr>
                <w:sz w:val="21"/>
              </w:rPr>
              <w:t>搭桥术（或称冠状动脉旁路移植术）－“中国保</w:t>
            </w:r>
            <w:r>
              <w:rPr>
                <w:spacing w:val="-30"/>
                <w:sz w:val="21"/>
              </w:rPr>
              <w:t>险 行 业 协 会 推荐”</w:t>
            </w:r>
          </w:p>
        </w:tc>
        <w:tc>
          <w:tcPr>
            <w:tcW w:w="6918" w:type="dxa"/>
          </w:tcPr>
          <w:p>
            <w:pPr>
              <w:pStyle w:val="TableParagraph"/>
              <w:spacing w:line="273" w:lineRule="auto" w:before="134"/>
              <w:ind w:left="97" w:right="233"/>
              <w:rPr>
                <w:sz w:val="21"/>
              </w:rPr>
            </w:pPr>
            <w:r>
              <w:rPr>
                <w:sz w:val="21"/>
              </w:rPr>
              <w:t>指为治疗严重的冠心病，实际实施了开胸进行的冠状动脉血管旁路移植的手术。</w:t>
            </w:r>
          </w:p>
          <w:p>
            <w:pPr>
              <w:pStyle w:val="TableParagraph"/>
              <w:spacing w:line="273" w:lineRule="auto" w:before="8"/>
              <w:ind w:left="97" w:right="233"/>
              <w:rPr>
                <w:sz w:val="21"/>
              </w:rPr>
            </w:pPr>
            <w:r>
              <w:rPr>
                <w:sz w:val="21"/>
              </w:rPr>
              <w:t>冠状动脉支架植入术、心导管球囊扩张术、激光射频技术及其它非开胸的介入手术、腔镜手术不在保障范围内。</w:t>
            </w:r>
          </w:p>
        </w:tc>
      </w:tr>
      <w:tr>
        <w:trPr>
          <w:trHeight w:val="2184" w:hRule="atLeast"/>
        </w:trPr>
        <w:tc>
          <w:tcPr>
            <w:tcW w:w="1805" w:type="dxa"/>
          </w:tcPr>
          <w:p>
            <w:pPr>
              <w:pStyle w:val="TableParagraph"/>
              <w:spacing w:line="273" w:lineRule="auto" w:before="134"/>
              <w:ind w:left="200" w:right="95"/>
              <w:jc w:val="both"/>
              <w:rPr>
                <w:sz w:val="21"/>
              </w:rPr>
            </w:pPr>
            <w:r>
              <w:rPr>
                <w:spacing w:val="1"/>
                <w:sz w:val="21"/>
              </w:rPr>
              <w:t>( 六) 终末期肾</w:t>
            </w:r>
            <w:r>
              <w:rPr>
                <w:sz w:val="21"/>
              </w:rPr>
              <w:t>病（或称慢性肾功能衰竭尿毒症期）－“中国保</w:t>
            </w:r>
            <w:r>
              <w:rPr>
                <w:spacing w:val="-30"/>
                <w:sz w:val="21"/>
              </w:rPr>
              <w:t>险 行 业 协 会 推荐”</w:t>
            </w:r>
          </w:p>
        </w:tc>
        <w:tc>
          <w:tcPr>
            <w:tcW w:w="6918" w:type="dxa"/>
          </w:tcPr>
          <w:p>
            <w:pPr>
              <w:pStyle w:val="TableParagraph"/>
              <w:spacing w:line="273" w:lineRule="auto" w:before="134"/>
              <w:ind w:left="97" w:right="233"/>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1560" w:hRule="atLeast"/>
        </w:trPr>
        <w:tc>
          <w:tcPr>
            <w:tcW w:w="1805" w:type="dxa"/>
          </w:tcPr>
          <w:p>
            <w:pPr>
              <w:pStyle w:val="TableParagraph"/>
              <w:spacing w:line="273" w:lineRule="auto" w:before="134"/>
              <w:ind w:left="200" w:right="95"/>
              <w:jc w:val="both"/>
              <w:rPr>
                <w:sz w:val="21"/>
              </w:rPr>
            </w:pPr>
            <w:r>
              <w:rPr>
                <w:spacing w:val="1"/>
                <w:sz w:val="21"/>
              </w:rPr>
              <w:t>( 七) 多个肢体</w:t>
            </w:r>
            <w:r>
              <w:rPr>
                <w:sz w:val="21"/>
              </w:rPr>
              <w:t>缺失－“中国保</w:t>
            </w:r>
            <w:r>
              <w:rPr>
                <w:spacing w:val="-30"/>
                <w:sz w:val="21"/>
              </w:rPr>
              <w:t>险 行 业 协 会 推荐”</w:t>
            </w:r>
          </w:p>
        </w:tc>
        <w:tc>
          <w:tcPr>
            <w:tcW w:w="6918" w:type="dxa"/>
          </w:tcPr>
          <w:p>
            <w:pPr>
              <w:pStyle w:val="TableParagraph"/>
              <w:spacing w:before="134"/>
              <w:ind w:left="97"/>
              <w:rPr>
                <w:sz w:val="21"/>
              </w:rPr>
            </w:pPr>
            <w:r>
              <w:rPr>
                <w:sz w:val="21"/>
              </w:rPr>
              <w:t>指因疾病或意外伤害导致两个或两个以上肢体自腕关节或踝关节近端</w:t>
            </w:r>
          </w:p>
          <w:p>
            <w:pPr>
              <w:pStyle w:val="TableParagraph"/>
              <w:ind w:left="97"/>
              <w:rPr>
                <w:sz w:val="21"/>
              </w:rPr>
            </w:pPr>
            <w:r>
              <w:rPr>
                <w:sz w:val="21"/>
              </w:rPr>
              <w:t>（靠近躯干端）以上完全性断离。</w:t>
            </w:r>
          </w:p>
        </w:tc>
      </w:tr>
      <w:tr>
        <w:trPr>
          <w:trHeight w:val="1665" w:hRule="atLeast"/>
        </w:trPr>
        <w:tc>
          <w:tcPr>
            <w:tcW w:w="1805" w:type="dxa"/>
          </w:tcPr>
          <w:p>
            <w:pPr>
              <w:pStyle w:val="TableParagraph"/>
              <w:spacing w:line="273" w:lineRule="auto" w:before="134"/>
              <w:ind w:left="200" w:right="95"/>
              <w:rPr>
                <w:sz w:val="21"/>
              </w:rPr>
            </w:pPr>
            <w:r>
              <w:rPr>
                <w:sz w:val="21"/>
              </w:rPr>
              <w:t>( 八) 急性或亚急性重症肝炎－</w:t>
            </w:r>
          </w:p>
          <w:p>
            <w:pPr>
              <w:pStyle w:val="TableParagraph"/>
              <w:spacing w:line="273" w:lineRule="auto" w:before="8"/>
              <w:ind w:left="200" w:right="115"/>
              <w:rPr>
                <w:sz w:val="21"/>
              </w:rPr>
            </w:pPr>
            <w:r>
              <w:rPr>
                <w:sz w:val="21"/>
              </w:rPr>
              <w:t>“中国保险行业协会推荐”</w:t>
            </w:r>
          </w:p>
        </w:tc>
        <w:tc>
          <w:tcPr>
            <w:tcW w:w="6918" w:type="dxa"/>
          </w:tcPr>
          <w:p>
            <w:pPr>
              <w:pStyle w:val="TableParagraph"/>
              <w:spacing w:line="273" w:lineRule="auto" w:before="134"/>
              <w:ind w:left="97" w:right="233"/>
              <w:rPr>
                <w:sz w:val="21"/>
              </w:rPr>
            </w:pPr>
            <w:r>
              <w:rPr>
                <w:sz w:val="21"/>
              </w:rPr>
              <w:t>指因肝炎病毒感染引起肝脏组织弥漫性坏死，导致急性肝功能衰竭，且经血清学或病毒学检查证实，并须满足下列全部条件：</w:t>
            </w:r>
          </w:p>
          <w:p>
            <w:pPr>
              <w:pStyle w:val="TableParagraph"/>
              <w:spacing w:before="8"/>
              <w:ind w:left="97"/>
              <w:rPr>
                <w:sz w:val="21"/>
              </w:rPr>
            </w:pPr>
            <w:r>
              <w:rPr>
                <w:sz w:val="21"/>
              </w:rPr>
              <w:t>（1）重度黄疸或黄疸迅速加重；</w:t>
            </w:r>
          </w:p>
          <w:p>
            <w:pPr>
              <w:pStyle w:val="TableParagraph"/>
              <w:ind w:left="97"/>
              <w:rPr>
                <w:sz w:val="21"/>
              </w:rPr>
            </w:pPr>
            <w:r>
              <w:rPr>
                <w:sz w:val="21"/>
              </w:rPr>
              <w:t>（2）肝性脑病；</w:t>
            </w:r>
          </w:p>
          <w:p>
            <w:pPr>
              <w:pStyle w:val="TableParagraph"/>
              <w:spacing w:line="264" w:lineRule="exact" w:before="36"/>
              <w:ind w:left="97"/>
              <w:rPr>
                <w:sz w:val="21"/>
              </w:rPr>
            </w:pPr>
            <w:r>
              <w:rPr>
                <w:sz w:val="21"/>
              </w:rPr>
              <w:t>（3）B超或其它影像学检查显示肝脏体积急速萎缩；</w:t>
            </w:r>
          </w:p>
        </w:tc>
      </w:tr>
    </w:tbl>
    <w:p>
      <w:pPr>
        <w:spacing w:after="0" w:line="264" w:lineRule="exact"/>
        <w:rPr>
          <w:sz w:val="21"/>
        </w:rPr>
        <w:sectPr>
          <w:pgSz w:w="11910" w:h="16840"/>
          <w:pgMar w:header="0" w:footer="912" w:top="1460" w:bottom="1100" w:left="1680" w:right="112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6997"/>
      </w:tblGrid>
      <w:tr>
        <w:trPr>
          <w:trHeight w:val="432" w:hRule="atLeast"/>
        </w:trPr>
        <w:tc>
          <w:tcPr>
            <w:tcW w:w="1805" w:type="dxa"/>
          </w:tcPr>
          <w:p>
            <w:pPr>
              <w:pStyle w:val="TableParagraph"/>
              <w:spacing w:before="0"/>
              <w:ind w:left="0"/>
              <w:rPr>
                <w:rFonts w:ascii="Times New Roman"/>
                <w:sz w:val="20"/>
              </w:rPr>
            </w:pPr>
          </w:p>
        </w:tc>
        <w:tc>
          <w:tcPr>
            <w:tcW w:w="6997" w:type="dxa"/>
          </w:tcPr>
          <w:p>
            <w:pPr>
              <w:pStyle w:val="TableParagraph"/>
              <w:spacing w:line="234" w:lineRule="exact" w:before="0"/>
              <w:ind w:left="9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805" w:type="dxa"/>
          </w:tcPr>
          <w:p>
            <w:pPr>
              <w:pStyle w:val="TableParagraph"/>
              <w:spacing w:line="273" w:lineRule="auto" w:before="135"/>
              <w:ind w:left="200" w:right="95"/>
              <w:jc w:val="both"/>
              <w:rPr>
                <w:sz w:val="21"/>
              </w:rPr>
            </w:pPr>
            <w:r>
              <w:rPr>
                <w:sz w:val="21"/>
              </w:rPr>
              <w:t>( 九) 良性脑肿瘤－“中国保险行业协会推荐”</w:t>
            </w:r>
          </w:p>
        </w:tc>
        <w:tc>
          <w:tcPr>
            <w:tcW w:w="6997" w:type="dxa"/>
          </w:tcPr>
          <w:p>
            <w:pPr>
              <w:pStyle w:val="TableParagraph"/>
              <w:spacing w:line="273" w:lineRule="auto" w:before="135"/>
              <w:ind w:left="97" w:right="198"/>
              <w:rPr>
                <w:sz w:val="21"/>
              </w:rPr>
            </w:pPr>
            <w:r>
              <w:rPr>
                <w:sz w:val="21"/>
              </w:rPr>
              <w:t>指脑的良性肿瘤，已经引起颅内压增高，临床表现为视神经乳头水肿、</w:t>
            </w:r>
            <w:r>
              <w:rPr>
                <w:spacing w:val="-23"/>
                <w:w w:val="100"/>
                <w:sz w:val="21"/>
              </w:rPr>
              <w:t>精神症状、癫痫及运动感觉障碍等，并危及生命。须由头颅断层扫描</w:t>
            </w:r>
            <w:r>
              <w:rPr>
                <w:w w:val="100"/>
                <w:sz w:val="21"/>
              </w:rPr>
              <w:t>（C</w:t>
            </w:r>
            <w:r>
              <w:rPr>
                <w:spacing w:val="-3"/>
                <w:w w:val="100"/>
                <w:sz w:val="21"/>
              </w:rPr>
              <w:t>T</w:t>
            </w:r>
            <w:r>
              <w:rPr>
                <w:spacing w:val="-89"/>
                <w:w w:val="100"/>
                <w:sz w:val="21"/>
              </w:rPr>
              <w:t>）、</w:t>
            </w:r>
            <w:r>
              <w:rPr>
                <w:spacing w:val="-3"/>
                <w:sz w:val="21"/>
              </w:rPr>
              <w:t>核磁共振检查（MRI）</w:t>
            </w:r>
            <w:r>
              <w:rPr>
                <w:spacing w:val="-4"/>
                <w:sz w:val="21"/>
              </w:rPr>
              <w:t>或正电子发射断层扫描</w:t>
            </w:r>
            <w:r>
              <w:rPr>
                <w:spacing w:val="-3"/>
                <w:sz w:val="21"/>
              </w:rPr>
              <w:t>（PET）等影像学检查证实， 并须满足下列至少一项条件：</w:t>
            </w:r>
          </w:p>
          <w:p>
            <w:pPr>
              <w:pStyle w:val="TableParagraph"/>
              <w:spacing w:before="8"/>
              <w:ind w:left="97"/>
              <w:rPr>
                <w:sz w:val="21"/>
              </w:rPr>
            </w:pPr>
            <w:r>
              <w:rPr>
                <w:sz w:val="21"/>
              </w:rPr>
              <w:t>（1）实际实施了开颅进行的脑肿瘤完全切除或部分切除的手术；</w:t>
            </w:r>
          </w:p>
          <w:p>
            <w:pPr>
              <w:pStyle w:val="TableParagraph"/>
              <w:ind w:left="97"/>
              <w:rPr>
                <w:sz w:val="21"/>
              </w:rPr>
            </w:pPr>
            <w:r>
              <w:rPr>
                <w:sz w:val="21"/>
              </w:rPr>
              <w:t>（2）实际实施了对脑肿瘤进行的放射治疗。</w:t>
            </w:r>
          </w:p>
          <w:p>
            <w:pPr>
              <w:pStyle w:val="TableParagraph"/>
              <w:ind w:left="97"/>
              <w:rPr>
                <w:sz w:val="21"/>
              </w:rPr>
            </w:pPr>
            <w:r>
              <w:rPr>
                <w:sz w:val="21"/>
              </w:rPr>
              <w:t>脑垂体瘤、脑囊肿、脑血管性疾病不在保障范围内。</w:t>
            </w:r>
          </w:p>
        </w:tc>
      </w:tr>
      <w:tr>
        <w:trPr>
          <w:trHeight w:val="2184" w:hRule="atLeast"/>
        </w:trPr>
        <w:tc>
          <w:tcPr>
            <w:tcW w:w="1805" w:type="dxa"/>
          </w:tcPr>
          <w:p>
            <w:pPr>
              <w:pStyle w:val="TableParagraph"/>
              <w:spacing w:line="273" w:lineRule="auto" w:before="142"/>
              <w:ind w:left="200" w:right="95"/>
              <w:rPr>
                <w:sz w:val="21"/>
              </w:rPr>
            </w:pPr>
            <w:r>
              <w:rPr>
                <w:sz w:val="21"/>
              </w:rPr>
              <w:t>( 十) 慢性肝功能衰竭失代偿期</w:t>
            </w:r>
          </w:p>
          <w:p>
            <w:pPr>
              <w:pStyle w:val="TableParagraph"/>
              <w:spacing w:line="273" w:lineRule="auto" w:before="7"/>
              <w:ind w:left="200" w:right="115"/>
              <w:rPr>
                <w:sz w:val="21"/>
              </w:rPr>
            </w:pPr>
            <w:r>
              <w:rPr>
                <w:sz w:val="21"/>
              </w:rPr>
              <w:t>－“中国保险行业协会推荐”</w:t>
            </w:r>
          </w:p>
        </w:tc>
        <w:tc>
          <w:tcPr>
            <w:tcW w:w="6997" w:type="dxa"/>
          </w:tcPr>
          <w:p>
            <w:pPr>
              <w:pStyle w:val="TableParagraph"/>
              <w:spacing w:before="142"/>
              <w:ind w:left="97"/>
              <w:rPr>
                <w:sz w:val="21"/>
              </w:rPr>
            </w:pPr>
            <w:r>
              <w:rPr>
                <w:sz w:val="21"/>
              </w:rPr>
              <w:t>指因慢性肝脏疾病导致肝功能衰竭。须满足下列全部条件：</w:t>
            </w:r>
          </w:p>
          <w:p>
            <w:pPr>
              <w:pStyle w:val="TableParagraph"/>
              <w:spacing w:before="36"/>
              <w:ind w:left="97"/>
              <w:rPr>
                <w:sz w:val="21"/>
              </w:rPr>
            </w:pPr>
            <w:r>
              <w:rPr>
                <w:sz w:val="21"/>
              </w:rPr>
              <w:t>（1）持续性黄疸；</w:t>
            </w:r>
          </w:p>
          <w:p>
            <w:pPr>
              <w:pStyle w:val="TableParagraph"/>
              <w:ind w:left="97"/>
              <w:rPr>
                <w:sz w:val="21"/>
              </w:rPr>
            </w:pPr>
            <w:r>
              <w:rPr>
                <w:sz w:val="21"/>
              </w:rPr>
              <w:t>（2）腹水；</w:t>
            </w:r>
          </w:p>
          <w:p>
            <w:pPr>
              <w:pStyle w:val="TableParagraph"/>
              <w:ind w:left="97"/>
              <w:rPr>
                <w:sz w:val="21"/>
              </w:rPr>
            </w:pPr>
            <w:r>
              <w:rPr>
                <w:sz w:val="21"/>
              </w:rPr>
              <w:t>（3）肝性脑病；</w:t>
            </w:r>
          </w:p>
          <w:p>
            <w:pPr>
              <w:pStyle w:val="TableParagraph"/>
              <w:spacing w:line="273" w:lineRule="auto"/>
              <w:ind w:left="97" w:right="1748"/>
              <w:rPr>
                <w:sz w:val="21"/>
              </w:rPr>
            </w:pPr>
            <w:r>
              <w:rPr>
                <w:sz w:val="21"/>
              </w:rPr>
              <w:t>（4）充血性脾肿大伴脾功能亢进或食管胃底静脉曲张。因酗酒或药物滥用导致的肝功能衰竭不在保障范围内。</w:t>
            </w:r>
          </w:p>
        </w:tc>
      </w:tr>
      <w:tr>
        <w:trPr>
          <w:trHeight w:val="2184" w:hRule="atLeast"/>
        </w:trPr>
        <w:tc>
          <w:tcPr>
            <w:tcW w:w="1805" w:type="dxa"/>
          </w:tcPr>
          <w:p>
            <w:pPr>
              <w:pStyle w:val="TableParagraph"/>
              <w:spacing w:line="273" w:lineRule="auto" w:before="142"/>
              <w:ind w:left="200" w:right="95"/>
              <w:jc w:val="both"/>
              <w:rPr>
                <w:sz w:val="21"/>
              </w:rPr>
            </w:pPr>
            <w:r>
              <w:rPr>
                <w:spacing w:val="1"/>
                <w:sz w:val="21"/>
              </w:rPr>
              <w:t>( 十一) 脑炎后</w:t>
            </w:r>
            <w:r>
              <w:rPr>
                <w:sz w:val="21"/>
              </w:rPr>
              <w:t>遗症或脑膜炎后遗症－“中国保</w:t>
            </w:r>
            <w:r>
              <w:rPr>
                <w:spacing w:val="-30"/>
                <w:sz w:val="21"/>
              </w:rPr>
              <w:t>险 行 业 协 会 推荐”</w:t>
            </w:r>
          </w:p>
        </w:tc>
        <w:tc>
          <w:tcPr>
            <w:tcW w:w="6997" w:type="dxa"/>
          </w:tcPr>
          <w:p>
            <w:pPr>
              <w:pStyle w:val="TableParagraph"/>
              <w:spacing w:line="273" w:lineRule="auto" w:before="142"/>
              <w:ind w:left="97" w:right="27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97"/>
              <w:rPr>
                <w:sz w:val="21"/>
              </w:rPr>
            </w:pPr>
            <w:r>
              <w:rPr>
                <w:sz w:val="21"/>
              </w:rPr>
              <w:t>（1）一肢或一肢以上肢体机能完全丧失；</w:t>
            </w:r>
          </w:p>
          <w:p>
            <w:pPr>
              <w:pStyle w:val="TableParagraph"/>
              <w:ind w:left="97"/>
              <w:rPr>
                <w:sz w:val="21"/>
              </w:rPr>
            </w:pPr>
            <w:r>
              <w:rPr>
                <w:sz w:val="21"/>
              </w:rPr>
              <w:t>（2）语言能力或咀嚼吞咽能力完全丧失；</w:t>
            </w:r>
          </w:p>
          <w:p>
            <w:pPr>
              <w:pStyle w:val="TableParagraph"/>
              <w:spacing w:line="256" w:lineRule="auto"/>
              <w:ind w:left="97" w:right="26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6" w:hRule="atLeast"/>
        </w:trPr>
        <w:tc>
          <w:tcPr>
            <w:tcW w:w="1805" w:type="dxa"/>
          </w:tcPr>
          <w:p>
            <w:pPr>
              <w:pStyle w:val="TableParagraph"/>
              <w:spacing w:line="273" w:lineRule="auto" w:before="143"/>
              <w:ind w:left="200" w:right="95"/>
              <w:jc w:val="both"/>
              <w:rPr>
                <w:sz w:val="21"/>
              </w:rPr>
            </w:pPr>
            <w:r>
              <w:rPr>
                <w:sz w:val="21"/>
              </w:rPr>
              <w:t>( 十二) 深度昏迷－“中国保险行业协会推荐”</w:t>
            </w:r>
          </w:p>
        </w:tc>
        <w:tc>
          <w:tcPr>
            <w:tcW w:w="6997" w:type="dxa"/>
          </w:tcPr>
          <w:p>
            <w:pPr>
              <w:pStyle w:val="TableParagraph"/>
              <w:spacing w:line="273" w:lineRule="auto" w:before="143"/>
              <w:ind w:left="97" w:right="383"/>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8"/>
              <w:ind w:left="97"/>
              <w:jc w:val="both"/>
              <w:rPr>
                <w:sz w:val="21"/>
              </w:rPr>
            </w:pPr>
            <w:r>
              <w:rPr>
                <w:sz w:val="21"/>
              </w:rPr>
              <w:t>因酗酒或药物滥用导致的深度昏迷不在保障范围内。</w:t>
            </w:r>
          </w:p>
        </w:tc>
      </w:tr>
      <w:tr>
        <w:trPr>
          <w:trHeight w:val="1251" w:hRule="atLeast"/>
        </w:trPr>
        <w:tc>
          <w:tcPr>
            <w:tcW w:w="1805" w:type="dxa"/>
          </w:tcPr>
          <w:p>
            <w:pPr>
              <w:pStyle w:val="TableParagraph"/>
              <w:spacing w:line="273" w:lineRule="auto" w:before="146"/>
              <w:ind w:left="200" w:right="95"/>
              <w:jc w:val="both"/>
              <w:rPr>
                <w:sz w:val="21"/>
              </w:rPr>
            </w:pPr>
            <w:r>
              <w:rPr>
                <w:sz w:val="21"/>
              </w:rPr>
              <w:t>( 十三) 双耳失聪－“中国保险行业协会推荐”</w:t>
            </w:r>
          </w:p>
        </w:tc>
        <w:tc>
          <w:tcPr>
            <w:tcW w:w="6997" w:type="dxa"/>
          </w:tcPr>
          <w:p>
            <w:pPr>
              <w:pStyle w:val="TableParagraph"/>
              <w:spacing w:line="256" w:lineRule="auto" w:before="146"/>
              <w:ind w:left="97" w:right="198"/>
              <w:rPr>
                <w:sz w:val="21"/>
              </w:rPr>
            </w:pPr>
            <w:r>
              <w:rPr>
                <w:spacing w:val="-3"/>
                <w:sz w:val="21"/>
              </w:rPr>
              <w:t>指因疾病或意外伤害导致双耳听力</w:t>
            </w:r>
            <w:r>
              <w:rPr>
                <w:b/>
                <w:sz w:val="21"/>
              </w:rPr>
              <w:t>永久不可逆</w:t>
            </w:r>
            <w:r>
              <w:rPr>
                <w:sz w:val="21"/>
              </w:rPr>
              <w:t>（</w:t>
            </w:r>
            <w:r>
              <w:rPr>
                <w:spacing w:val="1"/>
                <w:sz w:val="21"/>
              </w:rPr>
              <w:t>见释义 </w:t>
            </w:r>
            <w:r>
              <w:rPr>
                <w:rFonts w:ascii="Times New Roman" w:eastAsia="Times New Roman"/>
                <w:sz w:val="21"/>
              </w:rPr>
              <w:t>7.17</w:t>
            </w:r>
            <w:r>
              <w:rPr>
                <w:sz w:val="21"/>
              </w:rPr>
              <w:t>）性丧失， </w:t>
            </w:r>
            <w:r>
              <w:rPr>
                <w:spacing w:val="-25"/>
                <w:sz w:val="21"/>
              </w:rPr>
              <w:t>在 </w:t>
            </w:r>
            <w:r>
              <w:rPr>
                <w:rFonts w:ascii="Times New Roman" w:eastAsia="Times New Roman"/>
                <w:sz w:val="21"/>
              </w:rPr>
              <w:t>500 </w:t>
            </w:r>
            <w:r>
              <w:rPr>
                <w:spacing w:val="-15"/>
                <w:sz w:val="21"/>
              </w:rPr>
              <w:t>赫兹、</w:t>
            </w:r>
            <w:r>
              <w:rPr>
                <w:rFonts w:ascii="Times New Roman" w:eastAsia="Times New Roman"/>
                <w:sz w:val="21"/>
              </w:rPr>
              <w:t>1000 </w:t>
            </w:r>
            <w:r>
              <w:rPr>
                <w:spacing w:val="-15"/>
                <w:sz w:val="21"/>
              </w:rPr>
              <w:t>赫兹和 </w:t>
            </w:r>
            <w:r>
              <w:rPr>
                <w:rFonts w:ascii="Times New Roman" w:eastAsia="Times New Roman"/>
                <w:sz w:val="21"/>
              </w:rPr>
              <w:t>2000 </w:t>
            </w:r>
            <w:r>
              <w:rPr>
                <w:spacing w:val="-11"/>
                <w:sz w:val="21"/>
              </w:rPr>
              <w:t>赫兹语音频率下，平均听阈大于 </w:t>
            </w:r>
            <w:r>
              <w:rPr>
                <w:rFonts w:ascii="Times New Roman" w:eastAsia="Times New Roman"/>
                <w:sz w:val="21"/>
              </w:rPr>
              <w:t>90 </w:t>
            </w:r>
            <w:r>
              <w:rPr>
                <w:sz w:val="21"/>
              </w:rPr>
              <w:t>分贝， </w:t>
            </w:r>
            <w:r>
              <w:rPr>
                <w:spacing w:val="-3"/>
                <w:sz w:val="21"/>
              </w:rPr>
              <w:t>且经纯音听力测试、声导抗检测或听觉诱发电位检测等证实。</w:t>
            </w:r>
          </w:p>
        </w:tc>
      </w:tr>
      <w:tr>
        <w:trPr>
          <w:trHeight w:val="2192" w:hRule="atLeast"/>
        </w:trPr>
        <w:tc>
          <w:tcPr>
            <w:tcW w:w="1805" w:type="dxa"/>
          </w:tcPr>
          <w:p>
            <w:pPr>
              <w:pStyle w:val="TableParagraph"/>
              <w:spacing w:line="273" w:lineRule="auto" w:before="142"/>
              <w:ind w:left="200" w:right="95"/>
              <w:jc w:val="both"/>
              <w:rPr>
                <w:sz w:val="21"/>
              </w:rPr>
            </w:pPr>
            <w:r>
              <w:rPr>
                <w:sz w:val="21"/>
              </w:rPr>
              <w:t>( 十四) 双目失明－“中国保险行业协会推荐”</w:t>
            </w:r>
          </w:p>
        </w:tc>
        <w:tc>
          <w:tcPr>
            <w:tcW w:w="6997" w:type="dxa"/>
          </w:tcPr>
          <w:p>
            <w:pPr>
              <w:pStyle w:val="TableParagraph"/>
              <w:spacing w:line="273" w:lineRule="auto" w:before="142"/>
              <w:ind w:left="97" w:right="307"/>
              <w:rPr>
                <w:sz w:val="21"/>
              </w:rPr>
            </w:pPr>
            <w:r>
              <w:rPr>
                <w:sz w:val="21"/>
              </w:rPr>
              <w:t>指因疾病或意外伤害导致双眼视力永久不可逆性丧失，双眼中较好眼须满足下列至少一项条件：</w:t>
            </w:r>
          </w:p>
          <w:p>
            <w:pPr>
              <w:pStyle w:val="TableParagraph"/>
              <w:spacing w:before="7"/>
              <w:ind w:left="97"/>
              <w:rPr>
                <w:sz w:val="21"/>
              </w:rPr>
            </w:pPr>
            <w:r>
              <w:rPr>
                <w:sz w:val="21"/>
              </w:rPr>
              <w:t>（1）眼球缺失或摘除；</w:t>
            </w:r>
          </w:p>
          <w:p>
            <w:pPr>
              <w:pStyle w:val="TableParagraph"/>
              <w:spacing w:line="273" w:lineRule="auto"/>
              <w:ind w:left="97" w:right="253"/>
              <w:rPr>
                <w:sz w:val="21"/>
              </w:rPr>
            </w:pPr>
            <w:r>
              <w:rPr>
                <w:sz w:val="21"/>
              </w:rPr>
              <w:t>（2）矫正视力低于0.02（采用国际标准视力表，如果使用其它视力表应进行换算）；</w:t>
            </w:r>
          </w:p>
          <w:p>
            <w:pPr>
              <w:pStyle w:val="TableParagraph"/>
              <w:spacing w:before="7"/>
              <w:ind w:left="9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33" w:hRule="atLeast"/>
        </w:trPr>
        <w:tc>
          <w:tcPr>
            <w:tcW w:w="1805" w:type="dxa"/>
          </w:tcPr>
          <w:p>
            <w:pPr>
              <w:pStyle w:val="TableParagraph"/>
              <w:spacing w:before="134"/>
              <w:ind w:left="200"/>
              <w:rPr>
                <w:sz w:val="21"/>
              </w:rPr>
            </w:pPr>
            <w:r>
              <w:rPr>
                <w:sz w:val="21"/>
              </w:rPr>
              <w:t>( 十五) 瘫痪－</w:t>
            </w:r>
          </w:p>
          <w:p>
            <w:pPr>
              <w:pStyle w:val="TableParagraph"/>
              <w:spacing w:line="310" w:lineRule="atLeast" w:before="1"/>
              <w:ind w:left="200" w:right="116"/>
              <w:rPr>
                <w:sz w:val="21"/>
              </w:rPr>
            </w:pPr>
            <w:r>
              <w:rPr>
                <w:sz w:val="21"/>
              </w:rPr>
              <w:t>“中国保险行业协会推荐”</w:t>
            </w:r>
          </w:p>
        </w:tc>
        <w:tc>
          <w:tcPr>
            <w:tcW w:w="6997" w:type="dxa"/>
          </w:tcPr>
          <w:p>
            <w:pPr>
              <w:pStyle w:val="TableParagraph"/>
              <w:spacing w:line="312" w:lineRule="exact" w:before="130"/>
              <w:ind w:left="97" w:right="303"/>
              <w:jc w:val="both"/>
              <w:rPr>
                <w:sz w:val="21"/>
              </w:rPr>
            </w:pPr>
            <w:r>
              <w:rPr>
                <w:sz w:val="21"/>
              </w:rPr>
              <w:t>指因疾病或意外伤害导致两肢或两肢以上肢体机能永久完全丧失。肢体</w:t>
            </w:r>
            <w:r>
              <w:rPr>
                <w:spacing w:val="-5"/>
                <w:sz w:val="21"/>
              </w:rPr>
              <w:t>机能永久完全丧失，指疾病确诊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2"/>
                <w:sz w:val="21"/>
              </w:rPr>
              <w:t>天后，每</w:t>
            </w:r>
            <w:r>
              <w:rPr>
                <w:spacing w:val="-3"/>
                <w:sz w:val="21"/>
              </w:rPr>
              <w:t>肢三大关节中的两大关节仍然完全僵硬，或不能随意识活动。</w:t>
            </w:r>
          </w:p>
        </w:tc>
      </w:tr>
    </w:tbl>
    <w:p>
      <w:pPr>
        <w:spacing w:after="0" w:line="312" w:lineRule="exact"/>
        <w:jc w:val="both"/>
        <w:rPr>
          <w:sz w:val="21"/>
        </w:rPr>
        <w:sectPr>
          <w:pgSz w:w="11910" w:h="16840"/>
          <w:pgMar w:header="0" w:footer="912" w:top="1440" w:bottom="1100" w:left="1680" w:right="104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6991"/>
      </w:tblGrid>
      <w:tr>
        <w:trPr>
          <w:trHeight w:val="1354" w:hRule="atLeast"/>
        </w:trPr>
        <w:tc>
          <w:tcPr>
            <w:tcW w:w="1811" w:type="dxa"/>
          </w:tcPr>
          <w:p>
            <w:pPr>
              <w:pStyle w:val="TableParagraph"/>
              <w:spacing w:line="202" w:lineRule="exact" w:before="0"/>
              <w:ind w:left="200"/>
              <w:rPr>
                <w:sz w:val="21"/>
              </w:rPr>
            </w:pPr>
            <w:r>
              <w:rPr>
                <w:sz w:val="21"/>
              </w:rPr>
              <w:t>( 十六) 心脏瓣</w:t>
            </w:r>
          </w:p>
          <w:p>
            <w:pPr>
              <w:pStyle w:val="TableParagraph"/>
              <w:spacing w:line="273" w:lineRule="auto"/>
              <w:ind w:left="200" w:right="121"/>
              <w:jc w:val="both"/>
              <w:rPr>
                <w:sz w:val="21"/>
              </w:rPr>
            </w:pPr>
            <w:r>
              <w:rPr>
                <w:sz w:val="21"/>
              </w:rPr>
              <w:t>膜手术－“中国保险行业协会推荐”</w:t>
            </w:r>
          </w:p>
        </w:tc>
        <w:tc>
          <w:tcPr>
            <w:tcW w:w="6991" w:type="dxa"/>
          </w:tcPr>
          <w:p>
            <w:pPr>
              <w:pStyle w:val="TableParagraph"/>
              <w:spacing w:line="202" w:lineRule="exact" w:before="0"/>
              <w:ind w:left="91"/>
              <w:rPr>
                <w:sz w:val="21"/>
              </w:rPr>
            </w:pPr>
            <w:r>
              <w:rPr>
                <w:sz w:val="21"/>
              </w:rPr>
              <w:t>指为治疗心脏瓣膜疾病，实际实施了开胸进行的心脏瓣膜置换或修复的</w:t>
            </w:r>
          </w:p>
          <w:p>
            <w:pPr>
              <w:pStyle w:val="TableParagraph"/>
              <w:ind w:left="91"/>
              <w:rPr>
                <w:sz w:val="21"/>
              </w:rPr>
            </w:pPr>
            <w:r>
              <w:rPr>
                <w:sz w:val="21"/>
              </w:rPr>
              <w:t>手术。</w:t>
            </w:r>
          </w:p>
        </w:tc>
      </w:tr>
      <w:tr>
        <w:trPr>
          <w:trHeight w:val="2184" w:hRule="atLeast"/>
        </w:trPr>
        <w:tc>
          <w:tcPr>
            <w:tcW w:w="1811" w:type="dxa"/>
          </w:tcPr>
          <w:p>
            <w:pPr>
              <w:pStyle w:val="TableParagraph"/>
              <w:spacing w:line="273" w:lineRule="auto" w:before="134"/>
              <w:ind w:left="200" w:right="101"/>
              <w:rPr>
                <w:sz w:val="21"/>
              </w:rPr>
            </w:pPr>
            <w:r>
              <w:rPr>
                <w:spacing w:val="1"/>
                <w:sz w:val="21"/>
              </w:rPr>
              <w:t>( 十七) 严重阿</w:t>
            </w:r>
            <w:r>
              <w:rPr>
                <w:spacing w:val="-30"/>
                <w:sz w:val="21"/>
              </w:rPr>
              <w:t>尔 茨 海 默 病 －</w:t>
            </w:r>
          </w:p>
          <w:p>
            <w:pPr>
              <w:pStyle w:val="TableParagraph"/>
              <w:spacing w:line="273" w:lineRule="auto" w:before="8"/>
              <w:ind w:left="200" w:right="122"/>
              <w:rPr>
                <w:sz w:val="21"/>
              </w:rPr>
            </w:pPr>
            <w:r>
              <w:rPr>
                <w:sz w:val="21"/>
              </w:rPr>
              <w:t>“中国保险行业协会推荐”</w:t>
            </w:r>
          </w:p>
        </w:tc>
        <w:tc>
          <w:tcPr>
            <w:tcW w:w="6991" w:type="dxa"/>
          </w:tcPr>
          <w:p>
            <w:pPr>
              <w:pStyle w:val="TableParagraph"/>
              <w:spacing w:line="273" w:lineRule="auto" w:before="134"/>
              <w:ind w:left="91" w:right="280"/>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 无法独立完成六项基本日常生活活动中的三项或三项以上。</w:t>
            </w:r>
          </w:p>
          <w:p>
            <w:pPr>
              <w:pStyle w:val="TableParagraph"/>
              <w:spacing w:before="8"/>
              <w:ind w:left="91"/>
              <w:jc w:val="both"/>
              <w:rPr>
                <w:sz w:val="21"/>
              </w:rPr>
            </w:pPr>
            <w:r>
              <w:rPr>
                <w:sz w:val="21"/>
              </w:rPr>
              <w:t>神经官能症和精神疾病不在保障范围内。</w:t>
            </w:r>
          </w:p>
        </w:tc>
      </w:tr>
      <w:tr>
        <w:trPr>
          <w:trHeight w:val="2808" w:hRule="atLeast"/>
        </w:trPr>
        <w:tc>
          <w:tcPr>
            <w:tcW w:w="1811" w:type="dxa"/>
          </w:tcPr>
          <w:p>
            <w:pPr>
              <w:pStyle w:val="TableParagraph"/>
              <w:spacing w:line="273" w:lineRule="auto" w:before="134"/>
              <w:ind w:left="200" w:right="101"/>
              <w:jc w:val="both"/>
              <w:rPr>
                <w:sz w:val="21"/>
              </w:rPr>
            </w:pPr>
            <w:r>
              <w:rPr>
                <w:spacing w:val="1"/>
                <w:sz w:val="21"/>
              </w:rPr>
              <w:t>( 十八) 严重脑</w:t>
            </w:r>
            <w:r>
              <w:rPr>
                <w:sz w:val="21"/>
              </w:rPr>
              <w:t>损伤－“中国保</w:t>
            </w:r>
            <w:r>
              <w:rPr>
                <w:spacing w:val="-30"/>
                <w:sz w:val="21"/>
              </w:rPr>
              <w:t>险 行 业 协 会 推荐”</w:t>
            </w:r>
          </w:p>
        </w:tc>
        <w:tc>
          <w:tcPr>
            <w:tcW w:w="6991" w:type="dxa"/>
          </w:tcPr>
          <w:p>
            <w:pPr>
              <w:pStyle w:val="TableParagraph"/>
              <w:spacing w:line="273" w:lineRule="auto" w:before="134"/>
              <w:ind w:left="91" w:right="277"/>
              <w:rPr>
                <w:sz w:val="21"/>
              </w:rPr>
            </w:pPr>
            <w:r>
              <w:rPr>
                <w:spacing w:val="-3"/>
                <w:sz w:val="21"/>
              </w:rPr>
              <w:t>指因头部遭受机械性外力，引起脑重要部位损伤，导致神经系统永久性</w:t>
            </w:r>
            <w:r>
              <w:rPr>
                <w:spacing w:val="-5"/>
                <w:sz w:val="21"/>
              </w:rPr>
              <w:t>的功能障碍。须由头颅断层扫描</w:t>
            </w:r>
            <w:r>
              <w:rPr>
                <w:sz w:val="21"/>
              </w:rPr>
              <w:t>（CT）</w:t>
            </w:r>
            <w:r>
              <w:rPr>
                <w:spacing w:val="-4"/>
                <w:sz w:val="21"/>
              </w:rPr>
              <w:t>、核磁共振检查</w:t>
            </w:r>
            <w:r>
              <w:rPr>
                <w:sz w:val="21"/>
              </w:rPr>
              <w:t>（MRI）</w:t>
            </w:r>
            <w:r>
              <w:rPr>
                <w:spacing w:val="-3"/>
                <w:sz w:val="21"/>
              </w:rPr>
              <w:t>或正电子发射断层扫描</w:t>
            </w:r>
            <w:r>
              <w:rPr>
                <w:sz w:val="21"/>
              </w:rPr>
              <w:t>（PET）</w:t>
            </w:r>
            <w:r>
              <w:rPr>
                <w:spacing w:val="-3"/>
                <w:sz w:val="21"/>
              </w:rPr>
              <w: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7"/>
              <w:ind w:left="91"/>
              <w:rPr>
                <w:sz w:val="21"/>
              </w:rPr>
            </w:pPr>
            <w:r>
              <w:rPr>
                <w:sz w:val="21"/>
              </w:rPr>
              <w:t>（1）一肢或一肢以上肢体机能完全丧失；</w:t>
            </w:r>
          </w:p>
          <w:p>
            <w:pPr>
              <w:pStyle w:val="TableParagraph"/>
              <w:spacing w:before="36"/>
              <w:ind w:left="91"/>
              <w:rPr>
                <w:sz w:val="21"/>
              </w:rPr>
            </w:pPr>
            <w:r>
              <w:rPr>
                <w:sz w:val="21"/>
              </w:rPr>
              <w:t>（2）语言能力或咀嚼吞咽能力完全丧失；</w:t>
            </w:r>
          </w:p>
          <w:p>
            <w:pPr>
              <w:pStyle w:val="TableParagraph"/>
              <w:spacing w:line="256" w:lineRule="auto" w:before="36"/>
              <w:ind w:left="91" w:right="26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1" w:hRule="atLeast"/>
        </w:trPr>
        <w:tc>
          <w:tcPr>
            <w:tcW w:w="1811" w:type="dxa"/>
          </w:tcPr>
          <w:p>
            <w:pPr>
              <w:pStyle w:val="TableParagraph"/>
              <w:spacing w:line="273" w:lineRule="auto" w:before="134"/>
              <w:ind w:left="200" w:right="101"/>
              <w:jc w:val="both"/>
              <w:rPr>
                <w:sz w:val="21"/>
              </w:rPr>
            </w:pPr>
            <w:r>
              <w:rPr>
                <w:sz w:val="21"/>
              </w:rPr>
              <w:t>( 十九) 严重帕金森病－“中国保险行业协会推荐”</w:t>
            </w:r>
          </w:p>
        </w:tc>
        <w:tc>
          <w:tcPr>
            <w:tcW w:w="6991" w:type="dxa"/>
          </w:tcPr>
          <w:p>
            <w:pPr>
              <w:pStyle w:val="TableParagraph"/>
              <w:spacing w:line="273" w:lineRule="auto" w:before="134"/>
              <w:ind w:left="91" w:right="156"/>
              <w:rPr>
                <w:sz w:val="21"/>
              </w:rPr>
            </w:pPr>
            <w:r>
              <w:rPr>
                <w:sz w:val="21"/>
              </w:rPr>
              <w:t>是一种中枢神经系统的退行性疾病，临床表现为震颤麻痹、共济失调等。须满足下列全部条件：</w:t>
            </w:r>
          </w:p>
          <w:p>
            <w:pPr>
              <w:pStyle w:val="TableParagraph"/>
              <w:spacing w:before="8"/>
              <w:ind w:left="91"/>
              <w:rPr>
                <w:sz w:val="21"/>
              </w:rPr>
            </w:pPr>
            <w:r>
              <w:rPr>
                <w:sz w:val="21"/>
              </w:rPr>
              <w:t>（1）药物治疗无法控制病情；</w:t>
            </w:r>
          </w:p>
          <w:p>
            <w:pPr>
              <w:pStyle w:val="TableParagraph"/>
              <w:spacing w:line="273" w:lineRule="auto"/>
              <w:ind w:left="91" w:right="261"/>
              <w:rPr>
                <w:sz w:val="21"/>
              </w:rPr>
            </w:pPr>
            <w:r>
              <w:rPr>
                <w:sz w:val="21"/>
              </w:rPr>
              <w:t>（2）自主生活能力完全丧失，无法独立完成六项基本日常生活活动中的三项或三项以上。</w:t>
            </w:r>
          </w:p>
          <w:p>
            <w:pPr>
              <w:pStyle w:val="TableParagraph"/>
              <w:spacing w:before="8"/>
              <w:ind w:left="91"/>
              <w:rPr>
                <w:sz w:val="21"/>
              </w:rPr>
            </w:pPr>
            <w:r>
              <w:rPr>
                <w:sz w:val="21"/>
              </w:rPr>
              <w:t>继发性帕金森综合征不在保障范围内。</w:t>
            </w:r>
          </w:p>
        </w:tc>
      </w:tr>
      <w:tr>
        <w:trPr>
          <w:trHeight w:val="1558" w:hRule="atLeast"/>
        </w:trPr>
        <w:tc>
          <w:tcPr>
            <w:tcW w:w="1811" w:type="dxa"/>
          </w:tcPr>
          <w:p>
            <w:pPr>
              <w:pStyle w:val="TableParagraph"/>
              <w:spacing w:line="266" w:lineRule="auto" w:before="137"/>
              <w:ind w:left="200" w:right="89"/>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6991" w:type="dxa"/>
          </w:tcPr>
          <w:p>
            <w:pPr>
              <w:pStyle w:val="TableParagraph"/>
              <w:spacing w:line="256" w:lineRule="auto" w:before="137"/>
              <w:ind w:left="91" w:right="306"/>
              <w:rPr>
                <w:sz w:val="21"/>
              </w:rPr>
            </w:pPr>
            <w:r>
              <w:rPr>
                <w:spacing w:val="-8"/>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z w:val="21"/>
              </w:rPr>
              <w:t>％ </w:t>
            </w:r>
            <w:r>
              <w:rPr>
                <w:spacing w:val="-3"/>
                <w:sz w:val="21"/>
              </w:rPr>
              <w:t>以上。体表面积根据《中国新九分法》计算。</w:t>
            </w:r>
          </w:p>
        </w:tc>
      </w:tr>
      <w:tr>
        <w:trPr>
          <w:trHeight w:val="1562" w:hRule="atLeast"/>
        </w:trPr>
        <w:tc>
          <w:tcPr>
            <w:tcW w:w="1811" w:type="dxa"/>
          </w:tcPr>
          <w:p>
            <w:pPr>
              <w:pStyle w:val="TableParagraph"/>
              <w:spacing w:line="268" w:lineRule="auto" w:before="138"/>
              <w:ind w:left="200" w:right="89"/>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6991" w:type="dxa"/>
          </w:tcPr>
          <w:p>
            <w:pPr>
              <w:pStyle w:val="TableParagraph"/>
              <w:spacing w:line="273" w:lineRule="auto" w:before="138"/>
              <w:ind w:left="91" w:right="306"/>
              <w:jc w:val="both"/>
              <w:rPr>
                <w:sz w:val="21"/>
              </w:rPr>
            </w:pPr>
            <w:r>
              <w:rPr>
                <w:sz w:val="21"/>
              </w:rPr>
              <w:t>指不明原因的肺动脉压力持续性增高，进行性发展而导致的慢性疾病， 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59" w:hRule="atLeast"/>
        </w:trPr>
        <w:tc>
          <w:tcPr>
            <w:tcW w:w="1811" w:type="dxa"/>
          </w:tcPr>
          <w:p>
            <w:pPr>
              <w:pStyle w:val="TableParagraph"/>
              <w:spacing w:line="256" w:lineRule="auto" w:before="137"/>
              <w:ind w:left="200" w:right="89"/>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2"/>
              <w:rPr>
                <w:sz w:val="21"/>
              </w:rPr>
            </w:pPr>
            <w:r>
              <w:rPr>
                <w:sz w:val="21"/>
              </w:rPr>
              <w:t>“中国保险行业协会推荐”</w:t>
            </w:r>
          </w:p>
        </w:tc>
        <w:tc>
          <w:tcPr>
            <w:tcW w:w="6991" w:type="dxa"/>
          </w:tcPr>
          <w:p>
            <w:pPr>
              <w:pStyle w:val="TableParagraph"/>
              <w:spacing w:line="273" w:lineRule="auto" w:before="137"/>
              <w:ind w:left="91"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436" w:hRule="atLeast"/>
        </w:trPr>
        <w:tc>
          <w:tcPr>
            <w:tcW w:w="1811" w:type="dxa"/>
          </w:tcPr>
          <w:p>
            <w:pPr>
              <w:pStyle w:val="TableParagraph"/>
              <w:spacing w:line="280" w:lineRule="exact" w:before="137"/>
              <w:ind w:left="200"/>
              <w:rPr>
                <w:sz w:val="21"/>
              </w:rPr>
            </w:pPr>
            <w:r>
              <w:rPr>
                <w:rFonts w:ascii="Times New Roman" w:eastAsia="Times New Roman"/>
                <w:sz w:val="21"/>
              </w:rPr>
              <w:t>( </w:t>
            </w:r>
            <w:r>
              <w:rPr>
                <w:sz w:val="21"/>
              </w:rPr>
              <w:t>二十三</w:t>
            </w:r>
            <w:r>
              <w:rPr>
                <w:rFonts w:ascii="Times New Roman" w:eastAsia="Times New Roman"/>
                <w:sz w:val="21"/>
              </w:rPr>
              <w:t>)  </w:t>
            </w:r>
            <w:r>
              <w:rPr>
                <w:sz w:val="21"/>
              </w:rPr>
              <w:t>语言</w:t>
            </w:r>
          </w:p>
        </w:tc>
        <w:tc>
          <w:tcPr>
            <w:tcW w:w="6991" w:type="dxa"/>
          </w:tcPr>
          <w:p>
            <w:pPr>
              <w:pStyle w:val="TableParagraph"/>
              <w:spacing w:before="137"/>
              <w:ind w:left="91"/>
              <w:rPr>
                <w:sz w:val="21"/>
              </w:rPr>
            </w:pPr>
            <w:r>
              <w:rPr>
                <w:sz w:val="21"/>
              </w:rPr>
              <w:t>指因疾病或意外伤害导致完全丧失语言能力，经过积极治疗至少12个月</w:t>
            </w:r>
          </w:p>
        </w:tc>
      </w:tr>
    </w:tbl>
    <w:p>
      <w:pPr>
        <w:spacing w:after="0"/>
        <w:rPr>
          <w:sz w:val="21"/>
        </w:rPr>
        <w:sectPr>
          <w:pgSz w:w="11910" w:h="16840"/>
          <w:pgMar w:header="0" w:footer="912" w:top="1460" w:bottom="1100" w:left="1680" w:right="1040"/>
        </w:sectPr>
      </w:pPr>
    </w:p>
    <w:tbl>
      <w:tblPr>
        <w:tblW w:w="0" w:type="auto"/>
        <w:jc w:val="lef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6998"/>
      </w:tblGrid>
      <w:tr>
        <w:trPr>
          <w:trHeight w:val="1038" w:hRule="atLeast"/>
        </w:trPr>
        <w:tc>
          <w:tcPr>
            <w:tcW w:w="1801" w:type="dxa"/>
          </w:tcPr>
          <w:p>
            <w:pPr>
              <w:pStyle w:val="TableParagraph"/>
              <w:spacing w:line="202" w:lineRule="exact" w:before="0"/>
              <w:ind w:left="200"/>
              <w:rPr>
                <w:sz w:val="21"/>
              </w:rPr>
            </w:pPr>
            <w:r>
              <w:rPr>
                <w:sz w:val="21"/>
              </w:rPr>
              <w:t>能力丧失－“中</w:t>
            </w:r>
          </w:p>
          <w:p>
            <w:pPr>
              <w:pStyle w:val="TableParagraph"/>
              <w:spacing w:line="273" w:lineRule="auto"/>
              <w:ind w:left="200" w:right="112"/>
              <w:rPr>
                <w:sz w:val="21"/>
              </w:rPr>
            </w:pPr>
            <w:r>
              <w:rPr>
                <w:sz w:val="21"/>
              </w:rPr>
              <w:t>国保险行业协会推荐”</w:t>
            </w:r>
          </w:p>
        </w:tc>
        <w:tc>
          <w:tcPr>
            <w:tcW w:w="6998" w:type="dxa"/>
          </w:tcPr>
          <w:p>
            <w:pPr>
              <w:pStyle w:val="TableParagraph"/>
              <w:spacing w:line="202" w:lineRule="exact" w:before="0"/>
              <w:ind w:left="101"/>
              <w:rPr>
                <w:sz w:val="21"/>
              </w:rPr>
            </w:pPr>
            <w:r>
              <w:rPr>
                <w:sz w:val="21"/>
              </w:rPr>
              <w:t>（声带完全切除不受此时间限制），仍无法通过现有医疗手段恢复。</w:t>
            </w:r>
          </w:p>
          <w:p>
            <w:pPr>
              <w:pStyle w:val="TableParagraph"/>
              <w:ind w:left="101"/>
              <w:rPr>
                <w:sz w:val="21"/>
              </w:rPr>
            </w:pPr>
            <w:r>
              <w:rPr>
                <w:sz w:val="21"/>
              </w:rPr>
              <w:t>精神心理因素所致的语言能力丧失不在保障范围内。</w:t>
            </w:r>
          </w:p>
        </w:tc>
      </w:tr>
      <w:tr>
        <w:trPr>
          <w:trHeight w:val="2466" w:hRule="atLeast"/>
        </w:trPr>
        <w:tc>
          <w:tcPr>
            <w:tcW w:w="1801" w:type="dxa"/>
          </w:tcPr>
          <w:p>
            <w:pPr>
              <w:pStyle w:val="TableParagraph"/>
              <w:spacing w:line="256" w:lineRule="auto" w:before="137"/>
              <w:ind w:left="200" w:right="79"/>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2"/>
              <w:ind w:left="200" w:right="111"/>
              <w:rPr>
                <w:sz w:val="21"/>
              </w:rPr>
            </w:pPr>
            <w:r>
              <w:rPr>
                <w:sz w:val="21"/>
              </w:rPr>
              <w:t>－“中国保险行业协会推荐”</w:t>
            </w:r>
          </w:p>
        </w:tc>
        <w:tc>
          <w:tcPr>
            <w:tcW w:w="6998" w:type="dxa"/>
          </w:tcPr>
          <w:p>
            <w:pPr>
              <w:pStyle w:val="TableParagraph"/>
              <w:spacing w:line="273" w:lineRule="auto" w:before="137"/>
              <w:ind w:left="101" w:right="309"/>
              <w:rPr>
                <w:sz w:val="21"/>
              </w:rPr>
            </w:pPr>
            <w:r>
              <w:rPr>
                <w:sz w:val="21"/>
              </w:rPr>
              <w:t>指因骨髓造血功能慢性持续性衰竭导致的贫血、中性粒细胞减少及血小板减少。须满足下列全部条件：</w:t>
            </w:r>
          </w:p>
          <w:p>
            <w:pPr>
              <w:pStyle w:val="TableParagraph"/>
              <w:spacing w:before="7"/>
              <w:ind w:left="101"/>
              <w:rPr>
                <w:sz w:val="21"/>
              </w:rPr>
            </w:pPr>
            <w:r>
              <w:rPr>
                <w:sz w:val="21"/>
              </w:rPr>
              <w:t>（1）骨髓穿刺检查或骨髓活检结果支持诊断；</w:t>
            </w:r>
          </w:p>
          <w:p>
            <w:pPr>
              <w:pStyle w:val="TableParagraph"/>
              <w:spacing w:before="15"/>
              <w:ind w:left="101"/>
              <w:rPr>
                <w:sz w:val="21"/>
              </w:rPr>
            </w:pPr>
            <w:r>
              <w:rPr>
                <w:sz w:val="21"/>
              </w:rPr>
              <w:t>（2）外周血象须具备以下三项条件：</w:t>
            </w:r>
          </w:p>
          <w:p>
            <w:pPr>
              <w:pStyle w:val="TableParagraph"/>
              <w:spacing w:line="99" w:lineRule="exact" w:before="2"/>
              <w:ind w:left="263"/>
              <w:jc w:val="center"/>
              <w:rPr>
                <w:sz w:val="11"/>
              </w:rPr>
            </w:pPr>
            <w:r>
              <w:rPr>
                <w:w w:val="100"/>
                <w:sz w:val="11"/>
              </w:rPr>
              <w:t>9</w:t>
            </w:r>
          </w:p>
          <w:p>
            <w:pPr>
              <w:pStyle w:val="TableParagraph"/>
              <w:spacing w:line="229" w:lineRule="exact" w:before="0"/>
              <w:ind w:left="66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60"/>
              <w:rPr>
                <w:sz w:val="21"/>
              </w:rPr>
            </w:pPr>
            <w:r>
              <w:rPr>
                <w:sz w:val="21"/>
              </w:rPr>
              <w:t>② 网织红细胞＜1%；</w:t>
            </w:r>
          </w:p>
          <w:p>
            <w:pPr>
              <w:pStyle w:val="TableParagraph"/>
              <w:spacing w:line="99" w:lineRule="exact" w:before="2"/>
              <w:ind w:left="0" w:right="790"/>
              <w:jc w:val="center"/>
              <w:rPr>
                <w:sz w:val="11"/>
              </w:rPr>
            </w:pPr>
            <w:r>
              <w:rPr>
                <w:w w:val="100"/>
                <w:sz w:val="11"/>
              </w:rPr>
              <w:t>9</w:t>
            </w:r>
          </w:p>
          <w:p>
            <w:pPr>
              <w:pStyle w:val="TableParagraph"/>
              <w:spacing w:line="230" w:lineRule="exact" w:before="0"/>
              <w:ind w:left="660"/>
              <w:rPr>
                <w:sz w:val="21"/>
              </w:rPr>
            </w:pPr>
            <w:r>
              <w:rPr>
                <w:sz w:val="21"/>
              </w:rPr>
              <w:t>③ 血小板绝对值≤20×10 /L。</w:t>
            </w:r>
          </w:p>
        </w:tc>
      </w:tr>
      <w:tr>
        <w:trPr>
          <w:trHeight w:val="1551" w:hRule="atLeast"/>
        </w:trPr>
        <w:tc>
          <w:tcPr>
            <w:tcW w:w="1801" w:type="dxa"/>
          </w:tcPr>
          <w:p>
            <w:pPr>
              <w:pStyle w:val="TableParagraph"/>
              <w:spacing w:line="266" w:lineRule="auto" w:before="129"/>
              <w:ind w:left="200" w:right="79"/>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6998" w:type="dxa"/>
          </w:tcPr>
          <w:p>
            <w:pPr>
              <w:pStyle w:val="TableParagraph"/>
              <w:spacing w:line="273" w:lineRule="auto" w:before="129"/>
              <w:ind w:left="101" w:right="30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1"/>
              <w:jc w:val="both"/>
              <w:rPr>
                <w:sz w:val="21"/>
              </w:rPr>
            </w:pPr>
            <w:r>
              <w:rPr>
                <w:sz w:val="21"/>
              </w:rPr>
              <w:t>动脉内血管成形术不在保障范围内。</w:t>
            </w:r>
          </w:p>
        </w:tc>
      </w:tr>
      <w:tr>
        <w:trPr>
          <w:trHeight w:val="1264" w:hRule="atLeast"/>
        </w:trPr>
        <w:tc>
          <w:tcPr>
            <w:tcW w:w="1801" w:type="dxa"/>
          </w:tcPr>
          <w:p>
            <w:pPr>
              <w:pStyle w:val="TableParagraph"/>
              <w:spacing w:line="256" w:lineRule="auto" w:before="137"/>
              <w:ind w:left="200" w:right="79"/>
              <w:rPr>
                <w:sz w:val="21"/>
              </w:rPr>
            </w:pPr>
            <w:r>
              <w:rPr>
                <w:rFonts w:ascii="Times New Roman" w:eastAsia="Times New Roman"/>
                <w:sz w:val="21"/>
              </w:rPr>
              <w:t>( </w:t>
            </w:r>
            <w:r>
              <w:rPr>
                <w:sz w:val="21"/>
              </w:rPr>
              <w:t>二十六</w:t>
            </w:r>
            <w:r>
              <w:rPr>
                <w:rFonts w:ascii="Times New Roman" w:eastAsia="Times New Roman"/>
                <w:sz w:val="21"/>
              </w:rPr>
              <w:t>) </w:t>
            </w:r>
            <w:r>
              <w:rPr>
                <w:sz w:val="21"/>
              </w:rPr>
              <w:t>血管成型术</w:t>
            </w:r>
          </w:p>
        </w:tc>
        <w:tc>
          <w:tcPr>
            <w:tcW w:w="6998" w:type="dxa"/>
          </w:tcPr>
          <w:p>
            <w:pPr>
              <w:pStyle w:val="TableParagraph"/>
              <w:spacing w:line="273" w:lineRule="auto" w:before="137"/>
              <w:ind w:left="101" w:right="309"/>
              <w:jc w:val="both"/>
              <w:rPr>
                <w:sz w:val="21"/>
              </w:rPr>
            </w:pPr>
            <w:r>
              <w:rPr>
                <w:sz w:val="21"/>
              </w:rPr>
              <w:t>对于有心绞痛限制症状的被保险人，实际进行的通过气囊扩张法来矫正三个或更多的动脉变窄或阻塞的手术。索赔时必须提供血管造影报告并证明有两个或更多的冠状动脉出现 </w:t>
            </w:r>
            <w:r>
              <w:rPr>
                <w:rFonts w:ascii="Times New Roman" w:eastAsia="Times New Roman"/>
                <w:sz w:val="21"/>
              </w:rPr>
              <w:t>80</w:t>
            </w:r>
            <w:r>
              <w:rPr>
                <w:sz w:val="21"/>
              </w:rPr>
              <w:t>％以上的阻塞。</w:t>
            </w:r>
          </w:p>
        </w:tc>
      </w:tr>
      <w:tr>
        <w:trPr>
          <w:trHeight w:val="2808" w:hRule="atLeast"/>
        </w:trPr>
        <w:tc>
          <w:tcPr>
            <w:tcW w:w="1801" w:type="dxa"/>
          </w:tcPr>
          <w:p>
            <w:pPr>
              <w:pStyle w:val="TableParagraph"/>
              <w:spacing w:line="256" w:lineRule="auto" w:before="137"/>
              <w:ind w:left="200" w:right="79"/>
              <w:rPr>
                <w:sz w:val="21"/>
              </w:rPr>
            </w:pPr>
            <w:r>
              <w:rPr>
                <w:rFonts w:ascii="Times New Roman" w:eastAsia="Times New Roman"/>
                <w:sz w:val="21"/>
              </w:rPr>
              <w:t>( </w:t>
            </w:r>
            <w:r>
              <w:rPr>
                <w:sz w:val="21"/>
              </w:rPr>
              <w:t>二十七</w:t>
            </w:r>
            <w:r>
              <w:rPr>
                <w:rFonts w:ascii="Times New Roman" w:eastAsia="Times New Roman"/>
                <w:sz w:val="21"/>
              </w:rPr>
              <w:t>) </w:t>
            </w:r>
            <w:r>
              <w:rPr>
                <w:sz w:val="21"/>
              </w:rPr>
              <w:t>心肌病</w:t>
            </w:r>
          </w:p>
        </w:tc>
        <w:tc>
          <w:tcPr>
            <w:tcW w:w="6998" w:type="dxa"/>
          </w:tcPr>
          <w:p>
            <w:pPr>
              <w:pStyle w:val="TableParagraph"/>
              <w:spacing w:line="273" w:lineRule="auto" w:before="137"/>
              <w:ind w:left="101" w:right="377"/>
              <w:rPr>
                <w:sz w:val="21"/>
              </w:rPr>
            </w:pPr>
            <w:r>
              <w:rPr>
                <w:spacing w:val="-3"/>
                <w:sz w:val="21"/>
              </w:rPr>
              <w:t>心肌病是指伴有心肌功能障碍的心肌疾病，病变必须已造成事实上心室功能障碍而出现明显的心功能衰竭(美国纽约心脏协会心功能分类标准心功能达三级</w:t>
            </w:r>
            <w:r>
              <w:rPr>
                <w:sz w:val="21"/>
              </w:rPr>
              <w:t>*</w:t>
            </w:r>
            <w:r>
              <w:rPr>
                <w:spacing w:val="-3"/>
                <w:sz w:val="21"/>
              </w:rPr>
              <w:t>)，且有相关住院医疗记录显示三级心功能衰竭状态持续至少90天。该疾病索赔时须要经专科医师做出明确诊断。继发于全身性疾病或器官系统疾病不属本保障范围。</w:t>
            </w:r>
          </w:p>
          <w:p>
            <w:pPr>
              <w:pStyle w:val="TableParagraph"/>
              <w:spacing w:line="273" w:lineRule="auto" w:before="7"/>
              <w:ind w:left="101" w:right="168"/>
              <w:rPr>
                <w:sz w:val="21"/>
              </w:rPr>
            </w:pPr>
            <w:r>
              <w:rPr>
                <w:sz w:val="21"/>
              </w:rPr>
              <w:t>*美国纽约心脏协会分类标准的心功能三级是指有医院的医疗记录显示病人体力活动明显受限，休息时无症状，轻于日常的活动即可引起乏力、心悸、呼吸困难或心绞痛等心力衰竭表现。</w:t>
            </w:r>
          </w:p>
        </w:tc>
      </w:tr>
      <w:tr>
        <w:trPr>
          <w:trHeight w:val="1880" w:hRule="atLeast"/>
        </w:trPr>
        <w:tc>
          <w:tcPr>
            <w:tcW w:w="1801" w:type="dxa"/>
          </w:tcPr>
          <w:p>
            <w:pPr>
              <w:pStyle w:val="TableParagraph"/>
              <w:spacing w:line="256" w:lineRule="auto" w:before="137"/>
              <w:ind w:left="200" w:right="79"/>
              <w:rPr>
                <w:sz w:val="21"/>
              </w:rPr>
            </w:pPr>
            <w:r>
              <w:rPr>
                <w:rFonts w:ascii="Times New Roman" w:eastAsia="Times New Roman"/>
                <w:sz w:val="21"/>
              </w:rPr>
              <w:t>( </w:t>
            </w:r>
            <w:r>
              <w:rPr>
                <w:sz w:val="21"/>
              </w:rPr>
              <w:t>二十八</w:t>
            </w:r>
            <w:r>
              <w:rPr>
                <w:rFonts w:ascii="Times New Roman" w:eastAsia="Times New Roman"/>
                <w:sz w:val="21"/>
              </w:rPr>
              <w:t>) </w:t>
            </w:r>
            <w:r>
              <w:rPr>
                <w:sz w:val="21"/>
              </w:rPr>
              <w:t>多发性硬化</w:t>
            </w:r>
          </w:p>
        </w:tc>
        <w:tc>
          <w:tcPr>
            <w:tcW w:w="6998" w:type="dxa"/>
          </w:tcPr>
          <w:p>
            <w:pPr>
              <w:pStyle w:val="TableParagraph"/>
              <w:spacing w:line="273" w:lineRule="auto" w:before="137"/>
              <w:ind w:left="101" w:right="377"/>
              <w:rPr>
                <w:sz w:val="21"/>
              </w:rPr>
            </w:pPr>
            <w:r>
              <w:rPr>
                <w:sz w:val="21"/>
              </w:rPr>
              <w:t>必须经本公司认可医疗机构的神经专科医师确诊。必须伴有典型的脱髓鞘症状和运动及感觉功能障碍的证据并有MRI检查的典型改变。</w:t>
            </w:r>
          </w:p>
          <w:p>
            <w:pPr>
              <w:pStyle w:val="TableParagraph"/>
              <w:spacing w:line="273" w:lineRule="auto" w:before="7"/>
              <w:ind w:left="101" w:right="170"/>
              <w:rPr>
                <w:sz w:val="21"/>
              </w:rPr>
            </w:pPr>
            <w:r>
              <w:rPr>
                <w:sz w:val="21"/>
              </w:rPr>
              <w:t>诊断须包括：中枢神经系统功能障碍症状必须不间断地持续至少六个月， 或者有至少两次发作的临床记录且发作间隔至少一个月，或至少有一次临床发作记录且有典型的脑脊液改变并伴 </w:t>
            </w:r>
            <w:r>
              <w:rPr>
                <w:rFonts w:ascii="Times New Roman" w:eastAsia="Times New Roman"/>
                <w:sz w:val="21"/>
              </w:rPr>
              <w:t>MRI </w:t>
            </w:r>
            <w:r>
              <w:rPr>
                <w:sz w:val="21"/>
              </w:rPr>
              <w:t>的损伤表现。</w:t>
            </w:r>
          </w:p>
        </w:tc>
      </w:tr>
      <w:tr>
        <w:trPr>
          <w:trHeight w:val="1864" w:hRule="atLeast"/>
        </w:trPr>
        <w:tc>
          <w:tcPr>
            <w:tcW w:w="1801" w:type="dxa"/>
          </w:tcPr>
          <w:p>
            <w:pPr>
              <w:pStyle w:val="TableParagraph"/>
              <w:spacing w:line="256" w:lineRule="auto" w:before="129"/>
              <w:ind w:left="200" w:right="79"/>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6998" w:type="dxa"/>
          </w:tcPr>
          <w:p>
            <w:pPr>
              <w:pStyle w:val="TableParagraph"/>
              <w:spacing w:line="273" w:lineRule="auto" w:before="129"/>
              <w:ind w:left="101" w:right="377"/>
              <w:rPr>
                <w:sz w:val="21"/>
              </w:rPr>
            </w:pPr>
            <w:r>
              <w:rPr>
                <w:sz w:val="21"/>
              </w:rPr>
              <w:t>被保险人患有慢性呼吸系统疾病或导致呼吸功能障碍的疾病而出现永久不可逆性的慢性呼吸衰竭，由呼吸专科医师确认并符合以下各项：</w:t>
            </w:r>
          </w:p>
          <w:p>
            <w:pPr>
              <w:pStyle w:val="TableParagraph"/>
              <w:numPr>
                <w:ilvl w:val="0"/>
                <w:numId w:val="11"/>
              </w:numPr>
              <w:tabs>
                <w:tab w:pos="733" w:val="left" w:leader="none"/>
              </w:tabs>
              <w:spacing w:line="240" w:lineRule="auto" w:before="7" w:after="0"/>
              <w:ind w:left="732" w:right="0" w:hanging="631"/>
              <w:jc w:val="left"/>
              <w:rPr>
                <w:sz w:val="21"/>
              </w:rPr>
            </w:pPr>
            <w:r>
              <w:rPr>
                <w:spacing w:val="-3"/>
                <w:sz w:val="21"/>
              </w:rPr>
              <w:t>休息时出现呼吸困难；</w:t>
            </w:r>
          </w:p>
          <w:p>
            <w:pPr>
              <w:pStyle w:val="TableParagraph"/>
              <w:numPr>
                <w:ilvl w:val="0"/>
                <w:numId w:val="11"/>
              </w:numPr>
              <w:tabs>
                <w:tab w:pos="733" w:val="left" w:leader="none"/>
              </w:tabs>
              <w:spacing w:line="240" w:lineRule="auto" w:before="36" w:after="0"/>
              <w:ind w:left="732" w:right="0" w:hanging="631"/>
              <w:jc w:val="left"/>
              <w:rPr>
                <w:sz w:val="21"/>
              </w:rPr>
            </w:pPr>
            <w:r>
              <w:rPr>
                <w:spacing w:val="-3"/>
                <w:sz w:val="21"/>
              </w:rPr>
              <w:t>动脉血气分析氧分压</w:t>
            </w:r>
            <w:r>
              <w:rPr>
                <w:spacing w:val="-1"/>
                <w:sz w:val="21"/>
              </w:rPr>
              <w:t>（PaO2）&lt;60mmHg；</w:t>
            </w:r>
          </w:p>
          <w:p>
            <w:pPr>
              <w:pStyle w:val="TableParagraph"/>
              <w:numPr>
                <w:ilvl w:val="0"/>
                <w:numId w:val="11"/>
              </w:numPr>
              <w:tabs>
                <w:tab w:pos="733" w:val="left" w:leader="none"/>
              </w:tabs>
              <w:spacing w:line="240" w:lineRule="auto" w:before="36" w:after="0"/>
              <w:ind w:left="732" w:right="0" w:hanging="631"/>
              <w:jc w:val="left"/>
              <w:rPr>
                <w:sz w:val="21"/>
              </w:rPr>
            </w:pPr>
            <w:r>
              <w:rPr>
                <w:spacing w:val="-3"/>
                <w:sz w:val="21"/>
              </w:rPr>
              <w:t>因缺氧必须接受持续的输氧治疗。</w:t>
            </w:r>
          </w:p>
        </w:tc>
      </w:tr>
      <w:tr>
        <w:trPr>
          <w:trHeight w:val="732" w:hRule="atLeast"/>
        </w:trPr>
        <w:tc>
          <w:tcPr>
            <w:tcW w:w="1801" w:type="dxa"/>
          </w:tcPr>
          <w:p>
            <w:pPr>
              <w:pStyle w:val="TableParagraph"/>
              <w:spacing w:line="290" w:lineRule="atLeast" w:before="137"/>
              <w:ind w:left="200" w:right="79"/>
              <w:rPr>
                <w:sz w:val="21"/>
              </w:rPr>
            </w:pPr>
            <w:r>
              <w:rPr>
                <w:rFonts w:ascii="Times New Roman" w:eastAsia="Times New Roman"/>
                <w:sz w:val="21"/>
              </w:rPr>
              <w:t>( </w:t>
            </w:r>
            <w:r>
              <w:rPr>
                <w:sz w:val="21"/>
              </w:rPr>
              <w:t>三十</w:t>
            </w:r>
            <w:r>
              <w:rPr>
                <w:rFonts w:ascii="Times New Roman" w:eastAsia="Times New Roman"/>
                <w:sz w:val="21"/>
              </w:rPr>
              <w:t>) </w:t>
            </w:r>
            <w:r>
              <w:rPr>
                <w:sz w:val="21"/>
              </w:rPr>
              <w:t>经输血感染艾滋病病毒</w:t>
            </w:r>
          </w:p>
        </w:tc>
        <w:tc>
          <w:tcPr>
            <w:tcW w:w="6998" w:type="dxa"/>
          </w:tcPr>
          <w:p>
            <w:pPr>
              <w:pStyle w:val="TableParagraph"/>
              <w:spacing w:before="137"/>
              <w:ind w:left="82"/>
              <w:rPr>
                <w:sz w:val="21"/>
              </w:rPr>
            </w:pPr>
            <w:r>
              <w:rPr>
                <w:sz w:val="21"/>
              </w:rPr>
              <w:t>被保险人感染上艾滋病病毒（HIV）并且符合下列所有条件：</w:t>
            </w:r>
          </w:p>
          <w:p>
            <w:pPr>
              <w:pStyle w:val="TableParagraph"/>
              <w:spacing w:line="264" w:lineRule="exact"/>
              <w:ind w:left="101"/>
              <w:rPr>
                <w:sz w:val="21"/>
              </w:rPr>
            </w:pPr>
            <w:r>
              <w:rPr>
                <w:sz w:val="21"/>
              </w:rPr>
              <w:t>（1） 保障起始日或复效日之后，被保险人因治疗必需而接受输血，并</w:t>
            </w:r>
          </w:p>
        </w:tc>
      </w:tr>
    </w:tbl>
    <w:p>
      <w:pPr>
        <w:spacing w:after="0" w:line="264" w:lineRule="exact"/>
        <w:rPr>
          <w:sz w:val="21"/>
        </w:rPr>
        <w:sectPr>
          <w:pgSz w:w="11910" w:h="16840"/>
          <w:pgMar w:header="0" w:footer="912" w:top="1460" w:bottom="1100" w:left="168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5"/>
        <w:gridCol w:w="7011"/>
      </w:tblGrid>
      <w:tr>
        <w:trPr>
          <w:trHeight w:val="1673" w:hRule="atLeast"/>
        </w:trPr>
        <w:tc>
          <w:tcPr>
            <w:tcW w:w="837" w:type="dxa"/>
          </w:tcPr>
          <w:p>
            <w:pPr>
              <w:pStyle w:val="TableParagraph"/>
              <w:spacing w:before="0"/>
              <w:ind w:left="0"/>
              <w:rPr>
                <w:rFonts w:ascii="Times New Roman"/>
                <w:sz w:val="20"/>
              </w:rPr>
            </w:pPr>
          </w:p>
        </w:tc>
        <w:tc>
          <w:tcPr>
            <w:tcW w:w="1805" w:type="dxa"/>
          </w:tcPr>
          <w:p>
            <w:pPr>
              <w:pStyle w:val="TableParagraph"/>
              <w:spacing w:before="0"/>
              <w:ind w:left="0"/>
              <w:rPr>
                <w:rFonts w:ascii="Times New Roman"/>
                <w:sz w:val="20"/>
              </w:rPr>
            </w:pPr>
          </w:p>
        </w:tc>
        <w:tc>
          <w:tcPr>
            <w:tcW w:w="7011" w:type="dxa"/>
          </w:tcPr>
          <w:p>
            <w:pPr>
              <w:pStyle w:val="TableParagraph"/>
              <w:spacing w:line="202" w:lineRule="exact" w:before="0"/>
              <w:rPr>
                <w:sz w:val="21"/>
              </w:rPr>
            </w:pPr>
            <w:r>
              <w:rPr>
                <w:sz w:val="21"/>
              </w:rPr>
              <w:t>且因输血而感染HIV；</w:t>
            </w:r>
          </w:p>
          <w:p>
            <w:pPr>
              <w:pStyle w:val="TableParagraph"/>
              <w:numPr>
                <w:ilvl w:val="0"/>
                <w:numId w:val="12"/>
              </w:numPr>
              <w:tabs>
                <w:tab w:pos="744" w:val="left" w:leader="none"/>
              </w:tabs>
              <w:spacing w:line="273" w:lineRule="auto" w:before="37" w:after="0"/>
              <w:ind w:left="112" w:right="379" w:firstLine="0"/>
              <w:jc w:val="left"/>
              <w:rPr>
                <w:sz w:val="21"/>
              </w:rPr>
            </w:pPr>
            <w:r>
              <w:rPr>
                <w:spacing w:val="-3"/>
                <w:sz w:val="21"/>
              </w:rPr>
              <w:t>供输血治疗的输血中心或医院出具该项输血感染属医疗责任事故的报告，或者法院终审裁定为医疗责任并且不准上诉；</w:t>
            </w:r>
          </w:p>
          <w:p>
            <w:pPr>
              <w:pStyle w:val="TableParagraph"/>
              <w:numPr>
                <w:ilvl w:val="0"/>
                <w:numId w:val="12"/>
              </w:numPr>
              <w:tabs>
                <w:tab w:pos="744" w:val="left" w:leader="none"/>
              </w:tabs>
              <w:spacing w:line="240" w:lineRule="auto" w:before="7" w:after="0"/>
              <w:ind w:left="112" w:right="0" w:firstLine="0"/>
              <w:jc w:val="left"/>
              <w:rPr>
                <w:sz w:val="21"/>
              </w:rPr>
            </w:pPr>
            <w:r>
              <w:rPr>
                <w:spacing w:val="-3"/>
                <w:sz w:val="21"/>
              </w:rPr>
              <w:t>供输血治疗的输血中心或医院必须拥有合法经营执照；</w:t>
            </w:r>
          </w:p>
          <w:p>
            <w:pPr>
              <w:pStyle w:val="TableParagraph"/>
              <w:numPr>
                <w:ilvl w:val="0"/>
                <w:numId w:val="12"/>
              </w:numPr>
              <w:tabs>
                <w:tab w:pos="744" w:val="left" w:leader="none"/>
              </w:tabs>
              <w:spacing w:line="240" w:lineRule="auto" w:before="37" w:after="0"/>
              <w:ind w:left="112" w:right="0" w:firstLine="0"/>
              <w:jc w:val="left"/>
              <w:rPr>
                <w:sz w:val="21"/>
              </w:rPr>
            </w:pPr>
            <w:r>
              <w:rPr>
                <w:spacing w:val="-3"/>
                <w:sz w:val="21"/>
              </w:rPr>
              <w:t>感染的被保险人不是血友病患者。</w:t>
            </w:r>
          </w:p>
        </w:tc>
      </w:tr>
      <w:tr>
        <w:trPr>
          <w:trHeight w:val="928" w:hRule="atLeast"/>
        </w:trPr>
        <w:tc>
          <w:tcPr>
            <w:tcW w:w="837" w:type="dxa"/>
          </w:tcPr>
          <w:p>
            <w:pPr>
              <w:pStyle w:val="TableParagraph"/>
              <w:spacing w:before="126"/>
              <w:ind w:left="74" w:right="192"/>
              <w:jc w:val="center"/>
              <w:rPr>
                <w:b/>
                <w:sz w:val="21"/>
              </w:rPr>
            </w:pPr>
            <w:r>
              <w:rPr>
                <w:b/>
                <w:sz w:val="21"/>
              </w:rPr>
              <w:t>7.3</w:t>
            </w:r>
          </w:p>
        </w:tc>
        <w:tc>
          <w:tcPr>
            <w:tcW w:w="1805" w:type="dxa"/>
          </w:tcPr>
          <w:p>
            <w:pPr>
              <w:pStyle w:val="TableParagraph"/>
              <w:spacing w:before="126"/>
              <w:ind w:left="214"/>
              <w:rPr>
                <w:b/>
                <w:sz w:val="21"/>
              </w:rPr>
            </w:pPr>
            <w:r>
              <w:rPr>
                <w:b/>
                <w:sz w:val="21"/>
              </w:rPr>
              <w:t>意外伤害</w:t>
            </w:r>
          </w:p>
        </w:tc>
        <w:tc>
          <w:tcPr>
            <w:tcW w:w="7011" w:type="dxa"/>
          </w:tcPr>
          <w:p>
            <w:pPr>
              <w:pStyle w:val="TableParagraph"/>
              <w:spacing w:line="273" w:lineRule="auto" w:before="126"/>
              <w:ind w:right="379"/>
              <w:rPr>
                <w:sz w:val="21"/>
              </w:rPr>
            </w:pPr>
            <w:r>
              <w:rPr>
                <w:sz w:val="21"/>
              </w:rPr>
              <w:t>指遭受外来的、突发的、非本意的、非疾病的使身体受到伤害的客观事件。</w:t>
            </w:r>
          </w:p>
        </w:tc>
      </w:tr>
      <w:tr>
        <w:trPr>
          <w:trHeight w:val="2504" w:hRule="atLeast"/>
        </w:trPr>
        <w:tc>
          <w:tcPr>
            <w:tcW w:w="837" w:type="dxa"/>
          </w:tcPr>
          <w:p>
            <w:pPr>
              <w:pStyle w:val="TableParagraph"/>
              <w:spacing w:before="134"/>
              <w:ind w:left="74" w:right="192"/>
              <w:jc w:val="center"/>
              <w:rPr>
                <w:b/>
                <w:sz w:val="21"/>
              </w:rPr>
            </w:pPr>
            <w:r>
              <w:rPr>
                <w:b/>
                <w:sz w:val="21"/>
              </w:rPr>
              <w:t>7.4</w:t>
            </w:r>
          </w:p>
        </w:tc>
        <w:tc>
          <w:tcPr>
            <w:tcW w:w="1805" w:type="dxa"/>
          </w:tcPr>
          <w:p>
            <w:pPr>
              <w:pStyle w:val="TableParagraph"/>
              <w:spacing w:before="134"/>
              <w:ind w:left="214"/>
              <w:rPr>
                <w:b/>
                <w:sz w:val="21"/>
              </w:rPr>
            </w:pPr>
            <w:r>
              <w:rPr>
                <w:b/>
                <w:sz w:val="21"/>
              </w:rPr>
              <w:t>专科医生</w:t>
            </w:r>
          </w:p>
        </w:tc>
        <w:tc>
          <w:tcPr>
            <w:tcW w:w="7011" w:type="dxa"/>
          </w:tcPr>
          <w:p>
            <w:pPr>
              <w:pStyle w:val="TableParagraph"/>
              <w:spacing w:before="134"/>
              <w:rPr>
                <w:sz w:val="21"/>
              </w:rPr>
            </w:pPr>
            <w:r>
              <w:rPr>
                <w:sz w:val="21"/>
              </w:rPr>
              <w:t>专科医生应当同时满足以下四项资格条件：</w:t>
            </w:r>
          </w:p>
          <w:p>
            <w:pPr>
              <w:pStyle w:val="TableParagraph"/>
              <w:rPr>
                <w:sz w:val="21"/>
              </w:rPr>
            </w:pPr>
            <w:r>
              <w:rPr>
                <w:sz w:val="21"/>
              </w:rPr>
              <w:t>（1）具有有效的中华人民共和国《医师资格证书》；</w:t>
            </w:r>
          </w:p>
          <w:p>
            <w:pPr>
              <w:pStyle w:val="TableParagraph"/>
              <w:spacing w:line="273" w:lineRule="auto"/>
              <w:ind w:right="273"/>
              <w:rPr>
                <w:sz w:val="21"/>
              </w:rPr>
            </w:pPr>
            <w:r>
              <w:rPr>
                <w:sz w:val="21"/>
              </w:rPr>
              <w:t>（2）具有有效的中华人民共和国《医师执业证书》，并按期到相关部门登记注册；</w:t>
            </w:r>
          </w:p>
          <w:p>
            <w:pPr>
              <w:pStyle w:val="TableParagraph"/>
              <w:spacing w:line="273" w:lineRule="auto" w:before="8"/>
              <w:ind w:right="253"/>
              <w:rPr>
                <w:sz w:val="21"/>
              </w:rPr>
            </w:pPr>
            <w:r>
              <w:rPr>
                <w:sz w:val="21"/>
              </w:rPr>
              <w:t>（3）具有有效的中华人民共和国主治医师或主治医师以上职称的《医师职称证书》；</w:t>
            </w:r>
          </w:p>
          <w:p>
            <w:pPr>
              <w:pStyle w:val="TableParagraph"/>
              <w:spacing w:before="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552" w:hRule="atLeast"/>
        </w:trPr>
        <w:tc>
          <w:tcPr>
            <w:tcW w:w="837" w:type="dxa"/>
          </w:tcPr>
          <w:p>
            <w:pPr>
              <w:pStyle w:val="TableParagraph"/>
              <w:spacing w:before="126"/>
              <w:ind w:left="74" w:right="192"/>
              <w:jc w:val="center"/>
              <w:rPr>
                <w:b/>
                <w:sz w:val="21"/>
              </w:rPr>
            </w:pPr>
            <w:r>
              <w:rPr>
                <w:b/>
                <w:sz w:val="21"/>
              </w:rPr>
              <w:t>7.5</w:t>
            </w:r>
          </w:p>
        </w:tc>
        <w:tc>
          <w:tcPr>
            <w:tcW w:w="1805" w:type="dxa"/>
          </w:tcPr>
          <w:p>
            <w:pPr>
              <w:pStyle w:val="TableParagraph"/>
              <w:spacing w:before="126"/>
              <w:ind w:left="214"/>
              <w:rPr>
                <w:b/>
                <w:sz w:val="21"/>
              </w:rPr>
            </w:pPr>
            <w:r>
              <w:rPr>
                <w:b/>
                <w:sz w:val="21"/>
              </w:rPr>
              <w:t>毒品</w:t>
            </w:r>
          </w:p>
        </w:tc>
        <w:tc>
          <w:tcPr>
            <w:tcW w:w="7011" w:type="dxa"/>
          </w:tcPr>
          <w:p>
            <w:pPr>
              <w:pStyle w:val="TableParagraph"/>
              <w:spacing w:line="273" w:lineRule="auto" w:before="126"/>
              <w:ind w:right="197"/>
              <w:rPr>
                <w:sz w:val="21"/>
              </w:rPr>
            </w:pPr>
            <w:r>
              <w:rPr>
                <w:spacing w:val="-10"/>
                <w:sz w:val="21"/>
              </w:rPr>
              <w:t>指中华人民共和国刑法规定的鸦片、海洛因、甲基苯丙胺</w:t>
            </w:r>
            <w:r>
              <w:rPr>
                <w:spacing w:val="-3"/>
                <w:sz w:val="21"/>
              </w:rPr>
              <w:t>（</w:t>
            </w:r>
            <w:r>
              <w:rPr>
                <w:sz w:val="21"/>
              </w:rPr>
              <w:t>冰毒</w:t>
            </w:r>
            <w:r>
              <w:rPr>
                <w:spacing w:val="-108"/>
                <w:sz w:val="21"/>
              </w:rPr>
              <w:t>）</w:t>
            </w:r>
            <w:r>
              <w:rPr>
                <w:spacing w:val="-10"/>
                <w:sz w:val="21"/>
              </w:rPr>
              <w:t>、吗啡、</w:t>
            </w:r>
            <w:r>
              <w:rPr>
                <w:spacing w:val="-5"/>
                <w:sz w:val="21"/>
              </w:rPr>
              <w:t>大麻、可卡因以及国家规定管制的其他能够使人形成瘾癖的麻醉药品和 </w:t>
            </w:r>
            <w:r>
              <w:rPr>
                <w:spacing w:val="-4"/>
                <w:sz w:val="21"/>
              </w:rPr>
              <w:t>精神药品，但不包括由医生开具并遵医嘱使用的用于治疗疾病但含有毒 </w:t>
            </w:r>
            <w:r>
              <w:rPr>
                <w:spacing w:val="-3"/>
                <w:sz w:val="21"/>
              </w:rPr>
              <w:t>品成分的处方药品。</w:t>
            </w:r>
          </w:p>
        </w:tc>
      </w:tr>
      <w:tr>
        <w:trPr>
          <w:trHeight w:val="1248" w:hRule="atLeast"/>
        </w:trPr>
        <w:tc>
          <w:tcPr>
            <w:tcW w:w="837" w:type="dxa"/>
          </w:tcPr>
          <w:p>
            <w:pPr>
              <w:pStyle w:val="TableParagraph"/>
              <w:spacing w:before="134"/>
              <w:ind w:left="74" w:right="192"/>
              <w:jc w:val="center"/>
              <w:rPr>
                <w:b/>
                <w:sz w:val="21"/>
              </w:rPr>
            </w:pPr>
            <w:r>
              <w:rPr>
                <w:b/>
                <w:sz w:val="21"/>
              </w:rPr>
              <w:t>7.6</w:t>
            </w:r>
          </w:p>
        </w:tc>
        <w:tc>
          <w:tcPr>
            <w:tcW w:w="1805" w:type="dxa"/>
          </w:tcPr>
          <w:p>
            <w:pPr>
              <w:pStyle w:val="TableParagraph"/>
              <w:spacing w:before="134"/>
              <w:ind w:left="214"/>
              <w:rPr>
                <w:b/>
                <w:sz w:val="21"/>
              </w:rPr>
            </w:pPr>
            <w:r>
              <w:rPr>
                <w:b/>
                <w:sz w:val="21"/>
              </w:rPr>
              <w:t>酒后驾驶</w:t>
            </w:r>
          </w:p>
        </w:tc>
        <w:tc>
          <w:tcPr>
            <w:tcW w:w="7011" w:type="dxa"/>
          </w:tcPr>
          <w:p>
            <w:pPr>
              <w:pStyle w:val="TableParagraph"/>
              <w:spacing w:line="273" w:lineRule="auto" w:before="134"/>
              <w:ind w:right="197"/>
              <w:rPr>
                <w:sz w:val="21"/>
              </w:rPr>
            </w:pPr>
            <w:r>
              <w:rPr>
                <w:spacing w:val="-3"/>
                <w:sz w:val="21"/>
              </w:rPr>
              <w:t>指经检测或鉴定，发生事故时车辆驾驶人员每百毫升血液中的酒精含量 </w:t>
            </w:r>
            <w:r>
              <w:rPr>
                <w:spacing w:val="-6"/>
                <w:sz w:val="21"/>
              </w:rPr>
              <w:t>达到或超过一定的标准，公安机关交通管理部门依据《道路交通安全法》</w:t>
            </w:r>
            <w:r>
              <w:rPr>
                <w:spacing w:val="-4"/>
                <w:sz w:val="21"/>
              </w:rPr>
              <w:t>的规定认定为饮酒后驾驶或醉酒后驾驶。</w:t>
            </w:r>
          </w:p>
        </w:tc>
      </w:tr>
      <w:tr>
        <w:trPr>
          <w:trHeight w:val="2184" w:hRule="atLeast"/>
        </w:trPr>
        <w:tc>
          <w:tcPr>
            <w:tcW w:w="837" w:type="dxa"/>
          </w:tcPr>
          <w:p>
            <w:pPr>
              <w:pStyle w:val="TableParagraph"/>
              <w:spacing w:before="134"/>
              <w:ind w:left="74" w:right="192"/>
              <w:jc w:val="center"/>
              <w:rPr>
                <w:b/>
                <w:sz w:val="21"/>
              </w:rPr>
            </w:pPr>
            <w:r>
              <w:rPr>
                <w:b/>
                <w:sz w:val="21"/>
              </w:rPr>
              <w:t>7.7</w:t>
            </w:r>
          </w:p>
        </w:tc>
        <w:tc>
          <w:tcPr>
            <w:tcW w:w="1805" w:type="dxa"/>
          </w:tcPr>
          <w:p>
            <w:pPr>
              <w:pStyle w:val="TableParagraph"/>
              <w:spacing w:line="273" w:lineRule="auto" w:before="134"/>
              <w:ind w:left="214" w:right="109"/>
              <w:rPr>
                <w:b/>
                <w:sz w:val="21"/>
              </w:rPr>
            </w:pPr>
            <w:r>
              <w:rPr>
                <w:b/>
                <w:sz w:val="21"/>
              </w:rPr>
              <w:t>无合法有效驾驶证驾驶</w:t>
            </w:r>
          </w:p>
        </w:tc>
        <w:tc>
          <w:tcPr>
            <w:tcW w:w="7011" w:type="dxa"/>
          </w:tcPr>
          <w:p>
            <w:pPr>
              <w:pStyle w:val="TableParagraph"/>
              <w:spacing w:before="134"/>
              <w:rPr>
                <w:sz w:val="21"/>
              </w:rPr>
            </w:pPr>
            <w:r>
              <w:rPr>
                <w:sz w:val="21"/>
              </w:rPr>
              <w:t>指下列情形之一：</w:t>
            </w:r>
          </w:p>
          <w:p>
            <w:pPr>
              <w:pStyle w:val="TableParagraph"/>
              <w:rPr>
                <w:sz w:val="21"/>
              </w:rPr>
            </w:pPr>
            <w:r>
              <w:rPr>
                <w:sz w:val="21"/>
              </w:rPr>
              <w:t>（1）没有取得驾驶资格；</w:t>
            </w:r>
          </w:p>
          <w:p>
            <w:pPr>
              <w:pStyle w:val="TableParagraph"/>
              <w:rPr>
                <w:sz w:val="21"/>
              </w:rPr>
            </w:pPr>
            <w:r>
              <w:rPr>
                <w:sz w:val="21"/>
              </w:rPr>
              <w:t>（2）驾驶与驾驶证准驾车型不相符合的车辆；</w:t>
            </w:r>
          </w:p>
          <w:p>
            <w:pPr>
              <w:pStyle w:val="TableParagraph"/>
              <w:rPr>
                <w:sz w:val="21"/>
              </w:rPr>
            </w:pPr>
            <w:r>
              <w:rPr>
                <w:sz w:val="21"/>
              </w:rPr>
              <w:t>（3）持审验不合格的驾驶证驾驶；</w:t>
            </w:r>
          </w:p>
          <w:p>
            <w:pPr>
              <w:pStyle w:val="TableParagraph"/>
              <w:spacing w:line="273" w:lineRule="auto"/>
              <w:ind w:right="278"/>
              <w:rPr>
                <w:sz w:val="21"/>
              </w:rPr>
            </w:pPr>
            <w:r>
              <w:rPr>
                <w:sz w:val="21"/>
              </w:rPr>
              <w:t>（4）持学习驾驶证学习驾车时，无教练员随车指导，或不按指定时间、路线学习驾车。</w:t>
            </w:r>
          </w:p>
        </w:tc>
      </w:tr>
      <w:tr>
        <w:trPr>
          <w:trHeight w:val="1248" w:hRule="atLeast"/>
        </w:trPr>
        <w:tc>
          <w:tcPr>
            <w:tcW w:w="837" w:type="dxa"/>
          </w:tcPr>
          <w:p>
            <w:pPr>
              <w:pStyle w:val="TableParagraph"/>
              <w:spacing w:before="134"/>
              <w:ind w:left="74" w:right="192"/>
              <w:jc w:val="center"/>
              <w:rPr>
                <w:b/>
                <w:sz w:val="21"/>
              </w:rPr>
            </w:pPr>
            <w:r>
              <w:rPr>
                <w:b/>
                <w:sz w:val="21"/>
              </w:rPr>
              <w:t>7.8</w:t>
            </w:r>
          </w:p>
        </w:tc>
        <w:tc>
          <w:tcPr>
            <w:tcW w:w="1805" w:type="dxa"/>
          </w:tcPr>
          <w:p>
            <w:pPr>
              <w:pStyle w:val="TableParagraph"/>
              <w:spacing w:before="134"/>
              <w:ind w:left="214"/>
              <w:rPr>
                <w:b/>
                <w:sz w:val="21"/>
              </w:rPr>
            </w:pPr>
            <w:r>
              <w:rPr>
                <w:b/>
                <w:sz w:val="21"/>
              </w:rPr>
              <w:t>无有效行驶证</w:t>
            </w:r>
          </w:p>
        </w:tc>
        <w:tc>
          <w:tcPr>
            <w:tcW w:w="7011" w:type="dxa"/>
          </w:tcPr>
          <w:p>
            <w:pPr>
              <w:pStyle w:val="TableParagraph"/>
              <w:spacing w:before="134"/>
              <w:rPr>
                <w:sz w:val="21"/>
              </w:rPr>
            </w:pPr>
            <w:r>
              <w:rPr>
                <w:sz w:val="21"/>
              </w:rPr>
              <w:t>指下列情形之一：</w:t>
            </w:r>
          </w:p>
          <w:p>
            <w:pPr>
              <w:pStyle w:val="TableParagraph"/>
              <w:spacing w:before="38"/>
              <w:rPr>
                <w:sz w:val="21"/>
              </w:rPr>
            </w:pPr>
            <w:r>
              <w:rPr>
                <w:sz w:val="21"/>
              </w:rPr>
              <w:t>（1）机动车被依法注销登记的；</w:t>
            </w:r>
          </w:p>
          <w:p>
            <w:pPr>
              <w:pStyle w:val="TableParagraph"/>
              <w:rPr>
                <w:sz w:val="21"/>
              </w:rPr>
            </w:pPr>
            <w:r>
              <w:rPr>
                <w:sz w:val="21"/>
              </w:rPr>
              <w:t>（2）未依法按时进行或通过机动车安全技术检验。</w:t>
            </w:r>
          </w:p>
        </w:tc>
      </w:tr>
      <w:tr>
        <w:trPr>
          <w:trHeight w:val="936" w:hRule="atLeast"/>
        </w:trPr>
        <w:tc>
          <w:tcPr>
            <w:tcW w:w="837" w:type="dxa"/>
          </w:tcPr>
          <w:p>
            <w:pPr>
              <w:pStyle w:val="TableParagraph"/>
              <w:spacing w:before="134"/>
              <w:ind w:left="74" w:right="192"/>
              <w:jc w:val="center"/>
              <w:rPr>
                <w:b/>
                <w:sz w:val="21"/>
              </w:rPr>
            </w:pPr>
            <w:r>
              <w:rPr>
                <w:b/>
                <w:sz w:val="21"/>
              </w:rPr>
              <w:t>7.9</w:t>
            </w:r>
          </w:p>
        </w:tc>
        <w:tc>
          <w:tcPr>
            <w:tcW w:w="1805" w:type="dxa"/>
          </w:tcPr>
          <w:p>
            <w:pPr>
              <w:pStyle w:val="TableParagraph"/>
              <w:spacing w:before="134"/>
              <w:ind w:left="214"/>
              <w:rPr>
                <w:b/>
                <w:sz w:val="21"/>
              </w:rPr>
            </w:pPr>
            <w:r>
              <w:rPr>
                <w:b/>
                <w:sz w:val="21"/>
              </w:rPr>
              <w:t>遗传性疾病</w:t>
            </w:r>
          </w:p>
        </w:tc>
        <w:tc>
          <w:tcPr>
            <w:tcW w:w="7011" w:type="dxa"/>
          </w:tcPr>
          <w:p>
            <w:pPr>
              <w:pStyle w:val="TableParagraph"/>
              <w:spacing w:line="273" w:lineRule="auto" w:before="134"/>
              <w:ind w:right="379"/>
              <w:rPr>
                <w:sz w:val="21"/>
              </w:rPr>
            </w:pPr>
            <w:r>
              <w:rPr>
                <w:sz w:val="21"/>
              </w:rPr>
              <w:t>指生殖细胞或受精卵的遗传物质（染色体和基因）发生突变或畸变所引起的疾病，通常具有由亲代传至后代的垂直传递的特征。</w:t>
            </w:r>
          </w:p>
        </w:tc>
      </w:tr>
      <w:tr>
        <w:trPr>
          <w:trHeight w:val="1041" w:hRule="atLeast"/>
        </w:trPr>
        <w:tc>
          <w:tcPr>
            <w:tcW w:w="837" w:type="dxa"/>
          </w:tcPr>
          <w:p>
            <w:pPr>
              <w:pStyle w:val="TableParagraph"/>
              <w:spacing w:before="134"/>
              <w:ind w:left="180" w:right="192"/>
              <w:jc w:val="center"/>
              <w:rPr>
                <w:b/>
                <w:sz w:val="21"/>
              </w:rPr>
            </w:pPr>
            <w:r>
              <w:rPr>
                <w:b/>
                <w:sz w:val="21"/>
              </w:rPr>
              <w:t>7.10</w:t>
            </w:r>
          </w:p>
        </w:tc>
        <w:tc>
          <w:tcPr>
            <w:tcW w:w="1805" w:type="dxa"/>
          </w:tcPr>
          <w:p>
            <w:pPr>
              <w:pStyle w:val="TableParagraph"/>
              <w:spacing w:line="273" w:lineRule="auto" w:before="134"/>
              <w:ind w:left="214" w:right="109"/>
              <w:rPr>
                <w:b/>
                <w:sz w:val="21"/>
              </w:rPr>
            </w:pPr>
            <w:r>
              <w:rPr>
                <w:b/>
                <w:sz w:val="21"/>
              </w:rPr>
              <w:t>先天性畸形、变形和染色体异常</w:t>
            </w:r>
          </w:p>
        </w:tc>
        <w:tc>
          <w:tcPr>
            <w:tcW w:w="7011" w:type="dxa"/>
          </w:tcPr>
          <w:p>
            <w:pPr>
              <w:pStyle w:val="TableParagraph"/>
              <w:spacing w:line="310" w:lineRule="atLeast" w:before="98"/>
              <w:ind w:right="379"/>
              <w:jc w:val="both"/>
              <w:rPr>
                <w:sz w:val="21"/>
              </w:rPr>
            </w:pPr>
            <w:r>
              <w:rPr>
                <w:spacing w:val="-3"/>
                <w:sz w:val="21"/>
              </w:rPr>
              <w:t>指被保险人出生时就具有的畸形、变形和染色体异常。先天性畸形、变形和染色体异常依照世界卫生组织《疾病和有关健康问题的国际统计分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bl>
    <w:p>
      <w:pPr>
        <w:spacing w:after="0" w:line="310" w:lineRule="atLeast"/>
        <w:jc w:val="both"/>
        <w:rPr>
          <w:sz w:val="21"/>
        </w:rPr>
        <w:sectPr>
          <w:pgSz w:w="11910" w:h="16840"/>
          <w:pgMar w:header="0" w:footer="912" w:top="1460" w:bottom="1100" w:left="100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805"/>
        <w:gridCol w:w="7009"/>
      </w:tblGrid>
      <w:tr>
        <w:trPr>
          <w:trHeight w:val="417" w:hRule="atLeast"/>
        </w:trPr>
        <w:tc>
          <w:tcPr>
            <w:tcW w:w="837" w:type="dxa"/>
          </w:tcPr>
          <w:p>
            <w:pPr>
              <w:pStyle w:val="TableParagraph"/>
              <w:spacing w:line="202" w:lineRule="exact" w:before="0"/>
              <w:ind w:left="180" w:right="192"/>
              <w:jc w:val="center"/>
              <w:rPr>
                <w:b/>
                <w:sz w:val="21"/>
              </w:rPr>
            </w:pPr>
            <w:r>
              <w:rPr>
                <w:b/>
                <w:sz w:val="21"/>
              </w:rPr>
              <w:t>7.11</w:t>
            </w:r>
          </w:p>
        </w:tc>
        <w:tc>
          <w:tcPr>
            <w:tcW w:w="1805" w:type="dxa"/>
          </w:tcPr>
          <w:p>
            <w:pPr>
              <w:pStyle w:val="TableParagraph"/>
              <w:spacing w:line="202" w:lineRule="exact" w:before="0"/>
              <w:ind w:left="214"/>
              <w:rPr>
                <w:b/>
                <w:sz w:val="21"/>
              </w:rPr>
            </w:pPr>
            <w:r>
              <w:rPr>
                <w:b/>
                <w:sz w:val="21"/>
              </w:rPr>
              <w:t>账户累积利率</w:t>
            </w:r>
          </w:p>
        </w:tc>
        <w:tc>
          <w:tcPr>
            <w:tcW w:w="7009" w:type="dxa"/>
          </w:tcPr>
          <w:p>
            <w:pPr>
              <w:pStyle w:val="TableParagraph"/>
              <w:spacing w:line="202" w:lineRule="exact" w:before="0"/>
              <w:rPr>
                <w:sz w:val="21"/>
              </w:rPr>
            </w:pPr>
            <w:r>
              <w:rPr>
                <w:sz w:val="21"/>
              </w:rPr>
              <w:t>年利率 2.5%。</w:t>
            </w:r>
          </w:p>
        </w:tc>
      </w:tr>
      <w:tr>
        <w:trPr>
          <w:trHeight w:val="936" w:hRule="atLeast"/>
        </w:trPr>
        <w:tc>
          <w:tcPr>
            <w:tcW w:w="837" w:type="dxa"/>
          </w:tcPr>
          <w:p>
            <w:pPr>
              <w:pStyle w:val="TableParagraph"/>
              <w:spacing w:before="134"/>
              <w:ind w:left="180" w:right="192"/>
              <w:jc w:val="center"/>
              <w:rPr>
                <w:b/>
                <w:sz w:val="21"/>
              </w:rPr>
            </w:pPr>
            <w:r>
              <w:rPr>
                <w:b/>
                <w:sz w:val="21"/>
              </w:rPr>
              <w:t>7.12</w:t>
            </w:r>
          </w:p>
        </w:tc>
        <w:tc>
          <w:tcPr>
            <w:tcW w:w="1805" w:type="dxa"/>
          </w:tcPr>
          <w:p>
            <w:pPr>
              <w:pStyle w:val="TableParagraph"/>
              <w:spacing w:before="134"/>
              <w:ind w:left="214"/>
              <w:rPr>
                <w:b/>
                <w:sz w:val="21"/>
              </w:rPr>
            </w:pPr>
            <w:r>
              <w:rPr>
                <w:b/>
                <w:sz w:val="21"/>
              </w:rPr>
              <w:t>有效身份证件</w:t>
            </w:r>
          </w:p>
        </w:tc>
        <w:tc>
          <w:tcPr>
            <w:tcW w:w="7009" w:type="dxa"/>
          </w:tcPr>
          <w:p>
            <w:pPr>
              <w:pStyle w:val="TableParagraph"/>
              <w:spacing w:line="273" w:lineRule="auto" w:before="134"/>
              <w:ind w:right="377"/>
              <w:rPr>
                <w:sz w:val="21"/>
              </w:rPr>
            </w:pPr>
            <w:r>
              <w:rPr>
                <w:sz w:val="21"/>
              </w:rPr>
              <w:t>指由政府主管部门规定的证明其身份的证件，如：居民身份证、按规定可使用的有效护照、军官证、警官证、士兵证等证件。</w:t>
            </w:r>
          </w:p>
        </w:tc>
      </w:tr>
      <w:tr>
        <w:trPr>
          <w:trHeight w:val="936" w:hRule="atLeast"/>
        </w:trPr>
        <w:tc>
          <w:tcPr>
            <w:tcW w:w="837" w:type="dxa"/>
          </w:tcPr>
          <w:p>
            <w:pPr>
              <w:pStyle w:val="TableParagraph"/>
              <w:spacing w:before="134"/>
              <w:ind w:left="180" w:right="192"/>
              <w:jc w:val="center"/>
              <w:rPr>
                <w:b/>
                <w:sz w:val="21"/>
              </w:rPr>
            </w:pPr>
            <w:r>
              <w:rPr>
                <w:b/>
                <w:sz w:val="21"/>
              </w:rPr>
              <w:t>7.13</w:t>
            </w:r>
          </w:p>
        </w:tc>
        <w:tc>
          <w:tcPr>
            <w:tcW w:w="1805" w:type="dxa"/>
          </w:tcPr>
          <w:p>
            <w:pPr>
              <w:pStyle w:val="TableParagraph"/>
              <w:spacing w:line="273" w:lineRule="auto" w:before="134"/>
              <w:ind w:left="214" w:right="109"/>
              <w:rPr>
                <w:b/>
                <w:sz w:val="21"/>
              </w:rPr>
            </w:pPr>
            <w:r>
              <w:rPr>
                <w:b/>
                <w:sz w:val="21"/>
              </w:rPr>
              <w:t>本公司认可的医疗机构</w:t>
            </w:r>
          </w:p>
        </w:tc>
        <w:tc>
          <w:tcPr>
            <w:tcW w:w="7009" w:type="dxa"/>
          </w:tcPr>
          <w:p>
            <w:pPr>
              <w:pStyle w:val="TableParagraph"/>
              <w:spacing w:before="134"/>
              <w:rPr>
                <w:sz w:val="21"/>
              </w:rPr>
            </w:pPr>
            <w:r>
              <w:rPr>
                <w:sz w:val="21"/>
              </w:rPr>
              <w:t>指本公司指定医院或未在指定范围内的 2 级以上县、区级公立医院。</w:t>
            </w:r>
          </w:p>
        </w:tc>
      </w:tr>
      <w:tr>
        <w:trPr>
          <w:trHeight w:val="935" w:hRule="atLeast"/>
        </w:trPr>
        <w:tc>
          <w:tcPr>
            <w:tcW w:w="837" w:type="dxa"/>
          </w:tcPr>
          <w:p>
            <w:pPr>
              <w:pStyle w:val="TableParagraph"/>
              <w:spacing w:before="134"/>
              <w:ind w:left="180" w:right="192"/>
              <w:jc w:val="center"/>
              <w:rPr>
                <w:b/>
                <w:sz w:val="21"/>
              </w:rPr>
            </w:pPr>
            <w:r>
              <w:rPr>
                <w:b/>
                <w:sz w:val="21"/>
              </w:rPr>
              <w:t>7.14</w:t>
            </w:r>
          </w:p>
        </w:tc>
        <w:tc>
          <w:tcPr>
            <w:tcW w:w="1805" w:type="dxa"/>
          </w:tcPr>
          <w:p>
            <w:pPr>
              <w:pStyle w:val="TableParagraph"/>
              <w:spacing w:line="273" w:lineRule="auto" w:before="134"/>
              <w:ind w:left="214" w:right="109"/>
              <w:rPr>
                <w:b/>
                <w:sz w:val="21"/>
              </w:rPr>
            </w:pPr>
            <w:r>
              <w:rPr>
                <w:b/>
                <w:sz w:val="21"/>
              </w:rPr>
              <w:t>肢体机能完全丧失</w:t>
            </w:r>
          </w:p>
        </w:tc>
        <w:tc>
          <w:tcPr>
            <w:tcW w:w="7009" w:type="dxa"/>
          </w:tcPr>
          <w:p>
            <w:pPr>
              <w:pStyle w:val="TableParagraph"/>
              <w:spacing w:line="273" w:lineRule="auto" w:before="134"/>
              <w:ind w:right="377"/>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7" w:type="dxa"/>
          </w:tcPr>
          <w:p>
            <w:pPr>
              <w:pStyle w:val="TableParagraph"/>
              <w:spacing w:before="134"/>
              <w:ind w:left="180" w:right="192"/>
              <w:jc w:val="center"/>
              <w:rPr>
                <w:b/>
                <w:sz w:val="21"/>
              </w:rPr>
            </w:pPr>
            <w:r>
              <w:rPr>
                <w:b/>
                <w:sz w:val="21"/>
              </w:rPr>
              <w:t>7.15</w:t>
            </w:r>
          </w:p>
        </w:tc>
        <w:tc>
          <w:tcPr>
            <w:tcW w:w="1805" w:type="dxa"/>
          </w:tcPr>
          <w:p>
            <w:pPr>
              <w:pStyle w:val="TableParagraph"/>
              <w:spacing w:line="273" w:lineRule="auto" w:before="134"/>
              <w:ind w:left="214" w:right="109"/>
              <w:jc w:val="both"/>
              <w:rPr>
                <w:b/>
                <w:sz w:val="21"/>
              </w:rPr>
            </w:pPr>
            <w:r>
              <w:rPr>
                <w:b/>
                <w:sz w:val="21"/>
              </w:rPr>
              <w:t>语言能力或咀嚼吞咽能力完全丧失</w:t>
            </w:r>
          </w:p>
        </w:tc>
        <w:tc>
          <w:tcPr>
            <w:tcW w:w="7009" w:type="dxa"/>
          </w:tcPr>
          <w:p>
            <w:pPr>
              <w:pStyle w:val="TableParagraph"/>
              <w:spacing w:line="273" w:lineRule="auto" w:before="134"/>
              <w:ind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
              <w:ind w:right="169"/>
              <w:rPr>
                <w:sz w:val="21"/>
              </w:rPr>
            </w:pPr>
            <w:r>
              <w:rPr>
                <w:sz w:val="21"/>
              </w:rPr>
              <w:t>咀嚼吞咽能力完全丧失，指因牙齿以外的原因导致器质障碍或机能障碍， 以致不能作咀嚼吞咽运动，除流质食物外不能摄取或吞咽的状态。</w:t>
            </w:r>
          </w:p>
        </w:tc>
      </w:tr>
      <w:tr>
        <w:trPr>
          <w:trHeight w:val="2501" w:hRule="atLeast"/>
        </w:trPr>
        <w:tc>
          <w:tcPr>
            <w:tcW w:w="837" w:type="dxa"/>
          </w:tcPr>
          <w:p>
            <w:pPr>
              <w:pStyle w:val="TableParagraph"/>
              <w:spacing w:before="134"/>
              <w:ind w:left="180" w:right="192"/>
              <w:jc w:val="center"/>
              <w:rPr>
                <w:b/>
                <w:sz w:val="21"/>
              </w:rPr>
            </w:pPr>
            <w:r>
              <w:rPr>
                <w:b/>
                <w:sz w:val="21"/>
              </w:rPr>
              <w:t>7.16</w:t>
            </w:r>
          </w:p>
        </w:tc>
        <w:tc>
          <w:tcPr>
            <w:tcW w:w="1805" w:type="dxa"/>
          </w:tcPr>
          <w:p>
            <w:pPr>
              <w:pStyle w:val="TableParagraph"/>
              <w:spacing w:line="273" w:lineRule="auto" w:before="134"/>
              <w:ind w:left="214" w:right="109"/>
              <w:rPr>
                <w:b/>
                <w:sz w:val="21"/>
              </w:rPr>
            </w:pPr>
            <w:r>
              <w:rPr>
                <w:b/>
                <w:sz w:val="21"/>
              </w:rPr>
              <w:t>六项基本日常生活活动</w:t>
            </w:r>
          </w:p>
        </w:tc>
        <w:tc>
          <w:tcPr>
            <w:tcW w:w="7009" w:type="dxa"/>
          </w:tcPr>
          <w:p>
            <w:pPr>
              <w:pStyle w:val="TableParagraph"/>
              <w:spacing w:before="134"/>
              <w:rPr>
                <w:sz w:val="21"/>
              </w:rPr>
            </w:pPr>
            <w:r>
              <w:rPr>
                <w:sz w:val="21"/>
              </w:rPr>
              <w:t>六项基本日常生活活动是指：</w:t>
            </w:r>
          </w:p>
          <w:p>
            <w:pPr>
              <w:pStyle w:val="TableParagraph"/>
              <w:rPr>
                <w:sz w:val="21"/>
              </w:rPr>
            </w:pPr>
            <w:r>
              <w:rPr>
                <w:sz w:val="21"/>
              </w:rPr>
              <w:t>（1）穿衣：自己能够穿衣及脱衣；</w:t>
            </w:r>
          </w:p>
          <w:p>
            <w:pPr>
              <w:pStyle w:val="TableParagraph"/>
              <w:rPr>
                <w:sz w:val="21"/>
              </w:rPr>
            </w:pPr>
            <w:r>
              <w:rPr>
                <w:sz w:val="21"/>
              </w:rPr>
              <w:t>（2）移动：自己从一个房间到另一个房间；</w:t>
            </w:r>
          </w:p>
          <w:p>
            <w:pPr>
              <w:pStyle w:val="TableParagraph"/>
              <w:rPr>
                <w:sz w:val="21"/>
              </w:rPr>
            </w:pPr>
            <w:r>
              <w:rPr>
                <w:sz w:val="21"/>
              </w:rPr>
              <w:t>（3）行动：自己上下床或上下轮椅；</w:t>
            </w:r>
          </w:p>
          <w:p>
            <w:pPr>
              <w:pStyle w:val="TableParagraph"/>
              <w:rPr>
                <w:sz w:val="21"/>
              </w:rPr>
            </w:pPr>
            <w:r>
              <w:rPr>
                <w:sz w:val="21"/>
              </w:rPr>
              <w:t>（4）如厕：自己控制进行大小便；</w:t>
            </w:r>
          </w:p>
          <w:p>
            <w:pPr>
              <w:pStyle w:val="TableParagraph"/>
              <w:rPr>
                <w:sz w:val="21"/>
              </w:rPr>
            </w:pPr>
            <w:r>
              <w:rPr>
                <w:sz w:val="21"/>
              </w:rPr>
              <w:t>（5）进食：自己从已准备好的碗或碟中取食物放入口中；</w:t>
            </w:r>
          </w:p>
          <w:p>
            <w:pPr>
              <w:pStyle w:val="TableParagraph"/>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37" w:type="dxa"/>
          </w:tcPr>
          <w:p>
            <w:pPr>
              <w:pStyle w:val="TableParagraph"/>
              <w:spacing w:before="129"/>
              <w:ind w:left="180" w:right="192"/>
              <w:jc w:val="center"/>
              <w:rPr>
                <w:b/>
                <w:sz w:val="21"/>
              </w:rPr>
            </w:pPr>
            <w:r>
              <w:rPr>
                <w:b/>
                <w:sz w:val="21"/>
              </w:rPr>
              <w:t>7.17</w:t>
            </w:r>
          </w:p>
        </w:tc>
        <w:tc>
          <w:tcPr>
            <w:tcW w:w="1805" w:type="dxa"/>
          </w:tcPr>
          <w:p>
            <w:pPr>
              <w:pStyle w:val="TableParagraph"/>
              <w:spacing w:before="129"/>
              <w:ind w:left="214"/>
              <w:rPr>
                <w:b/>
                <w:sz w:val="21"/>
              </w:rPr>
            </w:pPr>
            <w:r>
              <w:rPr>
                <w:b/>
                <w:sz w:val="21"/>
              </w:rPr>
              <w:t>永久不可逆</w:t>
            </w:r>
          </w:p>
        </w:tc>
        <w:tc>
          <w:tcPr>
            <w:tcW w:w="7009" w:type="dxa"/>
          </w:tcPr>
          <w:p>
            <w:pPr>
              <w:pStyle w:val="TableParagraph"/>
              <w:spacing w:line="290" w:lineRule="atLeast" w:before="129"/>
              <w:ind w:right="315"/>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1460" w:bottom="110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6.850006pt;margin-top:781.299988pt;width:13.15pt;height:12pt;mso-position-horizontal-relative:page;mso-position-vertical-relative:page;z-index:-28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2"/>
      <w:numFmt w:val="decimal"/>
      <w:lvlText w:val="（%1）"/>
      <w:lvlJc w:val="left"/>
      <w:pPr>
        <w:ind w:left="112" w:hanging="632"/>
        <w:jc w:val="left"/>
      </w:pPr>
      <w:rPr>
        <w:rFonts w:hint="default" w:ascii="宋体" w:hAnsi="宋体" w:eastAsia="宋体" w:cs="宋体"/>
        <w:w w:val="100"/>
        <w:sz w:val="21"/>
        <w:szCs w:val="21"/>
      </w:rPr>
    </w:lvl>
    <w:lvl w:ilvl="1">
      <w:start w:val="0"/>
      <w:numFmt w:val="bullet"/>
      <w:lvlText w:val="•"/>
      <w:lvlJc w:val="left"/>
      <w:pPr>
        <w:ind w:left="809" w:hanging="632"/>
      </w:pPr>
      <w:rPr>
        <w:rFonts w:hint="default"/>
      </w:rPr>
    </w:lvl>
    <w:lvl w:ilvl="2">
      <w:start w:val="0"/>
      <w:numFmt w:val="bullet"/>
      <w:lvlText w:val="•"/>
      <w:lvlJc w:val="left"/>
      <w:pPr>
        <w:ind w:left="1498" w:hanging="632"/>
      </w:pPr>
      <w:rPr>
        <w:rFonts w:hint="default"/>
      </w:rPr>
    </w:lvl>
    <w:lvl w:ilvl="3">
      <w:start w:val="0"/>
      <w:numFmt w:val="bullet"/>
      <w:lvlText w:val="•"/>
      <w:lvlJc w:val="left"/>
      <w:pPr>
        <w:ind w:left="2187" w:hanging="632"/>
      </w:pPr>
      <w:rPr>
        <w:rFonts w:hint="default"/>
      </w:rPr>
    </w:lvl>
    <w:lvl w:ilvl="4">
      <w:start w:val="0"/>
      <w:numFmt w:val="bullet"/>
      <w:lvlText w:val="•"/>
      <w:lvlJc w:val="left"/>
      <w:pPr>
        <w:ind w:left="2876" w:hanging="632"/>
      </w:pPr>
      <w:rPr>
        <w:rFonts w:hint="default"/>
      </w:rPr>
    </w:lvl>
    <w:lvl w:ilvl="5">
      <w:start w:val="0"/>
      <w:numFmt w:val="bullet"/>
      <w:lvlText w:val="•"/>
      <w:lvlJc w:val="left"/>
      <w:pPr>
        <w:ind w:left="3565" w:hanging="632"/>
      </w:pPr>
      <w:rPr>
        <w:rFonts w:hint="default"/>
      </w:rPr>
    </w:lvl>
    <w:lvl w:ilvl="6">
      <w:start w:val="0"/>
      <w:numFmt w:val="bullet"/>
      <w:lvlText w:val="•"/>
      <w:lvlJc w:val="left"/>
      <w:pPr>
        <w:ind w:left="4254" w:hanging="632"/>
      </w:pPr>
      <w:rPr>
        <w:rFonts w:hint="default"/>
      </w:rPr>
    </w:lvl>
    <w:lvl w:ilvl="7">
      <w:start w:val="0"/>
      <w:numFmt w:val="bullet"/>
      <w:lvlText w:val="•"/>
      <w:lvlJc w:val="left"/>
      <w:pPr>
        <w:ind w:left="4943" w:hanging="632"/>
      </w:pPr>
      <w:rPr>
        <w:rFonts w:hint="default"/>
      </w:rPr>
    </w:lvl>
    <w:lvl w:ilvl="8">
      <w:start w:val="0"/>
      <w:numFmt w:val="bullet"/>
      <w:lvlText w:val="•"/>
      <w:lvlJc w:val="left"/>
      <w:pPr>
        <w:ind w:left="5632" w:hanging="632"/>
      </w:pPr>
      <w:rPr>
        <w:rFonts w:hint="default"/>
      </w:rPr>
    </w:lvl>
  </w:abstractNum>
  <w:abstractNum w:abstractNumId="10">
    <w:multiLevelType w:val="hybridMultilevel"/>
    <w:lvl w:ilvl="0">
      <w:start w:val="1"/>
      <w:numFmt w:val="decimal"/>
      <w:lvlText w:val="（%1）"/>
      <w:lvlJc w:val="left"/>
      <w:pPr>
        <w:ind w:left="732" w:hanging="632"/>
        <w:jc w:val="left"/>
      </w:pPr>
      <w:rPr>
        <w:rFonts w:hint="default" w:ascii="宋体" w:hAnsi="宋体" w:eastAsia="宋体" w:cs="宋体"/>
        <w:w w:val="100"/>
        <w:sz w:val="21"/>
        <w:szCs w:val="21"/>
      </w:rPr>
    </w:lvl>
    <w:lvl w:ilvl="1">
      <w:start w:val="0"/>
      <w:numFmt w:val="bullet"/>
      <w:lvlText w:val="•"/>
      <w:lvlJc w:val="left"/>
      <w:pPr>
        <w:ind w:left="1365" w:hanging="632"/>
      </w:pPr>
      <w:rPr>
        <w:rFonts w:hint="default"/>
      </w:rPr>
    </w:lvl>
    <w:lvl w:ilvl="2">
      <w:start w:val="0"/>
      <w:numFmt w:val="bullet"/>
      <w:lvlText w:val="•"/>
      <w:lvlJc w:val="left"/>
      <w:pPr>
        <w:ind w:left="1991" w:hanging="632"/>
      </w:pPr>
      <w:rPr>
        <w:rFonts w:hint="default"/>
      </w:rPr>
    </w:lvl>
    <w:lvl w:ilvl="3">
      <w:start w:val="0"/>
      <w:numFmt w:val="bullet"/>
      <w:lvlText w:val="•"/>
      <w:lvlJc w:val="left"/>
      <w:pPr>
        <w:ind w:left="2617" w:hanging="632"/>
      </w:pPr>
      <w:rPr>
        <w:rFonts w:hint="default"/>
      </w:rPr>
    </w:lvl>
    <w:lvl w:ilvl="4">
      <w:start w:val="0"/>
      <w:numFmt w:val="bullet"/>
      <w:lvlText w:val="•"/>
      <w:lvlJc w:val="left"/>
      <w:pPr>
        <w:ind w:left="3243" w:hanging="632"/>
      </w:pPr>
      <w:rPr>
        <w:rFonts w:hint="default"/>
      </w:rPr>
    </w:lvl>
    <w:lvl w:ilvl="5">
      <w:start w:val="0"/>
      <w:numFmt w:val="bullet"/>
      <w:lvlText w:val="•"/>
      <w:lvlJc w:val="left"/>
      <w:pPr>
        <w:ind w:left="3869" w:hanging="632"/>
      </w:pPr>
      <w:rPr>
        <w:rFonts w:hint="default"/>
      </w:rPr>
    </w:lvl>
    <w:lvl w:ilvl="6">
      <w:start w:val="0"/>
      <w:numFmt w:val="bullet"/>
      <w:lvlText w:val="•"/>
      <w:lvlJc w:val="left"/>
      <w:pPr>
        <w:ind w:left="4494" w:hanging="632"/>
      </w:pPr>
      <w:rPr>
        <w:rFonts w:hint="default"/>
      </w:rPr>
    </w:lvl>
    <w:lvl w:ilvl="7">
      <w:start w:val="0"/>
      <w:numFmt w:val="bullet"/>
      <w:lvlText w:val="•"/>
      <w:lvlJc w:val="left"/>
      <w:pPr>
        <w:ind w:left="5120" w:hanging="632"/>
      </w:pPr>
      <w:rPr>
        <w:rFonts w:hint="default"/>
      </w:rPr>
    </w:lvl>
    <w:lvl w:ilvl="8">
      <w:start w:val="0"/>
      <w:numFmt w:val="bullet"/>
      <w:lvlText w:val="•"/>
      <w:lvlJc w:val="left"/>
      <w:pPr>
        <w:ind w:left="5746" w:hanging="632"/>
      </w:pPr>
      <w:rPr>
        <w:rFonts w:hint="default"/>
      </w:rPr>
    </w:lvl>
  </w:abstractNum>
  <w:abstractNum w:abstractNumId="9">
    <w:multiLevelType w:val="hybridMultilevel"/>
    <w:lvl w:ilvl="0">
      <w:start w:val="6"/>
      <w:numFmt w:val="decimal"/>
      <w:lvlText w:val="%1"/>
      <w:lvlJc w:val="left"/>
      <w:pPr>
        <w:ind w:left="2857" w:hanging="852"/>
        <w:jc w:val="left"/>
      </w:pPr>
      <w:rPr>
        <w:rFonts w:hint="default"/>
      </w:rPr>
    </w:lvl>
    <w:lvl w:ilvl="1">
      <w:start w:val="7"/>
      <w:numFmt w:val="decimal"/>
      <w:lvlText w:val="%1.%2"/>
      <w:lvlJc w:val="left"/>
      <w:pPr>
        <w:ind w:left="2857" w:hanging="852"/>
        <w:jc w:val="left"/>
      </w:pPr>
      <w:rPr>
        <w:rFonts w:hint="default" w:ascii="宋体" w:hAnsi="宋体" w:eastAsia="宋体" w:cs="宋体"/>
        <w:b/>
        <w:bCs/>
        <w:w w:val="99"/>
        <w:sz w:val="21"/>
        <w:szCs w:val="21"/>
      </w:rPr>
    </w:lvl>
    <w:lvl w:ilvl="2">
      <w:start w:val="0"/>
      <w:numFmt w:val="bullet"/>
      <w:lvlText w:val="•"/>
      <w:lvlJc w:val="left"/>
      <w:pPr>
        <w:ind w:left="4241" w:hanging="852"/>
      </w:pPr>
      <w:rPr>
        <w:rFonts w:hint="default"/>
      </w:rPr>
    </w:lvl>
    <w:lvl w:ilvl="3">
      <w:start w:val="0"/>
      <w:numFmt w:val="bullet"/>
      <w:lvlText w:val="•"/>
      <w:lvlJc w:val="left"/>
      <w:pPr>
        <w:ind w:left="4931" w:hanging="852"/>
      </w:pPr>
      <w:rPr>
        <w:rFonts w:hint="default"/>
      </w:rPr>
    </w:lvl>
    <w:lvl w:ilvl="4">
      <w:start w:val="0"/>
      <w:numFmt w:val="bullet"/>
      <w:lvlText w:val="•"/>
      <w:lvlJc w:val="left"/>
      <w:pPr>
        <w:ind w:left="5622" w:hanging="852"/>
      </w:pPr>
      <w:rPr>
        <w:rFonts w:hint="default"/>
      </w:rPr>
    </w:lvl>
    <w:lvl w:ilvl="5">
      <w:start w:val="0"/>
      <w:numFmt w:val="bullet"/>
      <w:lvlText w:val="•"/>
      <w:lvlJc w:val="left"/>
      <w:pPr>
        <w:ind w:left="6313" w:hanging="852"/>
      </w:pPr>
      <w:rPr>
        <w:rFonts w:hint="default"/>
      </w:rPr>
    </w:lvl>
    <w:lvl w:ilvl="6">
      <w:start w:val="0"/>
      <w:numFmt w:val="bullet"/>
      <w:lvlText w:val="•"/>
      <w:lvlJc w:val="left"/>
      <w:pPr>
        <w:ind w:left="7003" w:hanging="852"/>
      </w:pPr>
      <w:rPr>
        <w:rFonts w:hint="default"/>
      </w:rPr>
    </w:lvl>
    <w:lvl w:ilvl="7">
      <w:start w:val="0"/>
      <w:numFmt w:val="bullet"/>
      <w:lvlText w:val="•"/>
      <w:lvlJc w:val="left"/>
      <w:pPr>
        <w:ind w:left="7694" w:hanging="852"/>
      </w:pPr>
      <w:rPr>
        <w:rFonts w:hint="default"/>
      </w:rPr>
    </w:lvl>
    <w:lvl w:ilvl="8">
      <w:start w:val="0"/>
      <w:numFmt w:val="bullet"/>
      <w:lvlText w:val="•"/>
      <w:lvlJc w:val="left"/>
      <w:pPr>
        <w:ind w:left="8385" w:hanging="852"/>
      </w:pPr>
      <w:rPr>
        <w:rFonts w:hint="default"/>
      </w:rPr>
    </w:lvl>
  </w:abstractNum>
  <w:abstractNum w:abstractNumId="8">
    <w:multiLevelType w:val="hybridMultilevel"/>
    <w:lvl w:ilvl="0">
      <w:start w:val="1"/>
      <w:numFmt w:val="decimal"/>
      <w:lvlText w:val="(%1)"/>
      <w:lvlJc w:val="left"/>
      <w:pPr>
        <w:ind w:left="472" w:hanging="360"/>
        <w:jc w:val="left"/>
      </w:pPr>
      <w:rPr>
        <w:rFonts w:hint="default" w:ascii="宋体" w:hAnsi="宋体" w:eastAsia="宋体" w:cs="宋体"/>
        <w:w w:val="100"/>
        <w:sz w:val="21"/>
        <w:szCs w:val="21"/>
      </w:rPr>
    </w:lvl>
    <w:lvl w:ilvl="1">
      <w:start w:val="0"/>
      <w:numFmt w:val="bullet"/>
      <w:lvlText w:val="•"/>
      <w:lvlJc w:val="left"/>
      <w:pPr>
        <w:ind w:left="1112" w:hanging="360"/>
      </w:pPr>
      <w:rPr>
        <w:rFonts w:hint="default"/>
      </w:rPr>
    </w:lvl>
    <w:lvl w:ilvl="2">
      <w:start w:val="0"/>
      <w:numFmt w:val="bullet"/>
      <w:lvlText w:val="•"/>
      <w:lvlJc w:val="left"/>
      <w:pPr>
        <w:ind w:left="1745" w:hanging="360"/>
      </w:pPr>
      <w:rPr>
        <w:rFonts w:hint="default"/>
      </w:rPr>
    </w:lvl>
    <w:lvl w:ilvl="3">
      <w:start w:val="0"/>
      <w:numFmt w:val="bullet"/>
      <w:lvlText w:val="•"/>
      <w:lvlJc w:val="left"/>
      <w:pPr>
        <w:ind w:left="2377" w:hanging="360"/>
      </w:pPr>
      <w:rPr>
        <w:rFonts w:hint="default"/>
      </w:rPr>
    </w:lvl>
    <w:lvl w:ilvl="4">
      <w:start w:val="0"/>
      <w:numFmt w:val="bullet"/>
      <w:lvlText w:val="•"/>
      <w:lvlJc w:val="left"/>
      <w:pPr>
        <w:ind w:left="3010" w:hanging="360"/>
      </w:pPr>
      <w:rPr>
        <w:rFonts w:hint="default"/>
      </w:rPr>
    </w:lvl>
    <w:lvl w:ilvl="5">
      <w:start w:val="0"/>
      <w:numFmt w:val="bullet"/>
      <w:lvlText w:val="•"/>
      <w:lvlJc w:val="left"/>
      <w:pPr>
        <w:ind w:left="3643" w:hanging="360"/>
      </w:pPr>
      <w:rPr>
        <w:rFonts w:hint="default"/>
      </w:rPr>
    </w:lvl>
    <w:lvl w:ilvl="6">
      <w:start w:val="0"/>
      <w:numFmt w:val="bullet"/>
      <w:lvlText w:val="•"/>
      <w:lvlJc w:val="left"/>
      <w:pPr>
        <w:ind w:left="4275" w:hanging="360"/>
      </w:pPr>
      <w:rPr>
        <w:rFonts w:hint="default"/>
      </w:rPr>
    </w:lvl>
    <w:lvl w:ilvl="7">
      <w:start w:val="0"/>
      <w:numFmt w:val="bullet"/>
      <w:lvlText w:val="•"/>
      <w:lvlJc w:val="left"/>
      <w:pPr>
        <w:ind w:left="4908" w:hanging="360"/>
      </w:pPr>
      <w:rPr>
        <w:rFonts w:hint="default"/>
      </w:rPr>
    </w:lvl>
    <w:lvl w:ilvl="8">
      <w:start w:val="0"/>
      <w:numFmt w:val="bullet"/>
      <w:lvlText w:val="•"/>
      <w:lvlJc w:val="left"/>
      <w:pPr>
        <w:ind w:left="5540" w:hanging="360"/>
      </w:pPr>
      <w:rPr>
        <w:rFonts w:hint="default"/>
      </w:rPr>
    </w:lvl>
  </w:abstractNum>
  <w:abstractNum w:abstractNumId="7">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36" w:hanging="720"/>
      </w:pPr>
      <w:rPr>
        <w:rFonts w:hint="default"/>
      </w:rPr>
    </w:lvl>
    <w:lvl w:ilvl="2">
      <w:start w:val="0"/>
      <w:numFmt w:val="bullet"/>
      <w:lvlText w:val="•"/>
      <w:lvlJc w:val="left"/>
      <w:pPr>
        <w:ind w:left="2033" w:hanging="720"/>
      </w:pPr>
      <w:rPr>
        <w:rFonts w:hint="default"/>
      </w:rPr>
    </w:lvl>
    <w:lvl w:ilvl="3">
      <w:start w:val="0"/>
      <w:numFmt w:val="bullet"/>
      <w:lvlText w:val="•"/>
      <w:lvlJc w:val="left"/>
      <w:pPr>
        <w:ind w:left="2630" w:hanging="720"/>
      </w:pPr>
      <w:rPr>
        <w:rFonts w:hint="default"/>
      </w:rPr>
    </w:lvl>
    <w:lvl w:ilvl="4">
      <w:start w:val="0"/>
      <w:numFmt w:val="bullet"/>
      <w:lvlText w:val="•"/>
      <w:lvlJc w:val="left"/>
      <w:pPr>
        <w:ind w:left="3227" w:hanging="720"/>
      </w:pPr>
      <w:rPr>
        <w:rFonts w:hint="default"/>
      </w:rPr>
    </w:lvl>
    <w:lvl w:ilvl="5">
      <w:start w:val="0"/>
      <w:numFmt w:val="bullet"/>
      <w:lvlText w:val="•"/>
      <w:lvlJc w:val="left"/>
      <w:pPr>
        <w:ind w:left="3824" w:hanging="720"/>
      </w:pPr>
      <w:rPr>
        <w:rFonts w:hint="default"/>
      </w:rPr>
    </w:lvl>
    <w:lvl w:ilvl="6">
      <w:start w:val="0"/>
      <w:numFmt w:val="bullet"/>
      <w:lvlText w:val="•"/>
      <w:lvlJc w:val="left"/>
      <w:pPr>
        <w:ind w:left="4421" w:hanging="720"/>
      </w:pPr>
      <w:rPr>
        <w:rFonts w:hint="default"/>
      </w:rPr>
    </w:lvl>
    <w:lvl w:ilvl="7">
      <w:start w:val="0"/>
      <w:numFmt w:val="bullet"/>
      <w:lvlText w:val="•"/>
      <w:lvlJc w:val="left"/>
      <w:pPr>
        <w:ind w:left="5018" w:hanging="720"/>
      </w:pPr>
      <w:rPr>
        <w:rFonts w:hint="default"/>
      </w:rPr>
    </w:lvl>
    <w:lvl w:ilvl="8">
      <w:start w:val="0"/>
      <w:numFmt w:val="bullet"/>
      <w:lvlText w:val="•"/>
      <w:lvlJc w:val="left"/>
      <w:pPr>
        <w:ind w:left="5615" w:hanging="720"/>
      </w:pPr>
      <w:rPr>
        <w:rFonts w:hint="default"/>
      </w:rPr>
    </w:lvl>
  </w:abstractNum>
  <w:abstractNum w:abstractNumId="6">
    <w:multiLevelType w:val="hybridMultilevel"/>
    <w:lvl w:ilvl="0">
      <w:start w:val="7"/>
      <w:numFmt w:val="decimal"/>
      <w:lvlText w:val="%1"/>
      <w:lvlJc w:val="left"/>
      <w:pPr>
        <w:ind w:left="1605" w:hanging="423"/>
        <w:jc w:val="left"/>
      </w:pPr>
      <w:rPr>
        <w:rFonts w:hint="default"/>
      </w:rPr>
    </w:lvl>
    <w:lvl w:ilvl="1">
      <w:start w:val="1"/>
      <w:numFmt w:val="decimal"/>
      <w:lvlText w:val="%1.%2"/>
      <w:lvlJc w:val="left"/>
      <w:pPr>
        <w:ind w:left="1605" w:hanging="423"/>
        <w:jc w:val="left"/>
      </w:pPr>
      <w:rPr>
        <w:rFonts w:hint="default" w:ascii="宋体" w:hAnsi="宋体" w:eastAsia="宋体" w:cs="宋体"/>
        <w:w w:val="100"/>
        <w:sz w:val="21"/>
        <w:szCs w:val="21"/>
      </w:rPr>
    </w:lvl>
    <w:lvl w:ilvl="2">
      <w:start w:val="0"/>
      <w:numFmt w:val="bullet"/>
      <w:lvlText w:val="•"/>
      <w:lvlJc w:val="left"/>
      <w:pPr>
        <w:ind w:left="2292" w:hanging="423"/>
      </w:pPr>
      <w:rPr>
        <w:rFonts w:hint="default"/>
      </w:rPr>
    </w:lvl>
    <w:lvl w:ilvl="3">
      <w:start w:val="0"/>
      <w:numFmt w:val="bullet"/>
      <w:lvlText w:val="•"/>
      <w:lvlJc w:val="left"/>
      <w:pPr>
        <w:ind w:left="2638" w:hanging="423"/>
      </w:pPr>
      <w:rPr>
        <w:rFonts w:hint="default"/>
      </w:rPr>
    </w:lvl>
    <w:lvl w:ilvl="4">
      <w:start w:val="0"/>
      <w:numFmt w:val="bullet"/>
      <w:lvlText w:val="•"/>
      <w:lvlJc w:val="left"/>
      <w:pPr>
        <w:ind w:left="2984" w:hanging="423"/>
      </w:pPr>
      <w:rPr>
        <w:rFonts w:hint="default"/>
      </w:rPr>
    </w:lvl>
    <w:lvl w:ilvl="5">
      <w:start w:val="0"/>
      <w:numFmt w:val="bullet"/>
      <w:lvlText w:val="•"/>
      <w:lvlJc w:val="left"/>
      <w:pPr>
        <w:ind w:left="3330" w:hanging="423"/>
      </w:pPr>
      <w:rPr>
        <w:rFonts w:hint="default"/>
      </w:rPr>
    </w:lvl>
    <w:lvl w:ilvl="6">
      <w:start w:val="0"/>
      <w:numFmt w:val="bullet"/>
      <w:lvlText w:val="•"/>
      <w:lvlJc w:val="left"/>
      <w:pPr>
        <w:ind w:left="3676" w:hanging="423"/>
      </w:pPr>
      <w:rPr>
        <w:rFonts w:hint="default"/>
      </w:rPr>
    </w:lvl>
    <w:lvl w:ilvl="7">
      <w:start w:val="0"/>
      <w:numFmt w:val="bullet"/>
      <w:lvlText w:val="•"/>
      <w:lvlJc w:val="left"/>
      <w:pPr>
        <w:ind w:left="4022" w:hanging="423"/>
      </w:pPr>
      <w:rPr>
        <w:rFonts w:hint="default"/>
      </w:rPr>
    </w:lvl>
    <w:lvl w:ilvl="8">
      <w:start w:val="0"/>
      <w:numFmt w:val="bullet"/>
      <w:lvlText w:val="•"/>
      <w:lvlJc w:val="left"/>
      <w:pPr>
        <w:ind w:left="4368" w:hanging="423"/>
      </w:pPr>
      <w:rPr>
        <w:rFonts w:hint="default"/>
      </w:rPr>
    </w:lvl>
  </w:abstractNum>
  <w:abstractNum w:abstractNumId="5">
    <w:multiLevelType w:val="hybridMultilevel"/>
    <w:lvl w:ilvl="0">
      <w:start w:val="6"/>
      <w:numFmt w:val="decimal"/>
      <w:lvlText w:val="%1"/>
      <w:lvlJc w:val="left"/>
      <w:pPr>
        <w:ind w:left="1605" w:hanging="423"/>
        <w:jc w:val="left"/>
      </w:pPr>
      <w:rPr>
        <w:rFonts w:hint="default"/>
      </w:rPr>
    </w:lvl>
    <w:lvl w:ilvl="1">
      <w:start w:val="1"/>
      <w:numFmt w:val="decimal"/>
      <w:lvlText w:val="%1.%2"/>
      <w:lvlJc w:val="left"/>
      <w:pPr>
        <w:ind w:left="1605" w:hanging="423"/>
        <w:jc w:val="left"/>
      </w:pPr>
      <w:rPr>
        <w:rFonts w:hint="default" w:ascii="宋体" w:hAnsi="宋体" w:eastAsia="宋体" w:cs="宋体"/>
        <w:w w:val="100"/>
        <w:sz w:val="21"/>
        <w:szCs w:val="21"/>
      </w:rPr>
    </w:lvl>
    <w:lvl w:ilvl="2">
      <w:start w:val="0"/>
      <w:numFmt w:val="bullet"/>
      <w:lvlText w:val="•"/>
      <w:lvlJc w:val="left"/>
      <w:pPr>
        <w:ind w:left="2292" w:hanging="423"/>
      </w:pPr>
      <w:rPr>
        <w:rFonts w:hint="default"/>
      </w:rPr>
    </w:lvl>
    <w:lvl w:ilvl="3">
      <w:start w:val="0"/>
      <w:numFmt w:val="bullet"/>
      <w:lvlText w:val="•"/>
      <w:lvlJc w:val="left"/>
      <w:pPr>
        <w:ind w:left="2638" w:hanging="423"/>
      </w:pPr>
      <w:rPr>
        <w:rFonts w:hint="default"/>
      </w:rPr>
    </w:lvl>
    <w:lvl w:ilvl="4">
      <w:start w:val="0"/>
      <w:numFmt w:val="bullet"/>
      <w:lvlText w:val="•"/>
      <w:lvlJc w:val="left"/>
      <w:pPr>
        <w:ind w:left="2984" w:hanging="423"/>
      </w:pPr>
      <w:rPr>
        <w:rFonts w:hint="default"/>
      </w:rPr>
    </w:lvl>
    <w:lvl w:ilvl="5">
      <w:start w:val="0"/>
      <w:numFmt w:val="bullet"/>
      <w:lvlText w:val="•"/>
      <w:lvlJc w:val="left"/>
      <w:pPr>
        <w:ind w:left="3330" w:hanging="423"/>
      </w:pPr>
      <w:rPr>
        <w:rFonts w:hint="default"/>
      </w:rPr>
    </w:lvl>
    <w:lvl w:ilvl="6">
      <w:start w:val="0"/>
      <w:numFmt w:val="bullet"/>
      <w:lvlText w:val="•"/>
      <w:lvlJc w:val="left"/>
      <w:pPr>
        <w:ind w:left="3676" w:hanging="423"/>
      </w:pPr>
      <w:rPr>
        <w:rFonts w:hint="default"/>
      </w:rPr>
    </w:lvl>
    <w:lvl w:ilvl="7">
      <w:start w:val="0"/>
      <w:numFmt w:val="bullet"/>
      <w:lvlText w:val="•"/>
      <w:lvlJc w:val="left"/>
      <w:pPr>
        <w:ind w:left="4022" w:hanging="423"/>
      </w:pPr>
      <w:rPr>
        <w:rFonts w:hint="default"/>
      </w:rPr>
    </w:lvl>
    <w:lvl w:ilvl="8">
      <w:start w:val="0"/>
      <w:numFmt w:val="bullet"/>
      <w:lvlText w:val="•"/>
      <w:lvlJc w:val="left"/>
      <w:pPr>
        <w:ind w:left="4368" w:hanging="423"/>
      </w:pPr>
      <w:rPr>
        <w:rFonts w:hint="default"/>
      </w:rPr>
    </w:lvl>
  </w:abstractNum>
  <w:abstractNum w:abstractNumId="4">
    <w:multiLevelType w:val="hybridMultilevel"/>
    <w:lvl w:ilvl="0">
      <w:start w:val="5"/>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2075" w:hanging="423"/>
      </w:pPr>
      <w:rPr>
        <w:rFonts w:hint="default"/>
      </w:rPr>
    </w:lvl>
    <w:lvl w:ilvl="3">
      <w:start w:val="0"/>
      <w:numFmt w:val="bullet"/>
      <w:lvlText w:val="•"/>
      <w:lvlJc w:val="left"/>
      <w:pPr>
        <w:ind w:left="2383" w:hanging="423"/>
      </w:pPr>
      <w:rPr>
        <w:rFonts w:hint="default"/>
      </w:rPr>
    </w:lvl>
    <w:lvl w:ilvl="4">
      <w:start w:val="0"/>
      <w:numFmt w:val="bullet"/>
      <w:lvlText w:val="•"/>
      <w:lvlJc w:val="left"/>
      <w:pPr>
        <w:ind w:left="2691" w:hanging="423"/>
      </w:pPr>
      <w:rPr>
        <w:rFonts w:hint="default"/>
      </w:rPr>
    </w:lvl>
    <w:lvl w:ilvl="5">
      <w:start w:val="0"/>
      <w:numFmt w:val="bullet"/>
      <w:lvlText w:val="•"/>
      <w:lvlJc w:val="left"/>
      <w:pPr>
        <w:ind w:left="2999" w:hanging="423"/>
      </w:pPr>
      <w:rPr>
        <w:rFonts w:hint="default"/>
      </w:rPr>
    </w:lvl>
    <w:lvl w:ilvl="6">
      <w:start w:val="0"/>
      <w:numFmt w:val="bullet"/>
      <w:lvlText w:val="•"/>
      <w:lvlJc w:val="left"/>
      <w:pPr>
        <w:ind w:left="3306" w:hanging="423"/>
      </w:pPr>
      <w:rPr>
        <w:rFonts w:hint="default"/>
      </w:rPr>
    </w:lvl>
    <w:lvl w:ilvl="7">
      <w:start w:val="0"/>
      <w:numFmt w:val="bullet"/>
      <w:lvlText w:val="•"/>
      <w:lvlJc w:val="left"/>
      <w:pPr>
        <w:ind w:left="3614" w:hanging="423"/>
      </w:pPr>
      <w:rPr>
        <w:rFonts w:hint="default"/>
      </w:rPr>
    </w:lvl>
    <w:lvl w:ilvl="8">
      <w:start w:val="0"/>
      <w:numFmt w:val="bullet"/>
      <w:lvlText w:val="•"/>
      <w:lvlJc w:val="left"/>
      <w:pPr>
        <w:ind w:left="3922" w:hanging="423"/>
      </w:pPr>
      <w:rPr>
        <w:rFonts w:hint="default"/>
      </w:rPr>
    </w:lvl>
  </w:abstractNum>
  <w:abstractNum w:abstractNumId="3">
    <w:multiLevelType w:val="hybridMultilevel"/>
    <w:lvl w:ilvl="0">
      <w:start w:val="4"/>
      <w:numFmt w:val="decimal"/>
      <w:lvlText w:val="%1"/>
      <w:lvlJc w:val="left"/>
      <w:pPr>
        <w:ind w:left="1464" w:hanging="420"/>
        <w:jc w:val="left"/>
      </w:pPr>
      <w:rPr>
        <w:rFonts w:hint="default"/>
      </w:rPr>
    </w:lvl>
    <w:lvl w:ilvl="1">
      <w:start w:val="1"/>
      <w:numFmt w:val="decimal"/>
      <w:lvlText w:val="%1.%2"/>
      <w:lvlJc w:val="left"/>
      <w:pPr>
        <w:ind w:left="1464" w:hanging="420"/>
        <w:jc w:val="left"/>
      </w:pPr>
      <w:rPr>
        <w:rFonts w:hint="default" w:ascii="宋体" w:hAnsi="宋体" w:eastAsia="宋体" w:cs="宋体"/>
        <w:spacing w:val="-3"/>
        <w:w w:val="100"/>
        <w:sz w:val="21"/>
        <w:szCs w:val="21"/>
      </w:rPr>
    </w:lvl>
    <w:lvl w:ilvl="2">
      <w:start w:val="0"/>
      <w:numFmt w:val="bullet"/>
      <w:lvlText w:val="•"/>
      <w:lvlJc w:val="left"/>
      <w:pPr>
        <w:ind w:left="2075" w:hanging="420"/>
      </w:pPr>
      <w:rPr>
        <w:rFonts w:hint="default"/>
      </w:rPr>
    </w:lvl>
    <w:lvl w:ilvl="3">
      <w:start w:val="0"/>
      <w:numFmt w:val="bullet"/>
      <w:lvlText w:val="•"/>
      <w:lvlJc w:val="left"/>
      <w:pPr>
        <w:ind w:left="2383" w:hanging="420"/>
      </w:pPr>
      <w:rPr>
        <w:rFonts w:hint="default"/>
      </w:rPr>
    </w:lvl>
    <w:lvl w:ilvl="4">
      <w:start w:val="0"/>
      <w:numFmt w:val="bullet"/>
      <w:lvlText w:val="•"/>
      <w:lvlJc w:val="left"/>
      <w:pPr>
        <w:ind w:left="2691" w:hanging="420"/>
      </w:pPr>
      <w:rPr>
        <w:rFonts w:hint="default"/>
      </w:rPr>
    </w:lvl>
    <w:lvl w:ilvl="5">
      <w:start w:val="0"/>
      <w:numFmt w:val="bullet"/>
      <w:lvlText w:val="•"/>
      <w:lvlJc w:val="left"/>
      <w:pPr>
        <w:ind w:left="2999" w:hanging="420"/>
      </w:pPr>
      <w:rPr>
        <w:rFonts w:hint="default"/>
      </w:rPr>
    </w:lvl>
    <w:lvl w:ilvl="6">
      <w:start w:val="0"/>
      <w:numFmt w:val="bullet"/>
      <w:lvlText w:val="•"/>
      <w:lvlJc w:val="left"/>
      <w:pPr>
        <w:ind w:left="3306" w:hanging="420"/>
      </w:pPr>
      <w:rPr>
        <w:rFonts w:hint="default"/>
      </w:rPr>
    </w:lvl>
    <w:lvl w:ilvl="7">
      <w:start w:val="0"/>
      <w:numFmt w:val="bullet"/>
      <w:lvlText w:val="•"/>
      <w:lvlJc w:val="left"/>
      <w:pPr>
        <w:ind w:left="3614" w:hanging="420"/>
      </w:pPr>
      <w:rPr>
        <w:rFonts w:hint="default"/>
      </w:rPr>
    </w:lvl>
    <w:lvl w:ilvl="8">
      <w:start w:val="0"/>
      <w:numFmt w:val="bullet"/>
      <w:lvlText w:val="•"/>
      <w:lvlJc w:val="left"/>
      <w:pPr>
        <w:ind w:left="3922" w:hanging="420"/>
      </w:pPr>
      <w:rPr>
        <w:rFonts w:hint="default"/>
      </w:rPr>
    </w:lvl>
  </w:abstractNum>
  <w:abstractNum w:abstractNumId="2">
    <w:multiLevelType w:val="hybridMultilevel"/>
    <w:lvl w:ilvl="0">
      <w:start w:val="3"/>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2075" w:hanging="423"/>
      </w:pPr>
      <w:rPr>
        <w:rFonts w:hint="default"/>
      </w:rPr>
    </w:lvl>
    <w:lvl w:ilvl="3">
      <w:start w:val="0"/>
      <w:numFmt w:val="bullet"/>
      <w:lvlText w:val="•"/>
      <w:lvlJc w:val="left"/>
      <w:pPr>
        <w:ind w:left="2383" w:hanging="423"/>
      </w:pPr>
      <w:rPr>
        <w:rFonts w:hint="default"/>
      </w:rPr>
    </w:lvl>
    <w:lvl w:ilvl="4">
      <w:start w:val="0"/>
      <w:numFmt w:val="bullet"/>
      <w:lvlText w:val="•"/>
      <w:lvlJc w:val="left"/>
      <w:pPr>
        <w:ind w:left="2691" w:hanging="423"/>
      </w:pPr>
      <w:rPr>
        <w:rFonts w:hint="default"/>
      </w:rPr>
    </w:lvl>
    <w:lvl w:ilvl="5">
      <w:start w:val="0"/>
      <w:numFmt w:val="bullet"/>
      <w:lvlText w:val="•"/>
      <w:lvlJc w:val="left"/>
      <w:pPr>
        <w:ind w:left="2999" w:hanging="423"/>
      </w:pPr>
      <w:rPr>
        <w:rFonts w:hint="default"/>
      </w:rPr>
    </w:lvl>
    <w:lvl w:ilvl="6">
      <w:start w:val="0"/>
      <w:numFmt w:val="bullet"/>
      <w:lvlText w:val="•"/>
      <w:lvlJc w:val="left"/>
      <w:pPr>
        <w:ind w:left="3306" w:hanging="423"/>
      </w:pPr>
      <w:rPr>
        <w:rFonts w:hint="default"/>
      </w:rPr>
    </w:lvl>
    <w:lvl w:ilvl="7">
      <w:start w:val="0"/>
      <w:numFmt w:val="bullet"/>
      <w:lvlText w:val="•"/>
      <w:lvlJc w:val="left"/>
      <w:pPr>
        <w:ind w:left="3614" w:hanging="423"/>
      </w:pPr>
      <w:rPr>
        <w:rFonts w:hint="default"/>
      </w:rPr>
    </w:lvl>
    <w:lvl w:ilvl="8">
      <w:start w:val="0"/>
      <w:numFmt w:val="bullet"/>
      <w:lvlText w:val="•"/>
      <w:lvlJc w:val="left"/>
      <w:pPr>
        <w:ind w:left="3922" w:hanging="423"/>
      </w:pPr>
      <w:rPr>
        <w:rFonts w:hint="default"/>
      </w:rPr>
    </w:lvl>
  </w:abstractNum>
  <w:abstractNum w:abstractNumId="1">
    <w:multiLevelType w:val="hybridMultilevel"/>
    <w:lvl w:ilvl="0">
      <w:start w:val="2"/>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2075" w:hanging="423"/>
      </w:pPr>
      <w:rPr>
        <w:rFonts w:hint="default"/>
      </w:rPr>
    </w:lvl>
    <w:lvl w:ilvl="3">
      <w:start w:val="0"/>
      <w:numFmt w:val="bullet"/>
      <w:lvlText w:val="•"/>
      <w:lvlJc w:val="left"/>
      <w:pPr>
        <w:ind w:left="2383" w:hanging="423"/>
      </w:pPr>
      <w:rPr>
        <w:rFonts w:hint="default"/>
      </w:rPr>
    </w:lvl>
    <w:lvl w:ilvl="4">
      <w:start w:val="0"/>
      <w:numFmt w:val="bullet"/>
      <w:lvlText w:val="•"/>
      <w:lvlJc w:val="left"/>
      <w:pPr>
        <w:ind w:left="2691" w:hanging="423"/>
      </w:pPr>
      <w:rPr>
        <w:rFonts w:hint="default"/>
      </w:rPr>
    </w:lvl>
    <w:lvl w:ilvl="5">
      <w:start w:val="0"/>
      <w:numFmt w:val="bullet"/>
      <w:lvlText w:val="•"/>
      <w:lvlJc w:val="left"/>
      <w:pPr>
        <w:ind w:left="2999" w:hanging="423"/>
      </w:pPr>
      <w:rPr>
        <w:rFonts w:hint="default"/>
      </w:rPr>
    </w:lvl>
    <w:lvl w:ilvl="6">
      <w:start w:val="0"/>
      <w:numFmt w:val="bullet"/>
      <w:lvlText w:val="•"/>
      <w:lvlJc w:val="left"/>
      <w:pPr>
        <w:ind w:left="3306" w:hanging="423"/>
      </w:pPr>
      <w:rPr>
        <w:rFonts w:hint="default"/>
      </w:rPr>
    </w:lvl>
    <w:lvl w:ilvl="7">
      <w:start w:val="0"/>
      <w:numFmt w:val="bullet"/>
      <w:lvlText w:val="•"/>
      <w:lvlJc w:val="left"/>
      <w:pPr>
        <w:ind w:left="3614" w:hanging="423"/>
      </w:pPr>
      <w:rPr>
        <w:rFonts w:hint="default"/>
      </w:rPr>
    </w:lvl>
    <w:lvl w:ilvl="8">
      <w:start w:val="0"/>
      <w:numFmt w:val="bullet"/>
      <w:lvlText w:val="•"/>
      <w:lvlJc w:val="left"/>
      <w:pPr>
        <w:ind w:left="3922" w:hanging="423"/>
      </w:pPr>
      <w:rPr>
        <w:rFonts w:hint="default"/>
      </w:rPr>
    </w:lvl>
  </w:abstractNum>
  <w:abstractNum w:abstractNumId="0">
    <w:multiLevelType w:val="hybridMultilevel"/>
    <w:lvl w:ilvl="0">
      <w:start w:val="1"/>
      <w:numFmt w:val="decimal"/>
      <w:lvlText w:val="%1"/>
      <w:lvlJc w:val="left"/>
      <w:pPr>
        <w:ind w:left="1462" w:hanging="423"/>
        <w:jc w:val="left"/>
      </w:pPr>
      <w:rPr>
        <w:rFonts w:hint="default"/>
      </w:rPr>
    </w:lvl>
    <w:lvl w:ilvl="1">
      <w:start w:val="1"/>
      <w:numFmt w:val="decimal"/>
      <w:lvlText w:val="%1.%2"/>
      <w:lvlJc w:val="left"/>
      <w:pPr>
        <w:ind w:left="1462" w:hanging="423"/>
        <w:jc w:val="left"/>
      </w:pPr>
      <w:rPr>
        <w:rFonts w:hint="default" w:ascii="宋体" w:hAnsi="宋体" w:eastAsia="宋体" w:cs="宋体"/>
        <w:w w:val="100"/>
        <w:sz w:val="21"/>
        <w:szCs w:val="21"/>
      </w:rPr>
    </w:lvl>
    <w:lvl w:ilvl="2">
      <w:start w:val="0"/>
      <w:numFmt w:val="bullet"/>
      <w:lvlText w:val="•"/>
      <w:lvlJc w:val="left"/>
      <w:pPr>
        <w:ind w:left="2075" w:hanging="423"/>
      </w:pPr>
      <w:rPr>
        <w:rFonts w:hint="default"/>
      </w:rPr>
    </w:lvl>
    <w:lvl w:ilvl="3">
      <w:start w:val="0"/>
      <w:numFmt w:val="bullet"/>
      <w:lvlText w:val="•"/>
      <w:lvlJc w:val="left"/>
      <w:pPr>
        <w:ind w:left="2383" w:hanging="423"/>
      </w:pPr>
      <w:rPr>
        <w:rFonts w:hint="default"/>
      </w:rPr>
    </w:lvl>
    <w:lvl w:ilvl="4">
      <w:start w:val="0"/>
      <w:numFmt w:val="bullet"/>
      <w:lvlText w:val="•"/>
      <w:lvlJc w:val="left"/>
      <w:pPr>
        <w:ind w:left="2691" w:hanging="423"/>
      </w:pPr>
      <w:rPr>
        <w:rFonts w:hint="default"/>
      </w:rPr>
    </w:lvl>
    <w:lvl w:ilvl="5">
      <w:start w:val="0"/>
      <w:numFmt w:val="bullet"/>
      <w:lvlText w:val="•"/>
      <w:lvlJc w:val="left"/>
      <w:pPr>
        <w:ind w:left="2999" w:hanging="423"/>
      </w:pPr>
      <w:rPr>
        <w:rFonts w:hint="default"/>
      </w:rPr>
    </w:lvl>
    <w:lvl w:ilvl="6">
      <w:start w:val="0"/>
      <w:numFmt w:val="bullet"/>
      <w:lvlText w:val="•"/>
      <w:lvlJc w:val="left"/>
      <w:pPr>
        <w:ind w:left="3306" w:hanging="423"/>
      </w:pPr>
      <w:rPr>
        <w:rFonts w:hint="default"/>
      </w:rPr>
    </w:lvl>
    <w:lvl w:ilvl="7">
      <w:start w:val="0"/>
      <w:numFmt w:val="bullet"/>
      <w:lvlText w:val="•"/>
      <w:lvlJc w:val="left"/>
      <w:pPr>
        <w:ind w:left="3614" w:hanging="423"/>
      </w:pPr>
      <w:rPr>
        <w:rFonts w:hint="default"/>
      </w:rPr>
    </w:lvl>
    <w:lvl w:ilvl="8">
      <w:start w:val="0"/>
      <w:numFmt w:val="bullet"/>
      <w:lvlText w:val="•"/>
      <w:lvlJc w:val="left"/>
      <w:pPr>
        <w:ind w:left="3922"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84" w:lineRule="exact"/>
      <w:ind w:left="2082"/>
      <w:outlineLvl w:val="1"/>
    </w:pPr>
    <w:rPr>
      <w:rFonts w:ascii="微软雅黑" w:hAnsi="微软雅黑" w:eastAsia="微软雅黑" w:cs="微软雅黑"/>
      <w:b/>
      <w:bCs/>
      <w:sz w:val="32"/>
      <w:szCs w:val="32"/>
    </w:rPr>
  </w:style>
  <w:style w:styleId="ListParagraph" w:type="paragraph">
    <w:name w:val="List Paragraph"/>
    <w:basedOn w:val="Normal"/>
    <w:uiPriority w:val="1"/>
    <w:qFormat/>
    <w:pPr>
      <w:ind w:left="2857" w:right="319" w:hanging="2554"/>
    </w:pPr>
    <w:rPr>
      <w:rFonts w:ascii="宋体" w:hAnsi="宋体" w:eastAsia="宋体" w:cs="宋体"/>
    </w:rPr>
  </w:style>
  <w:style w:styleId="TableParagraph" w:type="paragraph">
    <w:name w:val="Table Paragraph"/>
    <w:basedOn w:val="Normal"/>
    <w:uiPriority w:val="1"/>
    <w:qFormat/>
    <w:pPr>
      <w:spacing w:before="37"/>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合众康健人生团体重大疾病保险条款</dc:title>
  <dcterms:created xsi:type="dcterms:W3CDTF">2018-10-19T23:31:58Z</dcterms:created>
  <dcterms:modified xsi:type="dcterms:W3CDTF">2018-10-19T23:31:58Z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Microsoft® Office Word 2007</vt:lpwstr>
  </property>
  <property fmtid="{D5CDD505-2E9C-101B-9397-08002B2CF9AE}" pid="4" name="LastSaved">
    <vt:filetime>2018-10-19T00:00:00Z</vt:filetime>
  </property>
</Properties>
</file>