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3"/>
        <w:ind w:left="5924" w:right="51"/>
        <w:jc w:val="center"/>
      </w:pPr>
      <w:r>
        <w:rPr/>
        <w:drawing>
          <wp:anchor distT="0" distB="0" distL="0" distR="0" allowOverlap="1" layoutInCell="1" locked="0" behindDoc="0" simplePos="0" relativeHeight="0">
            <wp:simplePos x="0" y="0"/>
            <wp:positionH relativeFrom="page">
              <wp:posOffset>5407152</wp:posOffset>
            </wp:positionH>
            <wp:positionV relativeFrom="paragraph">
              <wp:posOffset>255648</wp:posOffset>
            </wp:positionV>
            <wp:extent cx="725424" cy="72542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424" cy="725424"/>
                    </a:xfrm>
                    <a:prstGeom prst="rect">
                      <a:avLst/>
                    </a:prstGeom>
                  </pic:spPr>
                </pic:pic>
              </a:graphicData>
            </a:graphic>
          </wp:anchor>
        </w:drawing>
      </w:r>
      <w:bookmarkStart w:name="100_国寿鸿康重大疾病保险（尊享版）利益条款.pdf" w:id="1"/>
      <w:bookmarkEnd w:id="1"/>
      <w:r>
        <w:rPr/>
      </w:r>
      <w:r>
        <w:rPr/>
        <w:t>中国人寿〔2016〕疾病保险 030 号</w:t>
      </w:r>
    </w:p>
    <w:p>
      <w:pPr>
        <w:pStyle w:val="BodyText"/>
        <w:spacing w:before="9"/>
        <w:ind w:left="0" w:right="639"/>
        <w:jc w:val="right"/>
      </w:pPr>
      <w:r>
        <w:rPr/>
        <w:t>请扫描以查询验证条款</w:t>
      </w:r>
    </w:p>
    <w:p>
      <w:pPr>
        <w:pStyle w:val="Heading1"/>
        <w:spacing w:before="44"/>
        <w:ind w:right="1961"/>
        <w:jc w:val="center"/>
      </w:pPr>
      <w:r>
        <w:rPr/>
        <w:t>中国人寿保险股份有限公司</w:t>
      </w:r>
    </w:p>
    <w:p>
      <w:pPr>
        <w:pStyle w:val="Heading2"/>
      </w:pPr>
      <w:r>
        <w:rPr/>
        <w:t>国寿鸿康重大疾病保险（尊享版）利益条款</w:t>
      </w:r>
    </w:p>
    <w:p>
      <w:pPr>
        <w:pStyle w:val="BodyText"/>
        <w:spacing w:before="8"/>
        <w:ind w:left="0"/>
        <w:rPr>
          <w:sz w:val="26"/>
        </w:rPr>
      </w:pPr>
    </w:p>
    <w:p>
      <w:pPr>
        <w:pStyle w:val="Heading3"/>
        <w:tabs>
          <w:tab w:pos="947" w:val="left" w:leader="none"/>
        </w:tabs>
      </w:pPr>
      <w:r>
        <w:rPr/>
        <w:t>第一条</w:t>
        <w:tab/>
        <w:t>保险合同构成</w:t>
      </w:r>
    </w:p>
    <w:p>
      <w:pPr>
        <w:pStyle w:val="BodyText"/>
        <w:spacing w:line="273" w:lineRule="auto" w:before="17"/>
        <w:ind w:right="543" w:firstLine="422"/>
        <w:jc w:val="both"/>
      </w:pPr>
      <w:r>
        <w:rPr/>
        <w:t>国寿鸿康重大疾病保险（尊享版）合同（以下简称本合同）由保险单及所附国寿鸿康重大疾病保险（尊享版）利益条款（以下简称本合同利益条款）、个人保险基本条款（以下简称本合同基本条款）、现金价值表、声明、批注、批单以及与本合同有关的投保单、复效申请书、健康声明书和其他书面协议共同构成。</w:t>
      </w:r>
    </w:p>
    <w:p>
      <w:pPr>
        <w:pStyle w:val="BodyText"/>
        <w:spacing w:before="12"/>
        <w:ind w:left="0"/>
        <w:rPr>
          <w:sz w:val="24"/>
        </w:rPr>
      </w:pPr>
    </w:p>
    <w:p>
      <w:pPr>
        <w:pStyle w:val="Heading3"/>
        <w:tabs>
          <w:tab w:pos="947" w:val="left" w:leader="none"/>
        </w:tabs>
        <w:spacing w:before="1"/>
      </w:pPr>
      <w:r>
        <w:rPr/>
        <w:t>第二条</w:t>
        <w:tab/>
        <w:t>投保范围</w:t>
      </w:r>
    </w:p>
    <w:p>
      <w:pPr>
        <w:pStyle w:val="BodyText"/>
        <w:spacing w:line="273" w:lineRule="auto" w:before="18"/>
        <w:ind w:right="543" w:firstLine="422"/>
        <w:jc w:val="both"/>
      </w:pPr>
      <w:r>
        <w:rPr>
          <w:spacing w:val="-5"/>
        </w:rPr>
        <w:t>凡十八周岁以上、五十周岁以下，身体健康者均可作为被保险人，由本人或对其具有保险利益的人作为投保人向本公司投保本保险。</w:t>
      </w:r>
    </w:p>
    <w:p>
      <w:pPr>
        <w:pStyle w:val="BodyText"/>
        <w:spacing w:before="2"/>
        <w:ind w:left="0"/>
        <w:rPr>
          <w:sz w:val="23"/>
        </w:rPr>
      </w:pPr>
    </w:p>
    <w:p>
      <w:pPr>
        <w:pStyle w:val="Heading3"/>
        <w:tabs>
          <w:tab w:pos="947" w:val="left" w:leader="none"/>
        </w:tabs>
        <w:spacing w:line="276" w:lineRule="exact"/>
      </w:pPr>
      <w:r>
        <w:rPr/>
        <w:t>第三条</w:t>
        <w:tab/>
        <w:t>保险合同成立、生效和保险</w:t>
      </w:r>
      <w:r>
        <w:rPr>
          <w:spacing w:val="-5"/>
        </w:rPr>
        <w:t>责</w:t>
      </w:r>
      <w:r>
        <w:rPr/>
        <w:t>任开始</w:t>
      </w:r>
    </w:p>
    <w:p>
      <w:pPr>
        <w:pStyle w:val="BodyText"/>
        <w:ind w:left="524" w:right="543"/>
      </w:pPr>
      <w:r>
        <w:rPr>
          <w:spacing w:val="-5"/>
        </w:rPr>
        <w:t>投保人提出保险申请、本公司同意承保，本合同成立，合同成立日期在保险单上载明。 自本合同成立、本公司收取首期保险费的次日零时起本合同生效，合同生效日期在保险单</w:t>
      </w:r>
    </w:p>
    <w:p>
      <w:pPr>
        <w:pStyle w:val="BodyText"/>
        <w:spacing w:line="268" w:lineRule="exact" w:before="10"/>
      </w:pPr>
      <w:r>
        <w:rPr/>
        <w:t>上载明。生效对应日以该日期计算。</w:t>
      </w:r>
    </w:p>
    <w:p>
      <w:pPr>
        <w:pStyle w:val="BodyText"/>
        <w:spacing w:line="274" w:lineRule="exact"/>
        <w:ind w:left="524"/>
      </w:pPr>
      <w:r>
        <w:rPr/>
        <w:t>除另有约定外，本合同生效的日期为本公司开始承担保险责任的日期。</w:t>
      </w:r>
    </w:p>
    <w:p>
      <w:pPr>
        <w:pStyle w:val="BodyText"/>
        <w:spacing w:before="2"/>
        <w:ind w:left="0"/>
        <w:rPr>
          <w:sz w:val="26"/>
        </w:rPr>
      </w:pPr>
    </w:p>
    <w:p>
      <w:pPr>
        <w:pStyle w:val="Heading3"/>
        <w:tabs>
          <w:tab w:pos="947" w:val="left" w:leader="none"/>
        </w:tabs>
      </w:pPr>
      <w:r>
        <w:rPr/>
        <w:t>第四条</w:t>
        <w:tab/>
        <w:t>保险期间</w:t>
      </w:r>
    </w:p>
    <w:p>
      <w:pPr>
        <w:pStyle w:val="BodyText"/>
        <w:spacing w:line="273" w:lineRule="auto" w:before="17"/>
        <w:ind w:right="495" w:firstLine="422"/>
        <w:jc w:val="both"/>
      </w:pPr>
      <w:r>
        <w:rPr/>
        <w:t>本合同的保险期间分为三十年、至被保险人年满八十周岁的年生效对应日止两种，投保人在投保时可选择其中一种作为本合同的保险期间。</w:t>
      </w:r>
    </w:p>
    <w:p>
      <w:pPr>
        <w:pStyle w:val="BodyText"/>
        <w:ind w:left="0"/>
        <w:rPr>
          <w:sz w:val="25"/>
        </w:rPr>
      </w:pPr>
    </w:p>
    <w:p>
      <w:pPr>
        <w:pStyle w:val="Heading3"/>
        <w:tabs>
          <w:tab w:pos="947" w:val="left" w:leader="none"/>
        </w:tabs>
      </w:pPr>
      <w:r>
        <w:rPr/>
        <w:t>第五条</w:t>
        <w:tab/>
        <w:t>重大疾病</w:t>
      </w:r>
    </w:p>
    <w:p>
      <w:pPr>
        <w:pStyle w:val="BodyText"/>
        <w:spacing w:line="273" w:lineRule="auto" w:before="18"/>
        <w:ind w:right="495" w:firstLine="422"/>
        <w:jc w:val="both"/>
      </w:pPr>
      <w:r>
        <w:rPr/>
        <w:t>本合同所指重大疾病，是被保险人发生符合以下定义所述条件的疾病、疾病状态或手术， 共计五十种，其中第一种至第二十五种为中国保险行业协会制定的《重大疾病保险的疾病定义使用规范》中列明的疾病，其他为本公司增加的疾病。重大疾病的名称及定义如下：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495" w:firstLine="422"/>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4"/>
        <w:ind w:left="524" w:right="5935"/>
      </w:pPr>
      <w:r>
        <w:rPr/>
        <w:t>下列疾病不在保障范围内： </w:t>
      </w:r>
      <w:r>
        <w:rPr>
          <w:w w:val="95"/>
        </w:rPr>
        <w:t>1．原位癌；</w:t>
      </w:r>
    </w:p>
    <w:p>
      <w:pPr>
        <w:spacing w:before="5"/>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w w:val="100"/>
          <w:sz w:val="21"/>
        </w:rPr>
        <w:t>4．皮肤癌（</w:t>
      </w:r>
      <w:r>
        <w:rPr>
          <w:rFonts w:ascii="等线" w:eastAsia="等线" w:hint="eastAsia"/>
          <w:b/>
          <w:spacing w:val="-1"/>
          <w:w w:val="100"/>
          <w:sz w:val="21"/>
        </w:rPr>
        <w:t>不包括恶性黑色素瘤及已发</w:t>
      </w:r>
      <w:r>
        <w:rPr>
          <w:rFonts w:ascii="等线" w:eastAsia="等线" w:hint="eastAsia"/>
          <w:b/>
          <w:spacing w:val="-1"/>
          <w:w w:val="100"/>
          <w:sz w:val="21"/>
        </w:rPr>
        <w:t>生转移的皮肤癌</w:t>
      </w:r>
      <w:r>
        <w:rPr>
          <w:rFonts w:ascii="等线" w:eastAsia="等线" w:hint="eastAsia"/>
          <w:b/>
          <w:spacing w:val="-106"/>
          <w:w w:val="100"/>
          <w:sz w:val="21"/>
        </w:rPr>
        <w:t>）</w:t>
      </w:r>
      <w:r>
        <w:rPr>
          <w:rFonts w:ascii="等线" w:eastAsia="等线" w:hint="eastAsia"/>
          <w:b/>
          <w:w w:val="100"/>
          <w:sz w:val="21"/>
        </w:rPr>
        <w:t>；</w:t>
      </w:r>
    </w:p>
    <w:p>
      <w:pPr>
        <w:spacing w:before="26"/>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495" w:firstLine="422"/>
        <w:jc w:val="both"/>
      </w:pPr>
      <w:r>
        <w:rPr/>
        <w:t>二、急性心肌梗塞：指因冠状动脉阻塞导致的相应区域供血不足造成部分心肌坏死。须满足下列至少三项条件：</w:t>
      </w:r>
    </w:p>
    <w:p>
      <w:pPr>
        <w:spacing w:after="0" w:line="273" w:lineRule="auto"/>
        <w:jc w:val="both"/>
        <w:sectPr>
          <w:footerReference w:type="default" r:id="rId5"/>
          <w:type w:val="continuous"/>
          <w:pgSz w:w="11910" w:h="16840"/>
          <w:pgMar w:footer="934" w:top="1000" w:bottom="1120" w:left="1520" w:right="1120"/>
        </w:sectPr>
      </w:pPr>
    </w:p>
    <w:p>
      <w:pPr>
        <w:pStyle w:val="BodyText"/>
        <w:spacing w:before="7"/>
        <w:ind w:left="524"/>
      </w:pPr>
      <w:r>
        <w:rPr/>
        <w:t>1．典型临床表现，例如急性胸痛等；</w:t>
      </w:r>
    </w:p>
    <w:p>
      <w:pPr>
        <w:pStyle w:val="BodyText"/>
        <w:spacing w:before="36"/>
        <w:ind w:left="524"/>
      </w:pPr>
      <w:r>
        <w:rPr/>
        <w:t>2．新近的心电图改变提示急性心肌梗塞；</w:t>
      </w:r>
    </w:p>
    <w:p>
      <w:pPr>
        <w:pStyle w:val="BodyText"/>
        <w:spacing w:before="36"/>
        <w:ind w:left="524"/>
      </w:pPr>
      <w:r>
        <w:rPr/>
        <w:t>3．心肌酶或肌钙蛋白有诊断意义的升高，或呈符合急性心肌梗塞的动态性变化；</w:t>
      </w:r>
    </w:p>
    <w:p>
      <w:pPr>
        <w:pStyle w:val="BodyText"/>
        <w:spacing w:before="36"/>
        <w:ind w:left="524"/>
      </w:pPr>
      <w:r>
        <w:rPr/>
        <w:t>4．发病90天后，经检查证实左心室功能降低，如左心室射血分数低于50%。</w:t>
      </w:r>
    </w:p>
    <w:p>
      <w:pPr>
        <w:pStyle w:val="BodyText"/>
        <w:spacing w:line="273" w:lineRule="auto" w:before="36"/>
        <w:ind w:right="210" w:firstLine="422"/>
        <w:jc w:val="both"/>
      </w:pPr>
      <w:r>
        <w:rPr/>
        <w:t>三、脑中风后遗症：指因脑血管的突发病变引起脑血管出血、栓塞或梗塞，并导致神经系</w:t>
      </w:r>
      <w:r>
        <w:rPr>
          <w:spacing w:val="-6"/>
        </w:rPr>
        <w:t>统永久性的功能障碍。神经系统永久性的功能障碍，指疾病确诊</w:t>
      </w:r>
      <w:r>
        <w:rPr/>
        <w:t>180</w:t>
      </w:r>
      <w:r>
        <w:rPr>
          <w:spacing w:val="-5"/>
        </w:rPr>
        <w:t>天后，仍遗留下列一种或一种以上障碍：</w:t>
      </w:r>
    </w:p>
    <w:p>
      <w:pPr>
        <w:pStyle w:val="BodyText"/>
        <w:spacing w:before="7"/>
        <w:ind w:left="524"/>
      </w:pPr>
      <w:r>
        <w:rPr/>
        <w:t>1．一肢或一肢以上肢体机能完全丧失（注1）；</w:t>
      </w:r>
    </w:p>
    <w:p>
      <w:pPr>
        <w:pStyle w:val="BodyText"/>
        <w:spacing w:before="37"/>
        <w:ind w:left="524"/>
      </w:pPr>
      <w:r>
        <w:rPr/>
        <w:t>2．语言能力或咀嚼吞咽能力完全丧失（注2）；</w:t>
      </w:r>
    </w:p>
    <w:p>
      <w:pPr>
        <w:pStyle w:val="BodyText"/>
        <w:spacing w:line="273" w:lineRule="auto" w:before="37"/>
        <w:ind w:right="215" w:firstLine="422"/>
      </w:pPr>
      <w:r>
        <w:rPr/>
        <w:t>3．自主生活能力完全丧失，无法独立完成六项基本日常生活活动（注3）中的三项或三项以上。</w:t>
      </w:r>
    </w:p>
    <w:p>
      <w:pPr>
        <w:pStyle w:val="BodyText"/>
        <w:spacing w:line="273" w:lineRule="auto" w:before="7"/>
        <w:ind w:right="215" w:firstLine="422"/>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5" w:firstLine="422"/>
      </w:pPr>
      <w:r>
        <w:rPr/>
        <w:t>五、冠状动脉搭桥术（或称冠状动脉旁路移植术）：指为治疗严重的冠心病，实际实施了开胸进行的冠状动脉血管旁路移植的手术。</w:t>
      </w:r>
    </w:p>
    <w:p>
      <w:pPr>
        <w:pStyle w:val="Heading3"/>
        <w:spacing w:line="261" w:lineRule="auto" w:before="15"/>
        <w:ind w:right="220" w:firstLine="422"/>
      </w:pPr>
      <w:r>
        <w:rPr/>
        <w:t>冠状动脉支架植入术、心导管球囊扩张术、激光射频技术及其它非开胸的介入手术、腔镜手术不在保障范围内。</w:t>
      </w:r>
    </w:p>
    <w:p>
      <w:pPr>
        <w:pStyle w:val="BodyText"/>
        <w:spacing w:line="273" w:lineRule="auto"/>
        <w:ind w:right="215" w:firstLine="422"/>
      </w:pPr>
      <w:r>
        <w:rPr/>
        <w:t>六、终末期肾病（或称慢性肾功能衰竭尿毒症期）：指双肾功能慢性不可逆性衰竭，达到尿毒症期，经诊断后已经进行了至少90天的规律性透析治疗或实施了肾脏移植手术。</w:t>
      </w:r>
    </w:p>
    <w:p>
      <w:pPr>
        <w:pStyle w:val="BodyText"/>
        <w:spacing w:before="9"/>
        <w:ind w:left="524"/>
      </w:pPr>
      <w:r>
        <w:rPr/>
        <w:t>七、多个肢体缺失：指因疾病或意外伤害导致两个或两个以上肢体自腕关节或踝关节近端</w:t>
      </w:r>
    </w:p>
    <w:p>
      <w:pPr>
        <w:pStyle w:val="BodyText"/>
        <w:spacing w:before="36"/>
      </w:pPr>
      <w:r>
        <w:rPr/>
        <w:t>（靠近躯干端）以上完全性断离。</w:t>
      </w:r>
    </w:p>
    <w:p>
      <w:pPr>
        <w:pStyle w:val="BodyText"/>
        <w:spacing w:line="273" w:lineRule="auto" w:before="36"/>
        <w:ind w:right="215" w:firstLine="422"/>
      </w:pPr>
      <w:r>
        <w:rPr/>
        <w:t>八、急性或亚急性重症肝炎：指因肝炎病毒感染引起肝脏组织弥漫性坏死，导致急性肝功能衰竭，且经血清学或病毒学检查证实，并须满足下列全部条件：</w:t>
      </w:r>
    </w:p>
    <w:p>
      <w:pPr>
        <w:pStyle w:val="BodyText"/>
        <w:spacing w:before="7"/>
        <w:ind w:left="524"/>
      </w:pPr>
      <w:r>
        <w:rPr/>
        <w:t>1．重度黄疸或黄疸迅速加重；</w:t>
      </w:r>
    </w:p>
    <w:p>
      <w:pPr>
        <w:pStyle w:val="BodyText"/>
        <w:spacing w:before="37"/>
        <w:ind w:left="524"/>
      </w:pPr>
      <w:r>
        <w:rPr/>
        <w:t>2．肝性脑病；</w:t>
      </w:r>
    </w:p>
    <w:p>
      <w:pPr>
        <w:pStyle w:val="BodyText"/>
        <w:spacing w:before="37"/>
        <w:ind w:left="524"/>
      </w:pPr>
      <w:r>
        <w:rPr/>
        <w:t>3．B超或其它影像学检查显示肝脏体积急速萎缩；</w:t>
      </w:r>
    </w:p>
    <w:p>
      <w:pPr>
        <w:pStyle w:val="BodyText"/>
        <w:spacing w:before="37"/>
        <w:ind w:left="524"/>
      </w:pPr>
      <w:r>
        <w:rPr/>
        <w:t>4．肝功能指标进行性恶化。</w:t>
      </w:r>
    </w:p>
    <w:p>
      <w:pPr>
        <w:pStyle w:val="BodyText"/>
        <w:spacing w:line="273" w:lineRule="auto" w:before="37"/>
        <w:ind w:right="109" w:firstLine="422"/>
      </w:pPr>
      <w:r>
        <w:rPr/>
        <w:t>九、良性脑肿瘤：指脑的良性肿瘤，已经引起颅内压增高，临床表现为视神经乳头水肿、</w:t>
      </w:r>
      <w:r>
        <w:rPr>
          <w:spacing w:val="-14"/>
          <w:w w:val="100"/>
        </w:rPr>
        <w:t>精神症状、癫痫及运动感觉障碍等，并危及生命。须由头颅断层扫描</w:t>
      </w:r>
      <w:r>
        <w:rPr>
          <w:w w:val="100"/>
        </w:rPr>
        <w:t>（CT</w:t>
      </w:r>
      <w:r>
        <w:rPr>
          <w:spacing w:val="-111"/>
          <w:w w:val="100"/>
        </w:rPr>
        <w:t>）</w:t>
      </w:r>
      <w:r>
        <w:rPr>
          <w:spacing w:val="-16"/>
          <w:w w:val="100"/>
        </w:rPr>
        <w:t>、核磁共振检查</w:t>
      </w:r>
      <w:r>
        <w:rPr>
          <w:w w:val="100"/>
        </w:rPr>
        <w:t>（MRI）</w:t>
      </w:r>
      <w:r>
        <w:rPr>
          <w:spacing w:val="-3"/>
        </w:rPr>
        <w:t>或正电子发射断层扫描</w:t>
      </w:r>
      <w:r>
        <w:rPr/>
        <w:t>（PET）</w:t>
      </w:r>
      <w:r>
        <w:rPr>
          <w:spacing w:val="-5"/>
        </w:rPr>
        <w:t>等影像学检查证实，并须满足下列至少一项条件：</w:t>
      </w:r>
    </w:p>
    <w:p>
      <w:pPr>
        <w:pStyle w:val="ListParagraph"/>
        <w:numPr>
          <w:ilvl w:val="0"/>
          <w:numId w:val="1"/>
        </w:numPr>
        <w:tabs>
          <w:tab w:pos="842" w:val="left" w:leader="none"/>
        </w:tabs>
        <w:spacing w:line="240" w:lineRule="auto" w:before="7" w:after="0"/>
        <w:ind w:left="841" w:right="0" w:hanging="317"/>
        <w:jc w:val="left"/>
        <w:rPr>
          <w:sz w:val="21"/>
        </w:rPr>
      </w:pPr>
      <w:r>
        <w:rPr>
          <w:spacing w:val="-5"/>
          <w:sz w:val="21"/>
        </w:rPr>
        <w:t>实际实施了开颅进行的脑肿瘤完全切除或部分切除的手术；</w:t>
      </w:r>
    </w:p>
    <w:p>
      <w:pPr>
        <w:pStyle w:val="ListParagraph"/>
        <w:numPr>
          <w:ilvl w:val="0"/>
          <w:numId w:val="1"/>
        </w:numPr>
        <w:tabs>
          <w:tab w:pos="842" w:val="left" w:leader="none"/>
        </w:tabs>
        <w:spacing w:line="240" w:lineRule="auto" w:before="36" w:after="0"/>
        <w:ind w:left="841" w:right="0" w:hanging="317"/>
        <w:jc w:val="left"/>
        <w:rPr>
          <w:sz w:val="21"/>
        </w:rPr>
      </w:pPr>
      <w:r>
        <w:rPr>
          <w:spacing w:val="-5"/>
          <w:sz w:val="21"/>
        </w:rPr>
        <w:t>实际实施了对脑肿瘤进行的放射治疗。</w:t>
      </w:r>
    </w:p>
    <w:p>
      <w:pPr>
        <w:pStyle w:val="Heading3"/>
        <w:spacing w:before="44"/>
        <w:ind w:left="524"/>
      </w:pPr>
      <w:r>
        <w:rPr/>
        <w:t>脑垂体瘤、脑囊肿、脑血管性疾病不在保障范围内。</w:t>
      </w:r>
    </w:p>
    <w:p>
      <w:pPr>
        <w:pStyle w:val="BodyText"/>
        <w:spacing w:before="17"/>
        <w:ind w:left="524"/>
      </w:pPr>
      <w:r>
        <w:rPr/>
        <w:t>十、慢性肝功能衰竭失代偿期：指因慢性肝脏疾病导致肝功能衰竭。须满足下列全部条件：</w:t>
      </w:r>
    </w:p>
    <w:p>
      <w:pPr>
        <w:pStyle w:val="BodyText"/>
        <w:spacing w:before="36"/>
        <w:ind w:left="524"/>
      </w:pPr>
      <w:r>
        <w:rPr/>
        <w:t>1．持续性黄疸；</w:t>
      </w:r>
    </w:p>
    <w:p>
      <w:pPr>
        <w:pStyle w:val="BodyText"/>
        <w:spacing w:before="36"/>
        <w:ind w:left="524"/>
      </w:pPr>
      <w:r>
        <w:rPr/>
        <w:t>2．腹水；</w:t>
      </w:r>
    </w:p>
    <w:p>
      <w:pPr>
        <w:pStyle w:val="BodyText"/>
        <w:spacing w:before="36"/>
        <w:ind w:left="524"/>
      </w:pPr>
      <w:r>
        <w:rPr/>
        <w:t>3．肝性脑病；</w:t>
      </w:r>
    </w:p>
    <w:p>
      <w:pPr>
        <w:spacing w:line="278" w:lineRule="auto" w:before="36"/>
        <w:ind w:left="524" w:right="3319" w:firstLine="0"/>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4"/>
      </w:pPr>
      <w:r>
        <w:rPr/>
        <w:t>十一、脑炎后遗症或脑膜炎后遗症：指因患脑炎或脑膜炎导致的神经系统永久性的功能障</w:t>
      </w:r>
    </w:p>
    <w:p>
      <w:pPr>
        <w:pStyle w:val="BodyText"/>
        <w:spacing w:before="38"/>
      </w:pPr>
      <w:r>
        <w:rPr/>
        <w:t>碍。神经系统永久性的功能障碍，指疾病确诊180天后，仍遗留下列一种或一种以上障碍：</w:t>
      </w:r>
    </w:p>
    <w:p>
      <w:pPr>
        <w:pStyle w:val="ListParagraph"/>
        <w:numPr>
          <w:ilvl w:val="0"/>
          <w:numId w:val="2"/>
        </w:numPr>
        <w:tabs>
          <w:tab w:pos="842" w:val="left" w:leader="none"/>
        </w:tabs>
        <w:spacing w:line="240" w:lineRule="auto" w:before="37"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注1</w:t>
      </w:r>
      <w:r>
        <w:rPr>
          <w:spacing w:val="-106"/>
          <w:w w:val="100"/>
          <w:sz w:val="21"/>
        </w:rPr>
        <w:t>）</w:t>
      </w:r>
      <w:r>
        <w:rPr>
          <w:w w:val="100"/>
          <w:sz w:val="21"/>
        </w:rPr>
        <w:t>；</w:t>
      </w:r>
    </w:p>
    <w:p>
      <w:pPr>
        <w:spacing w:after="0" w:line="240" w:lineRule="auto"/>
        <w:jc w:val="left"/>
        <w:rPr>
          <w:sz w:val="21"/>
        </w:rPr>
        <w:sectPr>
          <w:footerReference w:type="default" r:id="rId7"/>
          <w:pgSz w:w="11910" w:h="16840"/>
          <w:pgMar w:footer="934" w:header="0" w:top="1380" w:bottom="1120" w:left="1520" w:right="1400"/>
        </w:sectPr>
      </w:pPr>
    </w:p>
    <w:p>
      <w:pPr>
        <w:pStyle w:val="ListParagraph"/>
        <w:numPr>
          <w:ilvl w:val="0"/>
          <w:numId w:val="2"/>
        </w:numPr>
        <w:tabs>
          <w:tab w:pos="842" w:val="left" w:leader="none"/>
        </w:tabs>
        <w:spacing w:line="240" w:lineRule="auto" w:before="7"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注2</w:t>
      </w:r>
      <w:r>
        <w:rPr>
          <w:spacing w:val="-106"/>
          <w:w w:val="100"/>
          <w:sz w:val="21"/>
        </w:rPr>
        <w:t>）</w:t>
      </w:r>
      <w:r>
        <w:rPr>
          <w:w w:val="100"/>
          <w:sz w:val="21"/>
        </w:rPr>
        <w:t>；</w:t>
      </w:r>
    </w:p>
    <w:p>
      <w:pPr>
        <w:pStyle w:val="ListParagraph"/>
        <w:numPr>
          <w:ilvl w:val="0"/>
          <w:numId w:val="2"/>
        </w:numPr>
        <w:tabs>
          <w:tab w:pos="842" w:val="left" w:leader="none"/>
        </w:tabs>
        <w:spacing w:line="273" w:lineRule="auto" w:before="36" w:after="0"/>
        <w:ind w:left="102" w:right="220" w:firstLine="422"/>
        <w:jc w:val="left"/>
        <w:rPr>
          <w:sz w:val="21"/>
        </w:rPr>
      </w:pPr>
      <w:r>
        <w:rPr>
          <w:sz w:val="21"/>
        </w:rPr>
        <w:t>自主生活能力完全丧失，无法独立完成六项基本日常生活活动（注3）中的三项或三项以上。</w:t>
      </w:r>
    </w:p>
    <w:p>
      <w:pPr>
        <w:pStyle w:val="BodyText"/>
        <w:spacing w:line="273" w:lineRule="auto" w:before="7"/>
        <w:ind w:right="220" w:firstLine="422"/>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3"/>
        <w:spacing w:before="15"/>
        <w:ind w:left="524"/>
      </w:pPr>
      <w:r>
        <w:rPr/>
        <w:t>因酗酒或药物滥用导致的深度昏迷不在保障范围内。</w:t>
      </w:r>
    </w:p>
    <w:p>
      <w:pPr>
        <w:pStyle w:val="BodyText"/>
        <w:spacing w:line="264" w:lineRule="auto" w:before="17"/>
        <w:ind w:right="210" w:firstLine="422"/>
        <w:jc w:val="both"/>
      </w:pPr>
      <w:r>
        <w:rPr>
          <w:spacing w:val="-12"/>
        </w:rPr>
        <w:t>十三、</w:t>
      </w:r>
      <w:r>
        <w:rPr>
          <w:rFonts w:ascii="等线" w:eastAsia="等线" w:hint="eastAsia"/>
          <w:b/>
        </w:rPr>
        <w:t>特定年龄</w:t>
      </w:r>
      <w:r>
        <w:rPr>
          <w:spacing w:val="-7"/>
        </w:rPr>
        <w:t>双耳失聪：指被保险人年满</w:t>
      </w:r>
      <w:r>
        <w:rPr/>
        <w:t>3</w:t>
      </w:r>
      <w:r>
        <w:rPr>
          <w:spacing w:val="-5"/>
        </w:rPr>
        <w:t>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5"/>
        <w:ind w:left="524"/>
      </w:pPr>
      <w:r>
        <w:rPr/>
        <w:t>申请理赔时，须提供理赔当时的听力丧失诊断及检查证据。</w:t>
      </w:r>
    </w:p>
    <w:p>
      <w:pPr>
        <w:pStyle w:val="BodyText"/>
        <w:spacing w:line="254" w:lineRule="auto" w:before="36"/>
        <w:ind w:right="210" w:firstLine="422"/>
      </w:pPr>
      <w:r>
        <w:rPr>
          <w:spacing w:val="-12"/>
        </w:rPr>
        <w:t>十四、</w:t>
      </w:r>
      <w:r>
        <w:rPr>
          <w:rFonts w:ascii="等线" w:eastAsia="等线" w:hint="eastAsia"/>
          <w:b/>
        </w:rPr>
        <w:t>特定年龄</w:t>
      </w:r>
      <w:r>
        <w:rPr>
          <w:spacing w:val="-7"/>
        </w:rPr>
        <w:t>双目失明：指被保险人年满</w:t>
      </w:r>
      <w:r>
        <w:rPr/>
        <w:t>3</w:t>
      </w:r>
      <w:r>
        <w:rPr>
          <w:spacing w:val="-5"/>
        </w:rPr>
        <w:t>周岁后因疾病或意外伤害导致双眼视力永久不可逆（注</w:t>
      </w:r>
      <w:r>
        <w:rPr>
          <w:spacing w:val="-3"/>
        </w:rPr>
        <w:t>4）</w:t>
      </w:r>
      <w:r>
        <w:rPr>
          <w:spacing w:val="-5"/>
        </w:rPr>
        <w:t>性丧失，双眼中较好眼须满足下列至少一项条件：</w:t>
      </w:r>
    </w:p>
    <w:p>
      <w:pPr>
        <w:pStyle w:val="ListParagraph"/>
        <w:numPr>
          <w:ilvl w:val="0"/>
          <w:numId w:val="3"/>
        </w:numPr>
        <w:tabs>
          <w:tab w:pos="842" w:val="left" w:leader="none"/>
        </w:tabs>
        <w:spacing w:line="240" w:lineRule="auto" w:before="24" w:after="0"/>
        <w:ind w:left="841" w:right="0" w:hanging="317"/>
        <w:jc w:val="left"/>
        <w:rPr>
          <w:sz w:val="21"/>
        </w:rPr>
      </w:pPr>
      <w:r>
        <w:rPr>
          <w:spacing w:val="-2"/>
          <w:sz w:val="21"/>
        </w:rPr>
        <w:t>眼球缺失或摘除；</w:t>
      </w:r>
    </w:p>
    <w:p>
      <w:pPr>
        <w:pStyle w:val="ListParagraph"/>
        <w:numPr>
          <w:ilvl w:val="0"/>
          <w:numId w:val="3"/>
        </w:numPr>
        <w:tabs>
          <w:tab w:pos="842" w:val="left" w:leader="none"/>
        </w:tabs>
        <w:spacing w:line="240" w:lineRule="auto" w:before="37" w:after="0"/>
        <w:ind w:left="841" w:right="0" w:hanging="317"/>
        <w:jc w:val="left"/>
        <w:rPr>
          <w:sz w:val="21"/>
        </w:rPr>
      </w:pPr>
      <w:r>
        <w:rPr>
          <w:spacing w:val="-2"/>
          <w:w w:val="100"/>
          <w:sz w:val="21"/>
        </w:rPr>
        <w:t>矫正视力低于</w:t>
      </w:r>
      <w:r>
        <w:rPr>
          <w:w w:val="100"/>
          <w:sz w:val="21"/>
        </w:rPr>
        <w:t>0.0</w:t>
      </w:r>
      <w:r>
        <w:rPr>
          <w:spacing w:val="-5"/>
          <w:w w:val="100"/>
          <w:sz w:val="21"/>
        </w:rPr>
        <w:t>2</w:t>
      </w:r>
      <w:r>
        <w:rPr>
          <w:w w:val="100"/>
          <w:sz w:val="21"/>
        </w:rPr>
        <w:t>（</w:t>
      </w:r>
      <w:r>
        <w:rPr>
          <w:spacing w:val="-5"/>
          <w:w w:val="100"/>
          <w:sz w:val="21"/>
        </w:rPr>
        <w:t>采用国际标准视力表，如果使用其它视力表应进行换算</w:t>
      </w:r>
      <w:r>
        <w:rPr>
          <w:spacing w:val="-106"/>
          <w:w w:val="100"/>
          <w:sz w:val="21"/>
        </w:rPr>
        <w:t>）</w:t>
      </w:r>
      <w:r>
        <w:rPr>
          <w:w w:val="100"/>
          <w:sz w:val="21"/>
        </w:rPr>
        <w:t>；</w:t>
      </w:r>
    </w:p>
    <w:p>
      <w:pPr>
        <w:pStyle w:val="ListParagraph"/>
        <w:numPr>
          <w:ilvl w:val="0"/>
          <w:numId w:val="3"/>
        </w:numPr>
        <w:tabs>
          <w:tab w:pos="842" w:val="left" w:leader="none"/>
        </w:tabs>
        <w:spacing w:line="240" w:lineRule="auto" w:before="37" w:after="0"/>
        <w:ind w:left="841" w:right="0" w:hanging="317"/>
        <w:jc w:val="left"/>
        <w:rPr>
          <w:sz w:val="21"/>
        </w:rPr>
      </w:pPr>
      <w:r>
        <w:rPr>
          <w:spacing w:val="-2"/>
          <w:sz w:val="21"/>
        </w:rPr>
        <w:t>视野半径小于</w:t>
      </w:r>
      <w:r>
        <w:rPr>
          <w:sz w:val="21"/>
        </w:rPr>
        <w:t>5</w:t>
      </w:r>
      <w:r>
        <w:rPr>
          <w:spacing w:val="-3"/>
          <w:sz w:val="21"/>
        </w:rPr>
        <w:t>度。</w:t>
      </w:r>
    </w:p>
    <w:p>
      <w:pPr>
        <w:pStyle w:val="BodyText"/>
        <w:spacing w:before="37"/>
        <w:ind w:left="524"/>
      </w:pPr>
      <w:r>
        <w:rPr/>
        <w:t>申请理赔时，须提供理赔当时的视力丧失诊断及检查证据。</w:t>
      </w:r>
    </w:p>
    <w:p>
      <w:pPr>
        <w:pStyle w:val="BodyText"/>
        <w:spacing w:line="273" w:lineRule="auto" w:before="37"/>
        <w:ind w:right="215" w:firstLine="422"/>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8"/>
        <w:ind w:right="215" w:firstLine="422"/>
      </w:pPr>
      <w:r>
        <w:rPr/>
        <w:t>十六、心脏瓣膜手术：指为治疗心脏瓣膜疾病，实际实施了开胸进行的心脏瓣膜置换或修复的手术。</w:t>
      </w:r>
    </w:p>
    <w:p>
      <w:pPr>
        <w:pStyle w:val="BodyText"/>
        <w:spacing w:line="268" w:lineRule="auto" w:before="8"/>
        <w:ind w:right="105" w:firstLine="422"/>
      </w:pPr>
      <w:r>
        <w:rPr/>
        <w:t>十七、</w:t>
      </w:r>
      <w:r>
        <w:rPr>
          <w:rFonts w:ascii="等线" w:eastAsia="等线" w:hint="eastAsia"/>
          <w:b/>
          <w:spacing w:val="0"/>
        </w:rPr>
        <w:t>严重</w:t>
      </w:r>
      <w:r>
        <w:rPr/>
        <w:t>阿尔茨海默病：指因大脑进行性、不可逆性改变导致智能严重衰退或丧失，临</w:t>
      </w:r>
      <w:r>
        <w:rPr>
          <w:spacing w:val="-6"/>
        </w:rPr>
        <w:t>床表现为明显的认知能力障碍、行为异常和社交能力减退，其日常生活必须持续受到他人监护。</w:t>
      </w:r>
      <w:r>
        <w:rPr>
          <w:spacing w:val="-6"/>
          <w:w w:val="100"/>
        </w:rPr>
        <w:t>须由头颅断层扫描</w:t>
      </w:r>
      <w:r>
        <w:rPr>
          <w:w w:val="100"/>
        </w:rPr>
        <w:t>（C</w:t>
      </w:r>
      <w:r>
        <w:rPr>
          <w:spacing w:val="-5"/>
          <w:w w:val="100"/>
        </w:rPr>
        <w:t>T</w:t>
      </w:r>
      <w:r>
        <w:rPr>
          <w:spacing w:val="-106"/>
          <w:w w:val="100"/>
        </w:rPr>
        <w:t>）</w:t>
      </w:r>
      <w:r>
        <w:rPr>
          <w:spacing w:val="-5"/>
          <w:w w:val="100"/>
        </w:rPr>
        <w:t>、核磁共振检查</w:t>
      </w:r>
      <w:r>
        <w:rPr>
          <w:w w:val="100"/>
        </w:rPr>
        <w:t>（</w:t>
      </w:r>
      <w:r>
        <w:rPr>
          <w:spacing w:val="-5"/>
          <w:w w:val="100"/>
        </w:rPr>
        <w:t>M</w:t>
      </w:r>
      <w:r>
        <w:rPr>
          <w:w w:val="100"/>
        </w:rPr>
        <w:t>RI</w:t>
      </w:r>
      <w:r>
        <w:rPr>
          <w:spacing w:val="-10"/>
          <w:w w:val="100"/>
        </w:rPr>
        <w:t>）</w:t>
      </w:r>
      <w:r>
        <w:rPr>
          <w:spacing w:val="-4"/>
          <w:w w:val="100"/>
        </w:rPr>
        <w:t>或正电子发射断层扫描</w:t>
      </w:r>
      <w:r>
        <w:rPr>
          <w:w w:val="100"/>
        </w:rPr>
        <w:t>（P</w:t>
      </w:r>
      <w:r>
        <w:rPr>
          <w:spacing w:val="-5"/>
          <w:w w:val="100"/>
        </w:rPr>
        <w:t>E</w:t>
      </w:r>
      <w:r>
        <w:rPr>
          <w:w w:val="100"/>
        </w:rPr>
        <w:t>T</w:t>
      </w:r>
      <w:r>
        <w:rPr>
          <w:spacing w:val="-10"/>
          <w:w w:val="100"/>
        </w:rPr>
        <w:t>）</w:t>
      </w:r>
      <w:r>
        <w:rPr>
          <w:spacing w:val="-2"/>
          <w:w w:val="100"/>
        </w:rPr>
        <w:t>等影像学检查证</w:t>
      </w:r>
      <w:r>
        <w:rPr>
          <w:spacing w:val="-7"/>
        </w:rPr>
        <w:t>实，且自主生活能力完全丧失，无法独立完成六项基本日常生活活动</w:t>
      </w:r>
      <w:r>
        <w:rPr/>
        <w:t>（注</w:t>
      </w:r>
      <w:r>
        <w:rPr>
          <w:spacing w:val="-8"/>
        </w:rPr>
        <w:t>3）</w:t>
      </w:r>
      <w:r>
        <w:rPr>
          <w:spacing w:val="-3"/>
        </w:rPr>
        <w:t>中的三项或三项以上。</w:t>
      </w:r>
    </w:p>
    <w:p>
      <w:pPr>
        <w:pStyle w:val="Heading3"/>
        <w:spacing w:before="19"/>
        <w:ind w:left="524"/>
      </w:pPr>
      <w:r>
        <w:rPr/>
        <w:t>神经官能症和精神疾病不在保障范围内。</w:t>
      </w:r>
    </w:p>
    <w:p>
      <w:pPr>
        <w:pStyle w:val="BodyText"/>
        <w:spacing w:line="266" w:lineRule="auto" w:before="17"/>
        <w:ind w:right="162" w:firstLine="422"/>
        <w:jc w:val="both"/>
      </w:pPr>
      <w:r>
        <w:rPr/>
        <w:t>十八、</w:t>
      </w:r>
      <w:r>
        <w:rPr>
          <w:rFonts w:ascii="等线" w:eastAsia="等线" w:hint="eastAsia"/>
          <w:b/>
          <w:spacing w:val="0"/>
        </w:rPr>
        <w:t>严重</w:t>
      </w:r>
      <w:r>
        <w:rPr/>
        <w:t>脑损伤：指因头部遭受机械性外力，引起脑重要部位损伤，导致神经系统永久</w:t>
      </w:r>
      <w:r>
        <w:rPr>
          <w:spacing w:val="-3"/>
          <w:w w:val="100"/>
        </w:rPr>
        <w:t>性的功能障碍。须由头颅断层扫描</w:t>
      </w:r>
      <w:r>
        <w:rPr>
          <w:w w:val="100"/>
        </w:rPr>
        <w:t>（CT</w:t>
      </w:r>
      <w:r>
        <w:rPr>
          <w:spacing w:val="-111"/>
          <w:w w:val="100"/>
        </w:rPr>
        <w:t>）</w:t>
      </w:r>
      <w:r>
        <w:rPr>
          <w:spacing w:val="-3"/>
          <w:w w:val="100"/>
        </w:rPr>
        <w:t>、核磁共振检查</w:t>
      </w:r>
      <w:r>
        <w:rPr>
          <w:w w:val="100"/>
        </w:rPr>
        <w:t>（MRI</w:t>
      </w:r>
      <w:r>
        <w:rPr>
          <w:spacing w:val="-5"/>
          <w:w w:val="100"/>
        </w:rPr>
        <w:t>）</w:t>
      </w:r>
      <w:r>
        <w:rPr>
          <w:spacing w:val="-3"/>
          <w:w w:val="100"/>
        </w:rPr>
        <w:t>或正电子发射断层扫描</w:t>
      </w:r>
      <w:r>
        <w:rPr>
          <w:w w:val="100"/>
        </w:rPr>
        <w:t>（P</w:t>
      </w:r>
      <w:r>
        <w:rPr>
          <w:spacing w:val="-5"/>
          <w:w w:val="100"/>
        </w:rPr>
        <w:t>E</w:t>
      </w:r>
      <w:r>
        <w:rPr>
          <w:w w:val="100"/>
        </w:rPr>
        <w:t>T）</w:t>
      </w:r>
      <w:r>
        <w:rPr>
          <w:spacing w:val="-6"/>
        </w:rPr>
        <w:t>等影像学检查证实。神经系统永久性的功能障碍，指脑损伤</w:t>
      </w:r>
      <w:r>
        <w:rPr/>
        <w:t>180</w:t>
      </w:r>
      <w:r>
        <w:rPr>
          <w:spacing w:val="-6"/>
        </w:rPr>
        <w:t>天后，仍遗留下列一种或一种以上障碍：</w:t>
      </w:r>
    </w:p>
    <w:p>
      <w:pPr>
        <w:pStyle w:val="ListParagraph"/>
        <w:numPr>
          <w:ilvl w:val="0"/>
          <w:numId w:val="4"/>
        </w:numPr>
        <w:tabs>
          <w:tab w:pos="842" w:val="left" w:leader="none"/>
        </w:tabs>
        <w:spacing w:line="240" w:lineRule="auto" w:before="14"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注1</w:t>
      </w:r>
      <w:r>
        <w:rPr>
          <w:spacing w:val="-106"/>
          <w:w w:val="100"/>
          <w:sz w:val="21"/>
        </w:rPr>
        <w:t>）</w:t>
      </w:r>
      <w:r>
        <w:rPr>
          <w:w w:val="100"/>
          <w:sz w:val="21"/>
        </w:rPr>
        <w:t>；</w:t>
      </w:r>
    </w:p>
    <w:p>
      <w:pPr>
        <w:pStyle w:val="ListParagraph"/>
        <w:numPr>
          <w:ilvl w:val="0"/>
          <w:numId w:val="4"/>
        </w:numPr>
        <w:tabs>
          <w:tab w:pos="842" w:val="left" w:leader="none"/>
        </w:tabs>
        <w:spacing w:line="240" w:lineRule="auto" w:before="37"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注2</w:t>
      </w:r>
      <w:r>
        <w:rPr>
          <w:spacing w:val="-106"/>
          <w:w w:val="100"/>
          <w:sz w:val="21"/>
        </w:rPr>
        <w:t>）</w:t>
      </w:r>
      <w:r>
        <w:rPr>
          <w:w w:val="100"/>
          <w:sz w:val="21"/>
        </w:rPr>
        <w:t>；</w:t>
      </w:r>
    </w:p>
    <w:p>
      <w:pPr>
        <w:pStyle w:val="ListParagraph"/>
        <w:numPr>
          <w:ilvl w:val="0"/>
          <w:numId w:val="4"/>
        </w:numPr>
        <w:tabs>
          <w:tab w:pos="842" w:val="left" w:leader="none"/>
        </w:tabs>
        <w:spacing w:line="273" w:lineRule="auto" w:before="37" w:after="0"/>
        <w:ind w:left="102" w:right="220" w:firstLine="422"/>
        <w:jc w:val="left"/>
        <w:rPr>
          <w:sz w:val="21"/>
        </w:rPr>
      </w:pPr>
      <w:r>
        <w:rPr>
          <w:sz w:val="21"/>
        </w:rPr>
        <w:t>自主生活能力完全丧失，无法独立完成六项基本日常生活活动（注3）中的三项或三项以上。</w:t>
      </w:r>
    </w:p>
    <w:p>
      <w:pPr>
        <w:pStyle w:val="BodyText"/>
        <w:spacing w:line="254" w:lineRule="auto" w:before="8"/>
        <w:ind w:right="215" w:firstLine="422"/>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4"/>
      </w:pPr>
      <w:r>
        <w:rPr/>
        <w:t>1．药物治疗无法控制病情；</w:t>
      </w:r>
    </w:p>
    <w:p>
      <w:pPr>
        <w:pStyle w:val="BodyText"/>
        <w:spacing w:line="273" w:lineRule="auto" w:before="36"/>
        <w:ind w:right="215" w:firstLine="422"/>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before="18"/>
        <w:ind w:left="524"/>
      </w:pPr>
      <w:r>
        <w:rPr/>
        <w:t>二十、</w:t>
      </w:r>
      <w:r>
        <w:rPr>
          <w:rFonts w:ascii="等线" w:hAnsi="等线" w:eastAsia="等线" w:hint="eastAsia"/>
          <w:b/>
        </w:rPr>
        <w:t>严重</w:t>
      </w:r>
      <w:r>
        <w:rPr/>
        <w:t>Ⅲ度烧伤：指烧伤程度为Ⅲ度，且Ⅲ度烧伤的面积达到全身体表面积的20％或</w:t>
      </w:r>
    </w:p>
    <w:p>
      <w:pPr>
        <w:pStyle w:val="BodyText"/>
        <w:spacing w:before="18"/>
        <w:ind w:left="88" w:right="4242"/>
        <w:jc w:val="center"/>
      </w:pPr>
      <w:r>
        <w:rPr/>
        <w:t>20％以上。体表面积根据《中国新九分法》计算。</w:t>
      </w:r>
    </w:p>
    <w:p>
      <w:pPr>
        <w:spacing w:after="0"/>
        <w:jc w:val="center"/>
        <w:sectPr>
          <w:footerReference w:type="default" r:id="rId8"/>
          <w:pgSz w:w="11910" w:h="16840"/>
          <w:pgMar w:footer="934" w:header="0" w:top="1380" w:bottom="1120" w:left="1520" w:right="1400"/>
        </w:sectPr>
      </w:pPr>
    </w:p>
    <w:p>
      <w:pPr>
        <w:pStyle w:val="BodyText"/>
        <w:spacing w:line="264" w:lineRule="auto" w:before="7"/>
        <w:ind w:right="210" w:firstLine="422"/>
        <w:jc w:val="both"/>
      </w:pPr>
      <w:r>
        <w:rPr/>
        <w:t>二十一、</w:t>
      </w:r>
      <w:r>
        <w:rPr>
          <w:rFonts w:ascii="等线" w:eastAsia="等线" w:hint="eastAsia"/>
          <w:b/>
          <w:spacing w:val="0"/>
        </w:rPr>
        <w:t>严重</w:t>
      </w:r>
      <w:r>
        <w:rPr/>
        <w:t>原发性肺动脉高压：指不明原因的肺动脉压力持续性增高，进行性发展而导</w:t>
      </w:r>
      <w:r>
        <w:rPr>
          <w:spacing w:val="-6"/>
        </w:rPr>
        <w:t>致的慢性疾病，已经造成永久不可逆</w:t>
      </w:r>
      <w:r>
        <w:rPr/>
        <w:t>（注</w:t>
      </w:r>
      <w:r>
        <w:rPr>
          <w:spacing w:val="-10"/>
        </w:rPr>
        <w:t>4）</w:t>
      </w:r>
      <w:r>
        <w:rPr>
          <w:spacing w:val="-5"/>
        </w:rPr>
        <w:t>性的体力活动能力受限，达到美国纽约心脏病学会心功能状态分级</w:t>
      </w:r>
      <w:r>
        <w:rPr/>
        <w:t>IV</w:t>
      </w:r>
      <w:r>
        <w:rPr>
          <w:spacing w:val="-5"/>
        </w:rPr>
        <w:t>级，且静息状态下肺动脉平均压超过</w:t>
      </w:r>
      <w:r>
        <w:rPr/>
        <w:t>30mmHg。</w:t>
      </w:r>
    </w:p>
    <w:p>
      <w:pPr>
        <w:pStyle w:val="BodyText"/>
        <w:spacing w:line="266" w:lineRule="auto" w:before="15"/>
        <w:ind w:right="162" w:firstLine="422"/>
        <w:jc w:val="right"/>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spacing w:line="278" w:lineRule="auto" w:before="13"/>
        <w:ind w:left="524" w:right="2053" w:hanging="423"/>
        <w:jc w:val="left"/>
        <w:rPr>
          <w:rFonts w:ascii="等线" w:eastAsia="等线" w:hint="eastAsia"/>
          <w:b/>
          <w:sz w:val="21"/>
        </w:rPr>
      </w:pPr>
      <w:r>
        <w:rPr>
          <w:w w:val="100"/>
          <w:sz w:val="21"/>
        </w:rPr>
        <w:t>12个月（</w:t>
      </w:r>
      <w:r>
        <w:rPr>
          <w:spacing w:val="-4"/>
          <w:w w:val="100"/>
          <w:sz w:val="21"/>
        </w:rPr>
        <w:t>声带完全切除不受此时间限制</w:t>
      </w:r>
      <w:r>
        <w:rPr>
          <w:spacing w:val="-111"/>
          <w:w w:val="100"/>
          <w:sz w:val="21"/>
        </w:rPr>
        <w:t>）</w:t>
      </w:r>
      <w:r>
        <w:rPr>
          <w:spacing w:val="-5"/>
          <w:w w:val="100"/>
          <w:sz w:val="21"/>
        </w:rPr>
        <w:t>，仍无法通过现有医疗手段恢复。</w:t>
      </w:r>
      <w:r>
        <w:rPr>
          <w:rFonts w:ascii="等线" w:eastAsia="等线" w:hint="eastAsia"/>
          <w:b/>
          <w:spacing w:val="-5"/>
          <w:sz w:val="21"/>
        </w:rPr>
        <w:t>精神心理因素所致的语言能力丧失不在保障范围内。</w:t>
      </w:r>
    </w:p>
    <w:p>
      <w:pPr>
        <w:pStyle w:val="BodyText"/>
        <w:spacing w:line="258" w:lineRule="exact"/>
        <w:ind w:left="524"/>
      </w:pPr>
      <w:r>
        <w:rPr/>
        <w:t>二十四、重型再生障碍性贫血：指因骨髓造血功能慢性持续性衰竭导致的贫血、中性粒细</w:t>
      </w:r>
    </w:p>
    <w:p>
      <w:pPr>
        <w:pStyle w:val="BodyText"/>
        <w:spacing w:before="37"/>
      </w:pPr>
      <w:r>
        <w:rPr/>
        <w:t>胞减少及血小板减少。须满足下列全部条件：</w:t>
      </w:r>
    </w:p>
    <w:p>
      <w:pPr>
        <w:pStyle w:val="ListParagraph"/>
        <w:numPr>
          <w:ilvl w:val="0"/>
          <w:numId w:val="5"/>
        </w:numPr>
        <w:tabs>
          <w:tab w:pos="842" w:val="left" w:leader="none"/>
        </w:tabs>
        <w:spacing w:line="240" w:lineRule="auto" w:before="36" w:after="0"/>
        <w:ind w:left="841" w:right="0" w:hanging="317"/>
        <w:jc w:val="left"/>
        <w:rPr>
          <w:sz w:val="21"/>
        </w:rPr>
      </w:pPr>
      <w:r>
        <w:rPr>
          <w:spacing w:val="-5"/>
          <w:sz w:val="21"/>
        </w:rPr>
        <w:t>骨髓穿刺检查或骨髓活检结果支持诊断；</w:t>
      </w:r>
    </w:p>
    <w:p>
      <w:pPr>
        <w:pStyle w:val="ListParagraph"/>
        <w:numPr>
          <w:ilvl w:val="0"/>
          <w:numId w:val="5"/>
        </w:numPr>
        <w:tabs>
          <w:tab w:pos="842" w:val="left" w:leader="none"/>
        </w:tabs>
        <w:spacing w:line="240" w:lineRule="auto" w:before="36" w:after="0"/>
        <w:ind w:left="841" w:right="0" w:hanging="317"/>
        <w:jc w:val="left"/>
        <w:rPr>
          <w:sz w:val="21"/>
        </w:rPr>
      </w:pPr>
      <w:r>
        <w:rPr>
          <w:spacing w:val="-4"/>
          <w:sz w:val="21"/>
        </w:rPr>
        <w:t>外周血象须具备以下三项条件：</w:t>
      </w:r>
    </w:p>
    <w:p>
      <w:pPr>
        <w:pStyle w:val="BodyText"/>
        <w:spacing w:before="37"/>
        <w:ind w:left="524"/>
      </w:pPr>
      <w:r>
        <w:rPr/>
        <w:t>（1） 中性粒细胞绝对值≤0.5×10</w:t>
      </w:r>
      <w:r>
        <w:rPr>
          <w:position w:val="11"/>
          <w:sz w:val="11"/>
        </w:rPr>
        <w:t>9</w:t>
      </w:r>
      <w:r>
        <w:rPr/>
        <w:t>/L ；</w:t>
      </w:r>
    </w:p>
    <w:p>
      <w:pPr>
        <w:pStyle w:val="ListParagraph"/>
        <w:numPr>
          <w:ilvl w:val="0"/>
          <w:numId w:val="6"/>
        </w:numPr>
        <w:tabs>
          <w:tab w:pos="1159" w:val="left" w:leader="none"/>
        </w:tabs>
        <w:spacing w:line="240" w:lineRule="auto" w:before="37" w:after="0"/>
        <w:ind w:left="1158" w:right="0" w:hanging="634"/>
        <w:jc w:val="left"/>
        <w:rPr>
          <w:sz w:val="21"/>
        </w:rPr>
      </w:pPr>
      <w:r>
        <w:rPr>
          <w:spacing w:val="-3"/>
          <w:sz w:val="21"/>
        </w:rPr>
        <w:t>网织红细胞＜</w:t>
      </w:r>
      <w:r>
        <w:rPr>
          <w:spacing w:val="-1"/>
          <w:sz w:val="21"/>
        </w:rPr>
        <w:t>1%；</w:t>
      </w:r>
    </w:p>
    <w:p>
      <w:pPr>
        <w:pStyle w:val="ListParagraph"/>
        <w:numPr>
          <w:ilvl w:val="0"/>
          <w:numId w:val="6"/>
        </w:numPr>
        <w:tabs>
          <w:tab w:pos="1159" w:val="left" w:leader="none"/>
        </w:tabs>
        <w:spacing w:line="240" w:lineRule="auto" w:before="37" w:after="0"/>
        <w:ind w:left="1158" w:right="0" w:hanging="634"/>
        <w:jc w:val="left"/>
        <w:rPr>
          <w:sz w:val="21"/>
        </w:rPr>
      </w:pPr>
      <w:r>
        <w:rPr>
          <w:spacing w:val="-4"/>
          <w:sz w:val="21"/>
        </w:rPr>
        <w:t>血小板绝对值</w:t>
      </w:r>
      <w:r>
        <w:rPr>
          <w:sz w:val="21"/>
        </w:rPr>
        <w:t>≤20×10</w:t>
      </w:r>
      <w:r>
        <w:rPr>
          <w:position w:val="11"/>
          <w:sz w:val="11"/>
        </w:rPr>
        <w:t>9</w:t>
      </w:r>
      <w:r>
        <w:rPr>
          <w:sz w:val="21"/>
        </w:rPr>
        <w:t>/L。</w:t>
      </w:r>
    </w:p>
    <w:p>
      <w:pPr>
        <w:pStyle w:val="BodyText"/>
        <w:spacing w:line="273" w:lineRule="auto" w:before="36"/>
        <w:ind w:right="215" w:firstLine="422"/>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4"/>
        <w:ind w:left="524"/>
      </w:pPr>
      <w:r>
        <w:rPr/>
        <w:t>动脉内血管成形术不在保障范围内。</w:t>
      </w:r>
    </w:p>
    <w:p>
      <w:pPr>
        <w:pStyle w:val="BodyText"/>
        <w:spacing w:line="264" w:lineRule="auto" w:before="17"/>
        <w:ind w:right="215" w:firstLine="431"/>
        <w:jc w:val="both"/>
      </w:pPr>
      <w:r>
        <w:rPr/>
        <w:t>二十六、</w:t>
      </w:r>
      <w:r>
        <w:rPr>
          <w:rFonts w:ascii="等线" w:eastAsia="等线" w:hint="eastAsia"/>
          <w:b/>
          <w:spacing w:val="0"/>
        </w:rPr>
        <w:t>严重</w:t>
      </w:r>
      <w:r>
        <w:rPr>
          <w:spacing w:val="-2"/>
        </w:rPr>
        <w:t>心肌病：指因心肌病导致慢性心功能损害，已经造成永久不可逆</w:t>
      </w:r>
      <w:r>
        <w:rPr/>
        <w:t>（</w:t>
      </w:r>
      <w:r>
        <w:rPr>
          <w:spacing w:val="20"/>
        </w:rPr>
        <w:t>注 </w:t>
      </w:r>
      <w:r>
        <w:rPr/>
        <w:t>4）性</w:t>
      </w:r>
      <w:r>
        <w:rPr>
          <w:spacing w:val="-7"/>
        </w:rPr>
        <w:t>心功能衰竭，达到美国纽约心脏病学会心功能状态分级 </w:t>
      </w:r>
      <w:r>
        <w:rPr/>
        <w:t>IV</w:t>
      </w:r>
      <w:r>
        <w:rPr>
          <w:spacing w:val="-7"/>
        </w:rPr>
        <w:t> 级，须满足永久不可逆</w:t>
      </w:r>
      <w:r>
        <w:rPr/>
        <w:t>（</w:t>
      </w:r>
      <w:r>
        <w:rPr>
          <w:spacing w:val="-19"/>
        </w:rPr>
        <w:t>注 </w:t>
      </w:r>
      <w:r>
        <w:rPr>
          <w:spacing w:val="-3"/>
        </w:rPr>
        <w:t>4）</w:t>
      </w:r>
      <w:r>
        <w:rPr/>
        <w:t>性体</w:t>
      </w:r>
      <w:r>
        <w:rPr>
          <w:spacing w:val="-5"/>
        </w:rPr>
        <w:t>力活动能力受限、无法从事任何体力活动的条件。</w:t>
      </w:r>
    </w:p>
    <w:p>
      <w:pPr>
        <w:pStyle w:val="BodyText"/>
        <w:spacing w:line="264" w:lineRule="auto" w:before="16"/>
        <w:ind w:right="215" w:firstLine="422"/>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42" w:val="left" w:leader="none"/>
        </w:tabs>
        <w:spacing w:line="240" w:lineRule="auto" w:before="16" w:after="0"/>
        <w:ind w:left="102" w:right="0" w:firstLine="422"/>
        <w:jc w:val="left"/>
        <w:rPr>
          <w:sz w:val="21"/>
        </w:rPr>
      </w:pPr>
      <w:r>
        <w:rPr>
          <w:spacing w:val="-5"/>
          <w:sz w:val="21"/>
        </w:rPr>
        <w:t>经药物或胸腺手术治疗一年以上无法控制病情，丧失正常工作能力；</w:t>
      </w:r>
    </w:p>
    <w:p>
      <w:pPr>
        <w:pStyle w:val="ListParagraph"/>
        <w:numPr>
          <w:ilvl w:val="0"/>
          <w:numId w:val="7"/>
        </w:numPr>
        <w:tabs>
          <w:tab w:pos="842" w:val="left" w:leader="none"/>
        </w:tabs>
        <w:spacing w:line="273" w:lineRule="auto" w:before="37" w:after="0"/>
        <w:ind w:left="102" w:right="220" w:firstLine="422"/>
        <w:jc w:val="left"/>
        <w:rPr>
          <w:sz w:val="21"/>
        </w:rPr>
      </w:pPr>
      <w:r>
        <w:rPr>
          <w:sz w:val="21"/>
        </w:rPr>
        <w:t>出现眼睑下垂，或延髓肌受累引起的构音困难、进食呛咳,或由于肌无力累及延髓肌、</w:t>
      </w:r>
      <w:r>
        <w:rPr>
          <w:spacing w:val="-5"/>
          <w:sz w:val="21"/>
        </w:rPr>
        <w:t>呼吸肌而致机体呼吸功能不正常的危急状态即肌无力危象；</w:t>
      </w:r>
    </w:p>
    <w:p>
      <w:pPr>
        <w:pStyle w:val="ListParagraph"/>
        <w:numPr>
          <w:ilvl w:val="0"/>
          <w:numId w:val="7"/>
        </w:numPr>
        <w:tabs>
          <w:tab w:pos="842" w:val="left" w:leader="none"/>
        </w:tabs>
        <w:spacing w:line="273" w:lineRule="auto" w:before="8" w:after="0"/>
        <w:ind w:left="524" w:right="158" w:firstLine="0"/>
        <w:jc w:val="left"/>
        <w:rPr>
          <w:sz w:val="21"/>
        </w:rPr>
      </w:pPr>
      <w:r>
        <w:rPr>
          <w:spacing w:val="-5"/>
          <w:sz w:val="21"/>
        </w:rPr>
        <w:t>症状缓解、复发及恶化的交替出现，临床接受新斯的明等抗胆碱酯酶药物治疗的病史。二十八、</w:t>
      </w:r>
      <w:r>
        <w:rPr>
          <w:rFonts w:ascii="等线" w:eastAsia="等线" w:hint="eastAsia"/>
          <w:b/>
          <w:spacing w:val="-2"/>
          <w:sz w:val="21"/>
        </w:rPr>
        <w:t>严重</w:t>
      </w:r>
      <w:r>
        <w:rPr>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05"/>
      </w:pPr>
      <w:r>
        <w:rPr>
          <w:spacing w:val="-4"/>
          <w:w w:val="100"/>
        </w:rPr>
        <w:t>指运动或感觉功能障碍初次诊断后需持续</w:t>
      </w:r>
      <w:r>
        <w:rPr>
          <w:w w:val="100"/>
        </w:rPr>
        <w:t>180</w:t>
      </w:r>
      <w:r>
        <w:rPr>
          <w:spacing w:val="-12"/>
          <w:w w:val="100"/>
        </w:rPr>
        <w:t>天以上。须由断层扫描</w:t>
      </w:r>
      <w:r>
        <w:rPr>
          <w:w w:val="100"/>
        </w:rPr>
        <w:t>（CT</w:t>
      </w:r>
      <w:r>
        <w:rPr>
          <w:spacing w:val="-111"/>
          <w:w w:val="100"/>
        </w:rPr>
        <w:t>）</w:t>
      </w:r>
      <w:r>
        <w:rPr>
          <w:spacing w:val="-14"/>
          <w:w w:val="100"/>
        </w:rPr>
        <w:t>、核磁共振检查</w:t>
      </w:r>
      <w:r>
        <w:rPr>
          <w:w w:val="100"/>
        </w:rPr>
        <w:t>（MRI）</w:t>
      </w:r>
      <w:r>
        <w:rPr>
          <w:spacing w:val="-3"/>
        </w:rPr>
        <w:t>或正电子发射断层扫描</w:t>
      </w:r>
      <w:r>
        <w:rPr/>
        <w:t>（PET）</w:t>
      </w:r>
      <w:r>
        <w:rPr>
          <w:spacing w:val="-5"/>
        </w:rPr>
        <w:t>等影像学检查证实，且须满足下列全部条件：</w:t>
      </w:r>
    </w:p>
    <w:p>
      <w:pPr>
        <w:pStyle w:val="ListParagraph"/>
        <w:numPr>
          <w:ilvl w:val="0"/>
          <w:numId w:val="8"/>
        </w:numPr>
        <w:tabs>
          <w:tab w:pos="842" w:val="left" w:leader="none"/>
        </w:tabs>
        <w:spacing w:line="240" w:lineRule="auto" w:before="7" w:after="0"/>
        <w:ind w:left="841" w:right="0" w:hanging="317"/>
        <w:jc w:val="left"/>
        <w:rPr>
          <w:sz w:val="21"/>
        </w:rPr>
      </w:pPr>
      <w:r>
        <w:rPr>
          <w:spacing w:val="-5"/>
          <w:sz w:val="21"/>
        </w:rPr>
        <w:t>明确出现因视神经、脑干或脊髓损伤等导致的上述临床症状；</w:t>
      </w:r>
    </w:p>
    <w:p>
      <w:pPr>
        <w:pStyle w:val="ListParagraph"/>
        <w:numPr>
          <w:ilvl w:val="0"/>
          <w:numId w:val="8"/>
        </w:numPr>
        <w:tabs>
          <w:tab w:pos="842" w:val="left" w:leader="none"/>
        </w:tabs>
        <w:spacing w:line="240" w:lineRule="auto" w:before="36" w:after="0"/>
        <w:ind w:left="841" w:right="0" w:hanging="317"/>
        <w:jc w:val="left"/>
        <w:rPr>
          <w:sz w:val="21"/>
        </w:rPr>
      </w:pPr>
      <w:r>
        <w:rPr>
          <w:spacing w:val="-4"/>
          <w:sz w:val="21"/>
        </w:rPr>
        <w:t>散在的、多样性的神经损伤；</w:t>
      </w:r>
    </w:p>
    <w:p>
      <w:pPr>
        <w:pStyle w:val="ListParagraph"/>
        <w:numPr>
          <w:ilvl w:val="0"/>
          <w:numId w:val="8"/>
        </w:numPr>
        <w:tabs>
          <w:tab w:pos="842" w:val="left" w:leader="none"/>
        </w:tabs>
        <w:spacing w:line="240" w:lineRule="auto" w:before="36" w:after="0"/>
        <w:ind w:left="841" w:right="0" w:hanging="317"/>
        <w:jc w:val="left"/>
        <w:rPr>
          <w:sz w:val="21"/>
        </w:rPr>
      </w:pPr>
      <w:r>
        <w:rPr>
          <w:spacing w:val="-5"/>
          <w:sz w:val="21"/>
        </w:rPr>
        <w:t>上述临床症状反复发作、恶化及神经损伤的病史纪录。</w:t>
      </w:r>
    </w:p>
    <w:p>
      <w:pPr>
        <w:pStyle w:val="BodyText"/>
        <w:spacing w:line="268" w:lineRule="auto" w:before="36"/>
        <w:ind w:right="110" w:firstLine="422"/>
      </w:pPr>
      <w:r>
        <w:rPr/>
        <w:t>二十九、</w:t>
      </w:r>
      <w:r>
        <w:rPr>
          <w:rFonts w:ascii="等线" w:hAnsi="等线" w:eastAsia="等线" w:hint="eastAsia"/>
          <w:b/>
          <w:spacing w:val="0"/>
        </w:rPr>
        <w:t>严重</w:t>
      </w:r>
      <w:r>
        <w:rPr/>
        <w:t>脊髓灰质炎：脊髓灰质炎指由于脊髓灰质炎病毒感染所致的瘫痪性疾病，临</w:t>
      </w:r>
      <w:r>
        <w:rPr>
          <w:spacing w:val="-7"/>
        </w:rPr>
        <w:t>床表现为运动功能损害或呼吸无力。脊髓灰质炎必须明确诊断。本合同所称“严重脊髓灰质炎” 仅指脊髓灰质炎造成的神经系统功能损害导致被保险人一肢或一肢以上肢体机能永久完全丧失的情形。肢体机能永久完全丧失，指疾病确诊 </w:t>
      </w:r>
      <w:r>
        <w:rPr/>
        <w:t>180</w:t>
      </w:r>
      <w:r>
        <w:rPr>
          <w:spacing w:val="-5"/>
        </w:rPr>
        <w:t> 天后，每肢三大关节中的两大关节仍然完全僵硬，或不能随意识活动。</w:t>
      </w:r>
    </w:p>
    <w:p>
      <w:pPr>
        <w:pStyle w:val="Heading3"/>
        <w:spacing w:line="261" w:lineRule="auto" w:before="19"/>
        <w:ind w:right="220" w:firstLine="422"/>
      </w:pPr>
      <w:r>
        <w:rPr/>
        <w:t>若无因此感染而导致麻痹性瘫痪的事实结果，以及其它病因所致的麻痹，例如格林巴利综合征则不属于本合同所指的脊髓灰质炎。</w:t>
      </w:r>
    </w:p>
    <w:p>
      <w:pPr>
        <w:spacing w:after="0" w:line="261" w:lineRule="auto"/>
        <w:sectPr>
          <w:footerReference w:type="default" r:id="rId9"/>
          <w:pgSz w:w="11910" w:h="16840"/>
          <w:pgMar w:footer="934" w:header="0" w:top="1380" w:bottom="1120" w:left="1520" w:right="1400"/>
        </w:sectPr>
      </w:pPr>
    </w:p>
    <w:p>
      <w:pPr>
        <w:pStyle w:val="BodyText"/>
        <w:spacing w:line="268" w:lineRule="auto" w:before="7"/>
        <w:ind w:right="105" w:firstLine="422"/>
      </w:pPr>
      <w:r>
        <w:rPr>
          <w:spacing w:val="-9"/>
        </w:rPr>
        <w:t>三十、</w:t>
      </w:r>
      <w:r>
        <w:rPr>
          <w:rFonts w:ascii="等线" w:eastAsia="等线" w:hint="eastAsia"/>
          <w:b/>
          <w:spacing w:val="0"/>
        </w:rPr>
        <w:t>严重</w:t>
      </w:r>
      <w:r>
        <w:rPr>
          <w:spacing w:val="-7"/>
        </w:rPr>
        <w:t>类风湿性关节炎：指广泛分布的慢性进行性多关节病变，表现为关节严重变形， 侵犯至少三个主要关节（腕关节、肘关节、肩关节、踝关节、膝关节、髋关节）或关节组（如</w:t>
      </w:r>
      <w:r>
        <w:rPr>
          <w:spacing w:val="-9"/>
        </w:rPr>
        <w:t>手的多个指间、掌指关节，足的多个足趾、跖趾关节等</w:t>
      </w:r>
      <w:r>
        <w:rPr>
          <w:spacing w:val="-106"/>
        </w:rPr>
        <w:t>）</w:t>
      </w:r>
      <w:r>
        <w:rPr>
          <w:spacing w:val="-6"/>
        </w:rPr>
        <w:t>。类风湿性关节炎须明确诊断，并已达</w:t>
      </w:r>
      <w:r>
        <w:rPr>
          <w:spacing w:val="-8"/>
        </w:rPr>
        <w:t>到类风湿性关节炎功能分类 </w:t>
      </w:r>
      <w:r>
        <w:rPr/>
        <w:t>IV</w:t>
      </w:r>
      <w:r>
        <w:rPr>
          <w:spacing w:val="-9"/>
        </w:rPr>
        <w:t> 级的永久不可逆</w:t>
      </w:r>
      <w:r>
        <w:rPr/>
        <w:t>（</w:t>
      </w:r>
      <w:r>
        <w:rPr>
          <w:spacing w:val="-22"/>
        </w:rPr>
        <w:t>注 </w:t>
      </w:r>
      <w:r>
        <w:rPr>
          <w:spacing w:val="-3"/>
        </w:rPr>
        <w:t>4）</w:t>
      </w:r>
      <w:r>
        <w:rPr>
          <w:spacing w:val="-5"/>
        </w:rPr>
        <w:t>性关节功能障碍，且须满足下列全部条件：</w:t>
      </w:r>
    </w:p>
    <w:p>
      <w:pPr>
        <w:pStyle w:val="ListParagraph"/>
        <w:numPr>
          <w:ilvl w:val="0"/>
          <w:numId w:val="9"/>
        </w:numPr>
        <w:tabs>
          <w:tab w:pos="842" w:val="left" w:leader="none"/>
        </w:tabs>
        <w:spacing w:line="240" w:lineRule="auto" w:before="11" w:after="0"/>
        <w:ind w:left="841" w:right="0" w:hanging="317"/>
        <w:jc w:val="left"/>
        <w:rPr>
          <w:sz w:val="21"/>
        </w:rPr>
      </w:pPr>
      <w:r>
        <w:rPr>
          <w:sz w:val="21"/>
        </w:rPr>
        <w:t>晨僵；</w:t>
      </w:r>
    </w:p>
    <w:p>
      <w:pPr>
        <w:pStyle w:val="ListParagraph"/>
        <w:numPr>
          <w:ilvl w:val="0"/>
          <w:numId w:val="9"/>
        </w:numPr>
        <w:tabs>
          <w:tab w:pos="842" w:val="left" w:leader="none"/>
        </w:tabs>
        <w:spacing w:line="240" w:lineRule="auto" w:before="36" w:after="0"/>
        <w:ind w:left="841" w:right="0" w:hanging="317"/>
        <w:jc w:val="left"/>
        <w:rPr>
          <w:sz w:val="21"/>
        </w:rPr>
      </w:pPr>
      <w:r>
        <w:rPr>
          <w:spacing w:val="-2"/>
          <w:sz w:val="21"/>
        </w:rPr>
        <w:t>对称性关节炎；</w:t>
      </w:r>
    </w:p>
    <w:p>
      <w:pPr>
        <w:pStyle w:val="ListParagraph"/>
        <w:numPr>
          <w:ilvl w:val="0"/>
          <w:numId w:val="9"/>
        </w:numPr>
        <w:tabs>
          <w:tab w:pos="842" w:val="left" w:leader="none"/>
        </w:tabs>
        <w:spacing w:line="240" w:lineRule="auto" w:before="36" w:after="0"/>
        <w:ind w:left="841" w:right="0" w:hanging="317"/>
        <w:jc w:val="left"/>
        <w:rPr>
          <w:sz w:val="21"/>
        </w:rPr>
      </w:pPr>
      <w:r>
        <w:rPr>
          <w:spacing w:val="-3"/>
          <w:sz w:val="21"/>
        </w:rPr>
        <w:t>类风湿性皮下结节；</w:t>
      </w:r>
    </w:p>
    <w:p>
      <w:pPr>
        <w:pStyle w:val="ListParagraph"/>
        <w:numPr>
          <w:ilvl w:val="0"/>
          <w:numId w:val="9"/>
        </w:numPr>
        <w:tabs>
          <w:tab w:pos="842" w:val="left" w:leader="none"/>
        </w:tabs>
        <w:spacing w:line="240" w:lineRule="auto" w:before="36" w:after="0"/>
        <w:ind w:left="841" w:right="0" w:hanging="317"/>
        <w:jc w:val="left"/>
        <w:rPr>
          <w:sz w:val="21"/>
        </w:rPr>
      </w:pPr>
      <w:r>
        <w:rPr>
          <w:spacing w:val="-3"/>
          <w:sz w:val="21"/>
        </w:rPr>
        <w:t>类风湿因子滴度升高；</w:t>
      </w:r>
    </w:p>
    <w:p>
      <w:pPr>
        <w:pStyle w:val="ListParagraph"/>
        <w:numPr>
          <w:ilvl w:val="0"/>
          <w:numId w:val="9"/>
        </w:numPr>
        <w:tabs>
          <w:tab w:pos="842" w:val="left" w:leader="none"/>
        </w:tabs>
        <w:spacing w:line="240" w:lineRule="auto" w:before="36" w:after="0"/>
        <w:ind w:left="841" w:right="0" w:hanging="317"/>
        <w:jc w:val="left"/>
        <w:rPr>
          <w:sz w:val="21"/>
        </w:rPr>
      </w:pPr>
      <w:r>
        <w:rPr>
          <w:sz w:val="21"/>
        </w:rPr>
        <w:t>X</w:t>
      </w:r>
      <w:r>
        <w:rPr>
          <w:spacing w:val="-6"/>
          <w:sz w:val="21"/>
        </w:rPr>
        <w:t> 线显示严重的关节</w:t>
      </w:r>
      <w:r>
        <w:rPr>
          <w:sz w:val="21"/>
        </w:rPr>
        <w:t>（</w:t>
      </w:r>
      <w:r>
        <w:rPr>
          <w:spacing w:val="-2"/>
          <w:sz w:val="21"/>
        </w:rPr>
        <w:t>软骨和骨</w:t>
      </w:r>
      <w:r>
        <w:rPr>
          <w:sz w:val="21"/>
        </w:rPr>
        <w:t>）</w:t>
      </w:r>
      <w:r>
        <w:rPr>
          <w:spacing w:val="-4"/>
          <w:sz w:val="21"/>
        </w:rPr>
        <w:t>破坏和关节畸形。</w:t>
      </w:r>
    </w:p>
    <w:p>
      <w:pPr>
        <w:pStyle w:val="BodyText"/>
        <w:spacing w:line="266" w:lineRule="auto" w:before="36"/>
        <w:ind w:right="215" w:firstLine="422"/>
        <w:jc w:val="both"/>
      </w:pPr>
      <w:r>
        <w:rPr/>
        <w:t>三十一、</w:t>
      </w:r>
      <w:r>
        <w:rPr>
          <w:rFonts w:ascii="等线" w:hAnsi="等线" w:eastAsia="等线" w:hint="eastAsia"/>
          <w:b/>
          <w:spacing w:val="0"/>
        </w:rPr>
        <w:t>严重</w:t>
      </w:r>
      <w:r>
        <w:rPr/>
        <w:t>系统性红斑狼疮性肾病：系统性红斑狼疮是累及多系统、多器官的具有多种自身抗体的免疫性疾病。系统性红斑狼疮性肾病，又称为狼疮性肾炎，是系统性红斑狼疮累及</w:t>
      </w:r>
      <w:r>
        <w:rPr>
          <w:spacing w:val="-6"/>
        </w:rPr>
        <w:t>肾脏，造成肾功能损伤。须由肾脏病理学检查结果证实或经临床确诊，并符合下列 </w:t>
      </w:r>
      <w:r>
        <w:rPr/>
        <w:t>WHO</w:t>
      </w:r>
      <w:r>
        <w:rPr>
          <w:spacing w:val="-3"/>
        </w:rPr>
        <w:t> 诊断标</w:t>
      </w:r>
      <w:r>
        <w:rPr>
          <w:spacing w:val="-5"/>
        </w:rPr>
        <w:t>准定义的Ⅲ型至Ⅴ型狼疮性肾炎。</w:t>
      </w:r>
    </w:p>
    <w:p>
      <w:pPr>
        <w:pStyle w:val="BodyText"/>
        <w:spacing w:before="13"/>
        <w:ind w:left="524"/>
      </w:pPr>
      <w:r>
        <w:rPr/>
        <w:t>世界卫生组织（WHO）狼疮性肾炎分型：</w:t>
      </w:r>
    </w:p>
    <w:p>
      <w:pPr>
        <w:pStyle w:val="BodyText"/>
        <w:spacing w:before="37"/>
        <w:ind w:left="524"/>
      </w:pPr>
      <w:r>
        <w:rPr>
          <w:w w:val="100"/>
        </w:rPr>
        <w:t>Ⅰ型（</w:t>
      </w:r>
      <w:r>
        <w:rPr>
          <w:spacing w:val="-2"/>
          <w:w w:val="100"/>
        </w:rPr>
        <w:t>微小病变型</w:t>
      </w:r>
      <w:r>
        <w:rPr>
          <w:spacing w:val="-106"/>
          <w:w w:val="100"/>
        </w:rPr>
        <w:t>）</w:t>
      </w:r>
      <w:r>
        <w:rPr>
          <w:spacing w:val="-4"/>
          <w:w w:val="100"/>
        </w:rPr>
        <w:t>：镜下阴性，尿液正常；</w:t>
      </w:r>
    </w:p>
    <w:p>
      <w:pPr>
        <w:pStyle w:val="BodyText"/>
        <w:spacing w:before="37"/>
        <w:ind w:left="524"/>
      </w:pPr>
      <w:r>
        <w:rPr>
          <w:w w:val="100"/>
        </w:rPr>
        <w:t>Ⅱ型（</w:t>
      </w:r>
      <w:r>
        <w:rPr>
          <w:spacing w:val="-2"/>
          <w:w w:val="100"/>
        </w:rPr>
        <w:t>系膜病变型</w:t>
      </w:r>
      <w:r>
        <w:rPr>
          <w:spacing w:val="-106"/>
          <w:w w:val="100"/>
        </w:rPr>
        <w:t>）</w:t>
      </w:r>
      <w:r>
        <w:rPr>
          <w:spacing w:val="-5"/>
          <w:w w:val="100"/>
        </w:rPr>
        <w:t>：中度蛋白尿，偶有尿沉渣改变；</w:t>
      </w:r>
    </w:p>
    <w:p>
      <w:pPr>
        <w:pStyle w:val="BodyText"/>
        <w:spacing w:before="37"/>
        <w:ind w:left="524"/>
      </w:pPr>
      <w:r>
        <w:rPr>
          <w:w w:val="100"/>
        </w:rPr>
        <w:t>Ⅲ型（</w:t>
      </w:r>
      <w:r>
        <w:rPr>
          <w:spacing w:val="-3"/>
          <w:w w:val="100"/>
        </w:rPr>
        <w:t>局灶及节段增生型</w:t>
      </w:r>
      <w:r>
        <w:rPr>
          <w:spacing w:val="-106"/>
          <w:w w:val="100"/>
        </w:rPr>
        <w:t>）</w:t>
      </w:r>
      <w:r>
        <w:rPr>
          <w:spacing w:val="-4"/>
          <w:w w:val="100"/>
        </w:rPr>
        <w:t>：蛋白尿，尿沉渣改变；</w:t>
      </w:r>
    </w:p>
    <w:p>
      <w:pPr>
        <w:pStyle w:val="BodyText"/>
        <w:spacing w:before="37"/>
        <w:ind w:left="524"/>
      </w:pPr>
      <w:r>
        <w:rPr>
          <w:w w:val="100"/>
        </w:rPr>
        <w:t>Ⅳ型（</w:t>
      </w:r>
      <w:r>
        <w:rPr>
          <w:spacing w:val="-2"/>
          <w:w w:val="100"/>
        </w:rPr>
        <w:t>弥漫增生型</w:t>
      </w:r>
      <w:r>
        <w:rPr>
          <w:spacing w:val="-106"/>
          <w:w w:val="100"/>
        </w:rPr>
        <w:t>）</w:t>
      </w:r>
      <w:r>
        <w:rPr>
          <w:spacing w:val="-5"/>
          <w:w w:val="100"/>
        </w:rPr>
        <w:t>：急性肾炎伴有尿沉渣改变或肾病综合征；</w:t>
      </w:r>
    </w:p>
    <w:p>
      <w:pPr>
        <w:pStyle w:val="BodyText"/>
        <w:spacing w:before="37"/>
        <w:ind w:left="524"/>
      </w:pPr>
      <w:r>
        <w:rPr>
          <w:w w:val="100"/>
        </w:rPr>
        <w:t>Ⅴ型（膜型</w:t>
      </w:r>
      <w:r>
        <w:rPr>
          <w:spacing w:val="-111"/>
          <w:w w:val="100"/>
        </w:rPr>
        <w:t>）</w:t>
      </w:r>
      <w:r>
        <w:rPr>
          <w:spacing w:val="-4"/>
          <w:w w:val="100"/>
        </w:rPr>
        <w:t>：肾病综合征或重度蛋白尿。</w:t>
      </w:r>
    </w:p>
    <w:p>
      <w:pPr>
        <w:pStyle w:val="Heading3"/>
        <w:spacing w:line="261" w:lineRule="auto" w:before="45"/>
        <w:ind w:right="220" w:firstLine="422"/>
      </w:pPr>
      <w:r>
        <w:rPr/>
        <w:t>其它类型的红斑性狼疮，如盘状狼疮，仅累及血液及关节等其它系统的系统性红斑狼疮不在保障范围内。</w:t>
      </w:r>
    </w:p>
    <w:p>
      <w:pPr>
        <w:pStyle w:val="BodyText"/>
        <w:spacing w:line="273" w:lineRule="exact"/>
        <w:ind w:left="524"/>
      </w:pPr>
      <w:r>
        <w:rPr/>
        <w:t>三十二、终末期肺病：指慢性呼吸功能衰竭，须满足下列全部条件：</w:t>
      </w:r>
    </w:p>
    <w:p>
      <w:pPr>
        <w:pStyle w:val="ListParagraph"/>
        <w:numPr>
          <w:ilvl w:val="0"/>
          <w:numId w:val="10"/>
        </w:numPr>
        <w:tabs>
          <w:tab w:pos="842" w:val="left" w:leader="none"/>
        </w:tabs>
        <w:spacing w:line="240" w:lineRule="auto" w:before="37" w:after="0"/>
        <w:ind w:left="841" w:right="0" w:hanging="317"/>
        <w:jc w:val="left"/>
        <w:rPr>
          <w:sz w:val="21"/>
        </w:rPr>
      </w:pPr>
      <w:r>
        <w:rPr>
          <w:spacing w:val="-2"/>
          <w:sz w:val="21"/>
        </w:rPr>
        <w:t>肺功能测试其</w:t>
      </w:r>
      <w:r>
        <w:rPr>
          <w:sz w:val="21"/>
        </w:rPr>
        <w:t>FEV1</w:t>
      </w:r>
      <w:r>
        <w:rPr>
          <w:spacing w:val="-2"/>
          <w:sz w:val="21"/>
        </w:rPr>
        <w:t>持续低于</w:t>
      </w:r>
      <w:r>
        <w:rPr>
          <w:sz w:val="21"/>
        </w:rPr>
        <w:t>0.75升；</w:t>
      </w:r>
    </w:p>
    <w:p>
      <w:pPr>
        <w:pStyle w:val="ListParagraph"/>
        <w:numPr>
          <w:ilvl w:val="0"/>
          <w:numId w:val="10"/>
        </w:numPr>
        <w:tabs>
          <w:tab w:pos="842" w:val="left" w:leader="none"/>
        </w:tabs>
        <w:spacing w:line="240" w:lineRule="auto" w:before="37" w:after="0"/>
        <w:ind w:left="841" w:right="0" w:hanging="317"/>
        <w:jc w:val="left"/>
        <w:rPr>
          <w:sz w:val="21"/>
        </w:rPr>
      </w:pPr>
      <w:r>
        <w:rPr>
          <w:spacing w:val="-5"/>
          <w:sz w:val="21"/>
        </w:rPr>
        <w:t>病人缺氧必须广泛而持续的进行输氧治疗；</w:t>
      </w:r>
    </w:p>
    <w:p>
      <w:pPr>
        <w:pStyle w:val="ListParagraph"/>
        <w:numPr>
          <w:ilvl w:val="0"/>
          <w:numId w:val="10"/>
        </w:numPr>
        <w:tabs>
          <w:tab w:pos="842" w:val="left" w:leader="none"/>
        </w:tabs>
        <w:spacing w:line="240" w:lineRule="auto" w:before="37" w:after="0"/>
        <w:ind w:left="841" w:right="0" w:hanging="317"/>
        <w:jc w:val="left"/>
        <w:rPr>
          <w:sz w:val="21"/>
        </w:rPr>
      </w:pPr>
      <w:r>
        <w:rPr>
          <w:spacing w:val="-3"/>
          <w:sz w:val="21"/>
        </w:rPr>
        <w:t>动脉血气分析氧分压低于</w:t>
      </w:r>
      <w:r>
        <w:rPr>
          <w:sz w:val="21"/>
        </w:rPr>
        <w:t>55mmHg。</w:t>
      </w:r>
    </w:p>
    <w:p>
      <w:pPr>
        <w:pStyle w:val="BodyText"/>
        <w:spacing w:line="254" w:lineRule="auto" w:before="37"/>
        <w:ind w:right="215" w:firstLine="422"/>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4"/>
        <w:ind w:right="215" w:firstLine="422"/>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5"/>
        <w:ind w:right="215" w:firstLine="422"/>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9"/>
        <w:ind w:right="210" w:firstLine="422"/>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42" w:val="left" w:leader="none"/>
        </w:tabs>
        <w:spacing w:line="240" w:lineRule="auto" w:before="16" w:after="0"/>
        <w:ind w:left="841" w:right="0" w:hanging="317"/>
        <w:jc w:val="left"/>
        <w:rPr>
          <w:sz w:val="21"/>
        </w:rPr>
      </w:pPr>
      <w:r>
        <w:rPr>
          <w:spacing w:val="-3"/>
          <w:sz w:val="21"/>
        </w:rPr>
        <w:t>已出现增殖性视网膜病变；</w:t>
      </w:r>
    </w:p>
    <w:p>
      <w:pPr>
        <w:pStyle w:val="ListParagraph"/>
        <w:numPr>
          <w:ilvl w:val="0"/>
          <w:numId w:val="11"/>
        </w:numPr>
        <w:tabs>
          <w:tab w:pos="842" w:val="left" w:leader="none"/>
        </w:tabs>
        <w:spacing w:line="240" w:lineRule="auto" w:before="37" w:after="0"/>
        <w:ind w:left="841" w:right="0" w:hanging="317"/>
        <w:jc w:val="left"/>
        <w:rPr>
          <w:sz w:val="21"/>
        </w:rPr>
      </w:pPr>
      <w:r>
        <w:rPr>
          <w:spacing w:val="-4"/>
          <w:sz w:val="21"/>
        </w:rPr>
        <w:t>须植入心脏起搏器治疗心脏病；</w:t>
      </w:r>
    </w:p>
    <w:p>
      <w:pPr>
        <w:pStyle w:val="ListParagraph"/>
        <w:numPr>
          <w:ilvl w:val="0"/>
          <w:numId w:val="11"/>
        </w:numPr>
        <w:tabs>
          <w:tab w:pos="842" w:val="left" w:leader="none"/>
        </w:tabs>
        <w:spacing w:line="240" w:lineRule="auto" w:before="37" w:after="0"/>
        <w:ind w:left="841" w:right="0" w:hanging="317"/>
        <w:jc w:val="left"/>
        <w:rPr>
          <w:sz w:val="21"/>
        </w:rPr>
      </w:pPr>
      <w:r>
        <w:rPr>
          <w:spacing w:val="-4"/>
          <w:sz w:val="21"/>
        </w:rPr>
        <w:t>因坏疽需切除至少一个脚趾。</w:t>
      </w:r>
    </w:p>
    <w:p>
      <w:pPr>
        <w:pStyle w:val="BodyText"/>
        <w:spacing w:line="266" w:lineRule="auto" w:before="37"/>
        <w:ind w:right="210" w:firstLine="422"/>
        <w:jc w:val="both"/>
      </w:pPr>
      <w:r>
        <w:rPr>
          <w:spacing w:val="-2"/>
        </w:rPr>
        <w:t>三十七、</w:t>
      </w:r>
      <w:r>
        <w:rPr>
          <w:rFonts w:ascii="等线" w:eastAsia="等线" w:hint="eastAsia"/>
          <w:b/>
          <w:spacing w:val="0"/>
        </w:rPr>
        <w:t>严重</w:t>
      </w:r>
      <w:r>
        <w:rPr>
          <w:spacing w:val="-5"/>
        </w:rPr>
        <w:t>冠心病：指经根据冠状动脉造影检查结果明确诊断为三支主要血管严重狭窄</w:t>
      </w:r>
      <w:r>
        <w:rPr>
          <w:spacing w:val="-13"/>
        </w:rPr>
        <w:t>性病变</w:t>
      </w:r>
      <w:r>
        <w:rPr/>
        <w:t>（</w:t>
      </w:r>
      <w:r>
        <w:rPr>
          <w:spacing w:val="-4"/>
        </w:rPr>
        <w:t>至少一支血管管腔直径减少</w:t>
      </w:r>
      <w:r>
        <w:rPr/>
        <w:t>75％</w:t>
      </w:r>
      <w:r>
        <w:rPr>
          <w:spacing w:val="-5"/>
        </w:rPr>
        <w:t>以上和其他两支血管管腔直径减少</w:t>
      </w:r>
      <w:r>
        <w:rPr/>
        <w:t>60％</w:t>
      </w:r>
      <w:r>
        <w:rPr>
          <w:spacing w:val="-3"/>
        </w:rPr>
        <w:t>以上</w:t>
      </w:r>
      <w:r>
        <w:rPr>
          <w:spacing w:val="-106"/>
        </w:rPr>
        <w:t>）</w:t>
      </w:r>
      <w:r>
        <w:rPr>
          <w:spacing w:val="-8"/>
        </w:rPr>
        <w:t>。冠状动</w:t>
      </w:r>
      <w:r>
        <w:rPr>
          <w:spacing w:val="-6"/>
        </w:rPr>
        <w:t>脉的主要血管指左冠状动脉主干、前降支、回旋支及右冠状动脉，不包括前降支、左旋支及右</w:t>
      </w:r>
      <w:r>
        <w:rPr>
          <w:spacing w:val="-5"/>
        </w:rPr>
        <w:t>冠状动脉的分支血管。</w:t>
      </w:r>
    </w:p>
    <w:p>
      <w:pPr>
        <w:pStyle w:val="BodyText"/>
        <w:spacing w:line="265" w:lineRule="exact"/>
        <w:ind w:left="524"/>
      </w:pPr>
      <w:r>
        <w:rPr/>
        <w:t>三十八、急性坏死性胰腺炎开腹手术：指为治疗急性坏死性胰腺炎，实际实施了开腹进行</w:t>
      </w:r>
    </w:p>
    <w:p>
      <w:pPr>
        <w:spacing w:after="0" w:line="265" w:lineRule="exact"/>
        <w:sectPr>
          <w:footerReference w:type="default" r:id="rId10"/>
          <w:pgSz w:w="11910" w:h="16840"/>
          <w:pgMar w:footer="934" w:header="0" w:top="1380" w:bottom="1120" w:left="1520" w:right="1400"/>
        </w:sectPr>
      </w:pPr>
    </w:p>
    <w:p>
      <w:pPr>
        <w:pStyle w:val="BodyText"/>
        <w:spacing w:before="3"/>
      </w:pPr>
      <w:r>
        <w:rPr/>
        <w:t>的坏死组织清除术、病灶切除术或胰腺部分切除术。</w:t>
      </w:r>
    </w:p>
    <w:p>
      <w:pPr>
        <w:pStyle w:val="Heading3"/>
        <w:spacing w:line="276" w:lineRule="exact" w:before="6"/>
        <w:ind w:left="524"/>
      </w:pPr>
      <w:r>
        <w:rPr/>
        <w:t>为治疗因酒精中毒引起的急性坏死性胰腺炎的开腹手术不在保障范围内。</w:t>
      </w:r>
    </w:p>
    <w:p>
      <w:pPr>
        <w:pStyle w:val="BodyText"/>
        <w:spacing w:line="223" w:lineRule="auto" w:before="10"/>
        <w:ind w:right="158" w:firstLine="422"/>
      </w:pPr>
      <w:r>
        <w:rPr>
          <w:spacing w:val="-2"/>
          <w:w w:val="100"/>
        </w:rPr>
        <w:t>三十九、</w:t>
      </w:r>
      <w:r>
        <w:rPr>
          <w:rFonts w:ascii="等线" w:eastAsia="等线" w:hint="eastAsia"/>
          <w:b/>
          <w:w w:val="100"/>
        </w:rPr>
        <w:t>经输血导致的</w:t>
      </w:r>
      <w:r>
        <w:rPr>
          <w:spacing w:val="-5"/>
          <w:w w:val="100"/>
        </w:rPr>
        <w:t>人类免疫缺陷病毒感染：被保险人感染人类免疫缺陷病毒</w:t>
      </w:r>
      <w:r>
        <w:rPr>
          <w:w w:val="100"/>
        </w:rPr>
        <w:t>（</w:t>
      </w:r>
      <w:r>
        <w:rPr>
          <w:spacing w:val="-5"/>
          <w:w w:val="100"/>
        </w:rPr>
        <w:t>H</w:t>
      </w:r>
      <w:r>
        <w:rPr>
          <w:w w:val="100"/>
        </w:rPr>
        <w:t>IV</w:t>
      </w:r>
      <w:r>
        <w:rPr>
          <w:spacing w:val="-106"/>
          <w:w w:val="100"/>
        </w:rPr>
        <w:t>）</w:t>
      </w:r>
      <w:r>
        <w:rPr>
          <w:w w:val="100"/>
        </w:rPr>
        <w:t>，</w:t>
      </w:r>
      <w:r>
        <w:rPr>
          <w:spacing w:val="-2"/>
        </w:rPr>
        <w:t>且须满足下列全部条件：</w:t>
      </w:r>
    </w:p>
    <w:p>
      <w:pPr>
        <w:pStyle w:val="ListParagraph"/>
        <w:numPr>
          <w:ilvl w:val="0"/>
          <w:numId w:val="12"/>
        </w:numPr>
        <w:tabs>
          <w:tab w:pos="842" w:val="left" w:leader="none"/>
        </w:tabs>
        <w:spacing w:line="268" w:lineRule="exact" w:before="0" w:after="0"/>
        <w:ind w:left="102" w:right="0" w:firstLine="422"/>
        <w:jc w:val="left"/>
        <w:rPr>
          <w:sz w:val="21"/>
        </w:rPr>
      </w:pPr>
      <w:r>
        <w:rPr>
          <w:spacing w:val="-2"/>
          <w:sz w:val="21"/>
        </w:rPr>
        <w:t>因输血而感染；</w:t>
      </w:r>
    </w:p>
    <w:p>
      <w:pPr>
        <w:pStyle w:val="ListParagraph"/>
        <w:numPr>
          <w:ilvl w:val="0"/>
          <w:numId w:val="12"/>
        </w:numPr>
        <w:tabs>
          <w:tab w:pos="842" w:val="left" w:leader="none"/>
        </w:tabs>
        <w:spacing w:line="240" w:lineRule="auto" w:before="0" w:after="0"/>
        <w:ind w:left="102" w:right="110" w:firstLine="422"/>
        <w:jc w:val="left"/>
        <w:rPr>
          <w:sz w:val="21"/>
        </w:rPr>
      </w:pPr>
      <w:r>
        <w:rPr>
          <w:spacing w:val="-7"/>
          <w:sz w:val="21"/>
        </w:rPr>
        <w:t>提供输血治疗的输血中心或医院出具该项输血感染属医疗责任事故的报告，或者法院终</w:t>
      </w:r>
      <w:r>
        <w:rPr>
          <w:spacing w:val="-6"/>
          <w:sz w:val="21"/>
        </w:rPr>
        <w:t>审裁定为医疗责任；</w:t>
      </w:r>
    </w:p>
    <w:p>
      <w:pPr>
        <w:pStyle w:val="ListParagraph"/>
        <w:numPr>
          <w:ilvl w:val="0"/>
          <w:numId w:val="12"/>
        </w:numPr>
        <w:tabs>
          <w:tab w:pos="842" w:val="left" w:leader="none"/>
        </w:tabs>
        <w:spacing w:line="274" w:lineRule="exact" w:before="0" w:after="0"/>
        <w:ind w:left="102" w:right="0" w:firstLine="422"/>
        <w:jc w:val="left"/>
        <w:rPr>
          <w:sz w:val="21"/>
        </w:rPr>
      </w:pPr>
      <w:r>
        <w:rPr>
          <w:spacing w:val="-4"/>
          <w:sz w:val="21"/>
        </w:rPr>
        <w:t>受感染的被保险人不是血友病患者。</w:t>
      </w:r>
    </w:p>
    <w:p>
      <w:pPr>
        <w:spacing w:line="223" w:lineRule="auto" w:before="21"/>
        <w:ind w:left="102" w:right="115" w:firstLine="422"/>
        <w:jc w:val="both"/>
        <w:rPr>
          <w:sz w:val="21"/>
        </w:rPr>
      </w:pPr>
      <w:r>
        <w:rPr>
          <w:rFonts w:ascii="等线" w:eastAsia="等线" w:hint="eastAsia"/>
          <w:b/>
          <w:spacing w:val="-3"/>
          <w:sz w:val="21"/>
        </w:rPr>
        <w:t>任何因其他传播方式</w:t>
      </w:r>
      <w:r>
        <w:rPr>
          <w:rFonts w:ascii="等线" w:eastAsia="等线" w:hint="eastAsia"/>
          <w:b/>
          <w:sz w:val="21"/>
        </w:rPr>
        <w:t>（</w:t>
      </w:r>
      <w:r>
        <w:rPr>
          <w:rFonts w:ascii="等线" w:eastAsia="等线" w:hint="eastAsia"/>
          <w:b/>
          <w:spacing w:val="-5"/>
          <w:sz w:val="21"/>
        </w:rPr>
        <w:t>包括：性传播或静脉注射毒品</w:t>
      </w:r>
      <w:r>
        <w:rPr>
          <w:rFonts w:ascii="等线" w:eastAsia="等线" w:hint="eastAsia"/>
          <w:b/>
          <w:spacing w:val="-20"/>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pacing w:val="-5"/>
          <w:sz w:val="21"/>
        </w:rPr>
        <w:t>本公司具有获得和使用被保险人的所有血液样本的权利以及能够对这些样本进行独立检验的权利。</w:t>
      </w:r>
    </w:p>
    <w:p>
      <w:pPr>
        <w:pStyle w:val="BodyText"/>
        <w:spacing w:line="273" w:lineRule="auto" w:before="22"/>
        <w:ind w:right="110" w:firstLine="422"/>
        <w:jc w:val="both"/>
      </w:pPr>
      <w:r>
        <w:rPr>
          <w:spacing w:val="-5"/>
        </w:rPr>
        <w:t>四十、非阿尔茨海默病所致严重痴呆：指因阿尔茨海默病以外的脑的器质性疾病造成脑功</w:t>
      </w:r>
      <w:r>
        <w:rPr>
          <w:spacing w:val="-6"/>
        </w:rPr>
        <w:t>能衰竭导致永久不可逆</w:t>
      </w:r>
      <w:r>
        <w:rPr/>
        <w:t>（注</w:t>
      </w:r>
      <w:r>
        <w:rPr>
          <w:spacing w:val="-8"/>
        </w:rPr>
        <w:t>4）</w:t>
      </w:r>
      <w:r>
        <w:rPr>
          <w:spacing w:val="-6"/>
        </w:rPr>
        <w:t>性严重痴呆，临床表现为明显的认知能力障碍、行为异常和社交</w:t>
      </w:r>
      <w:r>
        <w:rPr>
          <w:spacing w:val="-9"/>
        </w:rPr>
        <w:t>能力减退。被保险人自主生活能力完全丧失，无法独立完成六项基本日常生活活动</w:t>
      </w:r>
      <w:r>
        <w:rPr>
          <w:spacing w:val="-5"/>
        </w:rPr>
        <w:t>（</w:t>
      </w:r>
      <w:r>
        <w:rPr/>
        <w:t>注</w:t>
      </w:r>
      <w:r>
        <w:rPr>
          <w:spacing w:val="-8"/>
        </w:rPr>
        <w:t>3）</w:t>
      </w:r>
      <w:r>
        <w:rPr/>
        <w:t>中的</w:t>
      </w:r>
      <w:r>
        <w:rPr>
          <w:spacing w:val="-5"/>
        </w:rPr>
        <w:t>三项或三项以上，日常生活必须持续受到他人监护。导致痴呆的疾病必须明确诊断，并且由完整的临床、实验室和影像学检查结果证实。</w:t>
      </w:r>
    </w:p>
    <w:p>
      <w:pPr>
        <w:pStyle w:val="Heading3"/>
        <w:spacing w:before="15"/>
        <w:ind w:left="524"/>
      </w:pPr>
      <w:r>
        <w:rPr/>
        <w:t>神经官能症，精神疾病及酒精中毒所致脑损害不在保障范围内。</w:t>
      </w:r>
    </w:p>
    <w:p>
      <w:pPr>
        <w:pStyle w:val="BodyText"/>
        <w:spacing w:line="254" w:lineRule="auto" w:before="18"/>
        <w:ind w:right="115" w:firstLine="422"/>
      </w:pPr>
      <w:r>
        <w:rPr/>
        <w:t>四十一、</w:t>
      </w:r>
      <w:r>
        <w:rPr>
          <w:rFonts w:ascii="等线" w:eastAsia="等线" w:hint="eastAsia"/>
          <w:b/>
        </w:rPr>
        <w:t>严重</w:t>
      </w:r>
      <w:r>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42" w:val="left" w:leader="none"/>
        </w:tabs>
        <w:spacing w:line="240" w:lineRule="auto" w:before="24" w:after="0"/>
        <w:ind w:left="841" w:right="0" w:hanging="317"/>
        <w:jc w:val="left"/>
        <w:rPr>
          <w:sz w:val="21"/>
        </w:rPr>
      </w:pPr>
      <w:r>
        <w:rPr>
          <w:spacing w:val="-3"/>
          <w:sz w:val="21"/>
        </w:rPr>
        <w:t>由活检和血清学证据支持；</w:t>
      </w:r>
    </w:p>
    <w:p>
      <w:pPr>
        <w:pStyle w:val="ListParagraph"/>
        <w:numPr>
          <w:ilvl w:val="0"/>
          <w:numId w:val="13"/>
        </w:numPr>
        <w:tabs>
          <w:tab w:pos="842" w:val="left" w:leader="none"/>
        </w:tabs>
        <w:spacing w:line="240" w:lineRule="auto" w:before="36" w:after="0"/>
        <w:ind w:left="841" w:right="0" w:hanging="317"/>
        <w:jc w:val="left"/>
        <w:rPr>
          <w:sz w:val="21"/>
        </w:rPr>
      </w:pPr>
      <w:r>
        <w:rPr>
          <w:spacing w:val="-5"/>
          <w:sz w:val="21"/>
        </w:rPr>
        <w:t>疾病已经影响到肺脏、心脏或肾脏等内脏器官并且达到下列标准之一：</w:t>
      </w:r>
    </w:p>
    <w:p>
      <w:pPr>
        <w:pStyle w:val="BodyText"/>
        <w:spacing w:before="36"/>
        <w:ind w:left="524"/>
      </w:pPr>
      <w:r>
        <w:rPr/>
        <w:t>（1）肺脏：已造成肺脏纤维化，并同时出现肺动脉高压和肺心病；</w:t>
      </w:r>
    </w:p>
    <w:p>
      <w:pPr>
        <w:pStyle w:val="BodyText"/>
        <w:spacing w:before="36"/>
        <w:ind w:left="524"/>
      </w:pPr>
      <w:r>
        <w:rPr/>
        <w:t>（2）心脏：心脏功能衰竭程度达到美国纽约心脏病学会心功能状态分级IV 级；</w:t>
      </w:r>
    </w:p>
    <w:p>
      <w:pPr>
        <w:pStyle w:val="BodyText"/>
        <w:spacing w:before="36"/>
        <w:ind w:left="524"/>
      </w:pPr>
      <w:r>
        <w:rPr/>
        <w:t>（3）肾脏：已造成肾脏损害，并出现肾功能衰竭。</w:t>
      </w:r>
    </w:p>
    <w:p>
      <w:pPr>
        <w:pStyle w:val="Heading3"/>
        <w:spacing w:before="44"/>
        <w:ind w:left="524"/>
      </w:pPr>
      <w:r>
        <w:rPr/>
        <w:t>局限性硬皮病、嗜酸细胞筋膜炎和 CREST 综合征不在保障范围内。</w:t>
      </w:r>
    </w:p>
    <w:p>
      <w:pPr>
        <w:pStyle w:val="BodyText"/>
        <w:spacing w:line="273" w:lineRule="auto" w:before="18"/>
        <w:ind w:right="115" w:firstLine="422"/>
        <w:jc w:val="both"/>
      </w:pPr>
      <w:r>
        <w:rPr/>
        <w:t>四十二、重症急性坏死性筋膜炎：是一种由细菌侵入皮下组织和筋膜引起的急性坏死性软组织感染，可伴有毒血症、败血症、中毒性休克、弥漫性血管内凝血及多器官衰竭。须满足下列全部条件：</w:t>
      </w:r>
    </w:p>
    <w:p>
      <w:pPr>
        <w:pStyle w:val="ListParagraph"/>
        <w:numPr>
          <w:ilvl w:val="0"/>
          <w:numId w:val="14"/>
        </w:numPr>
        <w:tabs>
          <w:tab w:pos="842" w:val="left" w:leader="none"/>
        </w:tabs>
        <w:spacing w:line="240" w:lineRule="auto" w:before="8" w:after="0"/>
        <w:ind w:left="841" w:right="0" w:hanging="317"/>
        <w:jc w:val="left"/>
        <w:rPr>
          <w:sz w:val="21"/>
        </w:rPr>
      </w:pPr>
      <w:r>
        <w:rPr>
          <w:spacing w:val="-5"/>
          <w:sz w:val="21"/>
        </w:rPr>
        <w:t>细菌培养和临床表现符合坏死性筋膜炎诊断标准；</w:t>
      </w:r>
    </w:p>
    <w:p>
      <w:pPr>
        <w:pStyle w:val="ListParagraph"/>
        <w:numPr>
          <w:ilvl w:val="0"/>
          <w:numId w:val="14"/>
        </w:numPr>
        <w:tabs>
          <w:tab w:pos="842" w:val="left" w:leader="none"/>
        </w:tabs>
        <w:spacing w:line="240" w:lineRule="auto" w:before="37" w:after="0"/>
        <w:ind w:left="841" w:right="0" w:hanging="317"/>
        <w:jc w:val="left"/>
        <w:rPr>
          <w:sz w:val="21"/>
        </w:rPr>
      </w:pPr>
      <w:r>
        <w:rPr>
          <w:spacing w:val="-4"/>
          <w:sz w:val="21"/>
        </w:rPr>
        <w:t>病情迅速恶化，有脓毒血症表现；</w:t>
      </w:r>
    </w:p>
    <w:p>
      <w:pPr>
        <w:pStyle w:val="ListParagraph"/>
        <w:numPr>
          <w:ilvl w:val="0"/>
          <w:numId w:val="14"/>
        </w:numPr>
        <w:tabs>
          <w:tab w:pos="842" w:val="left" w:leader="none"/>
        </w:tabs>
        <w:spacing w:line="240" w:lineRule="auto" w:before="37" w:after="0"/>
        <w:ind w:left="841" w:right="0" w:hanging="317"/>
        <w:jc w:val="left"/>
        <w:rPr>
          <w:sz w:val="21"/>
        </w:rPr>
      </w:pPr>
      <w:r>
        <w:rPr>
          <w:spacing w:val="-3"/>
          <w:sz w:val="21"/>
        </w:rPr>
        <w:t>受感染肢体被截肢</w:t>
      </w:r>
      <w:r>
        <w:rPr>
          <w:sz w:val="21"/>
        </w:rPr>
        <w:t>（</w:t>
      </w:r>
      <w:r>
        <w:rPr>
          <w:spacing w:val="-5"/>
          <w:sz w:val="21"/>
        </w:rPr>
        <w:t>自腕关节或踝关节靠近躯干端</w:t>
      </w:r>
      <w:r>
        <w:rPr>
          <w:sz w:val="21"/>
        </w:rPr>
        <w:t>）。</w:t>
      </w:r>
    </w:p>
    <w:p>
      <w:pPr>
        <w:pStyle w:val="BodyText"/>
        <w:spacing w:line="273" w:lineRule="auto" w:before="37"/>
        <w:ind w:right="115" w:firstLine="422"/>
      </w:pPr>
      <w:r>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42" w:val="left" w:leader="none"/>
        </w:tabs>
        <w:spacing w:line="240" w:lineRule="auto" w:before="7" w:after="0"/>
        <w:ind w:left="524" w:right="0" w:firstLine="0"/>
        <w:jc w:val="left"/>
        <w:rPr>
          <w:sz w:val="21"/>
        </w:rPr>
      </w:pPr>
      <w:r>
        <w:rPr>
          <w:spacing w:val="-5"/>
          <w:sz w:val="21"/>
        </w:rPr>
        <w:t>埃博拉病毒的存在必须经过实验室检查证实；</w:t>
      </w:r>
    </w:p>
    <w:p>
      <w:pPr>
        <w:pStyle w:val="ListParagraph"/>
        <w:numPr>
          <w:ilvl w:val="0"/>
          <w:numId w:val="15"/>
        </w:numPr>
        <w:tabs>
          <w:tab w:pos="842" w:val="left" w:leader="none"/>
        </w:tabs>
        <w:spacing w:line="240" w:lineRule="auto" w:before="36" w:after="0"/>
        <w:ind w:left="524" w:right="0" w:firstLine="0"/>
        <w:jc w:val="left"/>
        <w:rPr>
          <w:sz w:val="21"/>
        </w:rPr>
      </w:pPr>
      <w:r>
        <w:rPr>
          <w:spacing w:val="-5"/>
          <w:sz w:val="21"/>
        </w:rPr>
        <w:t>存在皮肤粘膜出血，呕血，咯血，便血或血尿等临床表现；</w:t>
      </w:r>
    </w:p>
    <w:p>
      <w:pPr>
        <w:pStyle w:val="ListParagraph"/>
        <w:numPr>
          <w:ilvl w:val="0"/>
          <w:numId w:val="15"/>
        </w:numPr>
        <w:tabs>
          <w:tab w:pos="842" w:val="left" w:leader="none"/>
        </w:tabs>
        <w:spacing w:line="278" w:lineRule="auto" w:before="36" w:after="0"/>
        <w:ind w:left="524" w:right="897" w:firstLine="0"/>
        <w:jc w:val="left"/>
        <w:rPr>
          <w:rFonts w:ascii="等线" w:eastAsia="等线" w:hint="eastAsia"/>
          <w:b/>
          <w:sz w:val="21"/>
        </w:rPr>
      </w:pPr>
      <w:r>
        <w:rPr>
          <w:spacing w:val="-5"/>
          <w:sz w:val="21"/>
        </w:rPr>
        <w:t>感染埃博拉病毒并出现出血性发热持续三十(</w:t>
      </w:r>
      <w:r>
        <w:rPr>
          <w:spacing w:val="-3"/>
          <w:sz w:val="21"/>
        </w:rPr>
        <w:t>30</w:t>
      </w:r>
      <w:r>
        <w:rPr>
          <w:spacing w:val="-4"/>
          <w:sz w:val="21"/>
        </w:rPr>
        <w:t>)天以上，且持续出现并发症。</w:t>
      </w:r>
      <w:r>
        <w:rPr>
          <w:rFonts w:ascii="等线" w:eastAsia="等线" w:hint="eastAsia"/>
          <w:b/>
          <w:spacing w:val="-5"/>
          <w:sz w:val="21"/>
        </w:rPr>
        <w:t>单纯实验室诊断但没有临床出血表现的不在保障范围内。</w:t>
      </w:r>
    </w:p>
    <w:p>
      <w:pPr>
        <w:pStyle w:val="BodyText"/>
        <w:spacing w:line="277" w:lineRule="exact"/>
        <w:ind w:left="524"/>
      </w:pPr>
      <w:r>
        <w:rPr/>
        <w:t>四十四、</w:t>
      </w:r>
      <w:r>
        <w:rPr>
          <w:rFonts w:ascii="等线" w:eastAsia="等线" w:hint="eastAsia"/>
          <w:b/>
        </w:rPr>
        <w:t>严重</w:t>
      </w:r>
      <w:r>
        <w:rPr/>
        <w:t>感染性心内膜炎：指因细菌、真菌和其他微生物制剂感染而产生心脏瓣膜的</w:t>
      </w:r>
    </w:p>
    <w:p>
      <w:pPr>
        <w:pStyle w:val="BodyText"/>
        <w:spacing w:before="18"/>
      </w:pPr>
      <w:r>
        <w:rPr/>
        <w:t>炎症或心室壁内膜的炎症，引起心脏瓣膜关闭不全。须满足下列全部条件:</w:t>
      </w:r>
    </w:p>
    <w:p>
      <w:pPr>
        <w:pStyle w:val="ListParagraph"/>
        <w:numPr>
          <w:ilvl w:val="0"/>
          <w:numId w:val="16"/>
        </w:numPr>
        <w:tabs>
          <w:tab w:pos="842" w:val="left" w:leader="none"/>
        </w:tabs>
        <w:spacing w:line="240" w:lineRule="auto" w:before="51" w:after="0"/>
        <w:ind w:left="102" w:right="0" w:firstLine="422"/>
        <w:jc w:val="left"/>
        <w:rPr>
          <w:sz w:val="21"/>
        </w:rPr>
      </w:pPr>
      <w:r>
        <w:rPr>
          <w:spacing w:val="-5"/>
          <w:sz w:val="21"/>
        </w:rPr>
        <w:t>急性或亚急性感染性心内膜炎临床表现；</w:t>
      </w:r>
    </w:p>
    <w:p>
      <w:pPr>
        <w:pStyle w:val="ListParagraph"/>
        <w:numPr>
          <w:ilvl w:val="0"/>
          <w:numId w:val="16"/>
        </w:numPr>
        <w:tabs>
          <w:tab w:pos="842" w:val="left" w:leader="none"/>
        </w:tabs>
        <w:spacing w:line="240" w:lineRule="auto" w:before="56" w:after="0"/>
        <w:ind w:left="102" w:right="0" w:firstLine="422"/>
        <w:jc w:val="left"/>
        <w:rPr>
          <w:sz w:val="21"/>
        </w:rPr>
      </w:pPr>
      <w:r>
        <w:rPr>
          <w:spacing w:val="-3"/>
          <w:sz w:val="21"/>
        </w:rPr>
        <w:t>血培养病原体阳性；</w:t>
      </w:r>
    </w:p>
    <w:p>
      <w:pPr>
        <w:pStyle w:val="ListParagraph"/>
        <w:numPr>
          <w:ilvl w:val="0"/>
          <w:numId w:val="16"/>
        </w:numPr>
        <w:tabs>
          <w:tab w:pos="842" w:val="left" w:leader="none"/>
        </w:tabs>
        <w:spacing w:line="292" w:lineRule="auto" w:before="56" w:after="0"/>
        <w:ind w:left="102" w:right="110" w:firstLine="422"/>
        <w:jc w:val="left"/>
        <w:rPr>
          <w:sz w:val="21"/>
        </w:rPr>
      </w:pPr>
      <w:r>
        <w:rPr>
          <w:spacing w:val="-6"/>
          <w:sz w:val="21"/>
        </w:rPr>
        <w:t>心脏功能衰竭程度达到美国纽约心脏病学会心功能状态分级 </w:t>
      </w:r>
      <w:r>
        <w:rPr>
          <w:sz w:val="21"/>
        </w:rPr>
        <w:t>IV</w:t>
      </w:r>
      <w:r>
        <w:rPr>
          <w:spacing w:val="-13"/>
          <w:sz w:val="21"/>
        </w:rPr>
        <w:t> 级并持续 </w:t>
      </w:r>
      <w:r>
        <w:rPr>
          <w:sz w:val="21"/>
        </w:rPr>
        <w:t>180</w:t>
      </w:r>
      <w:r>
        <w:rPr>
          <w:spacing w:val="-8"/>
          <w:sz w:val="21"/>
        </w:rPr>
        <w:t> 天，或接</w:t>
      </w:r>
      <w:r>
        <w:rPr>
          <w:spacing w:val="-6"/>
          <w:sz w:val="21"/>
        </w:rPr>
        <w:t>受了心脏瓣膜置换手术。</w:t>
      </w:r>
    </w:p>
    <w:p>
      <w:pPr>
        <w:pStyle w:val="BodyText"/>
        <w:spacing w:line="254" w:lineRule="auto"/>
        <w:ind w:right="115" w:firstLine="422"/>
      </w:pPr>
      <w:r>
        <w:rPr/>
        <w:t>四十五、</w:t>
      </w:r>
      <w:r>
        <w:rPr>
          <w:rFonts w:ascii="等线" w:eastAsia="等线" w:hint="eastAsia"/>
          <w:b/>
        </w:rPr>
        <w:t>严重</w:t>
      </w:r>
      <w:r>
        <w:rPr/>
        <w:t>肌营养不良症：指一组原发于肌肉的疾病，临床表现为与神经系统无关的肌肉无力和肌肉萎缩，并须满足下列全部条件：</w:t>
      </w:r>
    </w:p>
    <w:p>
      <w:pPr>
        <w:pStyle w:val="ListParagraph"/>
        <w:numPr>
          <w:ilvl w:val="0"/>
          <w:numId w:val="17"/>
        </w:numPr>
        <w:tabs>
          <w:tab w:pos="842" w:val="left" w:leader="none"/>
        </w:tabs>
        <w:spacing w:line="240" w:lineRule="auto" w:before="29" w:after="0"/>
        <w:ind w:left="102" w:right="0" w:firstLine="422"/>
        <w:jc w:val="left"/>
        <w:rPr>
          <w:sz w:val="21"/>
        </w:rPr>
      </w:pPr>
      <w:r>
        <w:rPr>
          <w:spacing w:val="-5"/>
          <w:sz w:val="21"/>
        </w:rPr>
        <w:t>肌肉组织活检结果满足肌营养不良症的肌肉细胞变性、坏死等阳性改变；</w:t>
      </w:r>
    </w:p>
    <w:p>
      <w:pPr>
        <w:spacing w:after="0" w:line="240" w:lineRule="auto"/>
        <w:jc w:val="left"/>
        <w:rPr>
          <w:sz w:val="21"/>
        </w:rPr>
        <w:sectPr>
          <w:footerReference w:type="default" r:id="rId11"/>
          <w:pgSz w:w="11910" w:h="16840"/>
          <w:pgMar w:footer="934" w:header="0" w:top="1360" w:bottom="1120" w:left="1520" w:right="1500"/>
        </w:sectPr>
      </w:pPr>
    </w:p>
    <w:p>
      <w:pPr>
        <w:pStyle w:val="ListParagraph"/>
        <w:numPr>
          <w:ilvl w:val="0"/>
          <w:numId w:val="17"/>
        </w:numPr>
        <w:tabs>
          <w:tab w:pos="842" w:val="left" w:leader="none"/>
        </w:tabs>
        <w:spacing w:line="273" w:lineRule="auto" w:before="7"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BodyText"/>
        <w:spacing w:line="273" w:lineRule="auto" w:before="7"/>
        <w:ind w:right="215" w:firstLine="422"/>
      </w:pPr>
      <w:r>
        <w:rPr/>
        <w:t>四十六、胰腺移植：指因胰腺功能衰竭，已经实施了在全身麻醉下进行的胰腺的异体器官移植手术（供体必须是人体器官）。</w:t>
      </w:r>
    </w:p>
    <w:p>
      <w:pPr>
        <w:pStyle w:val="Heading3"/>
        <w:spacing w:before="15"/>
        <w:ind w:left="524"/>
      </w:pPr>
      <w:r>
        <w:rPr/>
        <w:t>单纯胰岛移植、部分胰腺组织或细胞的移植不在保障范围内。</w:t>
      </w:r>
    </w:p>
    <w:p>
      <w:pPr>
        <w:pStyle w:val="BodyText"/>
        <w:spacing w:line="254" w:lineRule="auto" w:before="17"/>
        <w:ind w:right="215" w:firstLine="422"/>
      </w:pPr>
      <w:r>
        <w:rPr/>
        <w:t>四十七、</w:t>
      </w:r>
      <w:r>
        <w:rPr>
          <w:rFonts w:ascii="等线" w:eastAsia="等线" w:hint="eastAsia"/>
          <w:b/>
        </w:rPr>
        <w:t>严重</w:t>
      </w:r>
      <w:r>
        <w:rPr/>
        <w:t>肾髓质囊性病：指经专科医生明确诊断为肾髓质囊性病，并须满足下列全部条件：</w:t>
      </w:r>
    </w:p>
    <w:p>
      <w:pPr>
        <w:pStyle w:val="ListParagraph"/>
        <w:numPr>
          <w:ilvl w:val="0"/>
          <w:numId w:val="18"/>
        </w:numPr>
        <w:tabs>
          <w:tab w:pos="842" w:val="left" w:leader="none"/>
        </w:tabs>
        <w:spacing w:line="240" w:lineRule="auto" w:before="23" w:after="0"/>
        <w:ind w:left="841" w:right="0" w:hanging="317"/>
        <w:jc w:val="left"/>
        <w:rPr>
          <w:sz w:val="21"/>
        </w:rPr>
      </w:pPr>
      <w:r>
        <w:rPr>
          <w:spacing w:val="-5"/>
          <w:sz w:val="21"/>
        </w:rPr>
        <w:t>同时出现肾髓质有囊肿、肾小管萎缩及间质纤维化等病理改变；</w:t>
      </w:r>
    </w:p>
    <w:p>
      <w:pPr>
        <w:pStyle w:val="ListParagraph"/>
        <w:numPr>
          <w:ilvl w:val="0"/>
          <w:numId w:val="18"/>
        </w:numPr>
        <w:tabs>
          <w:tab w:pos="842" w:val="left" w:leader="none"/>
        </w:tabs>
        <w:spacing w:line="240" w:lineRule="auto" w:before="36" w:after="0"/>
        <w:ind w:left="841" w:right="0" w:hanging="317"/>
        <w:jc w:val="left"/>
        <w:rPr>
          <w:sz w:val="21"/>
        </w:rPr>
      </w:pPr>
      <w:r>
        <w:rPr>
          <w:spacing w:val="-5"/>
          <w:sz w:val="21"/>
        </w:rPr>
        <w:t>同时出现贫血、多尿及肾功能衰竭等临床表现；</w:t>
      </w:r>
    </w:p>
    <w:p>
      <w:pPr>
        <w:pStyle w:val="ListParagraph"/>
        <w:numPr>
          <w:ilvl w:val="0"/>
          <w:numId w:val="18"/>
        </w:numPr>
        <w:tabs>
          <w:tab w:pos="842" w:val="left" w:leader="none"/>
        </w:tabs>
        <w:spacing w:line="240" w:lineRule="auto" w:before="36" w:after="0"/>
        <w:ind w:left="841" w:right="0" w:hanging="317"/>
        <w:jc w:val="left"/>
        <w:rPr>
          <w:sz w:val="21"/>
        </w:rPr>
      </w:pPr>
      <w:r>
        <w:rPr>
          <w:spacing w:val="-2"/>
          <w:sz w:val="21"/>
        </w:rPr>
        <w:t>诊断须由肾组织活检确定 。</w:t>
      </w:r>
    </w:p>
    <w:p>
      <w:pPr>
        <w:pStyle w:val="BodyText"/>
        <w:spacing w:line="273" w:lineRule="auto" w:before="36"/>
        <w:ind w:right="150" w:firstLine="422"/>
      </w:pPr>
      <w:r>
        <w:rPr/>
        <w:t>四十八、肝豆状核变性(Wilson 病)：指由于铜代谢障碍所引起的一种疾病，其特点为肝硬化与双侧脑基底神经节变性同时存在，且须经专科医生明确诊断，并须满足下列全部条件：</w:t>
      </w:r>
    </w:p>
    <w:p>
      <w:pPr>
        <w:pStyle w:val="ListParagraph"/>
        <w:numPr>
          <w:ilvl w:val="0"/>
          <w:numId w:val="19"/>
        </w:numPr>
        <w:tabs>
          <w:tab w:pos="842" w:val="left" w:leader="none"/>
        </w:tabs>
        <w:spacing w:line="240" w:lineRule="auto" w:before="7" w:after="0"/>
        <w:ind w:left="841" w:right="0" w:hanging="317"/>
        <w:jc w:val="left"/>
        <w:rPr>
          <w:sz w:val="21"/>
        </w:rPr>
      </w:pPr>
      <w:r>
        <w:rPr>
          <w:spacing w:val="-5"/>
          <w:sz w:val="21"/>
        </w:rPr>
        <w:t>临床表现同时包括进行性加剧的肢体震颤、肌强直、吞咽及发音困难和精神异常；</w:t>
      </w:r>
    </w:p>
    <w:p>
      <w:pPr>
        <w:pStyle w:val="ListParagraph"/>
        <w:numPr>
          <w:ilvl w:val="0"/>
          <w:numId w:val="19"/>
        </w:numPr>
        <w:tabs>
          <w:tab w:pos="842" w:val="left" w:leader="none"/>
        </w:tabs>
        <w:spacing w:line="240" w:lineRule="auto" w:before="36" w:after="0"/>
        <w:ind w:left="841" w:right="0" w:hanging="317"/>
        <w:jc w:val="left"/>
        <w:rPr>
          <w:sz w:val="21"/>
        </w:rPr>
      </w:pPr>
      <w:r>
        <w:rPr>
          <w:spacing w:val="-2"/>
          <w:w w:val="100"/>
          <w:sz w:val="21"/>
        </w:rPr>
        <w:t>角膜色素环</w:t>
      </w:r>
      <w:r>
        <w:rPr>
          <w:w w:val="100"/>
          <w:sz w:val="21"/>
        </w:rPr>
        <w:t>（K-F</w:t>
      </w:r>
      <w:r>
        <w:rPr>
          <w:spacing w:val="-57"/>
          <w:sz w:val="21"/>
        </w:rPr>
        <w:t> </w:t>
      </w:r>
      <w:r>
        <w:rPr>
          <w:w w:val="100"/>
          <w:sz w:val="21"/>
        </w:rPr>
        <w:t>环</w:t>
      </w:r>
      <w:r>
        <w:rPr>
          <w:spacing w:val="-106"/>
          <w:w w:val="100"/>
          <w:sz w:val="21"/>
        </w:rPr>
        <w:t>）</w:t>
      </w:r>
      <w:r>
        <w:rPr>
          <w:w w:val="100"/>
          <w:sz w:val="21"/>
        </w:rPr>
        <w:t>；</w:t>
      </w:r>
    </w:p>
    <w:p>
      <w:pPr>
        <w:pStyle w:val="ListParagraph"/>
        <w:numPr>
          <w:ilvl w:val="0"/>
          <w:numId w:val="19"/>
        </w:numPr>
        <w:tabs>
          <w:tab w:pos="842" w:val="left" w:leader="none"/>
        </w:tabs>
        <w:spacing w:line="240" w:lineRule="auto" w:before="36" w:after="0"/>
        <w:ind w:left="841" w:right="0" w:hanging="317"/>
        <w:jc w:val="left"/>
        <w:rPr>
          <w:sz w:val="21"/>
        </w:rPr>
      </w:pPr>
      <w:r>
        <w:rPr>
          <w:spacing w:val="-5"/>
          <w:sz w:val="21"/>
        </w:rPr>
        <w:t>血清铜和血清铜蓝蛋白同时降低，或尿铜增加；</w:t>
      </w:r>
    </w:p>
    <w:p>
      <w:pPr>
        <w:pStyle w:val="ListParagraph"/>
        <w:numPr>
          <w:ilvl w:val="0"/>
          <w:numId w:val="19"/>
        </w:numPr>
        <w:tabs>
          <w:tab w:pos="842" w:val="left" w:leader="none"/>
        </w:tabs>
        <w:spacing w:line="240" w:lineRule="auto" w:before="36" w:after="0"/>
        <w:ind w:left="841" w:right="0" w:hanging="317"/>
        <w:jc w:val="left"/>
        <w:rPr>
          <w:sz w:val="21"/>
        </w:rPr>
      </w:pPr>
      <w:r>
        <w:rPr>
          <w:spacing w:val="-2"/>
          <w:sz w:val="21"/>
        </w:rPr>
        <w:t>食管静脉曲张；</w:t>
      </w:r>
    </w:p>
    <w:p>
      <w:pPr>
        <w:pStyle w:val="ListParagraph"/>
        <w:numPr>
          <w:ilvl w:val="0"/>
          <w:numId w:val="19"/>
        </w:numPr>
        <w:tabs>
          <w:tab w:pos="842" w:val="left" w:leader="none"/>
        </w:tabs>
        <w:spacing w:line="240" w:lineRule="auto" w:before="36" w:after="0"/>
        <w:ind w:left="841" w:right="0" w:hanging="317"/>
        <w:jc w:val="left"/>
        <w:rPr>
          <w:sz w:val="21"/>
        </w:rPr>
      </w:pPr>
      <w:r>
        <w:rPr>
          <w:sz w:val="21"/>
        </w:rPr>
        <w:t>腹水。</w:t>
      </w:r>
    </w:p>
    <w:p>
      <w:pPr>
        <w:pStyle w:val="BodyText"/>
        <w:spacing w:line="264" w:lineRule="auto" w:before="36"/>
        <w:ind w:right="215" w:firstLine="422"/>
        <w:jc w:val="both"/>
      </w:pPr>
      <w:r>
        <w:rPr/>
        <w:t>四十九、</w:t>
      </w:r>
      <w:r>
        <w:rPr>
          <w:rFonts w:ascii="等线" w:eastAsia="等线" w:hint="eastAsia"/>
          <w:b/>
        </w:rPr>
        <w:t>严重</w:t>
      </w:r>
      <w:r>
        <w:rPr/>
        <w:t>自身免疫性肝炎：自身免疫性肝炎是一种原因不明的慢性肝脏的坏死性炎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42" w:val="left" w:leader="none"/>
        </w:tabs>
        <w:spacing w:line="240" w:lineRule="auto" w:before="15" w:after="0"/>
        <w:ind w:left="841" w:right="0" w:hanging="317"/>
        <w:jc w:val="left"/>
        <w:rPr>
          <w:sz w:val="21"/>
        </w:rPr>
      </w:pPr>
      <w:r>
        <w:rPr>
          <w:sz w:val="21"/>
        </w:rPr>
        <w:t>高γ</w:t>
      </w:r>
      <w:r>
        <w:rPr>
          <w:spacing w:val="-2"/>
          <w:sz w:val="21"/>
        </w:rPr>
        <w:t>球蛋白血症；</w:t>
      </w:r>
    </w:p>
    <w:p>
      <w:pPr>
        <w:pStyle w:val="ListParagraph"/>
        <w:numPr>
          <w:ilvl w:val="0"/>
          <w:numId w:val="20"/>
        </w:numPr>
        <w:tabs>
          <w:tab w:pos="842" w:val="left" w:leader="none"/>
        </w:tabs>
        <w:spacing w:line="240" w:lineRule="auto" w:before="36" w:after="0"/>
        <w:ind w:left="841" w:right="0" w:hanging="317"/>
        <w:jc w:val="left"/>
        <w:rPr>
          <w:sz w:val="21"/>
        </w:rPr>
      </w:pPr>
      <w:r>
        <w:rPr>
          <w:spacing w:val="1"/>
          <w:sz w:val="21"/>
        </w:rPr>
        <w:t>血液中存在高水平的自身免疫抗体，如 </w:t>
      </w:r>
      <w:r>
        <w:rPr>
          <w:sz w:val="21"/>
        </w:rPr>
        <w:t>ANA（抗核抗体），SMA（抗平滑肌抗体），抗</w:t>
      </w:r>
    </w:p>
    <w:p>
      <w:pPr>
        <w:pStyle w:val="BodyText"/>
        <w:spacing w:before="36"/>
      </w:pPr>
      <w:r>
        <w:rPr/>
        <w:t>LKM1 抗体或抗-SLA/LP 抗体；</w:t>
      </w:r>
    </w:p>
    <w:p>
      <w:pPr>
        <w:pStyle w:val="ListParagraph"/>
        <w:numPr>
          <w:ilvl w:val="0"/>
          <w:numId w:val="20"/>
        </w:numPr>
        <w:tabs>
          <w:tab w:pos="842" w:val="left" w:leader="none"/>
        </w:tabs>
        <w:spacing w:line="240" w:lineRule="auto" w:before="36" w:after="0"/>
        <w:ind w:left="841" w:right="0" w:hanging="317"/>
        <w:jc w:val="left"/>
        <w:rPr>
          <w:sz w:val="21"/>
        </w:rPr>
      </w:pPr>
      <w:r>
        <w:rPr>
          <w:spacing w:val="-3"/>
          <w:sz w:val="21"/>
        </w:rPr>
        <w:t>肝脏活检证实免疫性肝炎；</w:t>
      </w:r>
    </w:p>
    <w:p>
      <w:pPr>
        <w:pStyle w:val="ListParagraph"/>
        <w:numPr>
          <w:ilvl w:val="0"/>
          <w:numId w:val="20"/>
        </w:numPr>
        <w:tabs>
          <w:tab w:pos="842" w:val="left" w:leader="none"/>
        </w:tabs>
        <w:spacing w:line="240" w:lineRule="auto" w:before="36" w:after="0"/>
        <w:ind w:left="841" w:right="0" w:hanging="317"/>
        <w:jc w:val="left"/>
        <w:rPr>
          <w:sz w:val="21"/>
        </w:rPr>
      </w:pPr>
      <w:r>
        <w:rPr>
          <w:spacing w:val="-5"/>
          <w:sz w:val="21"/>
        </w:rPr>
        <w:t>临床已经同时出现腹水、食道静脉曲张及脾脏肿大等肝硬化表现。</w:t>
      </w:r>
    </w:p>
    <w:p>
      <w:pPr>
        <w:pStyle w:val="BodyText"/>
        <w:spacing w:line="273" w:lineRule="auto" w:before="36"/>
        <w:ind w:right="215" w:firstLine="422"/>
        <w:jc w:val="both"/>
      </w:pPr>
      <w:r>
        <w:rPr/>
        <w:t>五十、原发性硬化性胆管炎：指一种胆汁淤积综合征，其特征是肝内、肝外胆道因纤维化性炎症逐渐狭窄，并最终导致完全阻塞而发展为肝硬化。须经逆行胰胆管造影（ERCP）或经皮胆管造影（PTC）等影像学检查证实，且须满足下列全部条件：</w:t>
      </w:r>
    </w:p>
    <w:p>
      <w:pPr>
        <w:pStyle w:val="ListParagraph"/>
        <w:numPr>
          <w:ilvl w:val="0"/>
          <w:numId w:val="21"/>
        </w:numPr>
        <w:tabs>
          <w:tab w:pos="842" w:val="left" w:leader="none"/>
        </w:tabs>
        <w:spacing w:line="240" w:lineRule="auto" w:before="7" w:after="0"/>
        <w:ind w:left="102" w:right="0" w:firstLine="422"/>
        <w:jc w:val="left"/>
        <w:rPr>
          <w:sz w:val="21"/>
        </w:rPr>
      </w:pPr>
      <w:r>
        <w:rPr>
          <w:spacing w:val="-7"/>
          <w:sz w:val="21"/>
        </w:rPr>
        <w:t>总胆红素和直接胆红素同时升高，血清 </w:t>
      </w:r>
      <w:r>
        <w:rPr>
          <w:sz w:val="21"/>
        </w:rPr>
        <w:t>ALP&gt;200U/L；</w:t>
      </w:r>
    </w:p>
    <w:p>
      <w:pPr>
        <w:pStyle w:val="ListParagraph"/>
        <w:numPr>
          <w:ilvl w:val="0"/>
          <w:numId w:val="21"/>
        </w:numPr>
        <w:tabs>
          <w:tab w:pos="842" w:val="left" w:leader="none"/>
        </w:tabs>
        <w:spacing w:line="240" w:lineRule="auto" w:before="37" w:after="0"/>
        <w:ind w:left="102" w:right="0" w:firstLine="422"/>
        <w:jc w:val="left"/>
        <w:rPr>
          <w:sz w:val="21"/>
        </w:rPr>
      </w:pPr>
      <w:r>
        <w:rPr>
          <w:spacing w:val="-2"/>
          <w:sz w:val="21"/>
        </w:rPr>
        <w:t>持续性黄疸病史；</w:t>
      </w:r>
    </w:p>
    <w:p>
      <w:pPr>
        <w:pStyle w:val="ListParagraph"/>
        <w:numPr>
          <w:ilvl w:val="0"/>
          <w:numId w:val="21"/>
        </w:numPr>
        <w:tabs>
          <w:tab w:pos="842" w:val="left" w:leader="none"/>
        </w:tabs>
        <w:spacing w:line="240" w:lineRule="auto" w:before="37" w:after="0"/>
        <w:ind w:left="102" w:right="0" w:firstLine="422"/>
        <w:jc w:val="left"/>
        <w:rPr>
          <w:sz w:val="21"/>
        </w:rPr>
      </w:pPr>
      <w:r>
        <w:rPr>
          <w:spacing w:val="-4"/>
          <w:sz w:val="21"/>
        </w:rPr>
        <w:t>出现胆汁性肝硬化或门脉高压。</w:t>
      </w:r>
    </w:p>
    <w:p>
      <w:pPr>
        <w:pStyle w:val="Heading3"/>
        <w:spacing w:line="254" w:lineRule="auto" w:before="45"/>
        <w:ind w:left="524" w:right="2341"/>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BodyText"/>
        <w:spacing w:line="273" w:lineRule="auto" w:before="24"/>
        <w:ind w:right="215" w:firstLine="422"/>
      </w:pPr>
      <w:r>
        <w:rPr>
          <w:spacing w:val="-8"/>
        </w:rPr>
        <w:t>1．肢体机能完全丧失：指肢体的三大关节中的两大关节僵硬，或不能随意识活动。肢体是</w:t>
      </w:r>
      <w:r>
        <w:rPr>
          <w:spacing w:val="-6"/>
        </w:rPr>
        <w:t>指包括肩关节的整个上肢或包括髋关节的整个下肢。</w:t>
      </w:r>
    </w:p>
    <w:p>
      <w:pPr>
        <w:pStyle w:val="BodyText"/>
        <w:spacing w:line="273" w:lineRule="auto" w:before="7"/>
        <w:ind w:right="215" w:firstLine="422"/>
        <w:jc w:val="both"/>
      </w:pPr>
      <w:r>
        <w:rPr>
          <w:spacing w:val="-8"/>
        </w:rPr>
        <w:t>2．语言能力或咀嚼吞咽能力完全丧失：语言能力完全丧失，指无法发出四种语音</w:t>
      </w:r>
      <w:r>
        <w:rPr/>
        <w:t>（</w:t>
      </w:r>
      <w:r>
        <w:rPr>
          <w:spacing w:val="-2"/>
        </w:rPr>
        <w:t>包括口</w:t>
      </w:r>
      <w:r>
        <w:rPr>
          <w:spacing w:val="-5"/>
        </w:rPr>
        <w:t>唇音、齿舌音、口盖音和喉头音</w:t>
      </w:r>
      <w:r>
        <w:rPr/>
        <w:t>）</w:t>
      </w:r>
      <w:r>
        <w:rPr>
          <w:spacing w:val="-5"/>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09" w:firstLine="422"/>
      </w:pPr>
      <w:r>
        <w:rPr>
          <w:spacing w:val="-3"/>
        </w:rPr>
        <w:t>3</w:t>
      </w:r>
      <w:r>
        <w:rPr>
          <w:spacing w:val="-6"/>
        </w:rPr>
        <w:t>．六项基本日常生活活动是指：</w:t>
      </w:r>
      <w:r>
        <w:rPr>
          <w:spacing w:val="-7"/>
        </w:rPr>
        <w:t>（1）</w:t>
      </w:r>
      <w:r>
        <w:rPr>
          <w:spacing w:val="-5"/>
        </w:rPr>
        <w:t>穿衣：自己能够穿衣及脱衣；（2）</w:t>
      </w:r>
      <w:r>
        <w:rPr>
          <w:spacing w:val="-4"/>
        </w:rPr>
        <w:t>移动：自己从一</w:t>
      </w:r>
      <w:r>
        <w:rPr>
          <w:spacing w:val="-6"/>
        </w:rPr>
        <w:t>个房间到另一个房间；</w:t>
      </w:r>
      <w:r>
        <w:rPr>
          <w:spacing w:val="-7"/>
        </w:rPr>
        <w:t>（3）</w:t>
      </w:r>
      <w:r>
        <w:rPr>
          <w:spacing w:val="-6"/>
        </w:rPr>
        <w:t>行动：自己上下床或上下轮椅；</w:t>
      </w:r>
      <w:r>
        <w:rPr>
          <w:spacing w:val="-7"/>
        </w:rPr>
        <w:t>（4）</w:t>
      </w:r>
      <w:r>
        <w:rPr>
          <w:spacing w:val="-5"/>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21"/>
        </w:numPr>
        <w:tabs>
          <w:tab w:pos="842" w:val="left" w:leader="none"/>
        </w:tabs>
        <w:spacing w:line="273" w:lineRule="auto" w:before="37" w:after="0"/>
        <w:ind w:left="102" w:right="263" w:firstLine="422"/>
        <w:jc w:val="left"/>
        <w:rPr>
          <w:sz w:val="21"/>
        </w:rPr>
      </w:pPr>
      <w:r>
        <w:rPr>
          <w:spacing w:val="-5"/>
          <w:sz w:val="21"/>
        </w:rPr>
        <w:t>永久不可逆：指自疾病确诊或意外伤害发生之日起，经过积极治疗</w:t>
      </w:r>
      <w:r>
        <w:rPr>
          <w:sz w:val="21"/>
        </w:rPr>
        <w:t>180</w:t>
      </w:r>
      <w:r>
        <w:rPr>
          <w:spacing w:val="-2"/>
          <w:sz w:val="21"/>
        </w:rPr>
        <w:t>天后，仍无法通</w:t>
      </w:r>
      <w:r>
        <w:rPr>
          <w:spacing w:val="-4"/>
          <w:sz w:val="21"/>
        </w:rPr>
        <w:t>过现有医疗手段恢复。</w:t>
      </w:r>
    </w:p>
    <w:p>
      <w:pPr>
        <w:spacing w:after="0" w:line="273" w:lineRule="auto"/>
        <w:jc w:val="left"/>
        <w:rPr>
          <w:sz w:val="21"/>
        </w:rPr>
        <w:sectPr>
          <w:footerReference w:type="default" r:id="rId12"/>
          <w:pgSz w:w="11910" w:h="16840"/>
          <w:pgMar w:footer="934" w:header="0" w:top="1380" w:bottom="1120" w:left="1520" w:right="1400"/>
        </w:sectPr>
      </w:pPr>
    </w:p>
    <w:p>
      <w:pPr>
        <w:pStyle w:val="Heading3"/>
        <w:spacing w:before="127"/>
      </w:pPr>
      <w:r>
        <w:rPr/>
        <w:t>第六条 特定疾病</w:t>
      </w:r>
    </w:p>
    <w:p>
      <w:pPr>
        <w:pStyle w:val="BodyText"/>
        <w:spacing w:line="273" w:lineRule="auto" w:before="18"/>
        <w:ind w:right="215" w:firstLine="422"/>
      </w:pPr>
      <w:r>
        <w:rPr/>
        <w:t>本合同所指特定疾病，是被保险人发生符合以下定义所述条件的疾病、疾病状态或手术， 共计十种。特定疾病的名称及定义如下：</w:t>
      </w:r>
    </w:p>
    <w:p>
      <w:pPr>
        <w:pStyle w:val="BodyText"/>
        <w:spacing w:line="273" w:lineRule="auto" w:before="8"/>
        <w:ind w:right="215" w:firstLine="422"/>
      </w:pPr>
      <w:r>
        <w:rPr/>
        <w:t>一、特定恶性病变或恶性肿瘤：指经病理学检查被明确诊断为下列恶性病变，并且接受了相应的治疗。</w:t>
      </w:r>
    </w:p>
    <w:p>
      <w:pPr>
        <w:pStyle w:val="ListParagraph"/>
        <w:numPr>
          <w:ilvl w:val="0"/>
          <w:numId w:val="22"/>
        </w:numPr>
        <w:tabs>
          <w:tab w:pos="842" w:val="left" w:leader="none"/>
        </w:tabs>
        <w:spacing w:line="240" w:lineRule="auto" w:before="8" w:after="0"/>
        <w:ind w:left="841" w:right="0" w:hanging="317"/>
        <w:jc w:val="left"/>
        <w:rPr>
          <w:sz w:val="21"/>
        </w:rPr>
      </w:pPr>
      <w:r>
        <w:rPr>
          <w:sz w:val="21"/>
        </w:rPr>
        <w:t>原位癌；</w:t>
      </w:r>
    </w:p>
    <w:p>
      <w:pPr>
        <w:pStyle w:val="ListParagraph"/>
        <w:numPr>
          <w:ilvl w:val="0"/>
          <w:numId w:val="22"/>
        </w:numPr>
        <w:tabs>
          <w:tab w:pos="842" w:val="left" w:leader="none"/>
        </w:tabs>
        <w:spacing w:line="240" w:lineRule="auto" w:before="37" w:after="0"/>
        <w:ind w:left="841" w:right="0" w:hanging="317"/>
        <w:jc w:val="left"/>
        <w:rPr>
          <w:sz w:val="21"/>
        </w:rPr>
      </w:pPr>
      <w:r>
        <w:rPr>
          <w:spacing w:val="-1"/>
          <w:sz w:val="21"/>
        </w:rPr>
        <w:t>相当于Binet</w:t>
      </w:r>
      <w:r>
        <w:rPr>
          <w:spacing w:val="-2"/>
          <w:sz w:val="21"/>
        </w:rPr>
        <w:t>分期方案</w:t>
      </w:r>
      <w:r>
        <w:rPr>
          <w:sz w:val="21"/>
        </w:rPr>
        <w:t>A</w:t>
      </w:r>
      <w:r>
        <w:rPr>
          <w:spacing w:val="-5"/>
          <w:sz w:val="21"/>
        </w:rPr>
        <w:t>期程度的慢性淋巴细胞白血病；</w:t>
      </w:r>
    </w:p>
    <w:p>
      <w:pPr>
        <w:pStyle w:val="ListParagraph"/>
        <w:numPr>
          <w:ilvl w:val="0"/>
          <w:numId w:val="22"/>
        </w:numPr>
        <w:tabs>
          <w:tab w:pos="842" w:val="left" w:leader="none"/>
        </w:tabs>
        <w:spacing w:line="240" w:lineRule="auto" w:before="37" w:after="0"/>
        <w:ind w:left="841" w:right="0" w:hanging="317"/>
        <w:jc w:val="left"/>
        <w:rPr>
          <w:sz w:val="21"/>
        </w:rPr>
      </w:pPr>
      <w:r>
        <w:rPr>
          <w:sz w:val="21"/>
        </w:rPr>
        <w:t>相当于Ann</w:t>
      </w:r>
      <w:r>
        <w:rPr>
          <w:spacing w:val="15"/>
          <w:sz w:val="21"/>
        </w:rPr>
        <w:t> </w:t>
      </w:r>
      <w:r>
        <w:rPr>
          <w:sz w:val="21"/>
        </w:rPr>
        <w:t>Arbor分期方案</w:t>
      </w:r>
      <w:r>
        <w:rPr>
          <w:spacing w:val="-5"/>
          <w:sz w:val="21"/>
        </w:rPr>
        <w:t>I</w:t>
      </w:r>
      <w:r>
        <w:rPr>
          <w:spacing w:val="-4"/>
          <w:sz w:val="21"/>
        </w:rPr>
        <w:t>期程度的何杰金氏病；</w:t>
      </w:r>
    </w:p>
    <w:p>
      <w:pPr>
        <w:pStyle w:val="ListParagraph"/>
        <w:numPr>
          <w:ilvl w:val="0"/>
          <w:numId w:val="22"/>
        </w:numPr>
        <w:tabs>
          <w:tab w:pos="842" w:val="left" w:leader="none"/>
        </w:tabs>
        <w:spacing w:line="240" w:lineRule="auto" w:before="37" w:after="0"/>
        <w:ind w:left="841" w:right="0" w:hanging="317"/>
        <w:jc w:val="left"/>
        <w:rPr>
          <w:sz w:val="21"/>
        </w:rPr>
      </w:pPr>
      <w:r>
        <w:rPr>
          <w:sz w:val="21"/>
        </w:rPr>
        <w:t>皮肤癌</w:t>
      </w:r>
      <w:r>
        <w:rPr>
          <w:spacing w:val="-5"/>
          <w:sz w:val="21"/>
        </w:rPr>
        <w:t>（不包括恶性黑色素瘤及已发生转移的皮肤癌</w:t>
      </w:r>
      <w:r>
        <w:rPr>
          <w:sz w:val="21"/>
        </w:rPr>
        <w:t>）；</w:t>
      </w:r>
    </w:p>
    <w:p>
      <w:pPr>
        <w:pStyle w:val="ListParagraph"/>
        <w:numPr>
          <w:ilvl w:val="0"/>
          <w:numId w:val="22"/>
        </w:numPr>
        <w:tabs>
          <w:tab w:pos="842" w:val="left" w:leader="none"/>
        </w:tabs>
        <w:spacing w:line="240" w:lineRule="auto" w:before="37" w:after="0"/>
        <w:ind w:left="841" w:right="0" w:hanging="317"/>
        <w:jc w:val="left"/>
        <w:rPr>
          <w:sz w:val="21"/>
        </w:rPr>
      </w:pPr>
      <w:r>
        <w:rPr>
          <w:position w:val="1"/>
          <w:sz w:val="21"/>
        </w:rPr>
        <w:t>TNM</w:t>
      </w:r>
      <w:r>
        <w:rPr>
          <w:spacing w:val="0"/>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
          <w:position w:val="1"/>
          <w:sz w:val="21"/>
        </w:rPr>
        <w:t>期或更轻分期的前列腺癌。</w:t>
      </w:r>
    </w:p>
    <w:p>
      <w:pPr>
        <w:pStyle w:val="BodyText"/>
        <w:spacing w:line="273" w:lineRule="auto" w:before="37"/>
        <w:ind w:right="215" w:firstLine="422"/>
      </w:pPr>
      <w:r>
        <w:rPr/>
        <w:t>二、不典型的急性心肌梗塞：指被临床诊断为急性心肌梗塞并接受了急性心肌梗塞治疗， 虽然未达到本合同所指重大疾病“急性心肌梗塞”的给付标准，但满足下列全部条件：</w:t>
      </w:r>
    </w:p>
    <w:p>
      <w:pPr>
        <w:pStyle w:val="ListParagraph"/>
        <w:numPr>
          <w:ilvl w:val="0"/>
          <w:numId w:val="23"/>
        </w:numPr>
        <w:tabs>
          <w:tab w:pos="842" w:val="left" w:leader="none"/>
        </w:tabs>
        <w:spacing w:line="240" w:lineRule="auto" w:before="7" w:after="0"/>
        <w:ind w:left="841" w:right="0" w:hanging="317"/>
        <w:jc w:val="left"/>
        <w:rPr>
          <w:sz w:val="21"/>
        </w:rPr>
      </w:pPr>
      <w:r>
        <w:rPr>
          <w:spacing w:val="-4"/>
          <w:sz w:val="21"/>
        </w:rPr>
        <w:t>肌钙蛋白有诊断意义的升高；</w:t>
      </w:r>
    </w:p>
    <w:p>
      <w:pPr>
        <w:pStyle w:val="ListParagraph"/>
        <w:numPr>
          <w:ilvl w:val="0"/>
          <w:numId w:val="23"/>
        </w:numPr>
        <w:tabs>
          <w:tab w:pos="842" w:val="left" w:leader="none"/>
        </w:tabs>
        <w:spacing w:line="240" w:lineRule="auto" w:before="37" w:after="0"/>
        <w:ind w:left="841" w:right="0" w:hanging="317"/>
        <w:jc w:val="left"/>
        <w:rPr>
          <w:sz w:val="21"/>
        </w:rPr>
      </w:pPr>
      <w:r>
        <w:rPr>
          <w:spacing w:val="-3"/>
          <w:sz w:val="21"/>
        </w:rPr>
        <w:t>心电图有损伤性的</w:t>
      </w:r>
      <w:r>
        <w:rPr>
          <w:sz w:val="21"/>
        </w:rPr>
        <w:t>ST</w:t>
      </w:r>
      <w:r>
        <w:rPr>
          <w:spacing w:val="-3"/>
          <w:sz w:val="21"/>
        </w:rPr>
        <w:t>段改变但未出现病理</w:t>
      </w:r>
      <w:r>
        <w:rPr>
          <w:sz w:val="21"/>
        </w:rPr>
        <w:t>Q</w:t>
      </w:r>
      <w:r>
        <w:rPr>
          <w:spacing w:val="-3"/>
          <w:sz w:val="21"/>
        </w:rPr>
        <w:t>波。</w:t>
      </w:r>
    </w:p>
    <w:p>
      <w:pPr>
        <w:pStyle w:val="BodyText"/>
        <w:spacing w:line="273" w:lineRule="auto" w:before="37"/>
        <w:ind w:right="215" w:firstLine="422"/>
      </w:pPr>
      <w:r>
        <w:rPr/>
        <w:t>三、冠状动脉介入手术：指为治疗明显的冠状动脉狭窄性疾病，首次实际实施了冠状动脉球囊扩张成形术、冠状动脉支架植入术或激光冠状动脉成形术。</w:t>
      </w:r>
    </w:p>
    <w:p>
      <w:pPr>
        <w:pStyle w:val="BodyText"/>
        <w:spacing w:line="273" w:lineRule="auto" w:before="7"/>
        <w:ind w:right="215" w:firstLine="422"/>
        <w:jc w:val="both"/>
      </w:pPr>
      <w:r>
        <w:rPr/>
        <w:t>四、特定脑中风后遗症：指因脑血管的突发病变引起脑血管出血、栓塞或梗塞，并导致神</w:t>
      </w:r>
      <w:r>
        <w:rPr>
          <w:spacing w:val="-6"/>
        </w:rPr>
        <w:t>经系统永久性的功能障碍。神经系统永久性的功能障碍，指疾病确诊</w:t>
      </w:r>
      <w:r>
        <w:rPr/>
        <w:t>180</w:t>
      </w:r>
      <w:r>
        <w:rPr>
          <w:spacing w:val="-5"/>
        </w:rPr>
        <w:t>天后，仍遗留下列一种或一种以上障碍：</w:t>
      </w:r>
    </w:p>
    <w:p>
      <w:pPr>
        <w:pStyle w:val="ListParagraph"/>
        <w:numPr>
          <w:ilvl w:val="0"/>
          <w:numId w:val="24"/>
        </w:numPr>
        <w:tabs>
          <w:tab w:pos="842" w:val="left" w:leader="none"/>
        </w:tabs>
        <w:spacing w:line="273" w:lineRule="auto" w:before="7" w:after="0"/>
        <w:ind w:left="102" w:right="220" w:firstLine="422"/>
        <w:jc w:val="left"/>
        <w:rPr>
          <w:sz w:val="21"/>
        </w:rPr>
      </w:pPr>
      <w:r>
        <w:rPr>
          <w:sz w:val="21"/>
        </w:rPr>
        <w:t>一肢或一肢以上肢体机能部分丧失，其肢体肌力为Ⅲ级,或小于Ⅲ级但尚未达到脑中风</w:t>
      </w:r>
      <w:r>
        <w:rPr>
          <w:spacing w:val="-1"/>
          <w:sz w:val="21"/>
        </w:rPr>
        <w:t>后遗症的给付标准；</w:t>
      </w:r>
    </w:p>
    <w:p>
      <w:pPr>
        <w:pStyle w:val="ListParagraph"/>
        <w:numPr>
          <w:ilvl w:val="0"/>
          <w:numId w:val="24"/>
        </w:numPr>
        <w:tabs>
          <w:tab w:pos="842" w:val="left" w:leader="none"/>
        </w:tabs>
        <w:spacing w:line="273" w:lineRule="auto" w:before="7" w:after="0"/>
        <w:ind w:left="524" w:right="105" w:firstLine="0"/>
        <w:jc w:val="left"/>
        <w:rPr>
          <w:sz w:val="21"/>
        </w:rPr>
      </w:pPr>
      <w:r>
        <w:rPr>
          <w:spacing w:val="-6"/>
          <w:sz w:val="21"/>
        </w:rPr>
        <w:t>自主生活能力部分丧失，无法独立完成六项基本日常生活活动</w:t>
      </w:r>
      <w:r>
        <w:rPr>
          <w:sz w:val="21"/>
        </w:rPr>
        <w:t>（注</w:t>
      </w:r>
      <w:r>
        <w:rPr>
          <w:spacing w:val="-10"/>
          <w:sz w:val="21"/>
        </w:rPr>
        <w:t>1）</w:t>
      </w:r>
      <w:r>
        <w:rPr>
          <w:spacing w:val="-3"/>
          <w:sz w:val="21"/>
        </w:rPr>
        <w:t>中的一项或两项。五、心脏瓣膜介入手术：指为治疗心脏瓣膜疾病，实际实施了非开胸的经胸壁打孔内镜手</w:t>
      </w:r>
    </w:p>
    <w:p>
      <w:pPr>
        <w:pStyle w:val="BodyText"/>
        <w:spacing w:before="7"/>
      </w:pPr>
      <w:r>
        <w:rPr/>
        <w:t>术或经皮经导管介入手术进行的心脏瓣膜置换或修复手术。</w:t>
      </w:r>
    </w:p>
    <w:p>
      <w:pPr>
        <w:pStyle w:val="BodyText"/>
        <w:spacing w:line="273" w:lineRule="auto" w:before="37"/>
        <w:ind w:right="210" w:firstLine="422"/>
      </w:pPr>
      <w:r>
        <w:rPr>
          <w:spacing w:val="-8"/>
        </w:rPr>
        <w:t>六、特定面积Ⅲ度烧伤：指烧伤程度为Ⅲ度，且Ⅲ度烧伤面积为全身体表面积的</w:t>
      </w:r>
      <w:r>
        <w:rPr/>
        <w:t>10％或10% </w:t>
      </w:r>
      <w:r>
        <w:rPr>
          <w:spacing w:val="-2"/>
        </w:rPr>
        <w:t>以上，但尚未达到</w:t>
      </w:r>
      <w:r>
        <w:rPr/>
        <w:t>20</w:t>
      </w:r>
      <w:r>
        <w:rPr>
          <w:spacing w:val="-4"/>
        </w:rPr>
        <w:t>%。体表面积根据《中国新九分法》计算。</w:t>
      </w:r>
    </w:p>
    <w:p>
      <w:pPr>
        <w:pStyle w:val="BodyText"/>
        <w:spacing w:line="273" w:lineRule="auto" w:before="8"/>
        <w:ind w:right="263" w:firstLine="422"/>
      </w:pPr>
      <w:r>
        <w:rPr>
          <w:spacing w:val="-5"/>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8"/>
        <w:ind w:right="215" w:firstLine="422"/>
        <w:jc w:val="both"/>
      </w:pPr>
      <w:r>
        <w:rPr/>
        <w:t>八、</w:t>
      </w:r>
      <w:r>
        <w:rPr>
          <w:rFonts w:ascii="等线" w:eastAsia="等线" w:hint="eastAsia"/>
          <w:b/>
        </w:rPr>
        <w:t>严重</w:t>
      </w:r>
      <w:r>
        <w:rPr/>
        <w:t>脑垂体瘤、脑囊肿、脑动脉瘤及脑血管瘤：指经头颅断层扫描（CT）、核磁共振检查（MRI）或正电子发射断层扫描（PET）等影像学检查被确诊为下列病变，并实际接受了手术或放射治疗。</w:t>
      </w:r>
    </w:p>
    <w:p>
      <w:pPr>
        <w:pStyle w:val="ListParagraph"/>
        <w:numPr>
          <w:ilvl w:val="0"/>
          <w:numId w:val="25"/>
        </w:numPr>
        <w:tabs>
          <w:tab w:pos="842" w:val="left" w:leader="none"/>
        </w:tabs>
        <w:spacing w:line="240" w:lineRule="auto" w:before="16" w:after="0"/>
        <w:ind w:left="841" w:right="0" w:hanging="317"/>
        <w:jc w:val="left"/>
        <w:rPr>
          <w:sz w:val="21"/>
        </w:rPr>
      </w:pPr>
      <w:r>
        <w:rPr>
          <w:spacing w:val="-2"/>
          <w:sz w:val="21"/>
        </w:rPr>
        <w:t>脑垂体瘤；</w:t>
      </w:r>
    </w:p>
    <w:p>
      <w:pPr>
        <w:pStyle w:val="ListParagraph"/>
        <w:numPr>
          <w:ilvl w:val="0"/>
          <w:numId w:val="25"/>
        </w:numPr>
        <w:tabs>
          <w:tab w:pos="842" w:val="left" w:leader="none"/>
        </w:tabs>
        <w:spacing w:line="240" w:lineRule="auto" w:before="37" w:after="0"/>
        <w:ind w:left="841" w:right="0" w:hanging="317"/>
        <w:jc w:val="left"/>
        <w:rPr>
          <w:sz w:val="21"/>
        </w:rPr>
      </w:pPr>
      <w:r>
        <w:rPr>
          <w:sz w:val="21"/>
        </w:rPr>
        <w:t>脑囊肿；</w:t>
      </w:r>
    </w:p>
    <w:p>
      <w:pPr>
        <w:pStyle w:val="ListParagraph"/>
        <w:numPr>
          <w:ilvl w:val="0"/>
          <w:numId w:val="25"/>
        </w:numPr>
        <w:tabs>
          <w:tab w:pos="842" w:val="left" w:leader="none"/>
        </w:tabs>
        <w:spacing w:line="240" w:lineRule="auto" w:before="37" w:after="0"/>
        <w:ind w:left="841" w:right="0" w:hanging="317"/>
        <w:jc w:val="left"/>
        <w:rPr>
          <w:sz w:val="21"/>
        </w:rPr>
      </w:pPr>
      <w:r>
        <w:rPr>
          <w:spacing w:val="-3"/>
          <w:sz w:val="21"/>
        </w:rPr>
        <w:t>脑动脉瘤、脑血管瘤。</w:t>
      </w:r>
    </w:p>
    <w:p>
      <w:pPr>
        <w:pStyle w:val="BodyText"/>
        <w:spacing w:line="264" w:lineRule="auto" w:before="37"/>
        <w:ind w:right="258" w:firstLine="422"/>
        <w:jc w:val="both"/>
      </w:pPr>
      <w:r>
        <w:rPr>
          <w:spacing w:val="-3"/>
        </w:rPr>
        <w:t>九、</w:t>
      </w:r>
      <w:r>
        <w:rPr>
          <w:rFonts w:ascii="等线" w:hAnsi="等线" w:eastAsia="等线" w:hint="eastAsia"/>
          <w:b/>
        </w:rPr>
        <w:t>特定年龄</w:t>
      </w:r>
      <w:r>
        <w:rPr>
          <w:spacing w:val="-7"/>
        </w:rPr>
        <w:t>视力受损：指被保险人年满 </w:t>
      </w:r>
      <w:r>
        <w:rPr/>
        <w:t>3</w:t>
      </w:r>
      <w:r>
        <w:rPr>
          <w:spacing w:val="-7"/>
        </w:rPr>
        <w:t> 周岁后因疾病或意外伤害导致双目视力永久不可逆（</w:t>
      </w:r>
      <w:r>
        <w:rPr>
          <w:spacing w:val="-20"/>
        </w:rPr>
        <w:t>注 </w:t>
      </w:r>
      <w:r>
        <w:rPr>
          <w:spacing w:val="-3"/>
        </w:rPr>
        <w:t>2）</w:t>
      </w:r>
      <w:r>
        <w:rPr>
          <w:spacing w:val="-5"/>
        </w:rPr>
        <w:t>性丧失，虽然未达到本合同所指重大疾病“特定年龄双目失明”的给付标准，但须满足下列全部条件：</w:t>
      </w:r>
    </w:p>
    <w:p>
      <w:pPr>
        <w:pStyle w:val="ListParagraph"/>
        <w:numPr>
          <w:ilvl w:val="0"/>
          <w:numId w:val="26"/>
        </w:numPr>
        <w:tabs>
          <w:tab w:pos="842" w:val="left" w:leader="none"/>
        </w:tabs>
        <w:spacing w:line="273" w:lineRule="auto" w:before="16" w:after="0"/>
        <w:ind w:left="102" w:right="210" w:firstLine="422"/>
        <w:jc w:val="left"/>
        <w:rPr>
          <w:sz w:val="21"/>
        </w:rPr>
      </w:pPr>
      <w:r>
        <w:rPr>
          <w:spacing w:val="-5"/>
          <w:sz w:val="21"/>
        </w:rPr>
        <w:t>双眼中较好眼矫正视力低于 </w:t>
      </w:r>
      <w:r>
        <w:rPr>
          <w:sz w:val="21"/>
        </w:rPr>
        <w:t>0.1（</w:t>
      </w:r>
      <w:r>
        <w:rPr>
          <w:spacing w:val="-5"/>
          <w:sz w:val="21"/>
        </w:rPr>
        <w:t>采用国际标准视力表，如果使用其它视力表应进行换</w:t>
      </w:r>
      <w:r>
        <w:rPr>
          <w:spacing w:val="-5"/>
          <w:w w:val="100"/>
          <w:sz w:val="21"/>
        </w:rPr>
        <w:t>算</w:t>
      </w:r>
      <w:r>
        <w:rPr>
          <w:spacing w:val="-106"/>
          <w:w w:val="100"/>
          <w:sz w:val="21"/>
        </w:rPr>
        <w:t>）</w:t>
      </w:r>
      <w:r>
        <w:rPr>
          <w:w w:val="100"/>
          <w:sz w:val="21"/>
        </w:rPr>
        <w:t>；</w:t>
      </w:r>
    </w:p>
    <w:p>
      <w:pPr>
        <w:pStyle w:val="ListParagraph"/>
        <w:numPr>
          <w:ilvl w:val="0"/>
          <w:numId w:val="26"/>
        </w:numPr>
        <w:tabs>
          <w:tab w:pos="842" w:val="left" w:leader="none"/>
        </w:tabs>
        <w:spacing w:line="240" w:lineRule="auto" w:before="7" w:after="0"/>
        <w:ind w:left="102" w:right="0" w:firstLine="422"/>
        <w:jc w:val="left"/>
        <w:rPr>
          <w:sz w:val="21"/>
        </w:rPr>
      </w:pPr>
      <w:r>
        <w:rPr>
          <w:spacing w:val="-8"/>
          <w:sz w:val="21"/>
        </w:rPr>
        <w:t>双眼中较好眼视野半径小于 </w:t>
      </w:r>
      <w:r>
        <w:rPr>
          <w:sz w:val="21"/>
        </w:rPr>
        <w:t>20</w:t>
      </w:r>
      <w:r>
        <w:rPr>
          <w:spacing w:val="-15"/>
          <w:sz w:val="21"/>
        </w:rPr>
        <w:t> 度。</w:t>
      </w:r>
    </w:p>
    <w:p>
      <w:pPr>
        <w:pStyle w:val="BodyText"/>
        <w:spacing w:before="36"/>
        <w:ind w:left="524"/>
      </w:pPr>
      <w:r>
        <w:rPr/>
        <w:t>申请理赔时，须提供理赔当时的视力丧失诊断及检查证据。</w:t>
      </w:r>
    </w:p>
    <w:p>
      <w:pPr>
        <w:pStyle w:val="BodyText"/>
        <w:spacing w:line="254" w:lineRule="auto" w:before="36"/>
        <w:ind w:right="263" w:firstLine="422"/>
      </w:pPr>
      <w:r>
        <w:rPr/>
        <w:t>十、</w:t>
      </w:r>
      <w:r>
        <w:rPr>
          <w:rFonts w:ascii="等线" w:eastAsia="等线" w:hint="eastAsia"/>
          <w:b/>
        </w:rPr>
        <w:t>严重</w:t>
      </w:r>
      <w:r>
        <w:rPr/>
        <w:t>头部外伤：指因头部遭受机械性外力伤害，引起脑重要部位损伤，并且由头颅断层扫描（CT）、核磁共振检查（MRI）或正电子发射断层扫描（PET）等影像学检查证实。头部</w:t>
      </w:r>
    </w:p>
    <w:p>
      <w:pPr>
        <w:spacing w:after="0" w:line="254" w:lineRule="auto"/>
        <w:sectPr>
          <w:footerReference w:type="default" r:id="rId13"/>
          <w:pgSz w:w="11910" w:h="16840"/>
          <w:pgMar w:footer="934" w:header="0" w:top="1580" w:bottom="1120" w:left="1520" w:right="1400"/>
        </w:sectPr>
      </w:pPr>
    </w:p>
    <w:p>
      <w:pPr>
        <w:pStyle w:val="BodyText"/>
        <w:spacing w:line="273" w:lineRule="auto" w:before="7"/>
        <w:ind w:right="268"/>
      </w:pPr>
      <w:r>
        <w:rPr>
          <w:spacing w:val="-5"/>
        </w:rPr>
        <w:t>外伤导致神经系统功能障碍，虽然未达到本合同所指重大疾病“严重脑损伤”的给付标准，但须满足下列条件之一：</w:t>
      </w:r>
    </w:p>
    <w:p>
      <w:pPr>
        <w:pStyle w:val="ListParagraph"/>
        <w:numPr>
          <w:ilvl w:val="0"/>
          <w:numId w:val="27"/>
        </w:numPr>
        <w:tabs>
          <w:tab w:pos="842" w:val="left" w:leader="none"/>
        </w:tabs>
        <w:spacing w:line="240" w:lineRule="auto" w:before="7" w:after="0"/>
        <w:ind w:left="102" w:right="0" w:firstLine="422"/>
        <w:jc w:val="left"/>
        <w:rPr>
          <w:sz w:val="21"/>
        </w:rPr>
      </w:pPr>
      <w:r>
        <w:rPr>
          <w:spacing w:val="-5"/>
          <w:sz w:val="21"/>
        </w:rPr>
        <w:t>已接受全麻下颅骨切开颅内血肿清除术</w:t>
      </w:r>
      <w:r>
        <w:rPr>
          <w:sz w:val="21"/>
        </w:rPr>
        <w:t>（</w:t>
      </w:r>
      <w:r>
        <w:rPr>
          <w:spacing w:val="-3"/>
          <w:sz w:val="21"/>
        </w:rPr>
        <w:t>颅骨钻孔术除外）；</w:t>
      </w:r>
    </w:p>
    <w:p>
      <w:pPr>
        <w:pStyle w:val="ListParagraph"/>
        <w:numPr>
          <w:ilvl w:val="0"/>
          <w:numId w:val="27"/>
        </w:numPr>
        <w:tabs>
          <w:tab w:pos="842" w:val="left" w:leader="none"/>
        </w:tabs>
        <w:spacing w:line="273" w:lineRule="auto" w:before="37" w:after="0"/>
        <w:ind w:left="102" w:right="369" w:firstLine="422"/>
        <w:jc w:val="left"/>
        <w:rPr>
          <w:sz w:val="21"/>
        </w:rPr>
      </w:pPr>
      <w:r>
        <w:rPr>
          <w:spacing w:val="-2"/>
          <w:sz w:val="21"/>
        </w:rPr>
        <w:t>在遭受外伤</w:t>
      </w:r>
      <w:r>
        <w:rPr>
          <w:sz w:val="21"/>
        </w:rPr>
        <w:t>180</w:t>
      </w:r>
      <w:r>
        <w:rPr>
          <w:spacing w:val="-5"/>
          <w:sz w:val="21"/>
        </w:rPr>
        <w:t>天后一肢或一肢以上肢体机能部分丧失，其肢体肌力为Ⅲ级,或小于Ⅲ 级。</w:t>
      </w:r>
    </w:p>
    <w:p>
      <w:pPr>
        <w:pStyle w:val="BodyText"/>
        <w:spacing w:before="7"/>
        <w:ind w:left="524"/>
      </w:pPr>
      <w:r>
        <w:rPr/>
        <w:t>注：</w:t>
      </w:r>
    </w:p>
    <w:p>
      <w:pPr>
        <w:pStyle w:val="ListParagraph"/>
        <w:numPr>
          <w:ilvl w:val="0"/>
          <w:numId w:val="28"/>
        </w:numPr>
        <w:tabs>
          <w:tab w:pos="842" w:val="left" w:leader="none"/>
        </w:tabs>
        <w:spacing w:line="273" w:lineRule="auto" w:before="36" w:after="0"/>
        <w:ind w:left="102" w:right="109" w:firstLine="422"/>
        <w:jc w:val="left"/>
        <w:rPr>
          <w:sz w:val="21"/>
        </w:rPr>
      </w:pPr>
      <w:r>
        <w:rPr>
          <w:spacing w:val="-5"/>
          <w:sz w:val="21"/>
        </w:rPr>
        <w:t>六项基本日常生活活动是指：</w:t>
      </w:r>
      <w:r>
        <w:rPr>
          <w:spacing w:val="-7"/>
          <w:sz w:val="21"/>
        </w:rPr>
        <w:t>（1）</w:t>
      </w:r>
      <w:r>
        <w:rPr>
          <w:spacing w:val="-6"/>
          <w:sz w:val="21"/>
        </w:rPr>
        <w:t>穿衣：自己能够穿衣及脱衣；</w:t>
      </w:r>
      <w:r>
        <w:rPr>
          <w:spacing w:val="-7"/>
          <w:sz w:val="21"/>
        </w:rPr>
        <w:t>（2）</w:t>
      </w:r>
      <w:r>
        <w:rPr>
          <w:spacing w:val="-4"/>
          <w:sz w:val="21"/>
        </w:rPr>
        <w:t>移动：自己从一</w:t>
      </w:r>
      <w:r>
        <w:rPr>
          <w:spacing w:val="-6"/>
          <w:sz w:val="21"/>
        </w:rPr>
        <w:t>个房间到另一个房间；</w:t>
      </w:r>
      <w:r>
        <w:rPr>
          <w:spacing w:val="-7"/>
          <w:sz w:val="21"/>
        </w:rPr>
        <w:t>（3）</w:t>
      </w:r>
      <w:r>
        <w:rPr>
          <w:spacing w:val="-6"/>
          <w:sz w:val="21"/>
        </w:rPr>
        <w:t>行动：自己上下床或上下轮椅；</w:t>
      </w:r>
      <w:r>
        <w:rPr>
          <w:spacing w:val="-7"/>
          <w:sz w:val="21"/>
        </w:rPr>
        <w:t>（4）</w:t>
      </w:r>
      <w:r>
        <w:rPr>
          <w:spacing w:val="-5"/>
          <w:sz w:val="21"/>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28"/>
        </w:numPr>
        <w:tabs>
          <w:tab w:pos="842" w:val="left" w:leader="none"/>
        </w:tabs>
        <w:spacing w:line="273" w:lineRule="auto" w:before="36" w:after="0"/>
        <w:ind w:left="102" w:right="263" w:firstLine="422"/>
        <w:jc w:val="left"/>
        <w:rPr>
          <w:sz w:val="21"/>
        </w:rPr>
      </w:pPr>
      <w:r>
        <w:rPr>
          <w:spacing w:val="-5"/>
          <w:sz w:val="21"/>
        </w:rPr>
        <w:t>永久不可逆：指自疾病确诊或意外伤害发生之日起，经过积极治疗</w:t>
      </w:r>
      <w:r>
        <w:rPr>
          <w:sz w:val="21"/>
        </w:rPr>
        <w:t>180</w:t>
      </w:r>
      <w:r>
        <w:rPr>
          <w:spacing w:val="-2"/>
          <w:sz w:val="21"/>
        </w:rPr>
        <w:t>天后，仍无法通</w:t>
      </w:r>
      <w:r>
        <w:rPr>
          <w:spacing w:val="-4"/>
          <w:sz w:val="21"/>
        </w:rPr>
        <w:t>过现有医疗手段恢复。</w:t>
      </w:r>
    </w:p>
    <w:p>
      <w:pPr>
        <w:pStyle w:val="BodyText"/>
        <w:spacing w:before="12"/>
        <w:ind w:left="0"/>
        <w:rPr>
          <w:sz w:val="24"/>
        </w:rPr>
      </w:pPr>
    </w:p>
    <w:p>
      <w:pPr>
        <w:pStyle w:val="Heading3"/>
        <w:tabs>
          <w:tab w:pos="947" w:val="left" w:leader="none"/>
        </w:tabs>
      </w:pPr>
      <w:r>
        <w:rPr/>
        <w:t>第七条</w:t>
        <w:tab/>
        <w:t>保险责任</w:t>
      </w:r>
    </w:p>
    <w:p>
      <w:pPr>
        <w:spacing w:line="278" w:lineRule="auto" w:before="17"/>
        <w:ind w:left="524" w:right="3940"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4"/>
      </w:pPr>
      <w:r>
        <w:rPr/>
        <w:t>被保险人于本合同生效之日起一百八十日内，因首次发生并经确诊的疾病导致被保险人初</w:t>
      </w:r>
    </w:p>
    <w:p>
      <w:pPr>
        <w:pStyle w:val="BodyText"/>
        <w:spacing w:line="273" w:lineRule="auto" w:before="37"/>
        <w:ind w:right="268"/>
        <w:jc w:val="both"/>
      </w:pPr>
      <w:r>
        <w:rPr>
          <w:spacing w:val="-5"/>
        </w:rPr>
        <w:t>次发生并经专科医生明确诊断患本合同所指的重大疾病</w:t>
      </w:r>
      <w:r>
        <w:rPr/>
        <w:t>（</w:t>
      </w:r>
      <w:r>
        <w:rPr>
          <w:spacing w:val="-3"/>
        </w:rPr>
        <w:t>无论一种或多种</w:t>
      </w:r>
      <w:r>
        <w:rPr/>
        <w:t>），</w:t>
      </w:r>
      <w:r>
        <w:rPr>
          <w:spacing w:val="-3"/>
        </w:rPr>
        <w:t>本合同终止，本</w:t>
      </w:r>
      <w:r>
        <w:rPr>
          <w:spacing w:val="-5"/>
        </w:rPr>
        <w:t>公司按照本合同所交保险费（</w:t>
      </w:r>
      <w:r>
        <w:rPr>
          <w:spacing w:val="-2"/>
        </w:rPr>
        <w:t>不计利息</w:t>
      </w:r>
      <w:r>
        <w:rPr/>
        <w:t>）</w:t>
      </w:r>
      <w:r>
        <w:rPr>
          <w:spacing w:val="-5"/>
        </w:rPr>
        <w:t>给付重大疾病保险金；被保险人于本合同生效之日起一百八十日后，因首次发生并经确诊的疾病导致被保险人初次发生并经专科医生明确诊断患本合同所指的重大疾病</w:t>
      </w:r>
      <w:r>
        <w:rPr/>
        <w:t>（</w:t>
      </w:r>
      <w:r>
        <w:rPr>
          <w:spacing w:val="-3"/>
        </w:rPr>
        <w:t>无论一种或多种</w:t>
      </w:r>
      <w:r>
        <w:rPr/>
        <w:t>），</w:t>
      </w:r>
      <w:r>
        <w:rPr>
          <w:spacing w:val="-5"/>
        </w:rPr>
        <w:t>本合同终止，本公司按照本合同的基本保险金额给付重大疾病保险金。若因意外伤害导致上述情形，不受一百八十日的限制。</w:t>
      </w:r>
    </w:p>
    <w:p>
      <w:pPr>
        <w:pStyle w:val="Heading3"/>
        <w:spacing w:before="14"/>
        <w:ind w:left="524"/>
      </w:pPr>
      <w:r>
        <w:rPr/>
        <w:t>二、特定疾病保险金</w:t>
      </w:r>
    </w:p>
    <w:p>
      <w:pPr>
        <w:pStyle w:val="BodyText"/>
        <w:spacing w:line="273" w:lineRule="auto" w:before="17"/>
        <w:ind w:right="215" w:firstLine="422"/>
        <w:jc w:val="both"/>
      </w:pPr>
      <w:r>
        <w:rPr>
          <w:spacing w:val="-5"/>
        </w:rPr>
        <w:t>被保险人于本合同生效之日起一百八十日内，因首次发生并经确诊的疾病导致被保险人初次发生并经专科医生明确诊断患本合同所指的特定疾病</w:t>
      </w:r>
      <w:r>
        <w:rPr/>
        <w:t>（</w:t>
      </w:r>
      <w:r>
        <w:rPr>
          <w:spacing w:val="-3"/>
        </w:rPr>
        <w:t>无论一种或多种</w:t>
      </w:r>
      <w:r>
        <w:rPr/>
        <w:t>），</w:t>
      </w:r>
      <w:r>
        <w:rPr>
          <w:spacing w:val="-3"/>
        </w:rPr>
        <w:t>本合同终止，本</w:t>
      </w:r>
      <w:r>
        <w:rPr>
          <w:spacing w:val="-5"/>
        </w:rPr>
        <w:t>公司按照本合同所交保险费（</w:t>
      </w:r>
      <w:r>
        <w:rPr>
          <w:spacing w:val="-2"/>
        </w:rPr>
        <w:t>不计利息</w:t>
      </w:r>
      <w:r>
        <w:rPr/>
        <w:t>）</w:t>
      </w:r>
      <w:r>
        <w:rPr>
          <w:spacing w:val="-5"/>
        </w:rPr>
        <w:t>给付特定疾病保险金；被保险人于本合同生效之日起一百八十日后，因首次发生并经确诊的疾病导致被保险人初次发生并经专科医生明确诊断患本</w:t>
      </w:r>
      <w:r>
        <w:rPr>
          <w:spacing w:val="-7"/>
        </w:rPr>
        <w:t>合同所指的特定疾病</w:t>
      </w:r>
      <w:r>
        <w:rPr>
          <w:spacing w:val="-5"/>
        </w:rPr>
        <w:t>（</w:t>
      </w:r>
      <w:r>
        <w:rPr>
          <w:spacing w:val="-2"/>
        </w:rPr>
        <w:t>无论一种或多种</w:t>
      </w:r>
      <w:r>
        <w:rPr>
          <w:spacing w:val="-20"/>
        </w:rPr>
        <w:t>），</w:t>
      </w:r>
      <w:r>
        <w:rPr>
          <w:spacing w:val="-5"/>
        </w:rPr>
        <w:t>本公司按照本合同基本保险金额的</w:t>
      </w:r>
      <w:r>
        <w:rPr/>
        <w:t>30%</w:t>
      </w:r>
      <w:r>
        <w:rPr>
          <w:spacing w:val="-3"/>
        </w:rPr>
        <w:t>给付特定疾病</w:t>
      </w:r>
      <w:r>
        <w:rPr>
          <w:spacing w:val="-5"/>
        </w:rPr>
        <w:t>保险金，但给付以一次为限，给付金额最高为人民币</w:t>
      </w:r>
      <w:r>
        <w:rPr/>
        <w:t>10</w:t>
      </w:r>
      <w:r>
        <w:rPr>
          <w:spacing w:val="-5"/>
        </w:rPr>
        <w:t>万元，本合同继续有效。若因意外伤害导致上述情形，不受一百八十日的限制。</w:t>
      </w:r>
    </w:p>
    <w:p>
      <w:pPr>
        <w:pStyle w:val="BodyText"/>
        <w:spacing w:before="13"/>
        <w:ind w:left="0"/>
        <w:rPr>
          <w:sz w:val="24"/>
        </w:rPr>
      </w:pPr>
    </w:p>
    <w:p>
      <w:pPr>
        <w:pStyle w:val="Heading3"/>
        <w:tabs>
          <w:tab w:pos="947" w:val="left" w:leader="none"/>
        </w:tabs>
      </w:pPr>
      <w:r>
        <w:rPr/>
        <w:t>第八条</w:t>
        <w:tab/>
        <w:t>责任免除</w:t>
      </w:r>
    </w:p>
    <w:p>
      <w:pPr>
        <w:spacing w:line="230" w:lineRule="auto" w:before="13"/>
        <w:ind w:left="102" w:right="229" w:firstLine="422"/>
        <w:jc w:val="left"/>
        <w:rPr>
          <w:rFonts w:ascii="等线" w:eastAsia="等线" w:hint="eastAsia"/>
          <w:b/>
          <w:sz w:val="21"/>
        </w:rPr>
      </w:pPr>
      <w:r>
        <w:rPr>
          <w:rFonts w:ascii="等线" w:eastAsia="等线" w:hint="eastAsia"/>
          <w:b/>
          <w:sz w:val="21"/>
        </w:rPr>
        <w:t>因下列任何情形之一导致被保险人发生本合同所指重大疾病或特定疾病的，本公司不承担给付重大疾病保险金、特定疾病保险金的责任：</w:t>
      </w:r>
    </w:p>
    <w:p>
      <w:pPr>
        <w:spacing w:line="267" w:lineRule="exact" w:before="0"/>
        <w:ind w:left="524"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1" w:lineRule="exact" w:before="0"/>
        <w:ind w:left="524"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30" w:lineRule="auto" w:before="2"/>
        <w:ind w:left="102" w:right="215" w:firstLine="422"/>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7" w:lineRule="exact" w:before="0"/>
        <w:ind w:left="524" w:right="0" w:firstLine="0"/>
        <w:jc w:val="left"/>
        <w:rPr>
          <w:rFonts w:ascii="等线" w:eastAsia="等线" w:hint="eastAsia"/>
          <w:b/>
          <w:sz w:val="21"/>
        </w:rPr>
      </w:pPr>
      <w:r>
        <w:rPr>
          <w:rFonts w:ascii="等线" w:eastAsia="等线" w:hint="eastAsia"/>
          <w:b/>
          <w:sz w:val="21"/>
        </w:rPr>
        <w:t>四、被保险人服用、吸食或注射毒品；</w:t>
      </w:r>
    </w:p>
    <w:p>
      <w:pPr>
        <w:spacing w:line="271" w:lineRule="exact" w:before="0"/>
        <w:ind w:left="524" w:right="0"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p>
    <w:p>
      <w:pPr>
        <w:spacing w:line="230" w:lineRule="auto" w:before="2"/>
        <w:ind w:left="102" w:right="215" w:firstLine="422"/>
        <w:jc w:val="left"/>
        <w:rPr>
          <w:rFonts w:ascii="等线" w:eastAsia="等线" w:hint="eastAsia"/>
          <w:b/>
          <w:sz w:val="21"/>
        </w:rPr>
      </w:pPr>
      <w:r>
        <w:rPr>
          <w:rFonts w:ascii="等线" w:eastAsia="等线" w:hint="eastAsia"/>
          <w:b/>
          <w:sz w:val="21"/>
        </w:rPr>
        <w:t>六、被保险人在本合同效力最后恢复之日起一百八十日内，患本合同所指重大疾病、特定疾病；</w:t>
      </w:r>
    </w:p>
    <w:p>
      <w:pPr>
        <w:spacing w:line="230" w:lineRule="auto" w:before="0"/>
        <w:ind w:left="524" w:right="4660"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30" w:lineRule="auto" w:before="0"/>
        <w:ind w:left="102" w:right="215" w:firstLine="422"/>
        <w:jc w:val="left"/>
        <w:rPr>
          <w:rFonts w:ascii="等线" w:eastAsia="等线" w:hint="eastAsia"/>
          <w:b/>
          <w:sz w:val="21"/>
        </w:rPr>
      </w:pPr>
      <w:r>
        <w:rPr>
          <w:rFonts w:ascii="等线" w:eastAsia="等线" w:hint="eastAsia"/>
          <w:b/>
          <w:w w:val="100"/>
          <w:sz w:val="21"/>
        </w:rPr>
        <w:t>九、遗传性疾病（不包括严重肾髓质囊性病和肝豆状核变性(Wilson</w:t>
      </w:r>
      <w:r>
        <w:rPr>
          <w:rFonts w:ascii="等线" w:eastAsia="等线" w:hint="eastAsia"/>
          <w:b/>
          <w:spacing w:val="-5"/>
          <w:sz w:val="21"/>
        </w:rPr>
        <w:t>  </w:t>
      </w:r>
      <w:r>
        <w:rPr>
          <w:rFonts w:ascii="等线" w:eastAsia="等线" w:hint="eastAsia"/>
          <w:b/>
          <w:spacing w:val="3"/>
          <w:w w:val="100"/>
          <w:sz w:val="21"/>
        </w:rPr>
        <w:t>病</w:t>
      </w:r>
      <w:r>
        <w:rPr>
          <w:rFonts w:ascii="等线" w:eastAsia="等线" w:hint="eastAsia"/>
          <w:b/>
          <w:w w:val="151"/>
          <w:sz w:val="21"/>
        </w:rPr>
        <w:t>)</w:t>
      </w:r>
      <w:r>
        <w:rPr>
          <w:rFonts w:ascii="等线" w:eastAsia="等线" w:hint="eastAsia"/>
          <w:b/>
          <w:spacing w:val="-106"/>
          <w:w w:val="100"/>
          <w:sz w:val="21"/>
        </w:rPr>
        <w:t>）</w:t>
      </w:r>
      <w:r>
        <w:rPr>
          <w:rFonts w:ascii="等线" w:eastAsia="等线" w:hint="eastAsia"/>
          <w:b/>
          <w:w w:val="100"/>
          <w:sz w:val="21"/>
        </w:rPr>
        <w:t>，先天性畸形、</w:t>
      </w:r>
      <w:r>
        <w:rPr>
          <w:rFonts w:ascii="等线" w:eastAsia="等线" w:hint="eastAsia"/>
          <w:b/>
          <w:sz w:val="21"/>
        </w:rPr>
        <w:t>变形或染色体异常。</w:t>
      </w:r>
    </w:p>
    <w:p>
      <w:pPr>
        <w:spacing w:line="274" w:lineRule="exact" w:before="4"/>
        <w:ind w:left="524" w:right="0" w:firstLine="0"/>
        <w:jc w:val="left"/>
        <w:rPr>
          <w:rFonts w:ascii="等线" w:eastAsia="等线" w:hint="eastAsia"/>
          <w:b/>
          <w:sz w:val="21"/>
        </w:rPr>
      </w:pPr>
      <w:r>
        <w:rPr>
          <w:rFonts w:ascii="等线" w:eastAsia="等线" w:hint="eastAsia"/>
          <w:b/>
          <w:sz w:val="21"/>
        </w:rPr>
        <w:t>无论上述何种情形发生，导致被保险人发生本合同所指重大疾病或特定疾病的，本合同终</w:t>
      </w:r>
    </w:p>
    <w:p>
      <w:pPr>
        <w:spacing w:after="0" w:line="274" w:lineRule="exact"/>
        <w:jc w:val="left"/>
        <w:rPr>
          <w:rFonts w:ascii="等线" w:eastAsia="等线" w:hint="eastAsia"/>
          <w:sz w:val="21"/>
        </w:rPr>
        <w:sectPr>
          <w:footerReference w:type="default" r:id="rId14"/>
          <w:pgSz w:w="11910" w:h="16840"/>
          <w:pgMar w:footer="934" w:header="0" w:top="1380" w:bottom="1120" w:left="1520" w:right="1400"/>
        </w:sectPr>
      </w:pPr>
    </w:p>
    <w:p>
      <w:pPr>
        <w:pStyle w:val="Heading3"/>
        <w:spacing w:line="230" w:lineRule="auto" w:before="22"/>
        <w:ind w:right="174"/>
        <w:jc w:val="both"/>
      </w:pPr>
      <w:r>
        <w:rPr>
          <w:spacing w:val="-3"/>
        </w:rPr>
        <w:t>止，本公司向投保人退还本合同的现金价值，但需要扣除本合同已经给付或应给付的特定疾病</w:t>
      </w:r>
      <w:r>
        <w:rPr>
          <w:spacing w:val="-5"/>
        </w:rPr>
        <w:t>保险金。投保人对被保险人故意杀害或伤害造成被保险人发生本合同所指重大疾病或特定疾病的，本公司向被保险人退还本合同的现金价值，但需要扣除本合同已经给付或应给付的特定疾病保险金。</w:t>
      </w:r>
    </w:p>
    <w:p>
      <w:pPr>
        <w:pStyle w:val="BodyText"/>
        <w:spacing w:before="4"/>
        <w:ind w:left="0"/>
        <w:rPr>
          <w:rFonts w:ascii="等线"/>
          <w:b/>
          <w:sz w:val="23"/>
        </w:rPr>
      </w:pPr>
    </w:p>
    <w:p>
      <w:pPr>
        <w:tabs>
          <w:tab w:pos="942" w:val="left" w:leader="none"/>
        </w:tabs>
        <w:spacing w:line="283" w:lineRule="exact" w:before="0"/>
        <w:ind w:left="102" w:right="0" w:firstLine="0"/>
        <w:jc w:val="left"/>
        <w:rPr>
          <w:rFonts w:ascii="等线" w:eastAsia="等线" w:hint="eastAsia"/>
          <w:b/>
          <w:sz w:val="21"/>
        </w:rPr>
      </w:pPr>
      <w:r>
        <w:rPr>
          <w:rFonts w:ascii="等线" w:eastAsia="等线" w:hint="eastAsia"/>
          <w:b/>
          <w:sz w:val="21"/>
        </w:rPr>
        <w:t>第九条</w:t>
        <w:tab/>
        <w:t>保险费</w:t>
      </w:r>
    </w:p>
    <w:p>
      <w:pPr>
        <w:pStyle w:val="BodyText"/>
        <w:spacing w:line="272" w:lineRule="exact"/>
        <w:ind w:left="525"/>
      </w:pPr>
      <w:r>
        <w:rPr/>
        <w:t>保险费的交费期间为十年，交付方式分为年交和月交两种，由投保人在投保时选择。</w:t>
      </w:r>
    </w:p>
    <w:p>
      <w:pPr>
        <w:pStyle w:val="BodyText"/>
        <w:spacing w:before="2"/>
        <w:ind w:left="0"/>
        <w:rPr>
          <w:sz w:val="26"/>
        </w:rPr>
      </w:pPr>
    </w:p>
    <w:p>
      <w:pPr>
        <w:pStyle w:val="Heading3"/>
        <w:tabs>
          <w:tab w:pos="947" w:val="left" w:leader="none"/>
        </w:tabs>
      </w:pPr>
      <w:r>
        <w:rPr/>
        <w:t>第十条</w:t>
        <w:tab/>
        <w:t>保险金申请所需证明和资料</w:t>
      </w:r>
    </w:p>
    <w:p>
      <w:pPr>
        <w:pStyle w:val="BodyText"/>
        <w:spacing w:line="273" w:lineRule="auto" w:before="17"/>
        <w:ind w:left="525" w:right="2295"/>
      </w:pPr>
      <w:r>
        <w:rPr/>
        <w:t>申请重大疾病保险金和特定疾病保险金时，所需的证明和资料为： 1．保险单；</w:t>
      </w:r>
    </w:p>
    <w:p>
      <w:pPr>
        <w:pStyle w:val="BodyText"/>
        <w:spacing w:before="7"/>
        <w:ind w:left="525"/>
      </w:pPr>
      <w:r>
        <w:rPr/>
        <w:t>2．申请人法定身份证明；</w:t>
      </w:r>
    </w:p>
    <w:p>
      <w:pPr>
        <w:pStyle w:val="BodyText"/>
        <w:spacing w:before="37"/>
        <w:ind w:left="525"/>
      </w:pPr>
      <w:r>
        <w:rPr/>
        <w:t>3．专科医生出具的诊断证明（含相关的诊断依据）、病历、住院及出院证明文件；</w:t>
      </w:r>
    </w:p>
    <w:p>
      <w:pPr>
        <w:pStyle w:val="BodyText"/>
        <w:spacing w:before="13"/>
        <w:ind w:right="308" w:firstLine="422"/>
      </w:pPr>
      <w:r>
        <w:rPr/>
        <w:t>4. 本公司要求的申请人所能提供的与确认保险事故的性质、原因等相关的其他证明和资料。</w:t>
      </w:r>
    </w:p>
    <w:p>
      <w:pPr>
        <w:pStyle w:val="BodyText"/>
        <w:ind w:left="0"/>
      </w:pPr>
    </w:p>
    <w:p>
      <w:pPr>
        <w:pStyle w:val="Heading3"/>
        <w:tabs>
          <w:tab w:pos="1158" w:val="left" w:leader="none"/>
        </w:tabs>
        <w:spacing w:line="276" w:lineRule="exact"/>
      </w:pPr>
      <w:r>
        <w:rPr/>
        <w:t>第十一条</w:t>
        <w:tab/>
        <w:t>合同终止</w:t>
      </w:r>
    </w:p>
    <w:p>
      <w:pPr>
        <w:pStyle w:val="BodyText"/>
        <w:ind w:left="525" w:right="5032"/>
      </w:pPr>
      <w:r>
        <w:rPr/>
        <w:t>发生下列情形之一时，本合同终止： 一、被保险人身故；</w:t>
      </w:r>
    </w:p>
    <w:p>
      <w:pPr>
        <w:pStyle w:val="BodyText"/>
        <w:spacing w:line="274" w:lineRule="exact" w:before="10"/>
        <w:ind w:left="525"/>
      </w:pPr>
      <w:r>
        <w:rPr/>
        <w:t>二、本合同约定的其他合同效力终止事项。</w:t>
      </w:r>
    </w:p>
    <w:p>
      <w:pPr>
        <w:pStyle w:val="BodyText"/>
        <w:spacing w:before="10"/>
        <w:ind w:left="0"/>
        <w:rPr>
          <w:sz w:val="22"/>
        </w:rPr>
      </w:pPr>
    </w:p>
    <w:p>
      <w:pPr>
        <w:pStyle w:val="Heading3"/>
        <w:tabs>
          <w:tab w:pos="1158" w:val="left" w:leader="none"/>
        </w:tabs>
        <w:spacing w:before="1"/>
      </w:pPr>
      <w:r>
        <w:rPr/>
        <w:t>第十二条</w:t>
        <w:tab/>
        <w:t>附则</w:t>
      </w:r>
    </w:p>
    <w:p>
      <w:pPr>
        <w:pStyle w:val="BodyText"/>
        <w:spacing w:line="273" w:lineRule="auto" w:before="18"/>
        <w:ind w:right="155" w:firstLine="422"/>
        <w:jc w:val="both"/>
      </w:pPr>
      <w:r>
        <w:rPr/>
        <w:t>一、本合同“保险合同成立、生效和保险责任开始”事项以本合同利益条款第三条约定为准；本合同基本条款中第一条“保险合同成立、生效和保险责任开始”事项不适用于本合同， 第八条“借款”事项不适用于本合同。</w:t>
      </w:r>
    </w:p>
    <w:p>
      <w:pPr>
        <w:pStyle w:val="BodyText"/>
        <w:spacing w:line="259" w:lineRule="exact"/>
        <w:ind w:left="525"/>
      </w:pPr>
      <w:r>
        <w:rPr/>
        <w:t>二、本合同基本条款与本合同利益条款相抵触的，以本合同利益条款为准。</w:t>
      </w:r>
    </w:p>
    <w:p>
      <w:pPr>
        <w:pStyle w:val="BodyText"/>
        <w:spacing w:before="2"/>
        <w:ind w:left="0"/>
        <w:rPr>
          <w:sz w:val="26"/>
        </w:rPr>
      </w:pPr>
    </w:p>
    <w:p>
      <w:pPr>
        <w:pStyle w:val="Heading3"/>
        <w:tabs>
          <w:tab w:pos="1158" w:val="left" w:leader="none"/>
        </w:tabs>
      </w:pPr>
      <w:r>
        <w:rPr/>
        <w:t>第十三条</w:t>
        <w:tab/>
        <w:t>释义</w:t>
      </w:r>
    </w:p>
    <w:p>
      <w:pPr>
        <w:pStyle w:val="BodyText"/>
        <w:spacing w:before="18"/>
        <w:ind w:left="525"/>
      </w:pPr>
      <w:r>
        <w:rPr>
          <w:u w:val="single"/>
        </w:rPr>
        <w:t>基本保险金额</w:t>
      </w:r>
      <w:r>
        <w:rPr/>
        <w:t>：指保险单上载明的保险金额。</w:t>
      </w:r>
    </w:p>
    <w:p>
      <w:pPr>
        <w:pStyle w:val="BodyText"/>
        <w:spacing w:line="273" w:lineRule="auto" w:before="38"/>
        <w:ind w:right="102" w:firstLine="422"/>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08"/>
      </w:pPr>
      <w:r>
        <w:rPr/>
        <w:t>（3）具有有效的中华人民共和国主治医师或主治医师以上职称的《医师职称证书》；（4）在二级或二级以上医院的相应科室从事临床工作三年以上。</w:t>
      </w:r>
    </w:p>
    <w:p>
      <w:pPr>
        <w:pStyle w:val="BodyText"/>
        <w:spacing w:line="273" w:lineRule="auto" w:before="7"/>
        <w:ind w:right="150" w:firstLine="422"/>
        <w:jc w:val="both"/>
      </w:pPr>
      <w:r>
        <w:rPr>
          <w:u w:val="single"/>
        </w:rPr>
        <w:t>血友病</w:t>
      </w:r>
      <w:r>
        <w:rPr>
          <w:spacing w:val="-6"/>
        </w:rPr>
        <w:t>：血友病为一组遗传性凝血功能障碍的出血性疾病，其共同的特征是活性凝血活 酶</w:t>
      </w:r>
      <w:r>
        <w:rPr>
          <w:spacing w:val="-19"/>
        </w:rPr>
        <w:t>生成障碍，凝血时间延长，终身具有轻微创伤后出血倾向，重症患者没有明显外伤也可发 生“自</w:t>
      </w:r>
      <w:r>
        <w:rPr>
          <w:spacing w:val="-15"/>
        </w:rPr>
        <w:t>发性”出血。</w:t>
      </w:r>
    </w:p>
    <w:p>
      <w:pPr>
        <w:pStyle w:val="BodyText"/>
        <w:spacing w:line="273" w:lineRule="auto" w:before="7"/>
        <w:ind w:right="203" w:firstLine="422"/>
      </w:pPr>
      <w:r>
        <w:rPr>
          <w:u w:val="single"/>
        </w:rPr>
        <w:t>意外伤害</w:t>
      </w:r>
      <w:r>
        <w:rPr/>
        <w:t>：指遭受外来的、突发的、非本意的、非疾病的客观事件直接致使身体受到的伤害。</w:t>
      </w:r>
    </w:p>
    <w:p>
      <w:pPr>
        <w:pStyle w:val="BodyText"/>
        <w:spacing w:line="273" w:lineRule="auto" w:before="7"/>
        <w:ind w:right="155" w:firstLine="422"/>
        <w:jc w:val="both"/>
      </w:pPr>
      <w:r>
        <w:rPr>
          <w:u w:val="single"/>
        </w:rPr>
        <w:t>毒品</w:t>
      </w:r>
      <w:r>
        <w:rPr>
          <w:spacing w:val="-8"/>
        </w:rPr>
        <w:t>：指中华人民共和国刑法规定的鸦片、海洛因、甲基苯丙胺</w:t>
      </w:r>
      <w:r>
        <w:rPr/>
        <w:t>（</w:t>
      </w:r>
      <w:r>
        <w:rPr>
          <w:spacing w:val="-3"/>
        </w:rPr>
        <w:t>冰毒</w:t>
      </w:r>
      <w:r>
        <w:rPr>
          <w:spacing w:val="-106"/>
        </w:rPr>
        <w:t>）</w:t>
      </w:r>
      <w:r>
        <w:rPr>
          <w:spacing w:val="-7"/>
        </w:rPr>
        <w:t>、吗啡、大麻、可卡因以及国家规定管制的其他能够使人形成瘾癖的麻醉药品和精神药品，但不包括由医生开具</w:t>
      </w:r>
      <w:r>
        <w:rPr>
          <w:spacing w:val="-6"/>
        </w:rPr>
        <w:t>并遵医嘱使用的用于治疗疾病但含有毒品成分的处方药品。</w:t>
      </w:r>
    </w:p>
    <w:p>
      <w:pPr>
        <w:pStyle w:val="BodyText"/>
        <w:spacing w:line="273" w:lineRule="auto" w:before="7"/>
        <w:ind w:right="155" w:firstLine="422"/>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7"/>
        <w:ind w:left="524"/>
      </w:pPr>
      <w:r>
        <w:rPr>
          <w:u w:val="single"/>
        </w:rPr>
        <w:t>无合法有效驾驶证驾驶</w:t>
      </w:r>
      <w:r>
        <w:rPr/>
        <w:t>：指下列情形之一：</w:t>
      </w:r>
    </w:p>
    <w:p>
      <w:pPr>
        <w:pStyle w:val="BodyText"/>
        <w:spacing w:before="36"/>
        <w:ind w:left="534"/>
      </w:pPr>
      <w:r>
        <w:rPr/>
        <w:t>（1）没有取得驾驶资格；</w:t>
      </w:r>
    </w:p>
    <w:p>
      <w:pPr>
        <w:spacing w:after="0"/>
        <w:sectPr>
          <w:footerReference w:type="default" r:id="rId15"/>
          <w:pgSz w:w="11910" w:h="16840"/>
          <w:pgMar w:footer="934" w:header="0" w:top="1360" w:bottom="1120" w:left="1520" w:right="1460"/>
        </w:sectPr>
      </w:pPr>
    </w:p>
    <w:p>
      <w:pPr>
        <w:pStyle w:val="BodyText"/>
        <w:spacing w:before="7"/>
        <w:ind w:left="534"/>
      </w:pPr>
      <w:r>
        <w:rPr/>
        <w:t>（2）驾驶与驾驶证准驾车型不相符合的车辆；</w:t>
      </w:r>
    </w:p>
    <w:p>
      <w:pPr>
        <w:pStyle w:val="BodyText"/>
        <w:spacing w:before="36"/>
        <w:ind w:left="534"/>
      </w:pPr>
      <w:r>
        <w:rPr/>
        <w:t>（3）持审验不合格的驾驶证驾驶；</w:t>
      </w:r>
    </w:p>
    <w:p>
      <w:pPr>
        <w:pStyle w:val="BodyText"/>
        <w:spacing w:line="273" w:lineRule="auto" w:before="36"/>
        <w:ind w:left="524" w:right="209"/>
      </w:pPr>
      <w:r>
        <w:rPr/>
        <w:t>（4）持学习驾驶证学习驾车时，无教练员随车指导，或不按指定时间、路线学习驾车。</w:t>
      </w:r>
      <w:r>
        <w:rPr>
          <w:u w:val="single"/>
        </w:rPr>
        <w:t>无有效行驶证</w:t>
      </w:r>
      <w:r>
        <w:rPr/>
        <w:t>：指下列情形之一：</w:t>
      </w:r>
    </w:p>
    <w:p>
      <w:pPr>
        <w:pStyle w:val="BodyText"/>
        <w:spacing w:before="7"/>
        <w:ind w:left="524"/>
      </w:pPr>
      <w:r>
        <w:rPr/>
        <w:t>（1）机动车被依法注销登记的；</w:t>
      </w:r>
    </w:p>
    <w:p>
      <w:pPr>
        <w:pStyle w:val="BodyText"/>
        <w:spacing w:before="36"/>
        <w:ind w:left="524"/>
      </w:pPr>
      <w:r>
        <w:rPr/>
        <w:t>（2）未依法按时进行或通过机动车安全技术检验。</w:t>
      </w:r>
    </w:p>
    <w:p>
      <w:pPr>
        <w:pStyle w:val="BodyText"/>
        <w:spacing w:line="273" w:lineRule="auto" w:before="36"/>
        <w:ind w:right="103" w:firstLine="422"/>
      </w:pPr>
      <w:r>
        <w:rPr>
          <w:u w:val="single"/>
        </w:rPr>
        <w:t>机动车</w:t>
      </w:r>
      <w:r>
        <w:rPr/>
        <w:t>：指以动力装置驱动或者牵引，供人员乘用或者用于运送物品以及进行工程专项作业的轮式车辆。</w:t>
      </w:r>
    </w:p>
    <w:p>
      <w:pPr>
        <w:pStyle w:val="BodyText"/>
        <w:spacing w:line="273" w:lineRule="auto" w:before="7"/>
        <w:ind w:right="103" w:firstLine="422"/>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4" w:right="1365"/>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103"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103"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6"/>
          <w:pgSz w:w="11910" w:h="16840"/>
          <w:pgMar w:footer="934" w:header="0" w:top="1380" w:bottom="1120" w:left="1520" w:right="1560"/>
        </w:sectPr>
      </w:pPr>
    </w:p>
    <w:p>
      <w:pPr>
        <w:pStyle w:val="Heading1"/>
        <w:spacing w:line="437" w:lineRule="exact"/>
        <w:ind w:left="2267"/>
      </w:pPr>
      <w:bookmarkStart w:name="101_中国人寿保险股份有限公司个人保险基本条款.pdf" w:id="2"/>
      <w:bookmarkEnd w:id="2"/>
      <w:r>
        <w:rPr/>
      </w:r>
      <w:r>
        <w:rPr/>
        <w:t>中国人寿保险股份有限公司</w:t>
      </w:r>
    </w:p>
    <w:p>
      <w:pPr>
        <w:pStyle w:val="Heading2"/>
        <w:spacing w:before="7"/>
        <w:ind w:left="3218" w:right="3231"/>
      </w:pPr>
      <w:r>
        <w:rPr/>
        <w:t>个人保险基本条款</w:t>
      </w:r>
    </w:p>
    <w:p>
      <w:pPr>
        <w:pStyle w:val="BodyText"/>
        <w:spacing w:before="11"/>
        <w:ind w:left="0"/>
      </w:pPr>
    </w:p>
    <w:p>
      <w:pPr>
        <w:pStyle w:val="Heading3"/>
        <w:tabs>
          <w:tab w:pos="947" w:val="left" w:leader="none"/>
        </w:tabs>
        <w:spacing w:line="276" w:lineRule="exact"/>
      </w:pPr>
      <w:r>
        <w:rPr/>
        <w:t>第一条</w:t>
        <w:tab/>
        <w:t>保险合同成立、生效和保险</w:t>
      </w:r>
      <w:r>
        <w:rPr>
          <w:spacing w:val="-5"/>
        </w:rPr>
        <w:t>责</w:t>
      </w:r>
      <w:r>
        <w:rPr/>
        <w:t>任开始</w:t>
      </w:r>
    </w:p>
    <w:p>
      <w:pPr>
        <w:pStyle w:val="BodyText"/>
        <w:ind w:left="524" w:right="115"/>
      </w:pPr>
      <w:r>
        <w:rPr>
          <w:spacing w:val="-5"/>
        </w:rPr>
        <w:t>投保人提出保险申请、本公司同意承保，本合同成立，合同成立日期在保险单上载明。  自本合同成立、本公司收取首期保险费并签发保险单的次日零时起本合同生效，合同生效</w:t>
      </w:r>
    </w:p>
    <w:p>
      <w:pPr>
        <w:pStyle w:val="BodyText"/>
        <w:spacing w:line="268" w:lineRule="exact" w:before="11"/>
      </w:pPr>
      <w:r>
        <w:rPr/>
        <w:t>日期在保险单上载明。生效对应日、保单年度均以该日期计算。</w:t>
      </w:r>
    </w:p>
    <w:p>
      <w:pPr>
        <w:pStyle w:val="BodyText"/>
        <w:spacing w:line="274" w:lineRule="exact"/>
        <w:ind w:left="524"/>
      </w:pPr>
      <w:r>
        <w:rPr/>
        <w:t>除另有约定外，本合同生效的日期为本公司开始承担保险责任的日期。</w:t>
      </w:r>
    </w:p>
    <w:p>
      <w:pPr>
        <w:pStyle w:val="BodyText"/>
        <w:ind w:left="0"/>
      </w:pPr>
    </w:p>
    <w:p>
      <w:pPr>
        <w:pStyle w:val="Heading3"/>
        <w:tabs>
          <w:tab w:pos="947" w:val="left" w:leader="none"/>
        </w:tabs>
        <w:spacing w:line="276" w:lineRule="exact"/>
      </w:pPr>
      <w:r>
        <w:rPr/>
        <w:t>第二条</w:t>
        <w:tab/>
        <w:t>首期后保险费的交付、宽限</w:t>
      </w:r>
      <w:r>
        <w:rPr>
          <w:spacing w:val="-5"/>
        </w:rPr>
        <w:t>期</w:t>
      </w:r>
      <w:r>
        <w:rPr/>
        <w:t>间及合同效</w:t>
      </w:r>
      <w:r>
        <w:rPr>
          <w:spacing w:val="-5"/>
        </w:rPr>
        <w:t>力</w:t>
      </w:r>
      <w:r>
        <w:rPr/>
        <w:t>中止</w:t>
      </w:r>
    </w:p>
    <w:p>
      <w:pPr>
        <w:pStyle w:val="BodyText"/>
        <w:ind w:right="115" w:firstLine="422"/>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7"/>
        <w:ind w:left="102" w:right="149" w:firstLine="422"/>
        <w:jc w:val="both"/>
        <w:rPr>
          <w:rFonts w:ascii="等线" w:eastAsia="等线" w:hint="eastAsia"/>
          <w:b/>
          <w:sz w:val="21"/>
        </w:rPr>
      </w:pPr>
      <w:r>
        <w:rPr>
          <w:spacing w:val="-5"/>
          <w:sz w:val="21"/>
        </w:rPr>
        <w:t>投保人未按上述规定日期交付保险费的，自次日起六十日为宽限期间；在宽限期间内发生保险事故，本公司仍承担保险责任；</w:t>
      </w:r>
      <w:r>
        <w:rPr>
          <w:rFonts w:ascii="等线" w:eastAsia="等线" w:hint="eastAsia"/>
          <w:b/>
          <w:spacing w:val="-2"/>
          <w:sz w:val="21"/>
        </w:rPr>
        <w:t>超过宽限期间仍未交付保险费的，本合同效力自宽限期间</w:t>
      </w:r>
      <w:r>
        <w:rPr>
          <w:rFonts w:ascii="等线" w:eastAsia="等线" w:hint="eastAsia"/>
          <w:b/>
          <w:spacing w:val="-4"/>
          <w:sz w:val="21"/>
        </w:rPr>
        <w:t>届满的次日起中止。在本合同效力中止期间，本公司不承担保险责任。</w:t>
      </w:r>
    </w:p>
    <w:p>
      <w:pPr>
        <w:pStyle w:val="BodyText"/>
        <w:spacing w:before="1"/>
        <w:ind w:left="0"/>
        <w:rPr>
          <w:rFonts w:ascii="等线"/>
          <w:b/>
          <w:sz w:val="19"/>
        </w:rPr>
      </w:pPr>
    </w:p>
    <w:p>
      <w:pPr>
        <w:pStyle w:val="Heading3"/>
        <w:tabs>
          <w:tab w:pos="947" w:val="left" w:leader="none"/>
        </w:tabs>
        <w:spacing w:line="274" w:lineRule="exact"/>
      </w:pPr>
      <w:r>
        <w:rPr/>
        <w:t>第三条</w:t>
        <w:tab/>
        <w:t>合同效力恢复（复效）</w:t>
      </w:r>
    </w:p>
    <w:p>
      <w:pPr>
        <w:pStyle w:val="BodyText"/>
        <w:ind w:right="110" w:firstLine="422"/>
        <w:jc w:val="both"/>
      </w:pPr>
      <w:r>
        <w:rPr>
          <w:spacing w:val="-7"/>
        </w:rPr>
        <w:t>在本合同效力中止之日起二年内,投保人可填写复效申请书，并提供被保险人的健康声明书或二级以上</w:t>
      </w:r>
      <w:r>
        <w:rPr/>
        <w:t>（</w:t>
      </w:r>
      <w:r>
        <w:rPr>
          <w:spacing w:val="-2"/>
        </w:rPr>
        <w:t>含二级</w:t>
      </w:r>
      <w:r>
        <w:rPr/>
        <w:t>）</w:t>
      </w:r>
      <w:r>
        <w:rPr>
          <w:spacing w:val="-5"/>
        </w:rPr>
        <w:t>医院出具的体检报告书，申请恢复合同效力。经本公司与投保人协商并达成协议，自投保人补交所欠的保险费及利息、借款及利息的次日起，本合同效力恢复。</w:t>
      </w:r>
    </w:p>
    <w:p>
      <w:pPr>
        <w:pStyle w:val="Heading3"/>
        <w:spacing w:line="225" w:lineRule="auto" w:before="36"/>
        <w:ind w:right="129" w:firstLine="422"/>
        <w:jc w:val="both"/>
      </w:pPr>
      <w:r>
        <w:rPr/>
        <w:t>自本合同效力中止之日起二年内双方未达成协议的，本公司有权解除本合同，并向投保人退还本合同的现金价值。</w:t>
      </w:r>
    </w:p>
    <w:p>
      <w:pPr>
        <w:pStyle w:val="BodyText"/>
        <w:spacing w:before="1"/>
        <w:ind w:left="0"/>
        <w:rPr>
          <w:rFonts w:ascii="等线"/>
          <w:b/>
          <w:sz w:val="19"/>
        </w:rPr>
      </w:pPr>
    </w:p>
    <w:p>
      <w:pPr>
        <w:tabs>
          <w:tab w:pos="947"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5" w:firstLine="422"/>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before="6"/>
        <w:ind w:right="115" w:firstLine="422"/>
        <w:jc w:val="both"/>
      </w:pPr>
      <w:r>
        <w:rPr/>
        <w:t>本公司可以就投保人、被保险人的有关情况提出询问，投保人应当如实告知。申请恢复本合同效力时，投保人应如实告知被保险人当时的健康状况。</w:t>
      </w:r>
    </w:p>
    <w:p>
      <w:pPr>
        <w:pStyle w:val="Heading3"/>
        <w:spacing w:line="230" w:lineRule="auto" w:before="12"/>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68" w:lineRule="exact" w:before="9"/>
        <w:ind w:right="115" w:firstLine="422"/>
        <w:jc w:val="both"/>
      </w:pPr>
      <w:r>
        <w:rPr/>
        <w:t>前款规定的合同解除权，自本公司知道有解除事由之日起，超过三十日不行使而消灭。自本合同成立之日起超过二年的，本公司不得解除合同；发生保险事故的，本公司承担给付保险</w:t>
      </w:r>
    </w:p>
    <w:p>
      <w:pPr>
        <w:pStyle w:val="BodyText"/>
        <w:spacing w:line="249" w:lineRule="exact"/>
      </w:pPr>
      <w:r>
        <w:rPr/>
        <w:t>金的责任。</w:t>
      </w:r>
    </w:p>
    <w:p>
      <w:pPr>
        <w:pStyle w:val="Heading3"/>
        <w:spacing w:line="230" w:lineRule="auto" w:before="18"/>
        <w:ind w:right="120" w:firstLine="422"/>
        <w:jc w:val="both"/>
      </w:pPr>
      <w:r>
        <w:rPr/>
        <w:t>投保人故意不履行如实告知义务的，本公司对于合同解除前发生的保险事故，不承担给付保险金的责任，并不退还保险费。</w:t>
      </w:r>
    </w:p>
    <w:p>
      <w:pPr>
        <w:spacing w:line="230" w:lineRule="auto" w:before="0"/>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4" w:lineRule="exact" w:before="12"/>
        <w:ind w:right="115" w:firstLine="422"/>
        <w:jc w:val="both"/>
      </w:pPr>
      <w:r>
        <w:rPr/>
        <w:t>本公司在本合同订立时已经知道投保人未如实告知的情况的，本公司不得解除合同；发生保险事故的，本公司承担给付保险金的责任。</w:t>
      </w:r>
    </w:p>
    <w:p>
      <w:pPr>
        <w:pStyle w:val="BodyText"/>
        <w:spacing w:before="1"/>
        <w:ind w:left="0"/>
        <w:rPr>
          <w:sz w:val="19"/>
        </w:rPr>
      </w:pPr>
    </w:p>
    <w:p>
      <w:pPr>
        <w:pStyle w:val="Heading3"/>
        <w:tabs>
          <w:tab w:pos="947" w:val="left" w:leader="none"/>
        </w:tabs>
        <w:spacing w:line="276" w:lineRule="exact"/>
      </w:pPr>
      <w:r>
        <w:rPr/>
        <w:t>第五条</w:t>
        <w:tab/>
        <w:t>受益人</w:t>
      </w:r>
    </w:p>
    <w:p>
      <w:pPr>
        <w:pStyle w:val="BodyText"/>
        <w:ind w:left="524" w:right="115"/>
      </w:pPr>
      <w:r>
        <w:rPr>
          <w:spacing w:val="-5"/>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68" w:lineRule="exact" w:before="10"/>
      </w:pPr>
      <w:r>
        <w:rPr/>
        <w:t>人。</w:t>
      </w:r>
    </w:p>
    <w:p>
      <w:pPr>
        <w:pStyle w:val="BodyText"/>
        <w:ind w:right="115" w:firstLine="422"/>
        <w:jc w:val="both"/>
      </w:pPr>
      <w:r>
        <w:rPr/>
        <w:t>受益人为数人的，可以确定受益顺序和受益份额；未确定受益份额的，受益人按照相等份额享有受益权。</w:t>
      </w:r>
    </w:p>
    <w:p>
      <w:pPr>
        <w:pStyle w:val="BodyText"/>
        <w:spacing w:line="235" w:lineRule="auto" w:before="5"/>
        <w:ind w:left="524" w:right="115"/>
      </w:pPr>
      <w:r>
        <w:rPr>
          <w:spacing w:val="-5"/>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4" w:lineRule="exact"/>
      </w:pPr>
      <w:r>
        <w:rPr/>
        <w:t>或其他保险凭证上批注或者附贴批单。</w:t>
      </w:r>
    </w:p>
    <w:p>
      <w:pPr>
        <w:spacing w:after="0" w:line="274" w:lineRule="exact"/>
        <w:sectPr>
          <w:footerReference w:type="default" r:id="rId17"/>
          <w:pgSz w:w="11910" w:h="16840"/>
          <w:pgMar w:footer="934" w:header="0" w:top="1400" w:bottom="1120" w:left="1520" w:right="1500"/>
        </w:sectPr>
      </w:pPr>
    </w:p>
    <w:p>
      <w:pPr>
        <w:pStyle w:val="BodyText"/>
        <w:spacing w:line="274" w:lineRule="exact" w:before="7"/>
        <w:ind w:left="524"/>
      </w:pPr>
      <w:r>
        <w:rPr/>
        <w:t>投保人指定或变更身故保险金受益人时须经被保险人同意。</w:t>
      </w:r>
    </w:p>
    <w:p>
      <w:pPr>
        <w:pStyle w:val="BodyText"/>
        <w:spacing w:line="235" w:lineRule="auto" w:before="4"/>
        <w:ind w:right="215" w:firstLine="422"/>
        <w:jc w:val="both"/>
      </w:pPr>
      <w:r>
        <w:rPr/>
        <w:t>被保险人身故后，有下列情形之一的，保险金作为被保险人的遗产，由本公司依照《中华人民共和国继承法》的规定履行给付保险金的义务：</w:t>
      </w:r>
    </w:p>
    <w:p>
      <w:pPr>
        <w:pStyle w:val="BodyText"/>
        <w:spacing w:line="273" w:lineRule="exact"/>
        <w:ind w:left="524"/>
      </w:pPr>
      <w:r>
        <w:rPr/>
        <w:t>（1）没有指定受益人，或者受益人指定不明无法确定的；</w:t>
      </w:r>
    </w:p>
    <w:p>
      <w:pPr>
        <w:pStyle w:val="BodyText"/>
        <w:spacing w:line="274" w:lineRule="exact"/>
        <w:ind w:left="524"/>
      </w:pPr>
      <w:r>
        <w:rPr/>
        <w:t>（2）受益人先于被保险人身故，没有其他受益人的；</w:t>
      </w:r>
    </w:p>
    <w:p>
      <w:pPr>
        <w:pStyle w:val="BodyText"/>
        <w:spacing w:line="271" w:lineRule="exact"/>
        <w:ind w:left="524"/>
      </w:pPr>
      <w:r>
        <w:rPr/>
        <w:t>（3）受益人依法丧失受益权或者放弃受益权，没有其他受益人的。</w:t>
      </w:r>
    </w:p>
    <w:p>
      <w:pPr>
        <w:spacing w:line="244" w:lineRule="auto" w:before="0"/>
        <w:ind w:left="524" w:right="105" w:firstLine="0"/>
        <w:jc w:val="left"/>
        <w:rPr>
          <w:rFonts w:ascii="等线" w:eastAsia="等线" w:hint="eastAsia"/>
          <w:b/>
          <w:sz w:val="21"/>
        </w:rPr>
      </w:pPr>
      <w:r>
        <w:rPr>
          <w:spacing w:val="-6"/>
          <w:sz w:val="21"/>
        </w:rPr>
        <w:t>受益人与被保险人在同一事件中身故，且不能确定身故先后顺序的，推定受益人身故在先。</w:t>
      </w:r>
      <w:r>
        <w:rPr>
          <w:rFonts w:ascii="等线" w:eastAsia="等线" w:hint="eastAsia"/>
          <w:b/>
          <w:spacing w:val="-6"/>
          <w:sz w:val="21"/>
        </w:rPr>
        <w:t>受益人故意造成被保险人死亡、伤残、疾病的，或者故意杀害被保险人未遂的，该受益人</w:t>
      </w:r>
    </w:p>
    <w:p>
      <w:pPr>
        <w:pStyle w:val="Heading3"/>
        <w:spacing w:line="269" w:lineRule="exact" w:before="2"/>
      </w:pPr>
      <w:r>
        <w:rPr/>
        <w:t>丧失受益权。</w:t>
      </w:r>
    </w:p>
    <w:p>
      <w:pPr>
        <w:pStyle w:val="BodyText"/>
        <w:spacing w:before="8"/>
        <w:ind w:left="0"/>
        <w:rPr>
          <w:rFonts w:ascii="等线"/>
          <w:b/>
          <w:sz w:val="16"/>
        </w:rPr>
      </w:pPr>
    </w:p>
    <w:p>
      <w:pPr>
        <w:tabs>
          <w:tab w:pos="947"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10"/>
        <w:ind w:left="102" w:right="215" w:firstLine="422"/>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ind w:left="0"/>
      </w:pPr>
    </w:p>
    <w:p>
      <w:pPr>
        <w:pStyle w:val="Heading3"/>
        <w:tabs>
          <w:tab w:pos="947" w:val="left" w:leader="none"/>
        </w:tabs>
        <w:spacing w:line="276" w:lineRule="exact"/>
      </w:pPr>
      <w:r>
        <w:rPr/>
        <w:t>第七条</w:t>
        <w:tab/>
        <w:t>保险金的申请与给付</w:t>
      </w:r>
    </w:p>
    <w:p>
      <w:pPr>
        <w:pStyle w:val="BodyText"/>
        <w:ind w:right="263" w:firstLine="422"/>
        <w:jc w:val="both"/>
      </w:pPr>
      <w:r>
        <w:rPr>
          <w:spacing w:val="-5"/>
        </w:rPr>
        <w:t>一、保险金申请时，由受益人作为申请人，填写保险金给付申请书，并提供本合同利益条款所列的保险金申请所需证明和资料。</w:t>
      </w:r>
    </w:p>
    <w:p>
      <w:pPr>
        <w:pStyle w:val="BodyText"/>
        <w:spacing w:line="235" w:lineRule="auto" w:before="15"/>
        <w:ind w:left="524" w:right="263"/>
      </w:pPr>
      <w:r>
        <w:rPr>
          <w:spacing w:val="-5"/>
        </w:rPr>
        <w:t>上述证明和资料不完整的，本公司将及时一次性通知申请人补充提供有关证明和资料。 二、本公司收到申请人的保险金给付申请书及上述证明和资料后，将及时作出核定；情形</w:t>
      </w:r>
    </w:p>
    <w:p>
      <w:pPr>
        <w:pStyle w:val="BodyText"/>
        <w:ind w:right="268"/>
        <w:jc w:val="both"/>
      </w:pPr>
      <w:r>
        <w:rPr>
          <w:spacing w:val="-5"/>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ind w:right="263" w:firstLine="422"/>
        <w:jc w:val="both"/>
      </w:pPr>
      <w:r>
        <w:rPr>
          <w:spacing w:val="-5"/>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6"/>
        <w:ind w:right="263" w:firstLine="422"/>
        <w:jc w:val="both"/>
      </w:pPr>
      <w:r>
        <w:rPr>
          <w:spacing w:val="-5"/>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ind w:left="0"/>
      </w:pPr>
    </w:p>
    <w:p>
      <w:pPr>
        <w:pStyle w:val="Heading3"/>
        <w:tabs>
          <w:tab w:pos="947" w:val="left" w:leader="none"/>
        </w:tabs>
        <w:spacing w:line="276" w:lineRule="exact"/>
      </w:pPr>
      <w:r>
        <w:rPr/>
        <w:t>第八条</w:t>
        <w:tab/>
        <w:t>借款</w:t>
      </w:r>
    </w:p>
    <w:p>
      <w:pPr>
        <w:pStyle w:val="BodyText"/>
        <w:ind w:right="263" w:firstLine="422"/>
        <w:jc w:val="both"/>
      </w:pPr>
      <w:r>
        <w:rPr>
          <w:spacing w:val="-5"/>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before="4"/>
        <w:ind w:right="263" w:firstLine="422"/>
        <w:jc w:val="both"/>
      </w:pPr>
      <w:r>
        <w:rPr>
          <w:spacing w:val="-5"/>
        </w:rPr>
        <w:t>借款及利息应在借款期限届满日偿还。未能按期偿还的，则所有利息将被并入原借款金额中，视同重新借款。</w:t>
      </w:r>
    </w:p>
    <w:p>
      <w:pPr>
        <w:pStyle w:val="BodyText"/>
        <w:spacing w:line="274" w:lineRule="exact"/>
        <w:ind w:left="524"/>
      </w:pPr>
      <w:r>
        <w:rPr/>
        <w:t>当本合同当时的现金价值不足以抵偿欠交的保险费、借款及利息时，本合同效力中止。</w:t>
      </w:r>
    </w:p>
    <w:p>
      <w:pPr>
        <w:pStyle w:val="BodyText"/>
        <w:ind w:left="0"/>
      </w:pPr>
    </w:p>
    <w:p>
      <w:pPr>
        <w:pStyle w:val="Heading3"/>
        <w:tabs>
          <w:tab w:pos="947" w:val="left" w:leader="none"/>
        </w:tabs>
        <w:spacing w:line="280" w:lineRule="exact" w:before="1"/>
      </w:pPr>
      <w:r>
        <w:rPr/>
        <w:t>第九条</w:t>
        <w:tab/>
        <w:t>欠款扣除</w:t>
      </w:r>
    </w:p>
    <w:p>
      <w:pPr>
        <w:spacing w:line="230" w:lineRule="auto" w:before="5"/>
        <w:ind w:left="102" w:right="229"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0"/>
        <w:ind w:left="0"/>
        <w:rPr>
          <w:rFonts w:ascii="等线"/>
          <w:b/>
          <w:sz w:val="18"/>
        </w:rPr>
      </w:pPr>
    </w:p>
    <w:p>
      <w:pPr>
        <w:tabs>
          <w:tab w:pos="947"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ind w:right="263" w:firstLine="422"/>
        <w:jc w:val="both"/>
      </w:pPr>
      <w:r>
        <w:rPr>
          <w:spacing w:val="-5"/>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1"/>
        <w:ind w:left="0"/>
      </w:pPr>
    </w:p>
    <w:p>
      <w:pPr>
        <w:pStyle w:val="Heading3"/>
        <w:tabs>
          <w:tab w:pos="1158" w:val="left" w:leader="none"/>
        </w:tabs>
        <w:spacing w:line="276" w:lineRule="exact"/>
      </w:pPr>
      <w:r>
        <w:rPr/>
        <w:t>第十一条</w:t>
        <w:tab/>
        <w:t>住所或通讯地址变更</w:t>
      </w:r>
    </w:p>
    <w:p>
      <w:pPr>
        <w:pStyle w:val="BodyText"/>
        <w:spacing w:line="235" w:lineRule="auto"/>
        <w:ind w:right="215" w:firstLine="422"/>
        <w:jc w:val="both"/>
      </w:pPr>
      <w:r>
        <w:rPr/>
        <w:t>投保人的住所或通讯地址变更时，应及时以书面形式通知本公司。投保人未以书面形式通知的，本公司按所知最后的投保人住所或通讯地址发送有关通知。</w:t>
      </w:r>
    </w:p>
    <w:p>
      <w:pPr>
        <w:spacing w:after="0" w:line="235" w:lineRule="auto"/>
        <w:jc w:val="both"/>
        <w:sectPr>
          <w:footerReference w:type="default" r:id="rId18"/>
          <w:pgSz w:w="11910" w:h="16840"/>
          <w:pgMar w:footer="934" w:header="0" w:top="1380" w:bottom="1120" w:left="1520" w:right="1400"/>
        </w:sectPr>
      </w:pPr>
    </w:p>
    <w:p>
      <w:pPr>
        <w:pStyle w:val="Heading3"/>
        <w:tabs>
          <w:tab w:pos="1158" w:val="left" w:leader="none"/>
        </w:tabs>
        <w:spacing w:line="274" w:lineRule="exact" w:before="88"/>
      </w:pPr>
      <w:r>
        <w:rPr/>
        <w:t>第十二条</w:t>
        <w:tab/>
        <w:t>年龄计算及错误处理</w:t>
      </w:r>
    </w:p>
    <w:p>
      <w:pPr>
        <w:pStyle w:val="BodyText"/>
        <w:ind w:right="263" w:firstLine="422"/>
      </w:pPr>
      <w:r>
        <w:rPr>
          <w:spacing w:val="-5"/>
        </w:rPr>
        <w:t>被保险人的投保年龄按周岁计算。投保人应在投保本保险时将被保险人的真实年龄在投保单上填明，如果发生错误，除本合同另有约定外，本公司按照下列规定办理：</w:t>
      </w:r>
    </w:p>
    <w:p>
      <w:pPr>
        <w:pStyle w:val="Heading3"/>
        <w:spacing w:line="223" w:lineRule="auto" w:before="39"/>
        <w:ind w:right="109" w:firstLine="422"/>
        <w:rPr>
          <w:rFonts w:ascii="宋体" w:eastAsia="宋体" w:hint="eastAsia"/>
          <w:b w:val="0"/>
        </w:rPr>
      </w:pPr>
      <w:r>
        <w:rPr>
          <w:spacing w:val="-2"/>
        </w:rPr>
        <w:t>一、投保人申报的被保险人年龄不真实，并且其真实年龄不符合合同约定的年龄限制的， </w:t>
      </w:r>
      <w:r>
        <w:rPr>
          <w:spacing w:val="-8"/>
        </w:rPr>
        <w:t>本公司有权在知道有解除事由之日起三十日内解除本合同，并向投保人退还本合同的现金价值， </w:t>
      </w:r>
      <w:r>
        <w:rPr>
          <w:rFonts w:ascii="宋体" w:eastAsia="宋体" w:hint="eastAsia"/>
          <w:b w:val="0"/>
          <w:spacing w:val="-6"/>
        </w:rPr>
        <w:t>但自本合同成立之日起超过二年的除外。</w:t>
      </w:r>
    </w:p>
    <w:p>
      <w:pPr>
        <w:pStyle w:val="BodyText"/>
        <w:ind w:right="263" w:firstLine="422"/>
        <w:jc w:val="both"/>
      </w:pPr>
      <w:r>
        <w:rPr>
          <w:spacing w:val="-5"/>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ind w:right="263" w:firstLine="422"/>
      </w:pPr>
      <w:r>
        <w:rPr>
          <w:spacing w:val="-5"/>
        </w:rPr>
        <w:t>三、投保人申报的被保险人年龄不真实，致使投保人支付的保险费多于应付保险费的，本公司应将多收的保险费无息退还投保人。</w:t>
      </w:r>
    </w:p>
    <w:p>
      <w:pPr>
        <w:pStyle w:val="BodyText"/>
        <w:spacing w:before="9"/>
        <w:ind w:left="0"/>
      </w:pPr>
    </w:p>
    <w:p>
      <w:pPr>
        <w:pStyle w:val="Heading3"/>
        <w:spacing w:line="274" w:lineRule="exact"/>
      </w:pPr>
      <w:r>
        <w:rPr/>
        <w:t>第十三条  未成年人身故保险金限制</w:t>
      </w:r>
    </w:p>
    <w:p>
      <w:pPr>
        <w:pStyle w:val="BodyText"/>
        <w:ind w:right="215" w:firstLine="422"/>
      </w:pPr>
      <w:r>
        <w:rPr/>
        <w:t>为未成年子女投保的人身保险，因被保险人身故给付的保险金总和不得超过国务院保险监督管理机构规定的限额。</w:t>
      </w:r>
    </w:p>
    <w:p>
      <w:pPr>
        <w:pStyle w:val="BodyText"/>
        <w:spacing w:before="4"/>
        <w:ind w:left="0"/>
        <w:rPr>
          <w:sz w:val="22"/>
        </w:rPr>
      </w:pPr>
    </w:p>
    <w:p>
      <w:pPr>
        <w:pStyle w:val="Heading3"/>
        <w:tabs>
          <w:tab w:pos="1158" w:val="left" w:leader="none"/>
        </w:tabs>
        <w:spacing w:line="274" w:lineRule="exact"/>
      </w:pPr>
      <w:r>
        <w:rPr/>
        <w:t>第十四条</w:t>
        <w:tab/>
        <w:t>投保人解除合同的处理</w:t>
      </w:r>
    </w:p>
    <w:p>
      <w:pPr>
        <w:pStyle w:val="BodyText"/>
        <w:ind w:right="263" w:firstLine="422"/>
      </w:pPr>
      <w:r>
        <w:rPr>
          <w:spacing w:val="-5"/>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14"/>
        <w:ind w:right="215" w:firstLine="422"/>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12"/>
        <w:ind w:left="0"/>
        <w:rPr>
          <w:sz w:val="20"/>
        </w:rPr>
      </w:pPr>
    </w:p>
    <w:p>
      <w:pPr>
        <w:pStyle w:val="Heading3"/>
        <w:tabs>
          <w:tab w:pos="1158" w:val="left" w:leader="none"/>
        </w:tabs>
        <w:spacing w:line="276" w:lineRule="exact" w:before="1"/>
      </w:pPr>
      <w:r>
        <w:rPr/>
        <w:t>第十五条</w:t>
        <w:tab/>
        <w:t>争议处理</w:t>
      </w:r>
    </w:p>
    <w:p>
      <w:pPr>
        <w:pStyle w:val="BodyText"/>
        <w:spacing w:line="264" w:lineRule="exact"/>
        <w:ind w:left="524"/>
      </w:pPr>
      <w:r>
        <w:rPr/>
        <w:t>本合同争议的解决方式，由当事人在合同中约定从下列两种方式中选择一种：</w:t>
      </w:r>
    </w:p>
    <w:p>
      <w:pPr>
        <w:pStyle w:val="BodyText"/>
        <w:ind w:right="268" w:firstLine="422"/>
      </w:pPr>
      <w:r>
        <w:rPr/>
        <w:t>一、因履行本合同发生的争议，由当事人协商解决，协商不成的，提交×××仲裁委员会仲裁；</w:t>
      </w:r>
    </w:p>
    <w:p>
      <w:pPr>
        <w:pStyle w:val="BodyText"/>
        <w:ind w:right="215" w:firstLine="422"/>
      </w:pPr>
      <w:r>
        <w:rPr/>
        <w:t>二、因履行本合同发生的争议，由当事人协商解决，协商不成的，依法向人民法院提起诉讼。</w:t>
      </w:r>
    </w:p>
    <w:p>
      <w:pPr>
        <w:pStyle w:val="BodyText"/>
        <w:spacing w:before="10"/>
        <w:ind w:left="0"/>
      </w:pPr>
    </w:p>
    <w:p>
      <w:pPr>
        <w:pStyle w:val="Heading3"/>
        <w:tabs>
          <w:tab w:pos="1158" w:val="left" w:leader="none"/>
        </w:tabs>
        <w:spacing w:line="275" w:lineRule="exact"/>
      </w:pPr>
      <w:r>
        <w:rPr/>
        <w:t>第十六条</w:t>
        <w:tab/>
        <w:t>释义</w:t>
      </w:r>
    </w:p>
    <w:p>
      <w:pPr>
        <w:pStyle w:val="BodyText"/>
        <w:spacing w:line="263" w:lineRule="exact"/>
        <w:ind w:left="524"/>
      </w:pPr>
      <w:r>
        <w:rPr>
          <w:u w:val="single"/>
        </w:rPr>
        <w:t>本公司</w:t>
      </w:r>
      <w:r>
        <w:rPr/>
        <w:t>：指中国人寿保险股份有限公司。</w:t>
      </w:r>
    </w:p>
    <w:p>
      <w:pPr>
        <w:pStyle w:val="BodyText"/>
        <w:ind w:right="263" w:firstLine="422"/>
      </w:pPr>
      <w:r>
        <w:rPr>
          <w:u w:val="single"/>
        </w:rPr>
        <w:t>生效对应日</w:t>
      </w:r>
      <w:r>
        <w:rPr/>
        <w:t>：生效日每年（半年、季或月）的对应日为本合同每年（半年、季或月）生效对应日。</w:t>
      </w:r>
    </w:p>
    <w:p>
      <w:pPr>
        <w:pStyle w:val="BodyText"/>
        <w:spacing w:line="235" w:lineRule="auto" w:before="4"/>
        <w:ind w:right="263" w:firstLine="422"/>
      </w:pPr>
      <w:r>
        <w:rPr>
          <w:u w:val="single"/>
        </w:rPr>
        <w:t>保单年度</w:t>
      </w:r>
      <w:r>
        <w:rPr/>
        <w:t>：自本合同生效日（或年生效对应日）起至下一个年生效对应日前一日的二十四时止。</w:t>
      </w:r>
    </w:p>
    <w:p>
      <w:pPr>
        <w:pStyle w:val="BodyText"/>
        <w:ind w:right="263" w:firstLine="422"/>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5" w:lineRule="auto" w:before="6"/>
        <w:ind w:right="263" w:firstLine="422"/>
      </w:pPr>
      <w:r>
        <w:rPr>
          <w:u w:val="single"/>
        </w:rPr>
        <w:t>周岁</w:t>
      </w:r>
      <w:r>
        <w:rPr/>
        <w:t>：指按法定身份证明文件中记载的出生日期计算的年龄，自出生之日起为零周岁，每经过一年增加一岁，不足一年的不计。</w:t>
      </w:r>
    </w:p>
    <w:p>
      <w:pPr>
        <w:pStyle w:val="BodyText"/>
        <w:ind w:right="263" w:firstLine="422"/>
      </w:pPr>
      <w:r>
        <w:rPr>
          <w:u w:val="single"/>
        </w:rPr>
        <w:t>法定身份证明</w:t>
      </w:r>
      <w:r>
        <w:rPr/>
        <w:t>：指依据法律规定，由有权机构制作颁发的证明身份的证件、文件等，如： 居民身份证、户口簿、护照、军人证等。</w:t>
      </w:r>
    </w:p>
    <w:sectPr>
      <w:footerReference w:type="default" r:id="rId19"/>
      <w:pgSz w:w="11910" w:h="16840"/>
      <w:pgMar w:footer="934" w:header="0" w:top="15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3123pt;margin-top:784.003906pt;width:158.15pt;height:8.5pt;mso-position-horizontal-relative:page;mso-position-vertical-relative:page;z-index:-15112" type="#_x0000_t202" filled="false" stroked="false">
          <v:textbox inset="0,0,0,0">
            <w:txbxContent>
              <w:p>
                <w:pPr>
                  <w:spacing w:line="145" w:lineRule="exact" w:before="0"/>
                  <w:ind w:left="20" w:right="0" w:firstLine="0"/>
                  <w:jc w:val="left"/>
                  <w:rPr>
                    <w:sz w:val="13"/>
                  </w:rPr>
                </w:pPr>
                <w:r>
                  <w:rPr>
                    <w:sz w:val="13"/>
                  </w:rPr>
                  <w:t>国寿鸿康重大疾病保险（尊享版）利益条款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4896" type="#_x0000_t202" filled="false" stroked="false">
          <v:textbox inset="0,0,0,0">
            <w:txbxContent>
              <w:p>
                <w:pPr>
                  <w:spacing w:line="145" w:lineRule="exact" w:before="0"/>
                  <w:ind w:left="20" w:right="0" w:firstLine="0"/>
                  <w:jc w:val="left"/>
                  <w:rPr>
                    <w:sz w:val="13"/>
                  </w:rPr>
                </w:pPr>
                <w:r>
                  <w:rPr>
                    <w:sz w:val="13"/>
                  </w:rPr>
                  <w:t>国寿鸿康重大疾病保险（尊享版）利益条款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64.6pt;height:8.5pt;mso-position-horizontal-relative:page;mso-position-vertical-relative:page;z-index:-14872" type="#_x0000_t202" filled="false" stroked="false">
          <v:textbox inset="0,0,0,0">
            <w:txbxContent>
              <w:p>
                <w:pPr>
                  <w:spacing w:line="145" w:lineRule="exact" w:before="0"/>
                  <w:ind w:left="20" w:right="0" w:firstLine="0"/>
                  <w:jc w:val="left"/>
                  <w:rPr>
                    <w:sz w:val="13"/>
                  </w:rPr>
                </w:pPr>
                <w:r>
                  <w:rPr>
                    <w:sz w:val="13"/>
                  </w:rPr>
                  <w:t>国寿鸿康重大疾病保险（尊享版）利益条款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64.5pt;height:8.5pt;mso-position-horizontal-relative:page;mso-position-vertical-relative:page;z-index:-1484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64.5pt;height:8.5pt;mso-position-horizontal-relative:page;mso-position-vertical-relative:page;z-index:-1482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64.5pt;height:8.5pt;mso-position-horizontal-relative:page;mso-position-vertical-relative:page;z-index:-1480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5088" type="#_x0000_t202" filled="false" stroked="false">
          <v:textbox inset="0,0,0,0">
            <w:txbxContent>
              <w:p>
                <w:pPr>
                  <w:spacing w:line="145" w:lineRule="exact" w:before="0"/>
                  <w:ind w:left="20" w:right="0" w:firstLine="0"/>
                  <w:jc w:val="left"/>
                  <w:rPr>
                    <w:sz w:val="13"/>
                  </w:rPr>
                </w:pPr>
                <w:r>
                  <w:rPr>
                    <w:sz w:val="13"/>
                  </w:rPr>
                  <w:t>国寿鸿康重大疾病保险（尊享版）利益条款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5064" type="#_x0000_t202" filled="false" stroked="false">
          <v:textbox inset="0,0,0,0">
            <w:txbxContent>
              <w:p>
                <w:pPr>
                  <w:spacing w:line="145" w:lineRule="exact" w:before="0"/>
                  <w:ind w:left="20" w:right="0" w:firstLine="0"/>
                  <w:jc w:val="left"/>
                  <w:rPr>
                    <w:sz w:val="13"/>
                  </w:rPr>
                </w:pPr>
                <w:r>
                  <w:rPr>
                    <w:sz w:val="13"/>
                  </w:rPr>
                  <w:t>国寿鸿康重大疾病保险（尊享版）利益条款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5040" type="#_x0000_t202" filled="false" stroked="false">
          <v:textbox inset="0,0,0,0">
            <w:txbxContent>
              <w:p>
                <w:pPr>
                  <w:spacing w:line="145" w:lineRule="exact" w:before="0"/>
                  <w:ind w:left="20" w:right="0" w:firstLine="0"/>
                  <w:jc w:val="left"/>
                  <w:rPr>
                    <w:sz w:val="13"/>
                  </w:rPr>
                </w:pPr>
                <w:r>
                  <w:rPr>
                    <w:sz w:val="13"/>
                  </w:rPr>
                  <w:t>国寿鸿康重大疾病保险（尊享版）利益条款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5016" type="#_x0000_t202" filled="false" stroked="false">
          <v:textbox inset="0,0,0,0">
            <w:txbxContent>
              <w:p>
                <w:pPr>
                  <w:spacing w:line="145" w:lineRule="exact" w:before="0"/>
                  <w:ind w:left="20" w:right="0" w:firstLine="0"/>
                  <w:jc w:val="left"/>
                  <w:rPr>
                    <w:sz w:val="13"/>
                  </w:rPr>
                </w:pPr>
                <w:r>
                  <w:rPr>
                    <w:sz w:val="13"/>
                  </w:rPr>
                  <w:t>国寿鸿康重大疾病保险（尊享版）利益条款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4992" type="#_x0000_t202" filled="false" stroked="false">
          <v:textbox inset="0,0,0,0">
            <w:txbxContent>
              <w:p>
                <w:pPr>
                  <w:spacing w:line="145" w:lineRule="exact" w:before="0"/>
                  <w:ind w:left="20" w:right="0" w:firstLine="0"/>
                  <w:jc w:val="left"/>
                  <w:rPr>
                    <w:sz w:val="13"/>
                  </w:rPr>
                </w:pPr>
                <w:r>
                  <w:rPr>
                    <w:sz w:val="13"/>
                  </w:rPr>
                  <w:t>国寿鸿康重大疾病保险（尊享版）利益条款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4968" type="#_x0000_t202" filled="false" stroked="false">
          <v:textbox inset="0,0,0,0">
            <w:txbxContent>
              <w:p>
                <w:pPr>
                  <w:spacing w:line="145" w:lineRule="exact" w:before="0"/>
                  <w:ind w:left="20" w:right="0" w:firstLine="0"/>
                  <w:jc w:val="left"/>
                  <w:rPr>
                    <w:sz w:val="13"/>
                  </w:rPr>
                </w:pPr>
                <w:r>
                  <w:rPr>
                    <w:sz w:val="13"/>
                  </w:rPr>
                  <w:t>国寿鸿康重大疾病保险（尊享版）利益条款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4944" type="#_x0000_t202" filled="false" stroked="false">
          <v:textbox inset="0,0,0,0">
            <w:txbxContent>
              <w:p>
                <w:pPr>
                  <w:spacing w:line="145" w:lineRule="exact" w:before="0"/>
                  <w:ind w:left="20" w:right="0" w:firstLine="0"/>
                  <w:jc w:val="left"/>
                  <w:rPr>
                    <w:sz w:val="13"/>
                  </w:rPr>
                </w:pPr>
                <w:r>
                  <w:rPr>
                    <w:sz w:val="13"/>
                  </w:rPr>
                  <w:t>国寿鸿康重大疾病保险（尊享版）利益条款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8.15pt;height:8.5pt;mso-position-horizontal-relative:page;mso-position-vertical-relative:page;z-index:-14920" type="#_x0000_t202" filled="false" stroked="false">
          <v:textbox inset="0,0,0,0">
            <w:txbxContent>
              <w:p>
                <w:pPr>
                  <w:spacing w:line="145" w:lineRule="exact" w:before="0"/>
                  <w:ind w:left="20" w:right="0" w:firstLine="0"/>
                  <w:jc w:val="left"/>
                  <w:rPr>
                    <w:sz w:val="13"/>
                  </w:rPr>
                </w:pPr>
                <w:r>
                  <w:rPr>
                    <w:sz w:val="13"/>
                  </w:rPr>
                  <w:t>国寿鸿康重大疾病保险（尊享版）利益条款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2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25">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24">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2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22">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21">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20">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19">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18">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17">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1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78" w:hanging="317"/>
      </w:pPr>
      <w:rPr>
        <w:rFonts w:hint="default"/>
      </w:rPr>
    </w:lvl>
    <w:lvl w:ilvl="2">
      <w:start w:val="0"/>
      <w:numFmt w:val="bullet"/>
      <w:lvlText w:val="•"/>
      <w:lvlJc w:val="left"/>
      <w:pPr>
        <w:ind w:left="1856" w:hanging="317"/>
      </w:pPr>
      <w:rPr>
        <w:rFonts w:hint="default"/>
      </w:rPr>
    </w:lvl>
    <w:lvl w:ilvl="3">
      <w:start w:val="0"/>
      <w:numFmt w:val="bullet"/>
      <w:lvlText w:val="•"/>
      <w:lvlJc w:val="left"/>
      <w:pPr>
        <w:ind w:left="2735" w:hanging="317"/>
      </w:pPr>
      <w:rPr>
        <w:rFonts w:hint="default"/>
      </w:rPr>
    </w:lvl>
    <w:lvl w:ilvl="4">
      <w:start w:val="0"/>
      <w:numFmt w:val="bullet"/>
      <w:lvlText w:val="•"/>
      <w:lvlJc w:val="left"/>
      <w:pPr>
        <w:ind w:left="3613" w:hanging="317"/>
      </w:pPr>
      <w:rPr>
        <w:rFonts w:hint="default"/>
      </w:rPr>
    </w:lvl>
    <w:lvl w:ilvl="5">
      <w:start w:val="0"/>
      <w:numFmt w:val="bullet"/>
      <w:lvlText w:val="•"/>
      <w:lvlJc w:val="left"/>
      <w:pPr>
        <w:ind w:left="4492" w:hanging="317"/>
      </w:pPr>
      <w:rPr>
        <w:rFonts w:hint="default"/>
      </w:rPr>
    </w:lvl>
    <w:lvl w:ilvl="6">
      <w:start w:val="0"/>
      <w:numFmt w:val="bullet"/>
      <w:lvlText w:val="•"/>
      <w:lvlJc w:val="left"/>
      <w:pPr>
        <w:ind w:left="5370" w:hanging="317"/>
      </w:pPr>
      <w:rPr>
        <w:rFonts w:hint="default"/>
      </w:rPr>
    </w:lvl>
    <w:lvl w:ilvl="7">
      <w:start w:val="0"/>
      <w:numFmt w:val="bullet"/>
      <w:lvlText w:val="•"/>
      <w:lvlJc w:val="left"/>
      <w:pPr>
        <w:ind w:left="6248" w:hanging="317"/>
      </w:pPr>
      <w:rPr>
        <w:rFonts w:hint="default"/>
      </w:rPr>
    </w:lvl>
    <w:lvl w:ilvl="8">
      <w:start w:val="0"/>
      <w:numFmt w:val="bullet"/>
      <w:lvlText w:val="•"/>
      <w:lvlJc w:val="left"/>
      <w:pPr>
        <w:ind w:left="7127" w:hanging="317"/>
      </w:pPr>
      <w:rPr>
        <w:rFonts w:hint="default"/>
      </w:rPr>
    </w:lvl>
  </w:abstractNum>
  <w:abstractNum w:abstractNumId="15">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78" w:hanging="317"/>
      </w:pPr>
      <w:rPr>
        <w:rFonts w:hint="default"/>
      </w:rPr>
    </w:lvl>
    <w:lvl w:ilvl="2">
      <w:start w:val="0"/>
      <w:numFmt w:val="bullet"/>
      <w:lvlText w:val="•"/>
      <w:lvlJc w:val="left"/>
      <w:pPr>
        <w:ind w:left="1856" w:hanging="317"/>
      </w:pPr>
      <w:rPr>
        <w:rFonts w:hint="default"/>
      </w:rPr>
    </w:lvl>
    <w:lvl w:ilvl="3">
      <w:start w:val="0"/>
      <w:numFmt w:val="bullet"/>
      <w:lvlText w:val="•"/>
      <w:lvlJc w:val="left"/>
      <w:pPr>
        <w:ind w:left="2735" w:hanging="317"/>
      </w:pPr>
      <w:rPr>
        <w:rFonts w:hint="default"/>
      </w:rPr>
    </w:lvl>
    <w:lvl w:ilvl="4">
      <w:start w:val="0"/>
      <w:numFmt w:val="bullet"/>
      <w:lvlText w:val="•"/>
      <w:lvlJc w:val="left"/>
      <w:pPr>
        <w:ind w:left="3613" w:hanging="317"/>
      </w:pPr>
      <w:rPr>
        <w:rFonts w:hint="default"/>
      </w:rPr>
    </w:lvl>
    <w:lvl w:ilvl="5">
      <w:start w:val="0"/>
      <w:numFmt w:val="bullet"/>
      <w:lvlText w:val="•"/>
      <w:lvlJc w:val="left"/>
      <w:pPr>
        <w:ind w:left="4492" w:hanging="317"/>
      </w:pPr>
      <w:rPr>
        <w:rFonts w:hint="default"/>
      </w:rPr>
    </w:lvl>
    <w:lvl w:ilvl="6">
      <w:start w:val="0"/>
      <w:numFmt w:val="bullet"/>
      <w:lvlText w:val="•"/>
      <w:lvlJc w:val="left"/>
      <w:pPr>
        <w:ind w:left="5370" w:hanging="317"/>
      </w:pPr>
      <w:rPr>
        <w:rFonts w:hint="default"/>
      </w:rPr>
    </w:lvl>
    <w:lvl w:ilvl="7">
      <w:start w:val="0"/>
      <w:numFmt w:val="bullet"/>
      <w:lvlText w:val="•"/>
      <w:lvlJc w:val="left"/>
      <w:pPr>
        <w:ind w:left="6248" w:hanging="317"/>
      </w:pPr>
      <w:rPr>
        <w:rFonts w:hint="default"/>
      </w:rPr>
    </w:lvl>
    <w:lvl w:ilvl="8">
      <w:start w:val="0"/>
      <w:numFmt w:val="bullet"/>
      <w:lvlText w:val="•"/>
      <w:lvlJc w:val="left"/>
      <w:pPr>
        <w:ind w:left="7127" w:hanging="317"/>
      </w:pPr>
      <w:rPr>
        <w:rFonts w:hint="default"/>
      </w:rPr>
    </w:lvl>
  </w:abstractNum>
  <w:abstractNum w:abstractNumId="14">
    <w:multiLevelType w:val="hybridMultilevel"/>
    <w:lvl w:ilvl="0">
      <w:start w:val="1"/>
      <w:numFmt w:val="decimal"/>
      <w:lvlText w:val="%1."/>
      <w:lvlJc w:val="left"/>
      <w:pPr>
        <w:ind w:left="524" w:hanging="317"/>
        <w:jc w:val="left"/>
      </w:pPr>
      <w:rPr>
        <w:rFonts w:hint="default" w:ascii="宋体" w:hAnsi="宋体" w:eastAsia="宋体" w:cs="宋体"/>
        <w:w w:val="100"/>
        <w:sz w:val="21"/>
        <w:szCs w:val="21"/>
      </w:rPr>
    </w:lvl>
    <w:lvl w:ilvl="1">
      <w:start w:val="0"/>
      <w:numFmt w:val="bullet"/>
      <w:lvlText w:val="•"/>
      <w:lvlJc w:val="left"/>
      <w:pPr>
        <w:ind w:left="1356" w:hanging="317"/>
      </w:pPr>
      <w:rPr>
        <w:rFonts w:hint="default"/>
      </w:rPr>
    </w:lvl>
    <w:lvl w:ilvl="2">
      <w:start w:val="0"/>
      <w:numFmt w:val="bullet"/>
      <w:lvlText w:val="•"/>
      <w:lvlJc w:val="left"/>
      <w:pPr>
        <w:ind w:left="2192" w:hanging="317"/>
      </w:pPr>
      <w:rPr>
        <w:rFonts w:hint="default"/>
      </w:rPr>
    </w:lvl>
    <w:lvl w:ilvl="3">
      <w:start w:val="0"/>
      <w:numFmt w:val="bullet"/>
      <w:lvlText w:val="•"/>
      <w:lvlJc w:val="left"/>
      <w:pPr>
        <w:ind w:left="3029" w:hanging="317"/>
      </w:pPr>
      <w:rPr>
        <w:rFonts w:hint="default"/>
      </w:rPr>
    </w:lvl>
    <w:lvl w:ilvl="4">
      <w:start w:val="0"/>
      <w:numFmt w:val="bullet"/>
      <w:lvlText w:val="•"/>
      <w:lvlJc w:val="left"/>
      <w:pPr>
        <w:ind w:left="3865" w:hanging="317"/>
      </w:pPr>
      <w:rPr>
        <w:rFonts w:hint="default"/>
      </w:rPr>
    </w:lvl>
    <w:lvl w:ilvl="5">
      <w:start w:val="0"/>
      <w:numFmt w:val="bullet"/>
      <w:lvlText w:val="•"/>
      <w:lvlJc w:val="left"/>
      <w:pPr>
        <w:ind w:left="4702" w:hanging="317"/>
      </w:pPr>
      <w:rPr>
        <w:rFonts w:hint="default"/>
      </w:rPr>
    </w:lvl>
    <w:lvl w:ilvl="6">
      <w:start w:val="0"/>
      <w:numFmt w:val="bullet"/>
      <w:lvlText w:val="•"/>
      <w:lvlJc w:val="left"/>
      <w:pPr>
        <w:ind w:left="5538" w:hanging="317"/>
      </w:pPr>
      <w:rPr>
        <w:rFonts w:hint="default"/>
      </w:rPr>
    </w:lvl>
    <w:lvl w:ilvl="7">
      <w:start w:val="0"/>
      <w:numFmt w:val="bullet"/>
      <w:lvlText w:val="•"/>
      <w:lvlJc w:val="left"/>
      <w:pPr>
        <w:ind w:left="6374" w:hanging="317"/>
      </w:pPr>
      <w:rPr>
        <w:rFonts w:hint="default"/>
      </w:rPr>
    </w:lvl>
    <w:lvl w:ilvl="8">
      <w:start w:val="0"/>
      <w:numFmt w:val="bullet"/>
      <w:lvlText w:val="•"/>
      <w:lvlJc w:val="left"/>
      <w:pPr>
        <w:ind w:left="7211" w:hanging="317"/>
      </w:pPr>
      <w:rPr>
        <w:rFonts w:hint="default"/>
      </w:rPr>
    </w:lvl>
  </w:abstractNum>
  <w:abstractNum w:abstractNumId="13">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44" w:hanging="317"/>
      </w:pPr>
      <w:rPr>
        <w:rFonts w:hint="default"/>
      </w:rPr>
    </w:lvl>
    <w:lvl w:ilvl="2">
      <w:start w:val="0"/>
      <w:numFmt w:val="bullet"/>
      <w:lvlText w:val="•"/>
      <w:lvlJc w:val="left"/>
      <w:pPr>
        <w:ind w:left="2448" w:hanging="317"/>
      </w:pPr>
      <w:rPr>
        <w:rFonts w:hint="default"/>
      </w:rPr>
    </w:lvl>
    <w:lvl w:ilvl="3">
      <w:start w:val="0"/>
      <w:numFmt w:val="bullet"/>
      <w:lvlText w:val="•"/>
      <w:lvlJc w:val="left"/>
      <w:pPr>
        <w:ind w:left="3253" w:hanging="317"/>
      </w:pPr>
      <w:rPr>
        <w:rFonts w:hint="default"/>
      </w:rPr>
    </w:lvl>
    <w:lvl w:ilvl="4">
      <w:start w:val="0"/>
      <w:numFmt w:val="bullet"/>
      <w:lvlText w:val="•"/>
      <w:lvlJc w:val="left"/>
      <w:pPr>
        <w:ind w:left="4057" w:hanging="317"/>
      </w:pPr>
      <w:rPr>
        <w:rFonts w:hint="default"/>
      </w:rPr>
    </w:lvl>
    <w:lvl w:ilvl="5">
      <w:start w:val="0"/>
      <w:numFmt w:val="bullet"/>
      <w:lvlText w:val="•"/>
      <w:lvlJc w:val="left"/>
      <w:pPr>
        <w:ind w:left="4862" w:hanging="317"/>
      </w:pPr>
      <w:rPr>
        <w:rFonts w:hint="default"/>
      </w:rPr>
    </w:lvl>
    <w:lvl w:ilvl="6">
      <w:start w:val="0"/>
      <w:numFmt w:val="bullet"/>
      <w:lvlText w:val="•"/>
      <w:lvlJc w:val="left"/>
      <w:pPr>
        <w:ind w:left="5666" w:hanging="317"/>
      </w:pPr>
      <w:rPr>
        <w:rFonts w:hint="default"/>
      </w:rPr>
    </w:lvl>
    <w:lvl w:ilvl="7">
      <w:start w:val="0"/>
      <w:numFmt w:val="bullet"/>
      <w:lvlText w:val="•"/>
      <w:lvlJc w:val="left"/>
      <w:pPr>
        <w:ind w:left="6470" w:hanging="317"/>
      </w:pPr>
      <w:rPr>
        <w:rFonts w:hint="default"/>
      </w:rPr>
    </w:lvl>
    <w:lvl w:ilvl="8">
      <w:start w:val="0"/>
      <w:numFmt w:val="bullet"/>
      <w:lvlText w:val="•"/>
      <w:lvlJc w:val="left"/>
      <w:pPr>
        <w:ind w:left="7275" w:hanging="317"/>
      </w:pPr>
      <w:rPr>
        <w:rFonts w:hint="default"/>
      </w:rPr>
    </w:lvl>
  </w:abstractNum>
  <w:abstractNum w:abstractNumId="12">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44" w:hanging="317"/>
      </w:pPr>
      <w:rPr>
        <w:rFonts w:hint="default"/>
      </w:rPr>
    </w:lvl>
    <w:lvl w:ilvl="2">
      <w:start w:val="0"/>
      <w:numFmt w:val="bullet"/>
      <w:lvlText w:val="•"/>
      <w:lvlJc w:val="left"/>
      <w:pPr>
        <w:ind w:left="2448" w:hanging="317"/>
      </w:pPr>
      <w:rPr>
        <w:rFonts w:hint="default"/>
      </w:rPr>
    </w:lvl>
    <w:lvl w:ilvl="3">
      <w:start w:val="0"/>
      <w:numFmt w:val="bullet"/>
      <w:lvlText w:val="•"/>
      <w:lvlJc w:val="left"/>
      <w:pPr>
        <w:ind w:left="3253" w:hanging="317"/>
      </w:pPr>
      <w:rPr>
        <w:rFonts w:hint="default"/>
      </w:rPr>
    </w:lvl>
    <w:lvl w:ilvl="4">
      <w:start w:val="0"/>
      <w:numFmt w:val="bullet"/>
      <w:lvlText w:val="•"/>
      <w:lvlJc w:val="left"/>
      <w:pPr>
        <w:ind w:left="4057" w:hanging="317"/>
      </w:pPr>
      <w:rPr>
        <w:rFonts w:hint="default"/>
      </w:rPr>
    </w:lvl>
    <w:lvl w:ilvl="5">
      <w:start w:val="0"/>
      <w:numFmt w:val="bullet"/>
      <w:lvlText w:val="•"/>
      <w:lvlJc w:val="left"/>
      <w:pPr>
        <w:ind w:left="4862" w:hanging="317"/>
      </w:pPr>
      <w:rPr>
        <w:rFonts w:hint="default"/>
      </w:rPr>
    </w:lvl>
    <w:lvl w:ilvl="6">
      <w:start w:val="0"/>
      <w:numFmt w:val="bullet"/>
      <w:lvlText w:val="•"/>
      <w:lvlJc w:val="left"/>
      <w:pPr>
        <w:ind w:left="5666" w:hanging="317"/>
      </w:pPr>
      <w:rPr>
        <w:rFonts w:hint="default"/>
      </w:rPr>
    </w:lvl>
    <w:lvl w:ilvl="7">
      <w:start w:val="0"/>
      <w:numFmt w:val="bullet"/>
      <w:lvlText w:val="•"/>
      <w:lvlJc w:val="left"/>
      <w:pPr>
        <w:ind w:left="6470" w:hanging="317"/>
      </w:pPr>
      <w:rPr>
        <w:rFonts w:hint="default"/>
      </w:rPr>
    </w:lvl>
    <w:lvl w:ilvl="8">
      <w:start w:val="0"/>
      <w:numFmt w:val="bullet"/>
      <w:lvlText w:val="•"/>
      <w:lvlJc w:val="left"/>
      <w:pPr>
        <w:ind w:left="7275" w:hanging="317"/>
      </w:pPr>
      <w:rPr>
        <w:rFonts w:hint="default"/>
      </w:rPr>
    </w:lvl>
  </w:abstractNum>
  <w:abstractNum w:abstractNumId="11">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78" w:hanging="317"/>
      </w:pPr>
      <w:rPr>
        <w:rFonts w:hint="default"/>
      </w:rPr>
    </w:lvl>
    <w:lvl w:ilvl="2">
      <w:start w:val="0"/>
      <w:numFmt w:val="bullet"/>
      <w:lvlText w:val="•"/>
      <w:lvlJc w:val="left"/>
      <w:pPr>
        <w:ind w:left="1856" w:hanging="317"/>
      </w:pPr>
      <w:rPr>
        <w:rFonts w:hint="default"/>
      </w:rPr>
    </w:lvl>
    <w:lvl w:ilvl="3">
      <w:start w:val="0"/>
      <w:numFmt w:val="bullet"/>
      <w:lvlText w:val="•"/>
      <w:lvlJc w:val="left"/>
      <w:pPr>
        <w:ind w:left="2735" w:hanging="317"/>
      </w:pPr>
      <w:rPr>
        <w:rFonts w:hint="default"/>
      </w:rPr>
    </w:lvl>
    <w:lvl w:ilvl="4">
      <w:start w:val="0"/>
      <w:numFmt w:val="bullet"/>
      <w:lvlText w:val="•"/>
      <w:lvlJc w:val="left"/>
      <w:pPr>
        <w:ind w:left="3613" w:hanging="317"/>
      </w:pPr>
      <w:rPr>
        <w:rFonts w:hint="default"/>
      </w:rPr>
    </w:lvl>
    <w:lvl w:ilvl="5">
      <w:start w:val="0"/>
      <w:numFmt w:val="bullet"/>
      <w:lvlText w:val="•"/>
      <w:lvlJc w:val="left"/>
      <w:pPr>
        <w:ind w:left="4492" w:hanging="317"/>
      </w:pPr>
      <w:rPr>
        <w:rFonts w:hint="default"/>
      </w:rPr>
    </w:lvl>
    <w:lvl w:ilvl="6">
      <w:start w:val="0"/>
      <w:numFmt w:val="bullet"/>
      <w:lvlText w:val="•"/>
      <w:lvlJc w:val="left"/>
      <w:pPr>
        <w:ind w:left="5370" w:hanging="317"/>
      </w:pPr>
      <w:rPr>
        <w:rFonts w:hint="default"/>
      </w:rPr>
    </w:lvl>
    <w:lvl w:ilvl="7">
      <w:start w:val="0"/>
      <w:numFmt w:val="bullet"/>
      <w:lvlText w:val="•"/>
      <w:lvlJc w:val="left"/>
      <w:pPr>
        <w:ind w:left="6248" w:hanging="317"/>
      </w:pPr>
      <w:rPr>
        <w:rFonts w:hint="default"/>
      </w:rPr>
    </w:lvl>
    <w:lvl w:ilvl="8">
      <w:start w:val="0"/>
      <w:numFmt w:val="bullet"/>
      <w:lvlText w:val="•"/>
      <w:lvlJc w:val="left"/>
      <w:pPr>
        <w:ind w:left="7127" w:hanging="317"/>
      </w:pPr>
      <w:rPr>
        <w:rFonts w:hint="default"/>
      </w:rPr>
    </w:lvl>
  </w:abstractNum>
  <w:abstractNum w:abstractNumId="10">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9">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8">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7">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5">
    <w:multiLevelType w:val="hybridMultilevel"/>
    <w:lvl w:ilvl="0">
      <w:start w:val="2"/>
      <w:numFmt w:val="decimal"/>
      <w:lvlText w:val="（%1）"/>
      <w:lvlJc w:val="left"/>
      <w:pPr>
        <w:ind w:left="1158" w:hanging="634"/>
        <w:jc w:val="left"/>
      </w:pPr>
      <w:rPr>
        <w:rFonts w:hint="default" w:ascii="宋体" w:hAnsi="宋体" w:eastAsia="宋体" w:cs="宋体"/>
        <w:w w:val="100"/>
        <w:sz w:val="21"/>
        <w:szCs w:val="21"/>
      </w:rPr>
    </w:lvl>
    <w:lvl w:ilvl="1">
      <w:start w:val="0"/>
      <w:numFmt w:val="bullet"/>
      <w:lvlText w:val="•"/>
      <w:lvlJc w:val="left"/>
      <w:pPr>
        <w:ind w:left="1942" w:hanging="634"/>
      </w:pPr>
      <w:rPr>
        <w:rFonts w:hint="default"/>
      </w:rPr>
    </w:lvl>
    <w:lvl w:ilvl="2">
      <w:start w:val="0"/>
      <w:numFmt w:val="bullet"/>
      <w:lvlText w:val="•"/>
      <w:lvlJc w:val="left"/>
      <w:pPr>
        <w:ind w:left="2724" w:hanging="634"/>
      </w:pPr>
      <w:rPr>
        <w:rFonts w:hint="default"/>
      </w:rPr>
    </w:lvl>
    <w:lvl w:ilvl="3">
      <w:start w:val="0"/>
      <w:numFmt w:val="bullet"/>
      <w:lvlText w:val="•"/>
      <w:lvlJc w:val="left"/>
      <w:pPr>
        <w:ind w:left="3507" w:hanging="634"/>
      </w:pPr>
      <w:rPr>
        <w:rFonts w:hint="default"/>
      </w:rPr>
    </w:lvl>
    <w:lvl w:ilvl="4">
      <w:start w:val="0"/>
      <w:numFmt w:val="bullet"/>
      <w:lvlText w:val="•"/>
      <w:lvlJc w:val="left"/>
      <w:pPr>
        <w:ind w:left="4289" w:hanging="634"/>
      </w:pPr>
      <w:rPr>
        <w:rFonts w:hint="default"/>
      </w:rPr>
    </w:lvl>
    <w:lvl w:ilvl="5">
      <w:start w:val="0"/>
      <w:numFmt w:val="bullet"/>
      <w:lvlText w:val="•"/>
      <w:lvlJc w:val="left"/>
      <w:pPr>
        <w:ind w:left="5072" w:hanging="634"/>
      </w:pPr>
      <w:rPr>
        <w:rFonts w:hint="default"/>
      </w:rPr>
    </w:lvl>
    <w:lvl w:ilvl="6">
      <w:start w:val="0"/>
      <w:numFmt w:val="bullet"/>
      <w:lvlText w:val="•"/>
      <w:lvlJc w:val="left"/>
      <w:pPr>
        <w:ind w:left="5854" w:hanging="634"/>
      </w:pPr>
      <w:rPr>
        <w:rFonts w:hint="default"/>
      </w:rPr>
    </w:lvl>
    <w:lvl w:ilvl="7">
      <w:start w:val="0"/>
      <w:numFmt w:val="bullet"/>
      <w:lvlText w:val="•"/>
      <w:lvlJc w:val="left"/>
      <w:pPr>
        <w:ind w:left="6636" w:hanging="634"/>
      </w:pPr>
      <w:rPr>
        <w:rFonts w:hint="default"/>
      </w:rPr>
    </w:lvl>
    <w:lvl w:ilvl="8">
      <w:start w:val="0"/>
      <w:numFmt w:val="bullet"/>
      <w:lvlText w:val="•"/>
      <w:lvlJc w:val="left"/>
      <w:pPr>
        <w:ind w:left="7419" w:hanging="634"/>
      </w:pPr>
      <w:rPr>
        <w:rFonts w:hint="default"/>
      </w:rPr>
    </w:lvl>
  </w:abstractNum>
  <w:abstractNum w:abstractNumId="4">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2">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1">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0">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ind w:left="1568"/>
      <w:outlineLvl w:val="1"/>
    </w:pPr>
    <w:rPr>
      <w:rFonts w:ascii="宋体" w:hAnsi="宋体" w:eastAsia="宋体" w:cs="宋体"/>
      <w:sz w:val="36"/>
      <w:szCs w:val="36"/>
    </w:rPr>
  </w:style>
  <w:style w:styleId="Heading2" w:type="paragraph">
    <w:name w:val="Heading 2"/>
    <w:basedOn w:val="Normal"/>
    <w:uiPriority w:val="1"/>
    <w:qFormat/>
    <w:pPr>
      <w:spacing w:before="6"/>
      <w:ind w:left="1568" w:right="1961"/>
      <w:jc w:val="center"/>
      <w:outlineLvl w:val="2"/>
    </w:pPr>
    <w:rPr>
      <w:rFonts w:ascii="宋体" w:hAnsi="宋体" w:eastAsia="宋体" w:cs="宋体"/>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41"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11000350</dc:creator>
  <dc:title>Microsoft Word - 100_国寿鸿康重大疾病保险（尊享版）利益条款0805</dc:title>
  <dcterms:created xsi:type="dcterms:W3CDTF">2018-10-20T00:42:48Z</dcterms:created>
  <dcterms:modified xsi:type="dcterms:W3CDTF">2018-10-20T00:42:48Z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2016-09-22T00:00:00Z</vt:filetime>
  </property>
  <property fmtid="{D5CDD505-2E9C-101B-9397-08002B2CF9AE}" pid="3" name="Creator">
    <vt:lpwstr>C:\Windows\splwow64.exe</vt:lpwstr>
  </property>
  <property fmtid="{D5CDD505-2E9C-101B-9397-08002B2CF9AE}" pid="4" name="LastSaved">
    <vt:filetime>2018-10-19T00:00:00Z</vt:filetime>
  </property>
</Properties>
</file>