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9"/>
        <w:ind w:left="0" w:right="110" w:firstLine="0"/>
        <w:jc w:val="right"/>
        <w:rPr>
          <w:rFonts w:ascii="仿宋" w:eastAsia="仿宋" w:hint="eastAsia"/>
          <w:sz w:val="18"/>
        </w:rPr>
      </w:pPr>
      <w:r>
        <w:rPr/>
        <w:drawing>
          <wp:anchor distT="0" distB="0" distL="0" distR="0" allowOverlap="1" layoutInCell="1" locked="0" behindDoc="0" simplePos="0" relativeHeight="0">
            <wp:simplePos x="0" y="0"/>
            <wp:positionH relativeFrom="page">
              <wp:posOffset>5742051</wp:posOffset>
            </wp:positionH>
            <wp:positionV relativeFrom="paragraph">
              <wp:posOffset>179473</wp:posOffset>
            </wp:positionV>
            <wp:extent cx="716660" cy="71666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anchor>
        </w:drawing>
      </w:r>
      <w:r>
        <w:rPr>
          <w:rFonts w:ascii="仿宋" w:eastAsia="仿宋" w:hint="eastAsia"/>
          <w:sz w:val="18"/>
        </w:rPr>
        <w:t>光大永明人寿[2017]疾病保险 38 号</w:t>
      </w:r>
    </w:p>
    <w:p>
      <w:pPr>
        <w:spacing w:before="0"/>
        <w:ind w:left="0" w:right="544" w:firstLine="0"/>
        <w:jc w:val="right"/>
        <w:rPr>
          <w:rFonts w:ascii="仿宋" w:eastAsia="仿宋" w:hint="eastAsia"/>
          <w:sz w:val="18"/>
        </w:rPr>
      </w:pPr>
      <w:r>
        <w:rPr>
          <w:rFonts w:ascii="仿宋" w:eastAsia="仿宋" w:hint="eastAsia"/>
          <w:sz w:val="18"/>
        </w:rPr>
        <w:t>请扫描以查询验证条款</w:t>
      </w:r>
    </w:p>
    <w:p>
      <w:pPr>
        <w:pStyle w:val="BodyText"/>
        <w:spacing w:before="0"/>
        <w:rPr>
          <w:rFonts w:ascii="仿宋"/>
          <w:sz w:val="20"/>
        </w:rPr>
      </w:pPr>
    </w:p>
    <w:p>
      <w:pPr>
        <w:pStyle w:val="BodyText"/>
        <w:spacing w:before="12"/>
        <w:rPr>
          <w:rFonts w:ascii="仿宋"/>
          <w:sz w:val="15"/>
        </w:rPr>
      </w:pPr>
    </w:p>
    <w:p>
      <w:pPr>
        <w:spacing w:line="460" w:lineRule="exact" w:before="0"/>
        <w:ind w:left="2661" w:right="0" w:firstLine="0"/>
        <w:jc w:val="left"/>
        <w:rPr>
          <w:b/>
          <w:sz w:val="36"/>
        </w:rPr>
      </w:pPr>
      <w:r>
        <w:rPr>
          <w:b/>
          <w:w w:val="95"/>
          <w:sz w:val="36"/>
        </w:rPr>
        <w:t>光大永明人寿保险有限公司</w:t>
      </w:r>
    </w:p>
    <w:p>
      <w:pPr>
        <w:pStyle w:val="BodyText"/>
        <w:spacing w:before="6"/>
        <w:rPr>
          <w:b/>
          <w:sz w:val="35"/>
        </w:rPr>
      </w:pPr>
    </w:p>
    <w:p>
      <w:pPr>
        <w:spacing w:before="1"/>
        <w:ind w:left="854" w:right="0" w:firstLine="0"/>
        <w:jc w:val="left"/>
        <w:rPr>
          <w:b/>
          <w:sz w:val="36"/>
        </w:rPr>
      </w:pPr>
      <w:r>
        <w:rPr>
          <w:b/>
          <w:w w:val="95"/>
          <w:sz w:val="36"/>
        </w:rPr>
        <w:t>光大永明附加投保人豁免保险费重大疾病保险条款</w:t>
      </w:r>
    </w:p>
    <w:p>
      <w:pPr>
        <w:pStyle w:val="BodyText"/>
        <w:spacing w:before="0"/>
        <w:rPr>
          <w:b/>
          <w:sz w:val="36"/>
        </w:rPr>
      </w:pPr>
    </w:p>
    <w:p>
      <w:pPr>
        <w:spacing w:line="314" w:lineRule="auto" w:before="296"/>
        <w:ind w:left="316" w:right="591" w:firstLine="0"/>
        <w:jc w:val="left"/>
        <w:rPr>
          <w:b/>
          <w:sz w:val="21"/>
        </w:rPr>
      </w:pPr>
      <w:r>
        <w:rPr>
          <w:b/>
          <w:spacing w:val="-5"/>
          <w:sz w:val="21"/>
        </w:rPr>
        <w:t>感谢您选择了光大永明人寿。为了帮助您更好地理解本条款，在阅读本条款前，请您注意阅读提示和说明。</w:t>
      </w:r>
    </w:p>
    <w:p>
      <w:pPr>
        <w:pStyle w:val="BodyText"/>
        <w:spacing w:before="2"/>
        <w:rPr>
          <w:b/>
          <w:sz w:val="25"/>
        </w:rPr>
      </w:pPr>
    </w:p>
    <w:p>
      <w:pPr>
        <w:spacing w:before="0"/>
        <w:ind w:left="4395" w:right="4671" w:firstLine="0"/>
        <w:jc w:val="center"/>
        <w:rPr>
          <w:b/>
          <w:sz w:val="21"/>
        </w:rPr>
      </w:pPr>
      <w:r>
        <w:rPr>
          <w:b/>
          <w:sz w:val="21"/>
        </w:rPr>
        <w:t>阅读提示</w:t>
      </w:r>
    </w:p>
    <w:p>
      <w:pPr>
        <w:pStyle w:val="BodyText"/>
        <w:spacing w:before="0"/>
        <w:rPr>
          <w:b/>
          <w:sz w:val="20"/>
        </w:rPr>
      </w:pPr>
    </w:p>
    <w:p>
      <w:pPr>
        <w:pStyle w:val="BodyText"/>
        <w:spacing w:before="7" w:after="1"/>
        <w:rPr>
          <w:b/>
          <w:sz w:val="19"/>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6"/>
        <w:gridCol w:w="1642"/>
      </w:tblGrid>
      <w:tr>
        <w:trPr>
          <w:trHeight w:val="342" w:hRule="atLeast"/>
        </w:trPr>
        <w:tc>
          <w:tcPr>
            <w:tcW w:w="7836" w:type="dxa"/>
          </w:tcPr>
          <w:p>
            <w:pPr>
              <w:pStyle w:val="TableParagraph"/>
              <w:spacing w:line="211" w:lineRule="exact" w:before="0"/>
              <w:ind w:left="3786"/>
              <w:rPr>
                <w:b/>
                <w:sz w:val="21"/>
              </w:rPr>
            </w:pPr>
            <w:r>
              <w:rPr>
                <w:b/>
                <w:sz w:val="21"/>
              </w:rPr>
              <w:t>您所享有的重要权益</w:t>
            </w:r>
          </w:p>
        </w:tc>
        <w:tc>
          <w:tcPr>
            <w:tcW w:w="1642" w:type="dxa"/>
          </w:tcPr>
          <w:p>
            <w:pPr>
              <w:pStyle w:val="TableParagraph"/>
              <w:spacing w:before="0"/>
              <w:ind w:left="0"/>
              <w:rPr>
                <w:rFonts w:ascii="Times New Roman"/>
                <w:sz w:val="22"/>
              </w:rPr>
            </w:pPr>
          </w:p>
        </w:tc>
      </w:tr>
      <w:tr>
        <w:trPr>
          <w:trHeight w:val="472" w:hRule="atLeast"/>
        </w:trPr>
        <w:tc>
          <w:tcPr>
            <w:tcW w:w="7836" w:type="dxa"/>
          </w:tcPr>
          <w:p>
            <w:pPr>
              <w:pStyle w:val="TableParagraph"/>
              <w:spacing w:before="67"/>
              <w:ind w:left="0" w:right="73"/>
              <w:jc w:val="right"/>
              <w:rPr>
                <w:sz w:val="21"/>
              </w:rPr>
            </w:pPr>
            <w:r>
              <w:rPr>
                <w:sz w:val="21"/>
              </w:rPr>
              <w:t>本附加合同所提供的保障 .................................................</w:t>
            </w:r>
          </w:p>
        </w:tc>
        <w:tc>
          <w:tcPr>
            <w:tcW w:w="1642" w:type="dxa"/>
          </w:tcPr>
          <w:p>
            <w:pPr>
              <w:pStyle w:val="TableParagraph"/>
              <w:tabs>
                <w:tab w:pos="652" w:val="left" w:leader="none"/>
                <w:tab w:pos="1231" w:val="left" w:leader="none"/>
              </w:tabs>
              <w:spacing w:before="67"/>
              <w:ind w:left="74"/>
              <w:rPr>
                <w:b/>
                <w:sz w:val="21"/>
              </w:rPr>
            </w:pPr>
            <w:hyperlink w:history="true" w:anchor="_bookmark10">
              <w:r>
                <w:rPr>
                  <w:b/>
                  <w:sz w:val="21"/>
                </w:rPr>
                <w:t>第</w:t>
                <w:tab/>
                <w:t>九</w:t>
                <w:tab/>
                <w:t>条</w:t>
              </w:r>
            </w:hyperlink>
          </w:p>
        </w:tc>
      </w:tr>
      <w:tr>
        <w:trPr>
          <w:trHeight w:val="472" w:hRule="atLeast"/>
        </w:trPr>
        <w:tc>
          <w:tcPr>
            <w:tcW w:w="7836" w:type="dxa"/>
          </w:tcPr>
          <w:p>
            <w:pPr>
              <w:pStyle w:val="TableParagraph"/>
              <w:spacing w:before="67"/>
              <w:ind w:left="0" w:right="73"/>
              <w:jc w:val="right"/>
              <w:rPr>
                <w:sz w:val="21"/>
              </w:rPr>
            </w:pPr>
            <w:r>
              <w:rPr>
                <w:sz w:val="21"/>
              </w:rPr>
              <w:t>您在犹豫期享有的权利. ..................................................</w:t>
            </w:r>
          </w:p>
        </w:tc>
        <w:tc>
          <w:tcPr>
            <w:tcW w:w="1642" w:type="dxa"/>
          </w:tcPr>
          <w:p>
            <w:pPr>
              <w:pStyle w:val="TableParagraph"/>
              <w:spacing w:before="67"/>
              <w:ind w:left="74"/>
              <w:rPr>
                <w:b/>
                <w:sz w:val="21"/>
              </w:rPr>
            </w:pPr>
            <w:hyperlink w:history="true" w:anchor="_bookmark19">
              <w:r>
                <w:rPr>
                  <w:b/>
                  <w:sz w:val="21"/>
                </w:rPr>
                <w:t>第  十  六 条</w:t>
              </w:r>
            </w:hyperlink>
          </w:p>
        </w:tc>
      </w:tr>
      <w:tr>
        <w:trPr>
          <w:trHeight w:val="473" w:hRule="atLeast"/>
        </w:trPr>
        <w:tc>
          <w:tcPr>
            <w:tcW w:w="7836" w:type="dxa"/>
          </w:tcPr>
          <w:p>
            <w:pPr>
              <w:pStyle w:val="TableParagraph"/>
              <w:spacing w:before="67"/>
              <w:ind w:left="3682"/>
              <w:rPr>
                <w:b/>
                <w:sz w:val="21"/>
              </w:rPr>
            </w:pPr>
            <w:r>
              <w:rPr>
                <w:b/>
                <w:sz w:val="21"/>
              </w:rPr>
              <w:t>您应当特别注意的事项</w:t>
            </w:r>
          </w:p>
        </w:tc>
        <w:tc>
          <w:tcPr>
            <w:tcW w:w="1642" w:type="dxa"/>
          </w:tcPr>
          <w:p>
            <w:pPr>
              <w:pStyle w:val="TableParagraph"/>
              <w:spacing w:before="0"/>
              <w:ind w:left="0"/>
              <w:rPr>
                <w:rFonts w:ascii="Times New Roman"/>
                <w:sz w:val="22"/>
              </w:rPr>
            </w:pPr>
          </w:p>
        </w:tc>
      </w:tr>
      <w:tr>
        <w:trPr>
          <w:trHeight w:val="473" w:hRule="atLeast"/>
        </w:trPr>
        <w:tc>
          <w:tcPr>
            <w:tcW w:w="7836" w:type="dxa"/>
          </w:tcPr>
          <w:p>
            <w:pPr>
              <w:pStyle w:val="TableParagraph"/>
              <w:spacing w:before="67"/>
              <w:ind w:left="0" w:right="72"/>
              <w:jc w:val="right"/>
              <w:rPr>
                <w:sz w:val="21"/>
              </w:rPr>
            </w:pPr>
            <w:r>
              <w:rPr>
                <w:sz w:val="21"/>
              </w:rPr>
              <w:t>在某些情况下，我们不承担保险责任 .......................................</w:t>
            </w:r>
          </w:p>
        </w:tc>
        <w:tc>
          <w:tcPr>
            <w:tcW w:w="1642" w:type="dxa"/>
          </w:tcPr>
          <w:p>
            <w:pPr>
              <w:pStyle w:val="TableParagraph"/>
              <w:tabs>
                <w:tab w:pos="652" w:val="left" w:leader="none"/>
                <w:tab w:pos="1231" w:val="left" w:leader="none"/>
              </w:tabs>
              <w:spacing w:before="67"/>
              <w:ind w:left="74"/>
              <w:rPr>
                <w:b/>
                <w:sz w:val="21"/>
              </w:rPr>
            </w:pPr>
            <w:hyperlink w:history="true" w:anchor="_bookmark11">
              <w:r>
                <w:rPr>
                  <w:b/>
                  <w:sz w:val="21"/>
                </w:rPr>
                <w:t>第</w:t>
                <w:tab/>
                <w:t>十</w:t>
                <w:tab/>
                <w:t>条</w:t>
              </w:r>
            </w:hyperlink>
          </w:p>
        </w:tc>
      </w:tr>
      <w:tr>
        <w:trPr>
          <w:trHeight w:val="472" w:hRule="atLeast"/>
        </w:trPr>
        <w:tc>
          <w:tcPr>
            <w:tcW w:w="7836" w:type="dxa"/>
          </w:tcPr>
          <w:p>
            <w:pPr>
              <w:pStyle w:val="TableParagraph"/>
              <w:spacing w:before="67"/>
              <w:ind w:left="0" w:right="72"/>
              <w:jc w:val="right"/>
              <w:rPr>
                <w:sz w:val="21"/>
              </w:rPr>
            </w:pPr>
            <w:r>
              <w:rPr>
                <w:sz w:val="21"/>
              </w:rPr>
              <w:t>发生保险事故后，您应该及时通知我们 .....................................</w:t>
            </w:r>
          </w:p>
        </w:tc>
        <w:tc>
          <w:tcPr>
            <w:tcW w:w="1642" w:type="dxa"/>
          </w:tcPr>
          <w:p>
            <w:pPr>
              <w:pStyle w:val="TableParagraph"/>
              <w:spacing w:before="67"/>
              <w:ind w:left="74"/>
              <w:rPr>
                <w:b/>
                <w:sz w:val="21"/>
              </w:rPr>
            </w:pPr>
            <w:hyperlink w:history="true" w:anchor="_bookmark13">
              <w:r>
                <w:rPr>
                  <w:b/>
                  <w:sz w:val="21"/>
                </w:rPr>
                <w:t>第  十  一 条</w:t>
              </w:r>
            </w:hyperlink>
          </w:p>
        </w:tc>
      </w:tr>
      <w:tr>
        <w:trPr>
          <w:trHeight w:val="472" w:hRule="atLeast"/>
        </w:trPr>
        <w:tc>
          <w:tcPr>
            <w:tcW w:w="7836" w:type="dxa"/>
          </w:tcPr>
          <w:p>
            <w:pPr>
              <w:pStyle w:val="TableParagraph"/>
              <w:spacing w:before="67"/>
              <w:ind w:left="0" w:right="73"/>
              <w:jc w:val="right"/>
              <w:rPr>
                <w:sz w:val="21"/>
              </w:rPr>
            </w:pPr>
            <w:r>
              <w:rPr>
                <w:sz w:val="21"/>
              </w:rPr>
              <w:t>如何申请豁免保险费 .....................................................</w:t>
            </w:r>
          </w:p>
        </w:tc>
        <w:tc>
          <w:tcPr>
            <w:tcW w:w="1642" w:type="dxa"/>
          </w:tcPr>
          <w:p>
            <w:pPr>
              <w:pStyle w:val="TableParagraph"/>
              <w:spacing w:before="67"/>
              <w:ind w:left="74"/>
              <w:rPr>
                <w:b/>
                <w:sz w:val="21"/>
              </w:rPr>
            </w:pPr>
            <w:hyperlink w:history="true" w:anchor="_bookmark14">
              <w:r>
                <w:rPr>
                  <w:b/>
                  <w:sz w:val="21"/>
                </w:rPr>
                <w:t>第  十  二 条</w:t>
              </w:r>
            </w:hyperlink>
          </w:p>
        </w:tc>
      </w:tr>
      <w:tr>
        <w:trPr>
          <w:trHeight w:val="472" w:hRule="atLeast"/>
        </w:trPr>
        <w:tc>
          <w:tcPr>
            <w:tcW w:w="7836" w:type="dxa"/>
          </w:tcPr>
          <w:p>
            <w:pPr>
              <w:pStyle w:val="TableParagraph"/>
              <w:spacing w:before="67"/>
              <w:ind w:left="0" w:right="72"/>
              <w:jc w:val="right"/>
              <w:rPr>
                <w:sz w:val="21"/>
              </w:rPr>
            </w:pPr>
            <w:r>
              <w:rPr>
                <w:sz w:val="21"/>
              </w:rPr>
              <w:t>您有解除合同的权利，请您慎重决定 .......................................</w:t>
            </w:r>
          </w:p>
        </w:tc>
        <w:tc>
          <w:tcPr>
            <w:tcW w:w="1642" w:type="dxa"/>
          </w:tcPr>
          <w:p>
            <w:pPr>
              <w:pStyle w:val="TableParagraph"/>
              <w:spacing w:before="67"/>
              <w:ind w:left="74"/>
              <w:rPr>
                <w:b/>
                <w:sz w:val="21"/>
              </w:rPr>
            </w:pPr>
            <w:hyperlink w:history="true" w:anchor="_bookmark19">
              <w:r>
                <w:rPr>
                  <w:b/>
                  <w:sz w:val="21"/>
                </w:rPr>
                <w:t>第  十  六 条</w:t>
              </w:r>
            </w:hyperlink>
          </w:p>
        </w:tc>
      </w:tr>
      <w:tr>
        <w:trPr>
          <w:trHeight w:val="342" w:hRule="atLeast"/>
        </w:trPr>
        <w:tc>
          <w:tcPr>
            <w:tcW w:w="7836" w:type="dxa"/>
          </w:tcPr>
          <w:p>
            <w:pPr>
              <w:pStyle w:val="TableParagraph"/>
              <w:spacing w:line="255" w:lineRule="exact" w:before="67"/>
              <w:ind w:left="0" w:right="73"/>
              <w:jc w:val="right"/>
              <w:rPr>
                <w:sz w:val="21"/>
              </w:rPr>
            </w:pPr>
            <w:r>
              <w:rPr>
                <w:sz w:val="21"/>
              </w:rPr>
              <w:t>名词释义 ...............................................................</w:t>
            </w:r>
          </w:p>
        </w:tc>
        <w:tc>
          <w:tcPr>
            <w:tcW w:w="1642" w:type="dxa"/>
          </w:tcPr>
          <w:p>
            <w:pPr>
              <w:pStyle w:val="TableParagraph"/>
              <w:spacing w:line="255" w:lineRule="exact" w:before="67"/>
              <w:ind w:left="74"/>
              <w:rPr>
                <w:b/>
                <w:sz w:val="21"/>
              </w:rPr>
            </w:pPr>
            <w:hyperlink w:history="true" w:anchor="_bookmark30">
              <w:r>
                <w:rPr>
                  <w:b/>
                  <w:sz w:val="21"/>
                </w:rPr>
                <w:t>第  六  部 分</w:t>
              </w:r>
            </w:hyperlink>
          </w:p>
        </w:tc>
      </w:tr>
    </w:tbl>
    <w:p>
      <w:pPr>
        <w:pStyle w:val="BodyText"/>
        <w:spacing w:before="0"/>
        <w:rPr>
          <w:b/>
          <w:sz w:val="20"/>
        </w:rPr>
      </w:pPr>
    </w:p>
    <w:p>
      <w:pPr>
        <w:pStyle w:val="BodyText"/>
        <w:spacing w:before="7"/>
        <w:rPr>
          <w:b/>
          <w:sz w:val="14"/>
        </w:rPr>
      </w:pPr>
    </w:p>
    <w:p>
      <w:pPr>
        <w:spacing w:before="0"/>
        <w:ind w:left="4391" w:right="4671" w:firstLine="0"/>
        <w:jc w:val="center"/>
        <w:rPr>
          <w:b/>
          <w:sz w:val="21"/>
        </w:rPr>
      </w:pPr>
      <w:r>
        <w:rPr>
          <w:b/>
          <w:sz w:val="21"/>
        </w:rPr>
        <w:t>说明</w:t>
      </w:r>
    </w:p>
    <w:p>
      <w:pPr>
        <w:pStyle w:val="BodyText"/>
        <w:spacing w:before="0"/>
        <w:rPr>
          <w:b/>
          <w:sz w:val="20"/>
        </w:rPr>
      </w:pPr>
    </w:p>
    <w:p>
      <w:pPr>
        <w:pStyle w:val="BodyText"/>
        <w:spacing w:before="0"/>
        <w:rPr>
          <w:b/>
          <w:sz w:val="15"/>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7"/>
        <w:gridCol w:w="832"/>
        <w:gridCol w:w="3261"/>
      </w:tblGrid>
      <w:tr>
        <w:trPr>
          <w:trHeight w:val="285" w:hRule="atLeast"/>
        </w:trPr>
        <w:tc>
          <w:tcPr>
            <w:tcW w:w="1557" w:type="dxa"/>
          </w:tcPr>
          <w:p>
            <w:pPr>
              <w:pStyle w:val="TableParagraph"/>
              <w:spacing w:line="211" w:lineRule="exact" w:before="0"/>
              <w:ind w:left="200"/>
              <w:rPr>
                <w:b/>
                <w:sz w:val="21"/>
              </w:rPr>
            </w:pPr>
            <w:r>
              <w:rPr>
                <w:b/>
                <w:sz w:val="21"/>
              </w:rPr>
              <w:t>我们</w:t>
            </w:r>
          </w:p>
        </w:tc>
        <w:tc>
          <w:tcPr>
            <w:tcW w:w="832" w:type="dxa"/>
          </w:tcPr>
          <w:p>
            <w:pPr>
              <w:pStyle w:val="TableParagraph"/>
              <w:spacing w:line="211" w:lineRule="exact" w:before="0"/>
              <w:ind w:left="0" w:right="106"/>
              <w:jc w:val="right"/>
              <w:rPr>
                <w:b/>
                <w:sz w:val="21"/>
              </w:rPr>
            </w:pPr>
            <w:r>
              <w:rPr>
                <w:b/>
                <w:w w:val="100"/>
                <w:sz w:val="21"/>
              </w:rPr>
              <w:t>：</w:t>
            </w:r>
          </w:p>
        </w:tc>
        <w:tc>
          <w:tcPr>
            <w:tcW w:w="3261" w:type="dxa"/>
          </w:tcPr>
          <w:p>
            <w:pPr>
              <w:pStyle w:val="TableParagraph"/>
              <w:spacing w:line="211" w:lineRule="exact" w:before="0"/>
              <w:ind w:left="108"/>
              <w:rPr>
                <w:b/>
                <w:sz w:val="21"/>
              </w:rPr>
            </w:pPr>
            <w:r>
              <w:rPr>
                <w:b/>
                <w:sz w:val="21"/>
              </w:rPr>
              <w:t>指光大永明人寿保险有限公司。</w:t>
            </w:r>
          </w:p>
        </w:tc>
      </w:tr>
      <w:tr>
        <w:trPr>
          <w:trHeight w:val="359" w:hRule="atLeast"/>
        </w:trPr>
        <w:tc>
          <w:tcPr>
            <w:tcW w:w="1557" w:type="dxa"/>
          </w:tcPr>
          <w:p>
            <w:pPr>
              <w:pStyle w:val="TableParagraph"/>
              <w:spacing w:before="11"/>
              <w:ind w:left="200"/>
              <w:rPr>
                <w:b/>
                <w:sz w:val="21"/>
              </w:rPr>
            </w:pPr>
            <w:r>
              <w:rPr>
                <w:b/>
                <w:w w:val="100"/>
                <w:sz w:val="21"/>
              </w:rPr>
              <w:t>您</w:t>
            </w:r>
          </w:p>
        </w:tc>
        <w:tc>
          <w:tcPr>
            <w:tcW w:w="832" w:type="dxa"/>
          </w:tcPr>
          <w:p>
            <w:pPr>
              <w:pStyle w:val="TableParagraph"/>
              <w:spacing w:before="11"/>
              <w:ind w:left="0" w:right="106"/>
              <w:jc w:val="right"/>
              <w:rPr>
                <w:b/>
                <w:sz w:val="21"/>
              </w:rPr>
            </w:pPr>
            <w:r>
              <w:rPr>
                <w:b/>
                <w:w w:val="100"/>
                <w:sz w:val="21"/>
              </w:rPr>
              <w:t>：</w:t>
            </w:r>
          </w:p>
        </w:tc>
        <w:tc>
          <w:tcPr>
            <w:tcW w:w="3261" w:type="dxa"/>
          </w:tcPr>
          <w:p>
            <w:pPr>
              <w:pStyle w:val="TableParagraph"/>
              <w:spacing w:before="11"/>
              <w:ind w:left="108"/>
              <w:rPr>
                <w:b/>
                <w:sz w:val="21"/>
              </w:rPr>
            </w:pPr>
            <w:r>
              <w:rPr>
                <w:b/>
                <w:sz w:val="21"/>
              </w:rPr>
              <w:t>指投保人。</w:t>
            </w:r>
          </w:p>
        </w:tc>
      </w:tr>
      <w:tr>
        <w:trPr>
          <w:trHeight w:val="284" w:hRule="atLeast"/>
        </w:trPr>
        <w:tc>
          <w:tcPr>
            <w:tcW w:w="1557" w:type="dxa"/>
          </w:tcPr>
          <w:p>
            <w:pPr>
              <w:pStyle w:val="TableParagraph"/>
              <w:spacing w:line="255" w:lineRule="exact" w:before="9"/>
              <w:ind w:left="200"/>
              <w:rPr>
                <w:b/>
                <w:sz w:val="21"/>
              </w:rPr>
            </w:pPr>
            <w:r>
              <w:rPr>
                <w:b/>
                <w:sz w:val="21"/>
              </w:rPr>
              <w:t>保险条款</w:t>
            </w:r>
          </w:p>
        </w:tc>
        <w:tc>
          <w:tcPr>
            <w:tcW w:w="832" w:type="dxa"/>
          </w:tcPr>
          <w:p>
            <w:pPr>
              <w:pStyle w:val="TableParagraph"/>
              <w:spacing w:line="255" w:lineRule="exact" w:before="9"/>
              <w:ind w:left="0" w:right="106"/>
              <w:jc w:val="right"/>
              <w:rPr>
                <w:b/>
                <w:sz w:val="21"/>
              </w:rPr>
            </w:pPr>
            <w:r>
              <w:rPr>
                <w:b/>
                <w:w w:val="100"/>
                <w:sz w:val="21"/>
              </w:rPr>
              <w:t>：</w:t>
            </w:r>
          </w:p>
        </w:tc>
        <w:tc>
          <w:tcPr>
            <w:tcW w:w="3261" w:type="dxa"/>
          </w:tcPr>
          <w:p>
            <w:pPr>
              <w:pStyle w:val="TableParagraph"/>
              <w:spacing w:line="255" w:lineRule="exact" w:before="9"/>
              <w:ind w:left="108"/>
              <w:rPr>
                <w:b/>
                <w:sz w:val="21"/>
              </w:rPr>
            </w:pPr>
            <w:r>
              <w:rPr>
                <w:b/>
                <w:sz w:val="21"/>
              </w:rPr>
              <w:t>指本条款。</w:t>
            </w:r>
          </w:p>
        </w:tc>
      </w:tr>
    </w:tbl>
    <w:p>
      <w:pPr>
        <w:spacing w:after="0" w:line="255" w:lineRule="exact"/>
        <w:rPr>
          <w:sz w:val="21"/>
        </w:rPr>
        <w:sectPr>
          <w:type w:val="continuous"/>
          <w:pgSz w:w="11910" w:h="16840"/>
          <w:pgMar w:top="580" w:bottom="280" w:left="1100" w:right="860"/>
        </w:sectPr>
      </w:pPr>
    </w:p>
    <w:p>
      <w:pPr>
        <w:spacing w:before="9"/>
        <w:ind w:left="4195" w:right="4211" w:firstLine="0"/>
        <w:jc w:val="center"/>
        <w:rPr>
          <w:b/>
          <w:sz w:val="21"/>
        </w:rPr>
      </w:pPr>
      <w:r>
        <w:rPr>
          <w:b/>
          <w:sz w:val="21"/>
        </w:rPr>
        <w:t>条款目录</w:t>
      </w:r>
    </w:p>
    <w:sdt>
      <w:sdtPr>
        <w:docPartObj>
          <w:docPartGallery w:val="Table of Contents"/>
          <w:docPartUnique/>
        </w:docPartObj>
      </w:sdtPr>
      <w:sdtEndPr/>
      <w:sdtContent>
        <w:p>
          <w:pPr>
            <w:pStyle w:val="TOC1"/>
            <w:tabs>
              <w:tab w:pos="1167" w:val="left" w:leader="none"/>
              <w:tab w:pos="9180" w:val="right" w:leader="dot"/>
            </w:tabs>
            <w:spacing w:before="186"/>
            <w:rPr>
              <w:rFonts w:ascii="Calibri" w:eastAsia="Calibri"/>
            </w:rPr>
          </w:pPr>
          <w:r>
            <w:fldChar w:fldCharType="begin"/>
          </w:r>
          <w:r>
            <w:instrText>TOC \o "1-2" \h \z \u </w:instrText>
          </w:r>
          <w:r>
            <w:fldChar w:fldCharType="separate"/>
          </w:r>
          <w:hyperlink w:history="true" w:anchor="_bookmark0">
            <w:r>
              <w:rPr/>
              <w:t>第一部分</w:t>
              <w:tab/>
              <w:t>您与我们的合同</w:t>
              <w:tab/>
            </w:r>
            <w:r>
              <w:rPr>
                <w:rFonts w:ascii="Calibri" w:eastAsia="Calibri"/>
              </w:rPr>
              <w:t>1</w:t>
            </w:r>
          </w:hyperlink>
        </w:p>
        <w:p>
          <w:pPr>
            <w:pStyle w:val="TOC2"/>
            <w:tabs>
              <w:tab w:pos="9180" w:val="right" w:leader="dot"/>
            </w:tabs>
            <w:spacing w:before="144"/>
            <w:rPr>
              <w:rFonts w:ascii="Calibri" w:eastAsia="Calibri"/>
            </w:rPr>
          </w:pPr>
          <w:hyperlink w:history="true" w:anchor="_bookmark1">
            <w:r>
              <w:rPr/>
              <w:t>第一条</w:t>
            </w:r>
            <w:r>
              <w:rPr>
                <w:spacing w:val="-20"/>
              </w:rPr>
              <w:t> </w:t>
            </w:r>
            <w:r>
              <w:rPr/>
              <w:t>附加保险合同的构成</w:t>
              <w:tab/>
            </w:r>
            <w:r>
              <w:rPr>
                <w:rFonts w:ascii="Calibri" w:eastAsia="Calibri"/>
              </w:rPr>
              <w:t>1</w:t>
            </w:r>
          </w:hyperlink>
        </w:p>
        <w:p>
          <w:pPr>
            <w:pStyle w:val="TOC2"/>
            <w:tabs>
              <w:tab w:pos="9180" w:val="right" w:leader="dot"/>
            </w:tabs>
            <w:rPr>
              <w:rFonts w:ascii="Calibri" w:eastAsia="Calibri"/>
            </w:rPr>
          </w:pPr>
          <w:hyperlink w:history="true" w:anchor="_bookmark2">
            <w:r>
              <w:rPr/>
              <w:t>第二条</w:t>
            </w:r>
            <w:r>
              <w:rPr>
                <w:spacing w:val="-20"/>
              </w:rPr>
              <w:t> </w:t>
            </w:r>
            <w:r>
              <w:rPr/>
              <w:t>投保范围</w:t>
              <w:tab/>
            </w:r>
            <w:r>
              <w:rPr>
                <w:rFonts w:ascii="Calibri" w:eastAsia="Calibri"/>
              </w:rPr>
              <w:t>1</w:t>
            </w:r>
          </w:hyperlink>
        </w:p>
        <w:p>
          <w:pPr>
            <w:pStyle w:val="TOC2"/>
            <w:tabs>
              <w:tab w:pos="9180" w:val="right" w:leader="dot"/>
            </w:tabs>
            <w:rPr>
              <w:rFonts w:ascii="Calibri" w:eastAsia="Calibri"/>
            </w:rPr>
          </w:pPr>
          <w:hyperlink w:history="true" w:anchor="_bookmark3">
            <w:r>
              <w:rPr/>
              <w:t>第三条</w:t>
            </w:r>
            <w:r>
              <w:rPr>
                <w:spacing w:val="-20"/>
              </w:rPr>
              <w:t> </w:t>
            </w:r>
            <w:r>
              <w:rPr/>
              <w:t>保险合同的成立与生效</w:t>
              <w:tab/>
            </w:r>
            <w:r>
              <w:rPr>
                <w:rFonts w:ascii="Calibri" w:eastAsia="Calibri"/>
              </w:rPr>
              <w:t>1</w:t>
            </w:r>
          </w:hyperlink>
        </w:p>
        <w:p>
          <w:pPr>
            <w:pStyle w:val="TOC2"/>
            <w:tabs>
              <w:tab w:pos="9180" w:val="right" w:leader="dot"/>
            </w:tabs>
            <w:rPr>
              <w:rFonts w:ascii="Calibri" w:eastAsia="Calibri"/>
            </w:rPr>
          </w:pPr>
          <w:hyperlink w:history="true" w:anchor="_bookmark4">
            <w:r>
              <w:rPr/>
              <w:t>第四条</w:t>
            </w:r>
            <w:r>
              <w:rPr>
                <w:spacing w:val="-20"/>
              </w:rPr>
              <w:t> </w:t>
            </w:r>
            <w:r>
              <w:rPr/>
              <w:t>保险期间</w:t>
              <w:tab/>
            </w:r>
            <w:r>
              <w:rPr>
                <w:rFonts w:ascii="Calibri" w:eastAsia="Calibri"/>
              </w:rPr>
              <w:t>1</w:t>
            </w:r>
          </w:hyperlink>
        </w:p>
        <w:p>
          <w:pPr>
            <w:pStyle w:val="TOC2"/>
            <w:tabs>
              <w:tab w:pos="9180" w:val="right" w:leader="dot"/>
            </w:tabs>
            <w:rPr>
              <w:rFonts w:ascii="Calibri" w:eastAsia="Calibri"/>
            </w:rPr>
          </w:pPr>
          <w:hyperlink w:history="true" w:anchor="_bookmark5">
            <w:r>
              <w:rPr/>
              <w:t>第五条</w:t>
            </w:r>
            <w:r>
              <w:rPr>
                <w:spacing w:val="-20"/>
              </w:rPr>
              <w:t> </w:t>
            </w:r>
            <w:r>
              <w:rPr/>
              <w:t>保险费的支付</w:t>
              <w:tab/>
            </w:r>
            <w:r>
              <w:rPr>
                <w:rFonts w:ascii="Calibri" w:eastAsia="Calibri"/>
              </w:rPr>
              <w:t>1</w:t>
            </w:r>
          </w:hyperlink>
        </w:p>
        <w:p>
          <w:pPr>
            <w:pStyle w:val="TOC2"/>
            <w:tabs>
              <w:tab w:pos="9180" w:val="right" w:leader="dot"/>
            </w:tabs>
            <w:rPr>
              <w:rFonts w:ascii="Calibri" w:eastAsia="Calibri"/>
            </w:rPr>
          </w:pPr>
          <w:hyperlink w:history="true" w:anchor="_bookmark6">
            <w:r>
              <w:rPr/>
              <w:t>第六条</w:t>
            </w:r>
            <w:r>
              <w:rPr>
                <w:spacing w:val="-20"/>
              </w:rPr>
              <w:t> </w:t>
            </w:r>
            <w:r>
              <w:rPr/>
              <w:t>保险金额</w:t>
              <w:tab/>
            </w:r>
            <w:r>
              <w:rPr>
                <w:rFonts w:ascii="Calibri" w:eastAsia="Calibri"/>
              </w:rPr>
              <w:t>1</w:t>
            </w:r>
          </w:hyperlink>
        </w:p>
        <w:p>
          <w:pPr>
            <w:pStyle w:val="TOC2"/>
            <w:tabs>
              <w:tab w:pos="9180" w:val="right" w:leader="dot"/>
            </w:tabs>
            <w:rPr>
              <w:rFonts w:ascii="Calibri" w:eastAsia="Calibri"/>
            </w:rPr>
          </w:pPr>
          <w:hyperlink w:history="true" w:anchor="_bookmark7">
            <w:r>
              <w:rPr/>
              <w:t>第七条</w:t>
            </w:r>
            <w:r>
              <w:rPr>
                <w:spacing w:val="-20"/>
              </w:rPr>
              <w:t> </w:t>
            </w:r>
            <w:r>
              <w:rPr/>
              <w:t>保险合同的中止</w:t>
              <w:tab/>
            </w:r>
            <w:r>
              <w:rPr>
                <w:rFonts w:ascii="Calibri" w:eastAsia="Calibri"/>
              </w:rPr>
              <w:t>1</w:t>
            </w:r>
          </w:hyperlink>
        </w:p>
        <w:p>
          <w:pPr>
            <w:pStyle w:val="TOC2"/>
            <w:tabs>
              <w:tab w:pos="9180" w:val="right" w:leader="dot"/>
            </w:tabs>
            <w:rPr>
              <w:rFonts w:ascii="Calibri" w:eastAsia="Calibri"/>
            </w:rPr>
          </w:pPr>
          <w:hyperlink w:history="true" w:anchor="_bookmark8">
            <w:r>
              <w:rPr/>
              <w:t>第八条</w:t>
            </w:r>
            <w:r>
              <w:rPr>
                <w:spacing w:val="-20"/>
              </w:rPr>
              <w:t> </w:t>
            </w:r>
            <w:r>
              <w:rPr/>
              <w:t>保险合同的终止</w:t>
              <w:tab/>
            </w:r>
            <w:r>
              <w:rPr>
                <w:rFonts w:ascii="Calibri" w:eastAsia="Calibri"/>
              </w:rPr>
              <w:t>2</w:t>
            </w:r>
          </w:hyperlink>
        </w:p>
        <w:p>
          <w:pPr>
            <w:pStyle w:val="TOC1"/>
            <w:tabs>
              <w:tab w:pos="1167" w:val="left" w:leader="none"/>
              <w:tab w:pos="9180" w:val="right" w:leader="dot"/>
            </w:tabs>
            <w:rPr>
              <w:rFonts w:ascii="Calibri" w:eastAsia="Calibri"/>
            </w:rPr>
          </w:pPr>
          <w:hyperlink w:history="true" w:anchor="_bookmark9">
            <w:r>
              <w:rPr/>
              <w:t>第二部分</w:t>
              <w:tab/>
              <w:t>我们提供的保障</w:t>
              <w:tab/>
            </w:r>
            <w:r>
              <w:rPr>
                <w:rFonts w:ascii="Calibri" w:eastAsia="Calibri"/>
              </w:rPr>
              <w:t>2</w:t>
            </w:r>
          </w:hyperlink>
        </w:p>
        <w:p>
          <w:pPr>
            <w:pStyle w:val="TOC2"/>
            <w:tabs>
              <w:tab w:pos="9180" w:val="right" w:leader="dot"/>
            </w:tabs>
            <w:spacing w:before="144"/>
            <w:rPr>
              <w:rFonts w:ascii="Calibri" w:eastAsia="Calibri"/>
            </w:rPr>
          </w:pPr>
          <w:hyperlink w:history="true" w:anchor="_bookmark10">
            <w:r>
              <w:rPr/>
              <w:t>第九条</w:t>
            </w:r>
            <w:r>
              <w:rPr>
                <w:spacing w:val="-20"/>
              </w:rPr>
              <w:t> </w:t>
            </w:r>
            <w:r>
              <w:rPr/>
              <w:t>保险责任</w:t>
              <w:tab/>
            </w:r>
            <w:r>
              <w:rPr>
                <w:rFonts w:ascii="Calibri" w:eastAsia="Calibri"/>
              </w:rPr>
              <w:t>2</w:t>
            </w:r>
          </w:hyperlink>
        </w:p>
        <w:p>
          <w:pPr>
            <w:pStyle w:val="TOC2"/>
            <w:tabs>
              <w:tab w:pos="9180" w:val="right" w:leader="dot"/>
            </w:tabs>
            <w:rPr>
              <w:rFonts w:ascii="Calibri" w:eastAsia="Calibri"/>
            </w:rPr>
          </w:pPr>
          <w:hyperlink w:history="true" w:anchor="_bookmark11">
            <w:r>
              <w:rPr/>
              <w:t>第十条</w:t>
            </w:r>
            <w:r>
              <w:rPr>
                <w:spacing w:val="-20"/>
              </w:rPr>
              <w:t> </w:t>
            </w:r>
            <w:r>
              <w:rPr/>
              <w:t>责任免除</w:t>
              <w:tab/>
            </w:r>
            <w:r>
              <w:rPr>
                <w:rFonts w:ascii="Calibri" w:eastAsia="Calibri"/>
              </w:rPr>
              <w:t>2</w:t>
            </w:r>
          </w:hyperlink>
        </w:p>
        <w:p>
          <w:pPr>
            <w:pStyle w:val="TOC1"/>
            <w:tabs>
              <w:tab w:pos="1167" w:val="left" w:leader="none"/>
              <w:tab w:pos="9180" w:val="right" w:leader="dot"/>
            </w:tabs>
            <w:rPr>
              <w:rFonts w:ascii="Calibri" w:eastAsia="Calibri"/>
            </w:rPr>
          </w:pPr>
          <w:hyperlink w:history="true" w:anchor="_bookmark12">
            <w:r>
              <w:rPr/>
              <w:t>第三部分</w:t>
              <w:tab/>
              <w:t>如何申请豁免保险费</w:t>
              <w:tab/>
            </w:r>
            <w:r>
              <w:rPr>
                <w:rFonts w:ascii="Calibri" w:eastAsia="Calibri"/>
              </w:rPr>
              <w:t>3</w:t>
            </w:r>
          </w:hyperlink>
        </w:p>
        <w:p>
          <w:pPr>
            <w:pStyle w:val="TOC2"/>
            <w:tabs>
              <w:tab w:pos="9180" w:val="right" w:leader="dot"/>
            </w:tabs>
            <w:spacing w:before="144"/>
            <w:rPr>
              <w:rFonts w:ascii="Calibri" w:eastAsia="Calibri"/>
            </w:rPr>
          </w:pPr>
          <w:hyperlink w:history="true" w:anchor="_bookmark13">
            <w:r>
              <w:rPr/>
              <w:t>第十一条</w:t>
            </w:r>
            <w:r>
              <w:rPr>
                <w:spacing w:val="-20"/>
              </w:rPr>
              <w:t> </w:t>
            </w:r>
            <w:r>
              <w:rPr/>
              <w:t>保险事故通知</w:t>
              <w:tab/>
            </w:r>
            <w:r>
              <w:rPr>
                <w:rFonts w:ascii="Calibri" w:eastAsia="Calibri"/>
              </w:rPr>
              <w:t>3</w:t>
            </w:r>
          </w:hyperlink>
        </w:p>
        <w:p>
          <w:pPr>
            <w:pStyle w:val="TOC2"/>
            <w:tabs>
              <w:tab w:pos="9180" w:val="right" w:leader="dot"/>
            </w:tabs>
            <w:rPr>
              <w:rFonts w:ascii="Calibri" w:eastAsia="Calibri"/>
            </w:rPr>
          </w:pPr>
          <w:hyperlink w:history="true" w:anchor="_bookmark14">
            <w:r>
              <w:rPr/>
              <w:t>第十二条</w:t>
            </w:r>
            <w:r>
              <w:rPr>
                <w:spacing w:val="-20"/>
              </w:rPr>
              <w:t> </w:t>
            </w:r>
            <w:r>
              <w:rPr/>
              <w:t>豁免保险费的申请</w:t>
              <w:tab/>
            </w:r>
            <w:r>
              <w:rPr>
                <w:rFonts w:ascii="Calibri" w:eastAsia="Calibri"/>
              </w:rPr>
              <w:t>3</w:t>
            </w:r>
          </w:hyperlink>
        </w:p>
        <w:p>
          <w:pPr>
            <w:pStyle w:val="TOC2"/>
            <w:tabs>
              <w:tab w:pos="9180" w:val="right" w:leader="dot"/>
            </w:tabs>
            <w:rPr>
              <w:rFonts w:ascii="Calibri" w:eastAsia="Calibri"/>
            </w:rPr>
          </w:pPr>
          <w:hyperlink w:history="true" w:anchor="_bookmark15">
            <w:r>
              <w:rPr/>
              <w:t>第十三条</w:t>
            </w:r>
            <w:r>
              <w:rPr>
                <w:spacing w:val="-20"/>
              </w:rPr>
              <w:t> </w:t>
            </w:r>
            <w:r>
              <w:rPr/>
              <w:t>欠款的扣除</w:t>
              <w:tab/>
            </w:r>
            <w:r>
              <w:rPr>
                <w:rFonts w:ascii="Calibri" w:eastAsia="Calibri"/>
              </w:rPr>
              <w:t>4</w:t>
            </w:r>
          </w:hyperlink>
        </w:p>
        <w:p>
          <w:pPr>
            <w:pStyle w:val="TOC1"/>
            <w:tabs>
              <w:tab w:pos="1167" w:val="left" w:leader="none"/>
              <w:tab w:pos="9180" w:val="right" w:leader="dot"/>
            </w:tabs>
            <w:rPr>
              <w:rFonts w:ascii="Calibri" w:eastAsia="Calibri"/>
            </w:rPr>
          </w:pPr>
          <w:hyperlink w:history="true" w:anchor="_bookmark16">
            <w:r>
              <w:rPr/>
              <w:t>第四部分</w:t>
              <w:tab/>
              <w:t>您所拥有的重要权益</w:t>
              <w:tab/>
            </w:r>
            <w:r>
              <w:rPr>
                <w:rFonts w:ascii="Calibri" w:eastAsia="Calibri"/>
              </w:rPr>
              <w:t>4</w:t>
            </w:r>
          </w:hyperlink>
        </w:p>
        <w:p>
          <w:pPr>
            <w:pStyle w:val="TOC2"/>
            <w:tabs>
              <w:tab w:pos="9180" w:val="right" w:leader="dot"/>
            </w:tabs>
            <w:spacing w:before="144"/>
            <w:rPr>
              <w:rFonts w:ascii="Calibri" w:eastAsia="Calibri"/>
            </w:rPr>
          </w:pPr>
          <w:hyperlink w:history="true" w:anchor="_bookmark17">
            <w:r>
              <w:rPr/>
              <w:t>第十四条</w:t>
            </w:r>
            <w:r>
              <w:rPr>
                <w:spacing w:val="-20"/>
              </w:rPr>
              <w:t> </w:t>
            </w:r>
            <w:r>
              <w:rPr/>
              <w:t>合同效力的恢复</w:t>
              <w:tab/>
            </w:r>
            <w:r>
              <w:rPr>
                <w:rFonts w:ascii="Calibri" w:eastAsia="Calibri"/>
              </w:rPr>
              <w:t>4</w:t>
            </w:r>
          </w:hyperlink>
        </w:p>
        <w:p>
          <w:pPr>
            <w:pStyle w:val="TOC2"/>
            <w:tabs>
              <w:tab w:pos="9180" w:val="right" w:leader="dot"/>
            </w:tabs>
            <w:rPr>
              <w:rFonts w:ascii="Calibri" w:eastAsia="Calibri"/>
            </w:rPr>
          </w:pPr>
          <w:hyperlink w:history="true" w:anchor="_bookmark18">
            <w:r>
              <w:rPr/>
              <w:t>第十五条</w:t>
            </w:r>
            <w:r>
              <w:rPr>
                <w:spacing w:val="-20"/>
              </w:rPr>
              <w:t> </w:t>
            </w:r>
            <w:r>
              <w:rPr/>
              <w:t>合同内容变更权</w:t>
              <w:tab/>
            </w:r>
            <w:r>
              <w:rPr>
                <w:rFonts w:ascii="Calibri" w:eastAsia="Calibri"/>
              </w:rPr>
              <w:t>4</w:t>
            </w:r>
          </w:hyperlink>
        </w:p>
        <w:p>
          <w:pPr>
            <w:pStyle w:val="TOC2"/>
            <w:tabs>
              <w:tab w:pos="9180" w:val="right" w:leader="dot"/>
            </w:tabs>
            <w:rPr>
              <w:rFonts w:ascii="Calibri" w:eastAsia="Calibri"/>
            </w:rPr>
          </w:pPr>
          <w:hyperlink w:history="true" w:anchor="_bookmark19">
            <w:r>
              <w:rPr/>
              <w:t>第十六条</w:t>
            </w:r>
            <w:r>
              <w:rPr>
                <w:spacing w:val="-20"/>
              </w:rPr>
              <w:t> </w:t>
            </w:r>
            <w:r>
              <w:rPr/>
              <w:t>犹豫期及合同解除权</w:t>
              <w:tab/>
            </w:r>
            <w:r>
              <w:rPr>
                <w:rFonts w:ascii="Calibri" w:eastAsia="Calibri"/>
              </w:rPr>
              <w:t>5</w:t>
            </w:r>
          </w:hyperlink>
        </w:p>
        <w:p>
          <w:pPr>
            <w:pStyle w:val="TOC1"/>
            <w:tabs>
              <w:tab w:pos="1167" w:val="left" w:leader="none"/>
              <w:tab w:pos="9180" w:val="right" w:leader="dot"/>
            </w:tabs>
            <w:rPr>
              <w:rFonts w:ascii="Calibri" w:eastAsia="Calibri"/>
            </w:rPr>
          </w:pPr>
          <w:hyperlink w:history="true" w:anchor="_bookmark20">
            <w:r>
              <w:rPr/>
              <w:t>第五部分</w:t>
              <w:tab/>
              <w:t>您必须了解的事项</w:t>
              <w:tab/>
            </w:r>
            <w:r>
              <w:rPr>
                <w:rFonts w:ascii="Calibri" w:eastAsia="Calibri"/>
              </w:rPr>
              <w:t>5</w:t>
            </w:r>
          </w:hyperlink>
        </w:p>
        <w:p>
          <w:pPr>
            <w:pStyle w:val="TOC2"/>
            <w:tabs>
              <w:tab w:pos="9180" w:val="right" w:leader="dot"/>
            </w:tabs>
            <w:spacing w:before="144"/>
            <w:rPr>
              <w:rFonts w:ascii="Calibri" w:eastAsia="Calibri"/>
            </w:rPr>
          </w:pPr>
          <w:hyperlink w:history="true" w:anchor="_bookmark21">
            <w:r>
              <w:rPr/>
              <w:t>第十七条</w:t>
            </w:r>
            <w:r>
              <w:rPr>
                <w:spacing w:val="-20"/>
              </w:rPr>
              <w:t> </w:t>
            </w:r>
            <w:r>
              <w:rPr/>
              <w:t>明确说明和如实告知义务</w:t>
              <w:tab/>
            </w:r>
            <w:r>
              <w:rPr>
                <w:rFonts w:ascii="Calibri" w:eastAsia="Calibri"/>
              </w:rPr>
              <w:t>5</w:t>
            </w:r>
          </w:hyperlink>
        </w:p>
        <w:p>
          <w:pPr>
            <w:pStyle w:val="TOC2"/>
            <w:tabs>
              <w:tab w:pos="9180" w:val="right" w:leader="dot"/>
            </w:tabs>
            <w:rPr>
              <w:rFonts w:ascii="Calibri" w:eastAsia="Calibri"/>
            </w:rPr>
          </w:pPr>
          <w:hyperlink w:history="true" w:anchor="_bookmark22">
            <w:r>
              <w:rPr/>
              <w:t>第十八条</w:t>
            </w:r>
            <w:r>
              <w:rPr>
                <w:spacing w:val="-20"/>
              </w:rPr>
              <w:t> </w:t>
            </w:r>
            <w:r>
              <w:rPr/>
              <w:t>宽限期</w:t>
              <w:tab/>
            </w:r>
            <w:r>
              <w:rPr>
                <w:rFonts w:ascii="Calibri" w:eastAsia="Calibri"/>
              </w:rPr>
              <w:t>5</w:t>
            </w:r>
          </w:hyperlink>
        </w:p>
        <w:p>
          <w:pPr>
            <w:pStyle w:val="TOC2"/>
            <w:tabs>
              <w:tab w:pos="9180" w:val="right" w:leader="dot"/>
            </w:tabs>
            <w:rPr>
              <w:rFonts w:ascii="Calibri" w:eastAsia="Calibri"/>
            </w:rPr>
          </w:pPr>
          <w:hyperlink w:history="true" w:anchor="_bookmark23">
            <w:r>
              <w:rPr/>
              <w:t>第十九条</w:t>
            </w:r>
            <w:r>
              <w:rPr>
                <w:spacing w:val="-20"/>
              </w:rPr>
              <w:t> </w:t>
            </w:r>
            <w:r>
              <w:rPr/>
              <w:t>年龄计算及错误处理</w:t>
              <w:tab/>
            </w:r>
            <w:r>
              <w:rPr>
                <w:rFonts w:ascii="Calibri" w:eastAsia="Calibri"/>
              </w:rPr>
              <w:t>6</w:t>
            </w:r>
          </w:hyperlink>
        </w:p>
        <w:p>
          <w:pPr>
            <w:pStyle w:val="TOC2"/>
            <w:tabs>
              <w:tab w:pos="9180" w:val="right" w:leader="dot"/>
            </w:tabs>
            <w:rPr>
              <w:rFonts w:ascii="Calibri" w:eastAsia="Calibri"/>
            </w:rPr>
          </w:pPr>
          <w:hyperlink w:history="true" w:anchor="_bookmark24">
            <w:r>
              <w:rPr/>
              <w:t>第二十条</w:t>
            </w:r>
            <w:r>
              <w:rPr>
                <w:spacing w:val="-20"/>
              </w:rPr>
              <w:t> </w:t>
            </w:r>
            <w:r>
              <w:rPr/>
              <w:t>宣告死亡处理</w:t>
              <w:tab/>
            </w:r>
            <w:r>
              <w:rPr>
                <w:rFonts w:ascii="Calibri" w:eastAsia="Calibri"/>
              </w:rPr>
              <w:t>6</w:t>
            </w:r>
          </w:hyperlink>
        </w:p>
        <w:p>
          <w:pPr>
            <w:pStyle w:val="TOC2"/>
            <w:tabs>
              <w:tab w:pos="9180" w:val="right" w:leader="dot"/>
            </w:tabs>
            <w:rPr>
              <w:rFonts w:ascii="Calibri" w:eastAsia="Calibri"/>
            </w:rPr>
          </w:pPr>
          <w:hyperlink w:history="true" w:anchor="_bookmark25">
            <w:r>
              <w:rPr/>
              <w:t>第二十一条</w:t>
            </w:r>
            <w:r>
              <w:rPr>
                <w:spacing w:val="-20"/>
              </w:rPr>
              <w:t> </w:t>
            </w:r>
            <w:r>
              <w:rPr/>
              <w:t>司法鉴定</w:t>
              <w:tab/>
            </w:r>
            <w:r>
              <w:rPr>
                <w:rFonts w:ascii="Calibri" w:eastAsia="Calibri"/>
              </w:rPr>
              <w:t>6</w:t>
            </w:r>
          </w:hyperlink>
        </w:p>
        <w:p>
          <w:pPr>
            <w:pStyle w:val="TOC2"/>
            <w:tabs>
              <w:tab w:pos="9180" w:val="right" w:leader="dot"/>
            </w:tabs>
            <w:rPr>
              <w:rFonts w:ascii="Calibri" w:eastAsia="Calibri"/>
            </w:rPr>
          </w:pPr>
          <w:hyperlink w:history="true" w:anchor="_bookmark26">
            <w:r>
              <w:rPr/>
              <w:t>第二十二条</w:t>
            </w:r>
            <w:r>
              <w:rPr>
                <w:spacing w:val="-20"/>
              </w:rPr>
              <w:t> </w:t>
            </w:r>
            <w:r>
              <w:rPr/>
              <w:t>高度残疾鉴定</w:t>
              <w:tab/>
            </w:r>
            <w:r>
              <w:rPr>
                <w:rFonts w:ascii="Calibri" w:eastAsia="Calibri"/>
              </w:rPr>
              <w:t>6</w:t>
            </w:r>
          </w:hyperlink>
        </w:p>
        <w:p>
          <w:pPr>
            <w:pStyle w:val="TOC2"/>
            <w:tabs>
              <w:tab w:pos="9180" w:val="right" w:leader="dot"/>
            </w:tabs>
            <w:rPr>
              <w:rFonts w:ascii="Calibri" w:eastAsia="Calibri"/>
            </w:rPr>
          </w:pPr>
          <w:hyperlink w:history="true" w:anchor="_bookmark27">
            <w:r>
              <w:rPr/>
              <w:t>第二十三条</w:t>
            </w:r>
            <w:r>
              <w:rPr>
                <w:spacing w:val="-20"/>
              </w:rPr>
              <w:t> </w:t>
            </w:r>
            <w:r>
              <w:rPr/>
              <w:t>争议处理与法律适用</w:t>
              <w:tab/>
            </w:r>
            <w:r>
              <w:rPr>
                <w:rFonts w:ascii="Calibri" w:eastAsia="Calibri"/>
              </w:rPr>
              <w:t>6</w:t>
            </w:r>
          </w:hyperlink>
        </w:p>
        <w:p>
          <w:pPr>
            <w:pStyle w:val="TOC2"/>
            <w:tabs>
              <w:tab w:pos="9180" w:val="right" w:leader="dot"/>
            </w:tabs>
            <w:rPr>
              <w:rFonts w:ascii="Calibri" w:eastAsia="Calibri"/>
            </w:rPr>
          </w:pPr>
          <w:hyperlink w:history="true" w:anchor="_bookmark28">
            <w:r>
              <w:rPr/>
              <w:t>第二十四条</w:t>
            </w:r>
            <w:r>
              <w:rPr>
                <w:spacing w:val="-20"/>
              </w:rPr>
              <w:t> </w:t>
            </w:r>
            <w:r>
              <w:rPr/>
              <w:t>诉讼时效</w:t>
              <w:tab/>
            </w:r>
            <w:r>
              <w:rPr>
                <w:rFonts w:ascii="Calibri" w:eastAsia="Calibri"/>
              </w:rPr>
              <w:t>6</w:t>
            </w:r>
          </w:hyperlink>
        </w:p>
        <w:p>
          <w:pPr>
            <w:pStyle w:val="TOC2"/>
            <w:tabs>
              <w:tab w:pos="9180" w:val="right" w:leader="dot"/>
            </w:tabs>
            <w:rPr>
              <w:rFonts w:ascii="Calibri" w:eastAsia="Calibri"/>
            </w:rPr>
          </w:pPr>
          <w:hyperlink w:history="true" w:anchor="_bookmark29">
            <w:r>
              <w:rPr/>
              <w:t>第二十五条</w:t>
            </w:r>
            <w:r>
              <w:rPr>
                <w:spacing w:val="-20"/>
              </w:rPr>
              <w:t> </w:t>
            </w:r>
            <w:r>
              <w:rPr/>
              <w:t>联系方式变更</w:t>
              <w:tab/>
            </w:r>
            <w:r>
              <w:rPr>
                <w:rFonts w:ascii="Calibri" w:eastAsia="Calibri"/>
              </w:rPr>
              <w:t>7</w:t>
            </w:r>
          </w:hyperlink>
        </w:p>
        <w:p>
          <w:pPr>
            <w:pStyle w:val="TOC1"/>
            <w:tabs>
              <w:tab w:pos="1167" w:val="left" w:leader="none"/>
              <w:tab w:pos="9180" w:val="right" w:leader="dot"/>
            </w:tabs>
            <w:rPr>
              <w:rFonts w:ascii="Calibri" w:eastAsia="Calibri"/>
            </w:rPr>
          </w:pPr>
          <w:hyperlink w:history="true" w:anchor="_bookmark30">
            <w:r>
              <w:rPr/>
              <w:t>第六部分</w:t>
              <w:tab/>
              <w:t>名词释义</w:t>
              <w:tab/>
            </w:r>
            <w:r>
              <w:rPr>
                <w:rFonts w:ascii="Calibri" w:eastAsia="Calibri"/>
              </w:rPr>
              <w:t>7</w:t>
            </w:r>
          </w:hyperlink>
        </w:p>
        <w:p>
          <w:pPr/>
          <w:r>
            <w:fldChar w:fldCharType="end"/>
          </w:r>
        </w:p>
      </w:sdtContent>
    </w:sdt>
    <w:p>
      <w:pPr>
        <w:spacing w:after="0"/>
        <w:sectPr>
          <w:pgSz w:w="11910" w:h="16840"/>
          <w:pgMar w:top="1400" w:bottom="280" w:left="1300" w:right="1320"/>
        </w:sectPr>
      </w:pPr>
    </w:p>
    <w:p>
      <w:pPr>
        <w:pStyle w:val="Heading1"/>
        <w:spacing w:before="215"/>
        <w:ind w:left="3018"/>
      </w:pPr>
      <w:bookmarkStart w:name="_bookmark0" w:id="1"/>
      <w:bookmarkEnd w:id="1"/>
      <w:r>
        <w:rPr>
          <w:b w:val="0"/>
        </w:rPr>
      </w:r>
      <w:r>
        <w:rPr/>
        <w:t>第一部分 您与我们的合同</w:t>
      </w:r>
    </w:p>
    <w:p>
      <w:pPr>
        <w:pStyle w:val="BodyText"/>
        <w:spacing w:before="10"/>
        <w:rPr>
          <w:b/>
          <w:sz w:val="37"/>
        </w:rPr>
      </w:pPr>
    </w:p>
    <w:p>
      <w:pPr>
        <w:pStyle w:val="Heading2"/>
      </w:pPr>
      <w:bookmarkStart w:name="_bookmark1" w:id="2"/>
      <w:bookmarkEnd w:id="2"/>
      <w:r>
        <w:rPr>
          <w:b w:val="0"/>
        </w:rPr>
      </w:r>
      <w:r>
        <w:rPr/>
        <w:t>第一条 附加保险合同的构成</w:t>
      </w:r>
    </w:p>
    <w:p>
      <w:pPr>
        <w:pStyle w:val="BodyText"/>
        <w:spacing w:line="312" w:lineRule="auto" w:before="68"/>
        <w:ind w:left="116" w:right="113" w:firstLine="420"/>
      </w:pPr>
      <w:r>
        <w:rPr>
          <w:spacing w:val="-6"/>
          <w:w w:val="100"/>
        </w:rPr>
        <w:t>本附加保险合同</w:t>
      </w:r>
      <w:r>
        <w:rPr>
          <w:spacing w:val="-3"/>
          <w:w w:val="100"/>
        </w:rPr>
        <w:t>（</w:t>
      </w:r>
      <w:r>
        <w:rPr>
          <w:spacing w:val="-16"/>
          <w:w w:val="100"/>
        </w:rPr>
        <w:t>以下简称“本附加合同”</w:t>
      </w:r>
      <w:r>
        <w:rPr>
          <w:spacing w:val="-17"/>
          <w:w w:val="100"/>
        </w:rPr>
        <w:t>）</w:t>
      </w:r>
      <w:r>
        <w:rPr>
          <w:spacing w:val="-9"/>
          <w:w w:val="100"/>
        </w:rPr>
        <w:t>由保险单、保险条款、投保单、投保提示以及与本</w:t>
      </w:r>
      <w:r>
        <w:rPr>
          <w:spacing w:val="-5"/>
        </w:rPr>
        <w:t>附加合同有关的投保文件、合法有效的声明、批注和其他书面协议共同构成。</w:t>
      </w:r>
    </w:p>
    <w:p>
      <w:pPr>
        <w:pStyle w:val="BodyText"/>
        <w:spacing w:line="312" w:lineRule="auto" w:before="22"/>
        <w:ind w:left="116" w:right="110" w:firstLine="420"/>
      </w:pPr>
      <w:r>
        <w:rPr/>
        <w:t>本附加合同可附加于我们规定的主合同上。除本附加合同另有约定外，主合同条款适用于本附加合同。若主合同的条款与本附加合同冲突时，以本附加合同为准。</w:t>
      </w:r>
    </w:p>
    <w:p>
      <w:pPr>
        <w:pStyle w:val="BodyText"/>
        <w:spacing w:before="10"/>
        <w:rPr>
          <w:sz w:val="26"/>
        </w:rPr>
      </w:pPr>
    </w:p>
    <w:p>
      <w:pPr>
        <w:pStyle w:val="Heading2"/>
      </w:pPr>
      <w:bookmarkStart w:name="_bookmark2" w:id="3"/>
      <w:bookmarkEnd w:id="3"/>
      <w:r>
        <w:rPr>
          <w:b w:val="0"/>
        </w:rPr>
      </w:r>
      <w:r>
        <w:rPr/>
        <w:t>第二条 投保范围</w:t>
      </w:r>
    </w:p>
    <w:p>
      <w:pPr>
        <w:pStyle w:val="BodyText"/>
        <w:spacing w:before="66"/>
        <w:ind w:left="536"/>
      </w:pPr>
      <w:r>
        <w:rPr/>
        <w:t>主合同的投保人可以作为本附加合同的被保险人。</w:t>
      </w:r>
    </w:p>
    <w:p>
      <w:pPr>
        <w:pStyle w:val="BodyText"/>
        <w:spacing w:before="0"/>
        <w:rPr>
          <w:sz w:val="20"/>
        </w:rPr>
      </w:pPr>
    </w:p>
    <w:p>
      <w:pPr>
        <w:pStyle w:val="Heading2"/>
        <w:spacing w:before="152"/>
      </w:pPr>
      <w:bookmarkStart w:name="_bookmark3" w:id="4"/>
      <w:bookmarkEnd w:id="4"/>
      <w:r>
        <w:rPr>
          <w:b w:val="0"/>
        </w:rPr>
      </w:r>
      <w:r>
        <w:rPr/>
        <w:t>第三条 保险合同的成立与生效</w:t>
      </w:r>
    </w:p>
    <w:p>
      <w:pPr>
        <w:pStyle w:val="BodyText"/>
        <w:spacing w:before="65"/>
        <w:ind w:left="536"/>
      </w:pPr>
      <w:r>
        <w:rPr/>
        <w:t>您向我们提出投保申请且我们同意承保，本附加合同成立。</w:t>
      </w:r>
    </w:p>
    <w:p>
      <w:pPr>
        <w:pStyle w:val="BodyText"/>
        <w:spacing w:line="312" w:lineRule="auto" w:before="84"/>
        <w:ind w:left="116" w:right="110" w:firstLine="420"/>
      </w:pPr>
      <w:r>
        <w:rPr/>
        <w:t>自本附加合同成立且我们收取保险费并签发保险单后，本附加合同生效。本附加合同的生效时间以保险单载明的日期为准，我们自本附加合同生效日的零时起开始承担保险责任。</w:t>
      </w:r>
    </w:p>
    <w:p>
      <w:pPr>
        <w:spacing w:line="312" w:lineRule="auto" w:before="21"/>
        <w:ind w:left="116" w:right="70" w:firstLine="420"/>
        <w:jc w:val="left"/>
        <w:rPr>
          <w:sz w:val="21"/>
        </w:rPr>
      </w:pPr>
      <w:r>
        <w:rPr>
          <w:sz w:val="21"/>
        </w:rPr>
        <w:t>本附加合同的</w:t>
      </w:r>
      <w:r>
        <w:rPr>
          <w:b/>
          <w:sz w:val="21"/>
        </w:rPr>
        <w:t>保险单周年日</w:t>
      </w:r>
      <w:r>
        <w:rPr>
          <w:sz w:val="21"/>
        </w:rPr>
        <w:t>、</w:t>
      </w:r>
      <w:r>
        <w:rPr>
          <w:b/>
          <w:sz w:val="21"/>
        </w:rPr>
        <w:t>保险单年度</w:t>
      </w:r>
      <w:r>
        <w:rPr>
          <w:sz w:val="21"/>
        </w:rPr>
        <w:t>、保险单月份、</w:t>
      </w:r>
      <w:r>
        <w:rPr>
          <w:b/>
          <w:sz w:val="21"/>
        </w:rPr>
        <w:t>保险费到期日</w:t>
      </w:r>
      <w:r>
        <w:rPr>
          <w:sz w:val="21"/>
        </w:rPr>
        <w:t>和保险单满期日均以本附加合同生效日为基础计算。</w:t>
      </w:r>
    </w:p>
    <w:p>
      <w:pPr>
        <w:pStyle w:val="BodyText"/>
        <w:spacing w:before="10"/>
        <w:rPr>
          <w:sz w:val="26"/>
        </w:rPr>
      </w:pPr>
    </w:p>
    <w:p>
      <w:pPr>
        <w:pStyle w:val="Heading2"/>
      </w:pPr>
      <w:bookmarkStart w:name="_bookmark4" w:id="5"/>
      <w:bookmarkEnd w:id="5"/>
      <w:r>
        <w:rPr>
          <w:b w:val="0"/>
        </w:rPr>
      </w:r>
      <w:r>
        <w:rPr/>
        <w:t>第四条 保险期间</w:t>
      </w:r>
    </w:p>
    <w:p>
      <w:pPr>
        <w:pStyle w:val="BodyText"/>
        <w:spacing w:line="314" w:lineRule="auto" w:before="66"/>
        <w:ind w:left="116" w:right="110" w:firstLine="420"/>
      </w:pPr>
      <w:r>
        <w:rPr/>
        <w:t>本附加合同的保险期间自本附加合同生效日零时起，至保险单上载明的保险单满期日的二十四时止。</w:t>
      </w:r>
    </w:p>
    <w:p>
      <w:pPr>
        <w:pStyle w:val="BodyText"/>
        <w:spacing w:before="5"/>
        <w:rPr>
          <w:sz w:val="26"/>
        </w:rPr>
      </w:pPr>
    </w:p>
    <w:p>
      <w:pPr>
        <w:pStyle w:val="Heading2"/>
        <w:spacing w:before="1"/>
      </w:pPr>
      <w:bookmarkStart w:name="_bookmark5" w:id="6"/>
      <w:bookmarkEnd w:id="6"/>
      <w:r>
        <w:rPr>
          <w:b w:val="0"/>
        </w:rPr>
      </w:r>
      <w:r>
        <w:rPr/>
        <w:t>第五条 保险费的支付</w:t>
      </w:r>
    </w:p>
    <w:p>
      <w:pPr>
        <w:pStyle w:val="BodyText"/>
        <w:spacing w:before="68"/>
        <w:ind w:left="536"/>
      </w:pPr>
      <w:r>
        <w:rPr/>
        <w:t>本附加合同的交费方式与主合同一致，且必须与主合同保险费一同支付。</w:t>
      </w:r>
    </w:p>
    <w:p>
      <w:pPr>
        <w:pStyle w:val="BodyText"/>
        <w:spacing w:line="314" w:lineRule="auto"/>
        <w:ind w:left="116" w:right="110" w:firstLine="420"/>
      </w:pPr>
      <w:r>
        <w:rPr/>
        <w:t>如果您选择分期支付保险费，在支付首期保险费以后，应当在每个保险费到期日足额支付以后各期的保险费。</w:t>
      </w:r>
    </w:p>
    <w:p>
      <w:pPr>
        <w:pStyle w:val="BodyText"/>
        <w:spacing w:before="5"/>
        <w:rPr>
          <w:sz w:val="26"/>
        </w:rPr>
      </w:pPr>
    </w:p>
    <w:p>
      <w:pPr>
        <w:pStyle w:val="Heading2"/>
        <w:spacing w:before="1"/>
      </w:pPr>
      <w:bookmarkStart w:name="_bookmark6" w:id="7"/>
      <w:bookmarkEnd w:id="7"/>
      <w:r>
        <w:rPr>
          <w:b w:val="0"/>
        </w:rPr>
      </w:r>
      <w:r>
        <w:rPr/>
        <w:t>第六条 保险金额</w:t>
      </w:r>
    </w:p>
    <w:p>
      <w:pPr>
        <w:pStyle w:val="BodyText"/>
        <w:spacing w:line="312" w:lineRule="auto" w:before="68"/>
        <w:ind w:left="116" w:right="110" w:firstLine="420"/>
      </w:pPr>
      <w:r>
        <w:rPr/>
        <w:t>本附加合同的保险金额由您在投保时与我们约定并在保险单上载明。若该金额发生变更，则以变更后的金额为保险金额。</w:t>
      </w:r>
    </w:p>
    <w:p>
      <w:pPr>
        <w:pStyle w:val="BodyText"/>
        <w:spacing w:before="10"/>
        <w:rPr>
          <w:sz w:val="26"/>
        </w:rPr>
      </w:pPr>
    </w:p>
    <w:p>
      <w:pPr>
        <w:pStyle w:val="Heading2"/>
      </w:pPr>
      <w:bookmarkStart w:name="_bookmark7" w:id="8"/>
      <w:bookmarkEnd w:id="8"/>
      <w:r>
        <w:rPr>
          <w:b w:val="0"/>
        </w:rPr>
      </w:r>
      <w:r>
        <w:rPr/>
        <w:t>第七条 保险合同的中止</w:t>
      </w:r>
    </w:p>
    <w:p>
      <w:pPr>
        <w:pStyle w:val="BodyText"/>
        <w:spacing w:line="328" w:lineRule="auto" w:before="65"/>
        <w:ind w:left="536" w:right="4942"/>
      </w:pPr>
      <w:r>
        <w:rPr/>
        <w:t>发生下列情况之一时，本附加合同中止： 一、 若主合同中止，本附加合同中止；</w:t>
      </w:r>
    </w:p>
    <w:p>
      <w:pPr>
        <w:pStyle w:val="BodyText"/>
        <w:spacing w:line="314" w:lineRule="auto" w:before="4"/>
        <w:ind w:left="536" w:right="1474"/>
      </w:pPr>
      <w:r>
        <w:rPr/>
        <w:t>二、 若您选择分期支付保险费，且在宽限期结束时，您仍未付清当期保险费； 三、 当出现本附加合同有关条款约定的其他中止情形。</w:t>
      </w:r>
    </w:p>
    <w:p>
      <w:pPr>
        <w:spacing w:before="17"/>
        <w:ind w:left="536" w:right="0" w:firstLine="0"/>
        <w:jc w:val="left"/>
        <w:rPr>
          <w:rFonts w:ascii="黑体" w:eastAsia="黑体" w:hint="eastAsia"/>
          <w:b/>
          <w:sz w:val="21"/>
        </w:rPr>
      </w:pPr>
      <w:r>
        <w:rPr>
          <w:rFonts w:ascii="黑体" w:eastAsia="黑体" w:hint="eastAsia"/>
          <w:b/>
          <w:sz w:val="21"/>
        </w:rPr>
        <w:t>特别提示与说明：在本附加合同效力中止期间，我们不承担保险责任。</w:t>
      </w:r>
    </w:p>
    <w:p>
      <w:pPr>
        <w:spacing w:after="0"/>
        <w:jc w:val="left"/>
        <w:rPr>
          <w:rFonts w:ascii="黑体" w:eastAsia="黑体" w:hint="eastAsia"/>
          <w:sz w:val="21"/>
        </w:rPr>
        <w:sectPr>
          <w:footerReference w:type="default" r:id="rId6"/>
          <w:pgSz w:w="11910" w:h="16840"/>
          <w:pgMar w:footer="915" w:header="0" w:top="1580" w:bottom="1100" w:left="1300" w:right="1340"/>
          <w:pgNumType w:start="1"/>
        </w:sectPr>
      </w:pPr>
    </w:p>
    <w:p>
      <w:pPr>
        <w:pStyle w:val="Heading2"/>
        <w:spacing w:before="9"/>
      </w:pPr>
      <w:bookmarkStart w:name="_bookmark8" w:id="9"/>
      <w:bookmarkEnd w:id="9"/>
      <w:r>
        <w:rPr>
          <w:b w:val="0"/>
        </w:rPr>
      </w:r>
      <w:r>
        <w:rPr/>
        <w:t>第八条 保险合同的终止</w:t>
      </w:r>
    </w:p>
    <w:p>
      <w:pPr>
        <w:pStyle w:val="BodyText"/>
        <w:spacing w:before="85"/>
        <w:ind w:left="536"/>
      </w:pPr>
      <w:r>
        <w:rPr/>
        <w:t>发生下列情形之一时，本附加合同终止：</w:t>
      </w:r>
    </w:p>
    <w:p>
      <w:pPr>
        <w:spacing w:line="314" w:lineRule="auto" w:before="82"/>
        <w:ind w:left="536" w:right="4200" w:firstLine="0"/>
        <w:jc w:val="left"/>
        <w:rPr>
          <w:sz w:val="21"/>
        </w:rPr>
      </w:pPr>
      <w:r>
        <w:rPr>
          <w:sz w:val="21"/>
        </w:rPr>
        <w:t>一、 被保险人身故、</w:t>
      </w:r>
      <w:r>
        <w:rPr>
          <w:b/>
          <w:sz w:val="21"/>
        </w:rPr>
        <w:t>高度残疾</w:t>
      </w:r>
      <w:r>
        <w:rPr>
          <w:sz w:val="21"/>
        </w:rPr>
        <w:t>或患有</w:t>
      </w:r>
      <w:r>
        <w:rPr>
          <w:b/>
          <w:sz w:val="21"/>
        </w:rPr>
        <w:t>重大疾病</w:t>
      </w:r>
      <w:r>
        <w:rPr>
          <w:sz w:val="21"/>
        </w:rPr>
        <w:t>； 二、 您申请解除本附加合同；</w:t>
      </w:r>
    </w:p>
    <w:p>
      <w:pPr>
        <w:pStyle w:val="BodyText"/>
        <w:spacing w:line="314" w:lineRule="auto" w:before="17"/>
        <w:ind w:left="536" w:right="5679"/>
      </w:pPr>
      <w:r>
        <w:rPr/>
        <w:t>三、 本附加合同保险期间届满； 四、 主合同终止；</w:t>
      </w:r>
    </w:p>
    <w:p>
      <w:pPr>
        <w:pStyle w:val="BodyText"/>
        <w:spacing w:line="314" w:lineRule="auto" w:before="17"/>
        <w:ind w:left="116" w:right="110" w:firstLine="420"/>
      </w:pPr>
      <w:r>
        <w:rPr>
          <w:spacing w:val="-8"/>
        </w:rPr>
        <w:t>五、 因本附加合同其他条款所列情形而效力中止，且在两年内未按【合同效力的恢复】条款办</w:t>
      </w:r>
      <w:r>
        <w:rPr>
          <w:spacing w:val="-6"/>
        </w:rPr>
        <w:t>理复效；</w:t>
      </w:r>
    </w:p>
    <w:p>
      <w:pPr>
        <w:pStyle w:val="BodyText"/>
        <w:spacing w:before="17"/>
        <w:ind w:left="536"/>
      </w:pPr>
      <w:r>
        <w:rPr/>
        <w:t>六、 主合同减额交清；</w:t>
      </w:r>
    </w:p>
    <w:p>
      <w:pPr>
        <w:pStyle w:val="BodyText"/>
        <w:spacing w:before="85"/>
        <w:ind w:left="536"/>
      </w:pPr>
      <w:r>
        <w:rPr/>
        <w:t>七、 因本附加合同其他条款所列情形而终止。</w:t>
      </w:r>
    </w:p>
    <w:p>
      <w:pPr>
        <w:pStyle w:val="BodyText"/>
        <w:spacing w:before="0"/>
        <w:rPr>
          <w:sz w:val="20"/>
        </w:rPr>
      </w:pPr>
    </w:p>
    <w:p>
      <w:pPr>
        <w:pStyle w:val="BodyText"/>
        <w:spacing w:before="11"/>
        <w:rPr>
          <w:sz w:val="15"/>
        </w:rPr>
      </w:pPr>
    </w:p>
    <w:p>
      <w:pPr>
        <w:pStyle w:val="Heading1"/>
        <w:spacing w:before="1"/>
        <w:ind w:left="3018"/>
      </w:pPr>
      <w:bookmarkStart w:name="_bookmark9" w:id="10"/>
      <w:bookmarkEnd w:id="10"/>
      <w:r>
        <w:rPr>
          <w:b w:val="0"/>
        </w:rPr>
      </w:r>
      <w:r>
        <w:rPr/>
        <w:t>第二部分 我们提供的保障</w:t>
      </w:r>
    </w:p>
    <w:p>
      <w:pPr>
        <w:pStyle w:val="BodyText"/>
        <w:spacing w:before="11"/>
        <w:rPr>
          <w:b/>
          <w:sz w:val="37"/>
        </w:rPr>
      </w:pPr>
    </w:p>
    <w:p>
      <w:pPr>
        <w:pStyle w:val="Heading2"/>
      </w:pPr>
      <w:bookmarkStart w:name="_bookmark10" w:id="11"/>
      <w:bookmarkEnd w:id="11"/>
      <w:r>
        <w:rPr>
          <w:b w:val="0"/>
        </w:rPr>
      </w:r>
      <w:r>
        <w:rPr/>
        <w:t>第九条 保险责任</w:t>
      </w:r>
    </w:p>
    <w:p>
      <w:pPr>
        <w:pStyle w:val="BodyText"/>
        <w:spacing w:line="312" w:lineRule="auto" w:before="68"/>
        <w:ind w:left="536" w:right="3051"/>
      </w:pPr>
      <w:r>
        <w:rPr/>
        <w:t>在本附加合同有效期内，我们对被保险人承担下列保险责任： 一、 身故保险费豁免</w:t>
      </w:r>
    </w:p>
    <w:p>
      <w:pPr>
        <w:pStyle w:val="BodyText"/>
        <w:spacing w:before="22"/>
        <w:ind w:left="536"/>
      </w:pPr>
      <w:r>
        <w:rPr/>
        <w:t>若被保险人因</w:t>
      </w:r>
      <w:r>
        <w:rPr>
          <w:b/>
        </w:rPr>
        <w:t>意外伤害</w:t>
      </w:r>
      <w:r>
        <w:rPr/>
        <w:t>，或于本附加合同生效（或最后复效）之日起 180 日后因意外伤害以外</w:t>
      </w:r>
    </w:p>
    <w:p>
      <w:pPr>
        <w:pStyle w:val="BodyText"/>
        <w:spacing w:line="314" w:lineRule="auto"/>
        <w:ind w:left="116" w:right="112"/>
      </w:pPr>
      <w:r>
        <w:rPr>
          <w:spacing w:val="-4"/>
        </w:rPr>
        <w:t>的原因导致身故，我们将豁免自被保险人身故之日起主合同及保险期间超过 </w:t>
      </w:r>
      <w:r>
        <w:rPr/>
        <w:t>1</w:t>
      </w:r>
      <w:r>
        <w:rPr>
          <w:spacing w:val="-7"/>
        </w:rPr>
        <w:t> 年的附加合同的续期</w:t>
      </w:r>
      <w:r>
        <w:rPr>
          <w:spacing w:val="-3"/>
        </w:rPr>
        <w:t>保险费。我们视豁免的保险费为您已支付的保险费，本附加合同终止。</w:t>
      </w:r>
    </w:p>
    <w:p>
      <w:pPr>
        <w:pStyle w:val="BodyText"/>
        <w:spacing w:before="17"/>
        <w:ind w:left="536"/>
      </w:pPr>
      <w:r>
        <w:rPr/>
        <w:t>二、 高度残疾保险费豁免</w:t>
      </w:r>
    </w:p>
    <w:p>
      <w:pPr>
        <w:pStyle w:val="BodyText"/>
        <w:spacing w:before="85"/>
        <w:ind w:left="536"/>
      </w:pPr>
      <w:r>
        <w:rPr/>
        <w:t>若被保险人因意外伤害，或于本附加合同生效（或最后复效）之日起 180 日后因意外伤害以外</w:t>
      </w:r>
    </w:p>
    <w:p>
      <w:pPr>
        <w:pStyle w:val="BodyText"/>
        <w:spacing w:line="314" w:lineRule="auto"/>
        <w:ind w:left="116" w:right="110"/>
      </w:pPr>
      <w:r>
        <w:rPr>
          <w:spacing w:val="-4"/>
        </w:rPr>
        <w:t>的原因导致高度残疾，我们将豁免自被保险人高度残疾之日起主合同及保险期间超过 </w:t>
      </w:r>
      <w:r>
        <w:rPr/>
        <w:t>1</w:t>
      </w:r>
      <w:r>
        <w:rPr>
          <w:spacing w:val="-8"/>
        </w:rPr>
        <w:t> 年的附加合</w:t>
      </w:r>
      <w:r>
        <w:rPr>
          <w:spacing w:val="-3"/>
        </w:rPr>
        <w:t>同的续期保险费。我们视豁免的保险费为您已支付的保险费，本附加合同终止。</w:t>
      </w:r>
    </w:p>
    <w:p>
      <w:pPr>
        <w:pStyle w:val="BodyText"/>
        <w:spacing w:before="17"/>
        <w:ind w:left="536"/>
      </w:pPr>
      <w:r>
        <w:rPr/>
        <w:t>三、 重大疾病保险费豁免</w:t>
      </w:r>
    </w:p>
    <w:p>
      <w:pPr>
        <w:pStyle w:val="BodyText"/>
        <w:spacing w:line="312" w:lineRule="auto" w:before="84"/>
        <w:ind w:left="116" w:right="110" w:firstLine="420"/>
        <w:jc w:val="both"/>
      </w:pPr>
      <w:r>
        <w:rPr>
          <w:spacing w:val="-3"/>
        </w:rPr>
        <w:t>若被保险人因意外伤害，或于本附加合同生效</w:t>
      </w:r>
      <w:r>
        <w:rPr/>
        <w:t>（</w:t>
      </w:r>
      <w:r>
        <w:rPr>
          <w:spacing w:val="-3"/>
        </w:rPr>
        <w:t>或最后复效）</w:t>
      </w:r>
      <w:r>
        <w:rPr>
          <w:spacing w:val="-10"/>
        </w:rPr>
        <w:t>之日起 </w:t>
      </w:r>
      <w:r>
        <w:rPr/>
        <w:t>180</w:t>
      </w:r>
      <w:r>
        <w:rPr>
          <w:spacing w:val="-7"/>
        </w:rPr>
        <w:t> 日后因意外伤害以外</w:t>
      </w:r>
      <w:r>
        <w:rPr>
          <w:spacing w:val="-6"/>
        </w:rPr>
        <w:t>的原因，经</w:t>
      </w:r>
      <w:r>
        <w:rPr>
          <w:b/>
          <w:spacing w:val="-1"/>
        </w:rPr>
        <w:t>我们认可的医疗机构</w:t>
      </w:r>
      <w:r>
        <w:rPr>
          <w:spacing w:val="-2"/>
        </w:rPr>
        <w:t>确诊</w:t>
      </w:r>
      <w:r>
        <w:rPr>
          <w:b/>
        </w:rPr>
        <w:t>首次患有</w:t>
      </w:r>
      <w:r>
        <w:rPr>
          <w:spacing w:val="-4"/>
        </w:rPr>
        <w:t>本附加合同所列的重大疾病中的任何一种或多种，我</w:t>
      </w:r>
      <w:r>
        <w:rPr>
          <w:spacing w:val="-5"/>
        </w:rPr>
        <w:t>们将豁免自被保险人确诊之日起主合同及保险期间超过 </w:t>
      </w:r>
      <w:r>
        <w:rPr/>
        <w:t>1</w:t>
      </w:r>
      <w:r>
        <w:rPr>
          <w:spacing w:val="-7"/>
        </w:rPr>
        <w:t> 年的附加合同的续期保险费。我们视豁免</w:t>
      </w:r>
      <w:r>
        <w:rPr>
          <w:spacing w:val="-5"/>
        </w:rPr>
        <w:t>的保险费为您已支付的保险费，本附加合同终止。</w:t>
      </w:r>
    </w:p>
    <w:p>
      <w:pPr>
        <w:pStyle w:val="BodyText"/>
        <w:spacing w:before="21"/>
        <w:ind w:left="536"/>
      </w:pPr>
      <w:r>
        <w:rPr/>
        <w:t>四、 保险费返还</w:t>
      </w:r>
    </w:p>
    <w:p>
      <w:pPr>
        <w:pStyle w:val="BodyText"/>
        <w:spacing w:line="314" w:lineRule="auto"/>
        <w:ind w:left="116" w:right="110" w:firstLine="420"/>
        <w:jc w:val="both"/>
      </w:pPr>
      <w:r>
        <w:rPr>
          <w:spacing w:val="-3"/>
        </w:rPr>
        <w:t>若被保险人于本附加合同生效（或最后复效）</w:t>
      </w:r>
      <w:r>
        <w:rPr>
          <w:spacing w:val="-10"/>
        </w:rPr>
        <w:t>之日起 </w:t>
      </w:r>
      <w:r>
        <w:rPr/>
        <w:t>180</w:t>
      </w:r>
      <w:r>
        <w:rPr>
          <w:spacing w:val="-13"/>
        </w:rPr>
        <w:t> 日内</w:t>
      </w:r>
      <w:r>
        <w:rPr/>
        <w:t>（</w:t>
      </w:r>
      <w:r>
        <w:rPr>
          <w:spacing w:val="-3"/>
        </w:rPr>
        <w:t>含当日</w:t>
      </w:r>
      <w:r>
        <w:rPr/>
        <w:t>）</w:t>
      </w:r>
      <w:r>
        <w:rPr>
          <w:spacing w:val="-3"/>
        </w:rPr>
        <w:t>因意外伤害以外的原因导致身故、高度残疾、或经我们认可的医疗机构确诊首次患有本附加合同所列的重大疾病中的任何一种或多种，我们将无息返还您所交的保险费，本附加合同终止。</w:t>
      </w:r>
    </w:p>
    <w:p>
      <w:pPr>
        <w:pStyle w:val="BodyText"/>
        <w:spacing w:before="8"/>
        <w:rPr>
          <w:sz w:val="26"/>
        </w:rPr>
      </w:pPr>
    </w:p>
    <w:p>
      <w:pPr>
        <w:pStyle w:val="Heading2"/>
      </w:pPr>
      <w:bookmarkStart w:name="_bookmark11" w:id="12"/>
      <w:bookmarkEnd w:id="12"/>
      <w:r>
        <w:rPr>
          <w:b w:val="0"/>
        </w:rPr>
      </w:r>
      <w:r>
        <w:rPr/>
        <w:t>第十条 责任免除</w:t>
      </w:r>
    </w:p>
    <w:p>
      <w:pPr>
        <w:pStyle w:val="BodyText"/>
        <w:ind w:left="536"/>
        <w:rPr>
          <w:rFonts w:ascii="黑体" w:eastAsia="黑体" w:hint="eastAsia"/>
        </w:rPr>
      </w:pPr>
      <w:r>
        <w:rPr>
          <w:rFonts w:ascii="黑体" w:eastAsia="黑体" w:hint="eastAsia"/>
        </w:rPr>
        <w:t>在下列情形下被保险人发Th事故的，我们不承担保险责任：</w:t>
      </w:r>
    </w:p>
    <w:p>
      <w:pPr>
        <w:pStyle w:val="ListParagraph"/>
        <w:numPr>
          <w:ilvl w:val="0"/>
          <w:numId w:val="1"/>
        </w:numPr>
        <w:tabs>
          <w:tab w:pos="806" w:val="left" w:leader="none"/>
        </w:tabs>
        <w:spacing w:line="312" w:lineRule="auto" w:before="84" w:after="0"/>
        <w:ind w:left="802" w:right="110" w:hanging="266"/>
        <w:jc w:val="left"/>
        <w:rPr>
          <w:rFonts w:ascii="黑体" w:eastAsia="黑体" w:hint="eastAsia"/>
          <w:sz w:val="21"/>
        </w:rPr>
      </w:pPr>
      <w:r>
        <w:rPr>
          <w:rFonts w:ascii="黑体" w:eastAsia="黑体" w:hint="eastAsia"/>
          <w:spacing w:val="-3"/>
          <w:sz w:val="21"/>
        </w:rPr>
        <w:t>被保险人自本附加合同</w:t>
      </w:r>
      <w:r>
        <w:rPr>
          <w:rFonts w:ascii="黑体" w:eastAsia="黑体" w:hint="eastAsia"/>
          <w:sz w:val="21"/>
        </w:rPr>
        <w:t>Th</w:t>
      </w:r>
      <w:r>
        <w:rPr>
          <w:rFonts w:ascii="黑体" w:eastAsia="黑体" w:hint="eastAsia"/>
          <w:spacing w:val="-20"/>
          <w:sz w:val="21"/>
        </w:rPr>
        <w:t>效</w:t>
      </w:r>
      <w:r>
        <w:rPr>
          <w:rFonts w:ascii="黑体" w:eastAsia="黑体" w:hint="eastAsia"/>
          <w:sz w:val="21"/>
        </w:rPr>
        <w:t>（</w:t>
      </w:r>
      <w:r>
        <w:rPr>
          <w:rFonts w:ascii="黑体" w:eastAsia="黑体" w:hint="eastAsia"/>
          <w:spacing w:val="-3"/>
          <w:sz w:val="21"/>
        </w:rPr>
        <w:t>或最后复效</w:t>
      </w:r>
      <w:r>
        <w:rPr>
          <w:rFonts w:ascii="黑体" w:eastAsia="黑体" w:hint="eastAsia"/>
          <w:spacing w:val="-20"/>
          <w:sz w:val="21"/>
        </w:rPr>
        <w:t>）</w:t>
      </w:r>
      <w:r>
        <w:rPr>
          <w:rFonts w:ascii="黑体" w:eastAsia="黑体" w:hint="eastAsia"/>
          <w:spacing w:val="-11"/>
          <w:sz w:val="21"/>
        </w:rPr>
        <w:t>之日起 </w:t>
      </w:r>
      <w:r>
        <w:rPr>
          <w:rFonts w:ascii="黑体" w:eastAsia="黑体" w:hint="eastAsia"/>
          <w:sz w:val="21"/>
        </w:rPr>
        <w:t>2</w:t>
      </w:r>
      <w:r>
        <w:rPr>
          <w:rFonts w:ascii="黑体" w:eastAsia="黑体" w:hint="eastAsia"/>
          <w:spacing w:val="-9"/>
          <w:sz w:val="21"/>
        </w:rPr>
        <w:t> 年内自杀，但被保险人自杀时为无民事</w:t>
      </w:r>
      <w:r>
        <w:rPr>
          <w:rFonts w:ascii="黑体" w:eastAsia="黑体" w:hint="eastAsia"/>
          <w:spacing w:val="-5"/>
          <w:sz w:val="21"/>
        </w:rPr>
        <w:t>行为能力人的除外；</w:t>
      </w:r>
    </w:p>
    <w:p>
      <w:pPr>
        <w:pStyle w:val="ListParagraph"/>
        <w:numPr>
          <w:ilvl w:val="0"/>
          <w:numId w:val="1"/>
        </w:numPr>
        <w:tabs>
          <w:tab w:pos="806" w:val="left" w:leader="none"/>
        </w:tabs>
        <w:spacing w:line="240" w:lineRule="auto" w:before="21" w:after="0"/>
        <w:ind w:left="802" w:right="0" w:hanging="266"/>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spacing w:after="0" w:line="240" w:lineRule="auto"/>
        <w:jc w:val="left"/>
        <w:rPr>
          <w:rFonts w:ascii="黑体" w:eastAsia="黑体" w:hint="eastAsia"/>
          <w:sz w:val="21"/>
        </w:rPr>
        <w:sectPr>
          <w:pgSz w:w="11910" w:h="16840"/>
          <w:pgMar w:header="0" w:footer="915" w:top="1400" w:bottom="1180" w:left="1300" w:right="1340"/>
        </w:sectPr>
      </w:pPr>
    </w:p>
    <w:p>
      <w:pPr>
        <w:pStyle w:val="ListParagraph"/>
        <w:numPr>
          <w:ilvl w:val="0"/>
          <w:numId w:val="1"/>
        </w:numPr>
        <w:tabs>
          <w:tab w:pos="806" w:val="left" w:leader="none"/>
        </w:tabs>
        <w:spacing w:line="240" w:lineRule="auto" w:before="9" w:after="0"/>
        <w:ind w:left="802" w:right="0" w:hanging="266"/>
        <w:jc w:val="left"/>
        <w:rPr>
          <w:rFonts w:ascii="黑体" w:eastAsia="黑体" w:hint="eastAsia"/>
          <w:sz w:val="21"/>
        </w:rPr>
      </w:pPr>
      <w:r>
        <w:rPr>
          <w:rFonts w:ascii="黑体" w:eastAsia="黑体" w:hint="eastAsia"/>
          <w:spacing w:val="-3"/>
          <w:sz w:val="21"/>
        </w:rPr>
        <w:t>被保险人服用、吸食或注射</w:t>
      </w:r>
      <w:r>
        <w:rPr>
          <w:rFonts w:ascii="黑体" w:eastAsia="黑体" w:hint="eastAsia"/>
          <w:b/>
          <w:sz w:val="21"/>
        </w:rPr>
        <w:t>毒品</w:t>
      </w:r>
      <w:r>
        <w:rPr>
          <w:rFonts w:ascii="黑体" w:eastAsia="黑体" w:hint="eastAsia"/>
          <w:sz w:val="21"/>
        </w:rPr>
        <w:t>；</w:t>
      </w:r>
    </w:p>
    <w:p>
      <w:pPr>
        <w:pStyle w:val="ListParagraph"/>
        <w:numPr>
          <w:ilvl w:val="0"/>
          <w:numId w:val="1"/>
        </w:numPr>
        <w:tabs>
          <w:tab w:pos="806" w:val="left" w:leader="none"/>
        </w:tabs>
        <w:spacing w:line="240" w:lineRule="auto" w:before="85" w:after="0"/>
        <w:ind w:left="802" w:right="0" w:hanging="266"/>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3"/>
          <w:sz w:val="21"/>
        </w:rPr>
        <w:t>、</w:t>
      </w:r>
      <w:r>
        <w:rPr>
          <w:rFonts w:ascii="黑体" w:eastAsia="黑体" w:hint="eastAsia"/>
          <w:b/>
          <w:sz w:val="21"/>
        </w:rPr>
        <w:t>无合法有效驾驶证驾驶</w:t>
      </w:r>
      <w:r>
        <w:rPr>
          <w:rFonts w:ascii="黑体" w:eastAsia="黑体" w:hint="eastAsia"/>
          <w:spacing w:val="-3"/>
          <w:sz w:val="21"/>
        </w:rPr>
        <w:t>或驾驶</w:t>
      </w:r>
      <w:r>
        <w:rPr>
          <w:rFonts w:ascii="黑体" w:eastAsia="黑体" w:hint="eastAsia"/>
          <w:b/>
          <w:sz w:val="21"/>
        </w:rPr>
        <w:t>无有效行驶证</w:t>
      </w:r>
      <w:r>
        <w:rPr>
          <w:rFonts w:ascii="黑体" w:eastAsia="黑体" w:hint="eastAsia"/>
          <w:spacing w:val="-3"/>
          <w:sz w:val="21"/>
        </w:rPr>
        <w:t>的</w:t>
      </w:r>
      <w:r>
        <w:rPr>
          <w:rFonts w:ascii="黑体" w:eastAsia="黑体" w:hint="eastAsia"/>
          <w:b/>
          <w:sz w:val="21"/>
        </w:rPr>
        <w:t>机动车</w:t>
      </w:r>
      <w:r>
        <w:rPr>
          <w:rFonts w:ascii="黑体" w:eastAsia="黑体" w:hint="eastAsia"/>
          <w:sz w:val="21"/>
        </w:rPr>
        <w:t>；</w:t>
      </w:r>
    </w:p>
    <w:p>
      <w:pPr>
        <w:pStyle w:val="ListParagraph"/>
        <w:numPr>
          <w:ilvl w:val="0"/>
          <w:numId w:val="1"/>
        </w:numPr>
        <w:tabs>
          <w:tab w:pos="806" w:val="left" w:leader="none"/>
        </w:tabs>
        <w:spacing w:line="240" w:lineRule="auto" w:before="82" w:after="0"/>
        <w:ind w:left="802" w:right="0" w:hanging="266"/>
        <w:jc w:val="left"/>
        <w:rPr>
          <w:rFonts w:ascii="黑体" w:eastAsia="黑体" w:hint="eastAsia"/>
          <w:sz w:val="21"/>
        </w:rPr>
      </w:pPr>
      <w:r>
        <w:rPr>
          <w:rFonts w:ascii="黑体" w:eastAsia="黑体" w:hint="eastAsia"/>
          <w:spacing w:val="-3"/>
          <w:sz w:val="21"/>
        </w:rPr>
        <w:t>战争、军事冲突、暴乱或武装叛乱、恐怖袭击；</w:t>
      </w:r>
    </w:p>
    <w:p>
      <w:pPr>
        <w:pStyle w:val="ListParagraph"/>
        <w:numPr>
          <w:ilvl w:val="0"/>
          <w:numId w:val="1"/>
        </w:numPr>
        <w:tabs>
          <w:tab w:pos="806" w:val="left" w:leader="none"/>
        </w:tabs>
        <w:spacing w:line="240" w:lineRule="auto" w:before="85" w:after="0"/>
        <w:ind w:left="802" w:right="0" w:hanging="266"/>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1"/>
        </w:numPr>
        <w:tabs>
          <w:tab w:pos="806" w:val="left" w:leader="none"/>
        </w:tabs>
        <w:spacing w:line="314" w:lineRule="auto" w:before="83" w:after="0"/>
        <w:ind w:left="802" w:right="110" w:hanging="266"/>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感染艾滋病病毒或患艾滋病</w:t>
      </w:r>
      <w:r>
        <w:rPr>
          <w:rFonts w:ascii="黑体" w:eastAsia="黑体" w:hint="eastAsia"/>
          <w:spacing w:val="-11"/>
          <w:sz w:val="21"/>
        </w:rPr>
        <w:t>，但不包括【名词释义】中所定义的由输血或输液导致</w:t>
      </w:r>
      <w:r>
        <w:rPr>
          <w:rFonts w:ascii="黑体" w:eastAsia="黑体" w:hint="eastAsia"/>
          <w:spacing w:val="-3"/>
          <w:sz w:val="21"/>
        </w:rPr>
        <w:t>的人类免疫缺陷病毒感染和因职业关系导致的人类免疫缺陷病毒</w:t>
      </w:r>
      <w:r>
        <w:rPr>
          <w:rFonts w:ascii="黑体" w:eastAsia="黑体" w:hint="eastAsia"/>
          <w:sz w:val="21"/>
        </w:rPr>
        <w:t>（HIV）</w:t>
      </w:r>
      <w:r>
        <w:rPr>
          <w:rFonts w:ascii="黑体" w:eastAsia="黑体" w:hint="eastAsia"/>
          <w:spacing w:val="-2"/>
          <w:sz w:val="21"/>
        </w:rPr>
        <w:t>感染；</w:t>
      </w:r>
    </w:p>
    <w:p>
      <w:pPr>
        <w:pStyle w:val="ListParagraph"/>
        <w:numPr>
          <w:ilvl w:val="0"/>
          <w:numId w:val="1"/>
        </w:numPr>
        <w:tabs>
          <w:tab w:pos="806" w:val="left" w:leader="none"/>
        </w:tabs>
        <w:spacing w:line="240" w:lineRule="auto" w:before="17" w:after="0"/>
        <w:ind w:left="802" w:right="0" w:hanging="266"/>
        <w:jc w:val="left"/>
        <w:rPr>
          <w:rFonts w:ascii="黑体" w:eastAsia="黑体" w:hint="eastAsia"/>
          <w:sz w:val="21"/>
        </w:rPr>
      </w:pPr>
      <w:r>
        <w:rPr>
          <w:rFonts w:ascii="黑体" w:eastAsia="黑体" w:hint="eastAsia"/>
          <w:b/>
          <w:spacing w:val="-1"/>
          <w:sz w:val="21"/>
        </w:rPr>
        <w:t>遗传性疾病</w:t>
      </w:r>
      <w:r>
        <w:rPr>
          <w:rFonts w:ascii="黑体" w:eastAsia="黑体" w:hint="eastAsia"/>
          <w:sz w:val="21"/>
        </w:rPr>
        <w:t>、</w:t>
      </w:r>
      <w:r>
        <w:rPr>
          <w:rFonts w:ascii="黑体" w:eastAsia="黑体" w:hint="eastAsia"/>
          <w:b/>
          <w:spacing w:val="-1"/>
          <w:sz w:val="21"/>
        </w:rPr>
        <w:t>先天性畸形、变形或染色体异常</w:t>
      </w:r>
      <w:r>
        <w:rPr>
          <w:rFonts w:ascii="黑体" w:eastAsia="黑体" w:hint="eastAsia"/>
          <w:sz w:val="21"/>
        </w:rPr>
        <w:t>；</w:t>
      </w:r>
    </w:p>
    <w:p>
      <w:pPr>
        <w:pStyle w:val="ListParagraph"/>
        <w:numPr>
          <w:ilvl w:val="0"/>
          <w:numId w:val="1"/>
        </w:numPr>
        <w:tabs>
          <w:tab w:pos="806" w:val="left" w:leader="none"/>
        </w:tabs>
        <w:spacing w:line="240" w:lineRule="auto" w:before="84" w:after="0"/>
        <w:ind w:left="802" w:right="0" w:hanging="266"/>
        <w:jc w:val="left"/>
        <w:rPr>
          <w:rFonts w:ascii="黑体" w:eastAsia="黑体" w:hint="eastAsia"/>
          <w:sz w:val="21"/>
        </w:rPr>
      </w:pPr>
      <w:r>
        <w:rPr>
          <w:rFonts w:ascii="黑体" w:eastAsia="黑体" w:hint="eastAsia"/>
          <w:spacing w:val="-3"/>
          <w:sz w:val="21"/>
        </w:rPr>
        <w:t>被保险人在本附加合同</w:t>
      </w:r>
      <w:r>
        <w:rPr>
          <w:rFonts w:ascii="黑体" w:eastAsia="黑体" w:hint="eastAsia"/>
          <w:sz w:val="21"/>
        </w:rPr>
        <w:t>Th</w:t>
      </w:r>
      <w:r>
        <w:rPr>
          <w:rFonts w:ascii="黑体" w:eastAsia="黑体" w:hint="eastAsia"/>
          <w:spacing w:val="-3"/>
          <w:sz w:val="21"/>
        </w:rPr>
        <w:t>效日之前已患有本附加合同所列的重大疾病。</w:t>
      </w:r>
    </w:p>
    <w:p>
      <w:pPr>
        <w:pStyle w:val="BodyText"/>
        <w:spacing w:line="314" w:lineRule="auto"/>
        <w:ind w:left="116" w:right="110" w:firstLine="420"/>
        <w:rPr>
          <w:rFonts w:ascii="黑体" w:eastAsia="黑体" w:hint="eastAsia"/>
        </w:rPr>
      </w:pPr>
      <w:r>
        <w:rPr>
          <w:rFonts w:ascii="黑体" w:eastAsia="黑体" w:hint="eastAsia"/>
        </w:rPr>
        <w:t>发Th</w:t>
      </w:r>
      <w:r>
        <w:rPr>
          <w:rFonts w:ascii="黑体" w:eastAsia="黑体" w:hint="eastAsia"/>
          <w:spacing w:val="-11"/>
        </w:rPr>
        <w:t>上述情形导致被保险人身故的，本附加合同终止。我们将于收到下列证明材料后 </w:t>
      </w:r>
      <w:r>
        <w:rPr>
          <w:rFonts w:ascii="黑体" w:eastAsia="黑体" w:hint="eastAsia"/>
        </w:rPr>
        <w:t>30</w:t>
      </w:r>
      <w:r>
        <w:rPr>
          <w:rFonts w:ascii="黑体" w:eastAsia="黑体" w:hint="eastAsia"/>
          <w:spacing w:val="-10"/>
        </w:rPr>
        <w:t> 日内向</w:t>
      </w:r>
      <w:r>
        <w:rPr>
          <w:rFonts w:ascii="黑体" w:eastAsia="黑体" w:hint="eastAsia"/>
          <w:spacing w:val="-5"/>
        </w:rPr>
        <w:t>其他权利人退还本附加合同终止时的</w:t>
      </w:r>
      <w:r>
        <w:rPr>
          <w:rFonts w:ascii="黑体" w:eastAsia="黑体" w:hint="eastAsia"/>
          <w:b/>
        </w:rPr>
        <w:t>现金价值</w:t>
      </w:r>
      <w:r>
        <w:rPr>
          <w:rFonts w:ascii="黑体" w:eastAsia="黑体" w:hint="eastAsia"/>
        </w:rPr>
        <w:t>。</w:t>
      </w:r>
    </w:p>
    <w:p>
      <w:pPr>
        <w:pStyle w:val="BodyText"/>
        <w:spacing w:line="314" w:lineRule="auto" w:before="18"/>
        <w:ind w:left="116" w:right="110" w:firstLine="420"/>
        <w:rPr>
          <w:rFonts w:ascii="黑体" w:eastAsia="黑体" w:hint="eastAsia"/>
        </w:rPr>
      </w:pPr>
      <w:r>
        <w:rPr>
          <w:rFonts w:ascii="黑体" w:eastAsia="黑体" w:hint="eastAsia"/>
        </w:rPr>
        <w:t>发Th上述情形导致被保险人高度残疾、首次患有本附加合同所列的重大疾病的，本附加合同终止。我们将于收到下列证明材料后 30 日内向您退还本附加合同终止时的现金价值。</w:t>
      </w:r>
    </w:p>
    <w:p>
      <w:pPr>
        <w:pStyle w:val="ListParagraph"/>
        <w:numPr>
          <w:ilvl w:val="0"/>
          <w:numId w:val="2"/>
        </w:numPr>
        <w:tabs>
          <w:tab w:pos="806" w:val="left" w:leader="none"/>
        </w:tabs>
        <w:spacing w:line="240" w:lineRule="auto" w:before="17" w:after="0"/>
        <w:ind w:left="805" w:right="0" w:hanging="269"/>
        <w:jc w:val="left"/>
        <w:rPr>
          <w:rFonts w:ascii="黑体" w:eastAsia="黑体" w:hint="eastAsia"/>
          <w:sz w:val="21"/>
        </w:rPr>
      </w:pPr>
      <w:r>
        <w:rPr>
          <w:rFonts w:ascii="黑体" w:eastAsia="黑体" w:hint="eastAsia"/>
          <w:spacing w:val="-2"/>
          <w:sz w:val="21"/>
        </w:rPr>
        <w:t>本附加合同；</w:t>
      </w:r>
    </w:p>
    <w:p>
      <w:pPr>
        <w:pStyle w:val="ListParagraph"/>
        <w:numPr>
          <w:ilvl w:val="0"/>
          <w:numId w:val="2"/>
        </w:numPr>
        <w:tabs>
          <w:tab w:pos="806" w:val="left" w:leader="none"/>
        </w:tabs>
        <w:spacing w:line="240" w:lineRule="auto" w:before="84" w:after="0"/>
        <w:ind w:left="805" w:right="0" w:hanging="269"/>
        <w:jc w:val="left"/>
        <w:rPr>
          <w:rFonts w:ascii="黑体" w:eastAsia="黑体" w:hint="eastAsia"/>
          <w:sz w:val="21"/>
        </w:rPr>
      </w:pPr>
      <w:r>
        <w:rPr>
          <w:rFonts w:ascii="黑体" w:eastAsia="黑体" w:hint="eastAsia"/>
          <w:spacing w:val="-2"/>
          <w:sz w:val="21"/>
        </w:rPr>
        <w:t>您的</w:t>
      </w:r>
      <w:r>
        <w:rPr>
          <w:rFonts w:ascii="黑体" w:eastAsia="黑体" w:hint="eastAsia"/>
          <w:b/>
          <w:sz w:val="21"/>
        </w:rPr>
        <w:t>有效身份证件</w:t>
      </w:r>
      <w:r>
        <w:rPr>
          <w:rFonts w:ascii="黑体" w:eastAsia="黑体" w:hint="eastAsia"/>
          <w:sz w:val="21"/>
        </w:rPr>
        <w:t>。</w:t>
      </w:r>
    </w:p>
    <w:p>
      <w:pPr>
        <w:pStyle w:val="BodyText"/>
        <w:spacing w:before="0"/>
        <w:rPr>
          <w:rFonts w:ascii="黑体"/>
          <w:sz w:val="20"/>
        </w:rPr>
      </w:pPr>
    </w:p>
    <w:p>
      <w:pPr>
        <w:pStyle w:val="BodyText"/>
        <w:spacing w:before="10"/>
        <w:rPr>
          <w:rFonts w:ascii="黑体"/>
          <w:sz w:val="15"/>
        </w:rPr>
      </w:pPr>
    </w:p>
    <w:p>
      <w:pPr>
        <w:pStyle w:val="Heading1"/>
      </w:pPr>
      <w:bookmarkStart w:name="_bookmark12" w:id="13"/>
      <w:bookmarkEnd w:id="13"/>
      <w:r>
        <w:rPr>
          <w:b w:val="0"/>
        </w:rPr>
      </w:r>
      <w:r>
        <w:rPr/>
        <w:t>第三部分 如何申请豁免保险费</w:t>
      </w:r>
    </w:p>
    <w:p>
      <w:pPr>
        <w:pStyle w:val="BodyText"/>
        <w:spacing w:before="10"/>
        <w:rPr>
          <w:b/>
          <w:sz w:val="37"/>
        </w:rPr>
      </w:pPr>
    </w:p>
    <w:p>
      <w:pPr>
        <w:pStyle w:val="Heading2"/>
      </w:pPr>
      <w:bookmarkStart w:name="_bookmark13" w:id="14"/>
      <w:bookmarkEnd w:id="14"/>
      <w:r>
        <w:rPr>
          <w:b w:val="0"/>
        </w:rPr>
      </w:r>
      <w:r>
        <w:rPr/>
        <w:t>第十一条 保险事故通知</w:t>
      </w:r>
    </w:p>
    <w:p>
      <w:pPr>
        <w:pStyle w:val="BodyText"/>
        <w:spacing w:line="312" w:lineRule="auto" w:before="68"/>
        <w:ind w:left="116" w:right="110" w:firstLine="420"/>
        <w:jc w:val="both"/>
      </w:pPr>
      <w:r>
        <w:rPr>
          <w:spacing w:val="-5"/>
        </w:rPr>
        <w:t>您、被保险人或受益人应于知道保险事故发生之日起 </w:t>
      </w:r>
      <w:r>
        <w:rPr/>
        <w:t>3</w:t>
      </w:r>
      <w:r>
        <w:rPr>
          <w:spacing w:val="-7"/>
        </w:rPr>
        <w:t> 日内通知我们，否则由于通知延误，导</w:t>
      </w:r>
      <w:r>
        <w:rPr>
          <w:spacing w:val="-5"/>
        </w:rPr>
        <w:t>致必要证据丧失或事故性质、原因、损失程度难以确定的，我们对无法确定的部分不承担赔偿或者</w:t>
      </w:r>
      <w:r>
        <w:rPr>
          <w:spacing w:val="-4"/>
        </w:rPr>
        <w:t>豁免保险费的责任；同时，因此致使我们增加的勘查、检验等费用应从豁免的保险费中扣除，但因</w:t>
      </w:r>
      <w:r>
        <w:rPr>
          <w:spacing w:val="-3"/>
        </w:rPr>
        <w:t>不可抗力导致延误的除外。</w:t>
      </w:r>
    </w:p>
    <w:p>
      <w:pPr>
        <w:pStyle w:val="BodyText"/>
        <w:spacing w:before="10"/>
        <w:rPr>
          <w:sz w:val="26"/>
        </w:rPr>
      </w:pPr>
    </w:p>
    <w:p>
      <w:pPr>
        <w:pStyle w:val="Heading2"/>
        <w:spacing w:before="1"/>
      </w:pPr>
      <w:bookmarkStart w:name="_bookmark14" w:id="15"/>
      <w:bookmarkEnd w:id="15"/>
      <w:r>
        <w:rPr>
          <w:b w:val="0"/>
        </w:rPr>
      </w:r>
      <w:r>
        <w:rPr/>
        <w:t>第十二条 豁免保险费的申请</w:t>
      </w:r>
    </w:p>
    <w:p>
      <w:pPr>
        <w:pStyle w:val="BodyText"/>
        <w:spacing w:line="314" w:lineRule="auto" w:before="83"/>
        <w:ind w:left="536" w:right="4522"/>
      </w:pPr>
      <w:r>
        <w:rPr/>
        <w:t>在申请豁免保险费时，应依据下列方式办理： 一、重大疾病豁免保险费申请</w:t>
      </w:r>
    </w:p>
    <w:p>
      <w:pPr>
        <w:pStyle w:val="BodyText"/>
        <w:spacing w:line="314" w:lineRule="auto" w:before="18"/>
        <w:ind w:left="116" w:right="110" w:firstLine="420"/>
      </w:pPr>
      <w:r>
        <w:rPr/>
        <w:t>若被保险人符合重大疾病保险费豁免条件时，索赔权利人需填写豁免保险费申请书，并凭下列证明材料向我们申请豁免保险费：</w:t>
      </w:r>
    </w:p>
    <w:p>
      <w:pPr>
        <w:pStyle w:val="ListParagraph"/>
        <w:numPr>
          <w:ilvl w:val="0"/>
          <w:numId w:val="3"/>
        </w:numPr>
        <w:tabs>
          <w:tab w:pos="806" w:val="left" w:leader="none"/>
        </w:tabs>
        <w:spacing w:line="240" w:lineRule="auto" w:before="18" w:after="0"/>
        <w:ind w:left="536" w:right="0" w:firstLine="0"/>
        <w:jc w:val="left"/>
        <w:rPr>
          <w:sz w:val="21"/>
        </w:rPr>
      </w:pPr>
      <w:r>
        <w:rPr>
          <w:spacing w:val="-2"/>
          <w:sz w:val="21"/>
        </w:rPr>
        <w:t>本附加合同；</w:t>
      </w:r>
    </w:p>
    <w:p>
      <w:pPr>
        <w:pStyle w:val="ListParagraph"/>
        <w:numPr>
          <w:ilvl w:val="0"/>
          <w:numId w:val="3"/>
        </w:numPr>
        <w:tabs>
          <w:tab w:pos="806" w:val="left" w:leader="none"/>
        </w:tabs>
        <w:spacing w:line="240" w:lineRule="auto" w:before="85" w:after="0"/>
        <w:ind w:left="536" w:right="0" w:firstLine="0"/>
        <w:jc w:val="left"/>
        <w:rPr>
          <w:sz w:val="21"/>
        </w:rPr>
      </w:pPr>
      <w:r>
        <w:rPr>
          <w:spacing w:val="-3"/>
          <w:sz w:val="21"/>
        </w:rPr>
        <w:t>索赔权利人的有效身份证件及索赔权利证明；</w:t>
      </w:r>
    </w:p>
    <w:p>
      <w:pPr>
        <w:pStyle w:val="ListParagraph"/>
        <w:numPr>
          <w:ilvl w:val="0"/>
          <w:numId w:val="3"/>
        </w:numPr>
        <w:tabs>
          <w:tab w:pos="806" w:val="left" w:leader="none"/>
        </w:tabs>
        <w:spacing w:line="240" w:lineRule="auto" w:before="83" w:after="0"/>
        <w:ind w:left="536" w:right="0" w:firstLine="0"/>
        <w:jc w:val="left"/>
        <w:rPr>
          <w:sz w:val="21"/>
        </w:rPr>
      </w:pPr>
      <w:r>
        <w:rPr>
          <w:spacing w:val="-3"/>
          <w:sz w:val="21"/>
        </w:rPr>
        <w:t>我们认可的医疗机构出具的诊断证明以及相关资料；</w:t>
      </w:r>
    </w:p>
    <w:p>
      <w:pPr>
        <w:pStyle w:val="ListParagraph"/>
        <w:numPr>
          <w:ilvl w:val="0"/>
          <w:numId w:val="3"/>
        </w:numPr>
        <w:tabs>
          <w:tab w:pos="806" w:val="left" w:leader="none"/>
        </w:tabs>
        <w:spacing w:line="312" w:lineRule="auto" w:before="85" w:after="0"/>
        <w:ind w:left="536" w:right="890" w:firstLine="0"/>
        <w:jc w:val="left"/>
        <w:rPr>
          <w:sz w:val="21"/>
        </w:rPr>
      </w:pPr>
      <w:r>
        <w:rPr>
          <w:spacing w:val="-3"/>
          <w:sz w:val="21"/>
        </w:rPr>
        <w:t>我们所需且索赔权利人能够提供的与事故的性质、原因等有关的证明文件和资料。二、身故豁免保险费申请</w:t>
      </w:r>
    </w:p>
    <w:p>
      <w:pPr>
        <w:pStyle w:val="BodyText"/>
        <w:spacing w:line="312" w:lineRule="auto" w:before="22"/>
        <w:ind w:left="116" w:right="110" w:firstLine="420"/>
      </w:pPr>
      <w:r>
        <w:rPr/>
        <w:t>若被保险人身故，索赔权利人需填写豁免保险费申请书，并凭下列证明材料向我们申请豁免保险费：</w:t>
      </w:r>
    </w:p>
    <w:p>
      <w:pPr>
        <w:pStyle w:val="ListParagraph"/>
        <w:numPr>
          <w:ilvl w:val="0"/>
          <w:numId w:val="4"/>
        </w:numPr>
        <w:tabs>
          <w:tab w:pos="806" w:val="left" w:leader="none"/>
        </w:tabs>
        <w:spacing w:line="240" w:lineRule="auto" w:before="22" w:after="0"/>
        <w:ind w:left="536" w:right="0" w:firstLine="0"/>
        <w:jc w:val="left"/>
        <w:rPr>
          <w:sz w:val="21"/>
        </w:rPr>
      </w:pPr>
      <w:r>
        <w:rPr>
          <w:spacing w:val="-2"/>
          <w:sz w:val="21"/>
        </w:rPr>
        <w:t>本附加合同；</w:t>
      </w:r>
    </w:p>
    <w:p>
      <w:pPr>
        <w:pStyle w:val="ListParagraph"/>
        <w:numPr>
          <w:ilvl w:val="0"/>
          <w:numId w:val="4"/>
        </w:numPr>
        <w:tabs>
          <w:tab w:pos="806" w:val="left" w:leader="none"/>
        </w:tabs>
        <w:spacing w:line="240" w:lineRule="auto" w:before="82" w:after="0"/>
        <w:ind w:left="536" w:right="0" w:firstLine="0"/>
        <w:jc w:val="left"/>
        <w:rPr>
          <w:sz w:val="21"/>
        </w:rPr>
      </w:pPr>
      <w:r>
        <w:rPr>
          <w:spacing w:val="-3"/>
          <w:sz w:val="21"/>
        </w:rPr>
        <w:t>索赔权利人的有效身份证件及索赔权利证明；</w:t>
      </w:r>
    </w:p>
    <w:p>
      <w:pPr>
        <w:pStyle w:val="ListParagraph"/>
        <w:numPr>
          <w:ilvl w:val="0"/>
          <w:numId w:val="4"/>
        </w:numPr>
        <w:tabs>
          <w:tab w:pos="806" w:val="left" w:leader="none"/>
        </w:tabs>
        <w:spacing w:line="240" w:lineRule="auto" w:before="84" w:after="0"/>
        <w:ind w:left="536" w:right="0" w:firstLine="0"/>
        <w:jc w:val="left"/>
        <w:rPr>
          <w:sz w:val="21"/>
        </w:rPr>
      </w:pPr>
      <w:r>
        <w:rPr>
          <w:sz w:val="21"/>
        </w:rPr>
        <w:t>我们认可的医疗机构出具的被保险人死亡证明书以及公安机关或其他有权机构出具的尸体</w:t>
      </w:r>
    </w:p>
    <w:p>
      <w:pPr>
        <w:spacing w:after="0" w:line="240" w:lineRule="auto"/>
        <w:jc w:val="left"/>
        <w:rPr>
          <w:sz w:val="21"/>
        </w:rPr>
        <w:sectPr>
          <w:pgSz w:w="11910" w:h="16840"/>
          <w:pgMar w:header="0" w:footer="915" w:top="1400" w:bottom="1180" w:left="1300" w:right="1340"/>
        </w:sectPr>
      </w:pPr>
    </w:p>
    <w:p>
      <w:pPr>
        <w:pStyle w:val="BodyText"/>
        <w:spacing w:before="9"/>
        <w:ind w:left="787" w:right="7492"/>
        <w:jc w:val="center"/>
      </w:pPr>
      <w:r>
        <w:rPr/>
        <w:t>检验报告；</w:t>
      </w:r>
    </w:p>
    <w:p>
      <w:pPr>
        <w:pStyle w:val="ListParagraph"/>
        <w:numPr>
          <w:ilvl w:val="0"/>
          <w:numId w:val="4"/>
        </w:numPr>
        <w:tabs>
          <w:tab w:pos="806" w:val="left" w:leader="none"/>
        </w:tabs>
        <w:spacing w:line="240" w:lineRule="auto" w:before="85" w:after="0"/>
        <w:ind w:left="536" w:right="0" w:firstLine="0"/>
        <w:jc w:val="left"/>
        <w:rPr>
          <w:sz w:val="21"/>
        </w:rPr>
      </w:pPr>
      <w:r>
        <w:rPr>
          <w:spacing w:val="-3"/>
          <w:sz w:val="21"/>
        </w:rPr>
        <w:t>若被保险人为宣告死亡，索赔权利人须提供由人民法院出具的宣告死亡的裁判法律文书；</w:t>
      </w:r>
    </w:p>
    <w:p>
      <w:pPr>
        <w:pStyle w:val="ListParagraph"/>
        <w:numPr>
          <w:ilvl w:val="0"/>
          <w:numId w:val="4"/>
        </w:numPr>
        <w:tabs>
          <w:tab w:pos="806" w:val="left" w:leader="none"/>
        </w:tabs>
        <w:spacing w:line="240" w:lineRule="auto" w:before="82" w:after="0"/>
        <w:ind w:left="536" w:right="0" w:firstLine="0"/>
        <w:jc w:val="left"/>
        <w:rPr>
          <w:sz w:val="21"/>
        </w:rPr>
      </w:pPr>
      <w:r>
        <w:rPr>
          <w:spacing w:val="-3"/>
          <w:sz w:val="21"/>
        </w:rPr>
        <w:t>被保险人的户籍注销证明；</w:t>
      </w:r>
    </w:p>
    <w:p>
      <w:pPr>
        <w:pStyle w:val="ListParagraph"/>
        <w:numPr>
          <w:ilvl w:val="0"/>
          <w:numId w:val="4"/>
        </w:numPr>
        <w:tabs>
          <w:tab w:pos="806" w:val="left" w:leader="none"/>
        </w:tabs>
        <w:spacing w:line="240" w:lineRule="auto" w:before="85" w:after="0"/>
        <w:ind w:left="536" w:right="0" w:firstLine="0"/>
        <w:jc w:val="left"/>
        <w:rPr>
          <w:sz w:val="21"/>
        </w:rPr>
      </w:pPr>
      <w:r>
        <w:rPr>
          <w:spacing w:val="-3"/>
          <w:sz w:val="21"/>
        </w:rPr>
        <w:t>索赔权利人所能提供的与确认保险事故的性质、原因有关的证明文件和资料；</w:t>
      </w:r>
    </w:p>
    <w:p>
      <w:pPr>
        <w:pStyle w:val="ListParagraph"/>
        <w:numPr>
          <w:ilvl w:val="0"/>
          <w:numId w:val="4"/>
        </w:numPr>
        <w:tabs>
          <w:tab w:pos="806" w:val="left" w:leader="none"/>
        </w:tabs>
        <w:spacing w:line="314" w:lineRule="auto" w:before="83" w:after="0"/>
        <w:ind w:left="536" w:right="2673" w:firstLine="0"/>
        <w:jc w:val="left"/>
        <w:rPr>
          <w:sz w:val="21"/>
        </w:rPr>
      </w:pPr>
      <w:r>
        <w:rPr>
          <w:spacing w:val="-3"/>
          <w:sz w:val="21"/>
        </w:rPr>
        <w:t>我们所需且索赔权利人能够提供的与保险事故有关的其他材料。三、高度残疾豁免保险费申请</w:t>
      </w:r>
    </w:p>
    <w:p>
      <w:pPr>
        <w:pStyle w:val="BodyText"/>
        <w:spacing w:line="314" w:lineRule="auto" w:before="17"/>
        <w:ind w:left="116" w:right="210" w:firstLine="420"/>
      </w:pPr>
      <w:r>
        <w:rPr/>
        <w:t>若被保险人高度残疾，索赔权利人需填写豁免保险费申请书，并凭下列证明材料向我们申请豁免保险费：</w:t>
      </w:r>
    </w:p>
    <w:p>
      <w:pPr>
        <w:pStyle w:val="ListParagraph"/>
        <w:numPr>
          <w:ilvl w:val="0"/>
          <w:numId w:val="5"/>
        </w:numPr>
        <w:tabs>
          <w:tab w:pos="806" w:val="left" w:leader="none"/>
        </w:tabs>
        <w:spacing w:line="240" w:lineRule="auto" w:before="17" w:after="0"/>
        <w:ind w:left="805" w:right="0" w:hanging="269"/>
        <w:jc w:val="left"/>
        <w:rPr>
          <w:sz w:val="21"/>
        </w:rPr>
      </w:pPr>
      <w:r>
        <w:rPr>
          <w:spacing w:val="-2"/>
          <w:sz w:val="21"/>
        </w:rPr>
        <w:t>本附加合同；</w:t>
      </w:r>
    </w:p>
    <w:p>
      <w:pPr>
        <w:pStyle w:val="ListParagraph"/>
        <w:numPr>
          <w:ilvl w:val="0"/>
          <w:numId w:val="5"/>
        </w:numPr>
        <w:tabs>
          <w:tab w:pos="806" w:val="left" w:leader="none"/>
        </w:tabs>
        <w:spacing w:line="240" w:lineRule="auto" w:before="85" w:after="0"/>
        <w:ind w:left="805" w:right="0" w:hanging="269"/>
        <w:jc w:val="left"/>
        <w:rPr>
          <w:sz w:val="21"/>
        </w:rPr>
      </w:pPr>
      <w:r>
        <w:rPr>
          <w:spacing w:val="-3"/>
          <w:sz w:val="21"/>
        </w:rPr>
        <w:t>索赔权利人的有效身份证件及索赔权利证明；</w:t>
      </w:r>
    </w:p>
    <w:p>
      <w:pPr>
        <w:pStyle w:val="ListParagraph"/>
        <w:numPr>
          <w:ilvl w:val="0"/>
          <w:numId w:val="5"/>
        </w:numPr>
        <w:tabs>
          <w:tab w:pos="806" w:val="left" w:leader="none"/>
        </w:tabs>
        <w:spacing w:line="240" w:lineRule="auto" w:before="83" w:after="0"/>
        <w:ind w:left="805" w:right="0" w:hanging="269"/>
        <w:jc w:val="left"/>
        <w:rPr>
          <w:sz w:val="21"/>
        </w:rPr>
      </w:pPr>
      <w:r>
        <w:rPr>
          <w:spacing w:val="-3"/>
          <w:sz w:val="21"/>
        </w:rPr>
        <w:t>我们认可的医疗机构出具的诊断证明或政府职能部门法医出具的伤残鉴定书；</w:t>
      </w:r>
    </w:p>
    <w:p>
      <w:pPr>
        <w:pStyle w:val="ListParagraph"/>
        <w:numPr>
          <w:ilvl w:val="0"/>
          <w:numId w:val="5"/>
        </w:numPr>
        <w:tabs>
          <w:tab w:pos="806" w:val="left" w:leader="none"/>
        </w:tabs>
        <w:spacing w:line="240" w:lineRule="auto" w:before="85" w:after="0"/>
        <w:ind w:left="805" w:right="0" w:hanging="269"/>
        <w:jc w:val="left"/>
        <w:rPr>
          <w:sz w:val="21"/>
        </w:rPr>
      </w:pPr>
      <w:r>
        <w:rPr>
          <w:spacing w:val="-3"/>
          <w:sz w:val="21"/>
        </w:rPr>
        <w:t>索赔权利人所能提供的与确认保险事故的性质、原因有关的证明文件和资料；</w:t>
      </w:r>
    </w:p>
    <w:p>
      <w:pPr>
        <w:pStyle w:val="ListParagraph"/>
        <w:numPr>
          <w:ilvl w:val="0"/>
          <w:numId w:val="5"/>
        </w:numPr>
        <w:tabs>
          <w:tab w:pos="806" w:val="left" w:leader="none"/>
        </w:tabs>
        <w:spacing w:line="240" w:lineRule="auto" w:before="82" w:after="0"/>
        <w:ind w:left="805" w:right="0" w:hanging="269"/>
        <w:jc w:val="left"/>
        <w:rPr>
          <w:sz w:val="21"/>
        </w:rPr>
      </w:pPr>
      <w:r>
        <w:rPr>
          <w:spacing w:val="-3"/>
          <w:sz w:val="21"/>
        </w:rPr>
        <w:t>我们所需且索赔权利人能够提供的与保险事故有关的其他材料。</w:t>
      </w:r>
    </w:p>
    <w:p>
      <w:pPr>
        <w:pStyle w:val="BodyText"/>
        <w:spacing w:before="84"/>
        <w:ind w:left="536"/>
      </w:pPr>
      <w:r>
        <w:rPr/>
        <w:t>以上证明和资料不完整的，我们将及时一次性通知申请人补充提供有关证明和资料。</w:t>
      </w:r>
    </w:p>
    <w:p>
      <w:pPr>
        <w:pStyle w:val="BodyText"/>
        <w:spacing w:line="314" w:lineRule="auto"/>
        <w:ind w:left="116" w:right="104" w:firstLine="420"/>
      </w:pPr>
      <w:r>
        <w:rPr>
          <w:spacing w:val="-3"/>
        </w:rPr>
        <w:t>我们收到申请人的豁免保险费申请书及本条所列的证明材料后，对确属保险责任范围的，在与</w:t>
      </w:r>
      <w:r>
        <w:rPr>
          <w:spacing w:val="-5"/>
        </w:rPr>
        <w:t>申请人达成有关豁免保险费数额的协议后 </w:t>
      </w:r>
      <w:r>
        <w:rPr/>
        <w:t>10</w:t>
      </w:r>
      <w:r>
        <w:rPr>
          <w:spacing w:val="-18"/>
        </w:rPr>
        <w:t> 日内，履行豁免保险费责任；对不属于保险责任范围的， </w:t>
      </w:r>
      <w:r>
        <w:rPr>
          <w:spacing w:val="-3"/>
        </w:rPr>
        <w:t>向申请人发出拒绝豁免保险费通知书。</w:t>
      </w:r>
    </w:p>
    <w:p>
      <w:pPr>
        <w:pStyle w:val="BodyText"/>
        <w:spacing w:line="314" w:lineRule="auto" w:before="19"/>
        <w:ind w:left="116" w:right="210" w:firstLine="420"/>
        <w:jc w:val="both"/>
      </w:pPr>
      <w:r>
        <w:rPr>
          <w:spacing w:val="-4"/>
        </w:rPr>
        <w:t>我们自收到申请人的豁免保险费申请书及本条所列的证明材料之日起 </w:t>
      </w:r>
      <w:r>
        <w:rPr/>
        <w:t>60</w:t>
      </w:r>
      <w:r>
        <w:rPr>
          <w:spacing w:val="-17"/>
        </w:rPr>
        <w:t> 日内，对属于保险责任</w:t>
      </w:r>
      <w:r>
        <w:rPr>
          <w:spacing w:val="-7"/>
        </w:rPr>
        <w:t>而豁免保险费的数额暂不能确定的，根据已有的证明材料，按可以确定的最低数额先予支付，我们</w:t>
      </w:r>
      <w:r>
        <w:rPr>
          <w:spacing w:val="-3"/>
        </w:rPr>
        <w:t>最终确定豁免保险费数额后，豁免相应的差额。</w:t>
      </w:r>
    </w:p>
    <w:p>
      <w:pPr>
        <w:pStyle w:val="BodyText"/>
        <w:spacing w:before="2"/>
        <w:rPr>
          <w:sz w:val="25"/>
        </w:rPr>
      </w:pPr>
    </w:p>
    <w:p>
      <w:pPr>
        <w:pStyle w:val="Heading2"/>
      </w:pPr>
      <w:bookmarkStart w:name="_bookmark15" w:id="16"/>
      <w:bookmarkEnd w:id="16"/>
      <w:r>
        <w:rPr>
          <w:b w:val="0"/>
        </w:rPr>
      </w:r>
      <w:r>
        <w:rPr/>
        <w:t>第十三条 欠款的扣除</w:t>
      </w:r>
    </w:p>
    <w:p>
      <w:pPr>
        <w:pStyle w:val="BodyText"/>
        <w:spacing w:line="312" w:lineRule="auto" w:before="85"/>
        <w:ind w:left="116" w:right="210" w:firstLine="420"/>
      </w:pPr>
      <w:r>
        <w:rPr/>
        <w:t>我们在豁免各项保险费或退还现金价值时，如果您有尚未支付的保险费，我们将在扣除上述欠款及利息后再行豁免。</w:t>
      </w:r>
    </w:p>
    <w:p>
      <w:pPr>
        <w:pStyle w:val="BodyText"/>
        <w:spacing w:before="0"/>
        <w:rPr>
          <w:sz w:val="20"/>
        </w:rPr>
      </w:pPr>
    </w:p>
    <w:p>
      <w:pPr>
        <w:pStyle w:val="Heading1"/>
        <w:spacing w:before="146"/>
      </w:pPr>
      <w:bookmarkStart w:name="_bookmark16" w:id="17"/>
      <w:bookmarkEnd w:id="17"/>
      <w:r>
        <w:rPr>
          <w:b w:val="0"/>
        </w:rPr>
      </w:r>
      <w:r>
        <w:rPr/>
        <w:t>第四部分 您所拥有的重要权益</w:t>
      </w:r>
    </w:p>
    <w:p>
      <w:pPr>
        <w:pStyle w:val="BodyText"/>
        <w:spacing w:before="10"/>
        <w:rPr>
          <w:b/>
          <w:sz w:val="37"/>
        </w:rPr>
      </w:pPr>
    </w:p>
    <w:p>
      <w:pPr>
        <w:pStyle w:val="Heading2"/>
      </w:pPr>
      <w:bookmarkStart w:name="_bookmark17" w:id="18"/>
      <w:bookmarkEnd w:id="18"/>
      <w:r>
        <w:rPr>
          <w:b w:val="0"/>
        </w:rPr>
      </w:r>
      <w:r>
        <w:rPr/>
        <w:t>第十四条 合同效力的恢复</w:t>
      </w:r>
    </w:p>
    <w:p>
      <w:pPr>
        <w:pStyle w:val="BodyText"/>
        <w:spacing w:line="314" w:lineRule="auto"/>
        <w:ind w:left="116" w:right="210" w:firstLine="420"/>
        <w:jc w:val="both"/>
      </w:pPr>
      <w:r>
        <w:rPr>
          <w:spacing w:val="-6"/>
        </w:rPr>
        <w:t>您可自本附加合同效力中止后 </w:t>
      </w:r>
      <w:r>
        <w:rPr/>
        <w:t>2</w:t>
      </w:r>
      <w:r>
        <w:rPr>
          <w:spacing w:val="-7"/>
        </w:rPr>
        <w:t> 年内，填写复效申请书并按我们要求提供被保险人健康及财务</w:t>
      </w:r>
      <w:r>
        <w:rPr>
          <w:spacing w:val="-5"/>
        </w:rPr>
        <w:t>方面的资料，经我们审核同意，自您补交所欠保险费、借款及利息的次日零时起，本附加合同效力</w:t>
      </w:r>
      <w:r>
        <w:rPr/>
        <w:t>恢复。</w:t>
      </w:r>
    </w:p>
    <w:p>
      <w:pPr>
        <w:pStyle w:val="BodyText"/>
        <w:spacing w:line="312" w:lineRule="auto" w:before="19"/>
        <w:ind w:left="116" w:right="210" w:firstLine="420"/>
      </w:pPr>
      <w:r>
        <w:rPr>
          <w:spacing w:val="-5"/>
        </w:rPr>
        <w:t>您与我们在本附加合同效力中止之日起 </w:t>
      </w:r>
      <w:r>
        <w:rPr/>
        <w:t>2</w:t>
      </w:r>
      <w:r>
        <w:rPr>
          <w:spacing w:val="-7"/>
        </w:rPr>
        <w:t> 年，仍未达成复效协议的，本附加合同即自行终止， </w:t>
      </w:r>
      <w:r>
        <w:rPr>
          <w:spacing w:val="-5"/>
        </w:rPr>
        <w:t>我们向您退还合同效力中止时保险单的现金价值。</w:t>
      </w:r>
    </w:p>
    <w:p>
      <w:pPr>
        <w:pStyle w:val="BodyText"/>
        <w:spacing w:before="6"/>
        <w:rPr>
          <w:sz w:val="25"/>
        </w:rPr>
      </w:pPr>
    </w:p>
    <w:p>
      <w:pPr>
        <w:pStyle w:val="Heading2"/>
      </w:pPr>
      <w:bookmarkStart w:name="_bookmark18" w:id="19"/>
      <w:bookmarkEnd w:id="19"/>
      <w:r>
        <w:rPr>
          <w:b w:val="0"/>
        </w:rPr>
      </w:r>
      <w:r>
        <w:rPr/>
        <w:t>第十五条 合同内容变更权</w:t>
      </w:r>
    </w:p>
    <w:p>
      <w:pPr>
        <w:pStyle w:val="BodyText"/>
        <w:spacing w:line="314" w:lineRule="auto"/>
        <w:ind w:left="116" w:right="210" w:firstLine="420"/>
        <w:jc w:val="both"/>
      </w:pPr>
      <w:r>
        <w:rPr/>
        <w:t>您在本附加合同有效期内，经您与我们协商一致，可申请变更本附加合同内容。变更本附加合同的，应当由我们在保险单或者其他凭证上批注或者附贴批单，或者由您与我们订立书面的变更协议。</w:t>
      </w:r>
    </w:p>
    <w:p>
      <w:pPr>
        <w:spacing w:after="0" w:line="314" w:lineRule="auto"/>
        <w:jc w:val="both"/>
        <w:sectPr>
          <w:pgSz w:w="11910" w:h="16840"/>
          <w:pgMar w:header="0" w:footer="915" w:top="1400" w:bottom="1180" w:left="1300" w:right="1240"/>
        </w:sectPr>
      </w:pPr>
    </w:p>
    <w:p>
      <w:pPr>
        <w:pStyle w:val="Heading2"/>
        <w:spacing w:before="9"/>
      </w:pPr>
      <w:bookmarkStart w:name="_bookmark19" w:id="20"/>
      <w:bookmarkEnd w:id="20"/>
      <w:r>
        <w:rPr>
          <w:b w:val="0"/>
        </w:rPr>
      </w:r>
      <w:r>
        <w:rPr/>
        <w:t>第十六条 犹豫期及合同解除权</w:t>
      </w:r>
    </w:p>
    <w:p>
      <w:pPr>
        <w:pStyle w:val="BodyText"/>
        <w:spacing w:line="314" w:lineRule="auto" w:before="85"/>
        <w:ind w:left="116" w:right="110" w:firstLine="420"/>
        <w:jc w:val="both"/>
      </w:pPr>
      <w:r>
        <w:rPr/>
        <w:t>在本附加合同有效期内，您可随时申请解除本附加合同。我们收到解除合同申请书时，本附加合同终止。为了让您能够更清楚地了解相关的保险条款和内容，以及有更多的考虑时间，自您签收本附加合同次日起（含该日）15 天内为犹豫期。</w:t>
      </w:r>
    </w:p>
    <w:p>
      <w:pPr>
        <w:pStyle w:val="BodyText"/>
        <w:spacing w:before="17"/>
        <w:ind w:left="536"/>
      </w:pPr>
      <w:r>
        <w:rPr/>
        <w:t>一、 若您在犹豫期内要求解除本附加合同，我们将于收到本条第三款所列的证明材料并扣除</w:t>
      </w:r>
    </w:p>
    <w:p>
      <w:pPr>
        <w:pStyle w:val="BodyText"/>
        <w:spacing w:before="85"/>
        <w:ind w:left="116"/>
      </w:pPr>
      <w:r>
        <w:rPr>
          <w:rFonts w:ascii="Times New Roman" w:eastAsia="Times New Roman"/>
        </w:rPr>
        <w:t>10 </w:t>
      </w:r>
      <w:r>
        <w:rPr/>
        <w:t>元工本费后无息退还已收的全部保险费，本附加合同自始无效。</w:t>
      </w:r>
    </w:p>
    <w:p>
      <w:pPr>
        <w:pStyle w:val="BodyText"/>
        <w:spacing w:line="297" w:lineRule="auto" w:before="67"/>
        <w:ind w:left="116" w:right="50" w:firstLine="420"/>
      </w:pPr>
      <w:r>
        <w:rPr/>
        <w:t>二、 若您在犹豫期后要求解除本附加合同，我们在收到本条第三款所列的证明材料后 </w:t>
      </w:r>
      <w:r>
        <w:rPr>
          <w:rFonts w:ascii="Times New Roman" w:eastAsia="Times New Roman"/>
        </w:rPr>
        <w:t>30 </w:t>
      </w:r>
      <w:r>
        <w:rPr/>
        <w:t>日内向您退还本附加合同终止时的保险单</w:t>
      </w:r>
      <w:r>
        <w:rPr>
          <w:b/>
        </w:rPr>
        <w:t>现金价值净额</w:t>
      </w:r>
      <w:r>
        <w:rPr/>
        <w:t>。</w:t>
      </w:r>
    </w:p>
    <w:p>
      <w:pPr>
        <w:pStyle w:val="BodyText"/>
        <w:spacing w:before="32"/>
        <w:ind w:left="536"/>
      </w:pPr>
      <w:r>
        <w:rPr/>
        <w:t>三、 您要求解除本附加合同时，应提供下列证明材料：</w:t>
      </w:r>
    </w:p>
    <w:p>
      <w:pPr>
        <w:pStyle w:val="ListParagraph"/>
        <w:numPr>
          <w:ilvl w:val="0"/>
          <w:numId w:val="6"/>
        </w:numPr>
        <w:tabs>
          <w:tab w:pos="806" w:val="left" w:leader="none"/>
        </w:tabs>
        <w:spacing w:line="240" w:lineRule="auto" w:before="84" w:after="0"/>
        <w:ind w:left="805" w:right="0" w:hanging="269"/>
        <w:jc w:val="left"/>
        <w:rPr>
          <w:sz w:val="21"/>
        </w:rPr>
      </w:pPr>
      <w:r>
        <w:rPr>
          <w:spacing w:val="-2"/>
          <w:sz w:val="21"/>
        </w:rPr>
        <w:t>本附加合同；</w:t>
      </w:r>
    </w:p>
    <w:p>
      <w:pPr>
        <w:pStyle w:val="ListParagraph"/>
        <w:numPr>
          <w:ilvl w:val="0"/>
          <w:numId w:val="6"/>
        </w:numPr>
        <w:tabs>
          <w:tab w:pos="806" w:val="left" w:leader="none"/>
        </w:tabs>
        <w:spacing w:line="240" w:lineRule="auto" w:before="82" w:after="0"/>
        <w:ind w:left="805" w:right="0" w:hanging="269"/>
        <w:jc w:val="left"/>
        <w:rPr>
          <w:sz w:val="21"/>
        </w:rPr>
      </w:pPr>
      <w:r>
        <w:rPr>
          <w:spacing w:val="-3"/>
          <w:sz w:val="21"/>
        </w:rPr>
        <w:t>解除合同申请书；</w:t>
      </w:r>
    </w:p>
    <w:p>
      <w:pPr>
        <w:pStyle w:val="ListParagraph"/>
        <w:numPr>
          <w:ilvl w:val="0"/>
          <w:numId w:val="6"/>
        </w:numPr>
        <w:tabs>
          <w:tab w:pos="806" w:val="left" w:leader="none"/>
        </w:tabs>
        <w:spacing w:line="240" w:lineRule="auto" w:before="84" w:after="0"/>
        <w:ind w:left="805" w:right="0" w:hanging="269"/>
        <w:jc w:val="left"/>
        <w:rPr>
          <w:sz w:val="21"/>
        </w:rPr>
      </w:pPr>
      <w:r>
        <w:rPr>
          <w:spacing w:val="-3"/>
          <w:sz w:val="21"/>
        </w:rPr>
        <w:t>您的有效身份证件。</w:t>
      </w:r>
    </w:p>
    <w:p>
      <w:pPr>
        <w:spacing w:before="82"/>
        <w:ind w:left="538" w:right="0" w:firstLine="0"/>
        <w:jc w:val="left"/>
        <w:rPr>
          <w:rFonts w:ascii="黑体" w:eastAsia="黑体" w:hint="eastAsia"/>
          <w:b/>
          <w:sz w:val="21"/>
        </w:rPr>
      </w:pPr>
      <w:r>
        <w:rPr>
          <w:rFonts w:ascii="黑体" w:eastAsia="黑体" w:hint="eastAsia"/>
          <w:b/>
          <w:sz w:val="21"/>
        </w:rPr>
        <w:t>特别提示与说明：您在犹豫期后解除合同可能会受到一定的损失。</w:t>
      </w:r>
    </w:p>
    <w:p>
      <w:pPr>
        <w:pStyle w:val="BodyText"/>
        <w:spacing w:before="0"/>
        <w:rPr>
          <w:rFonts w:ascii="黑体"/>
          <w:b/>
          <w:sz w:val="20"/>
        </w:rPr>
      </w:pPr>
    </w:p>
    <w:p>
      <w:pPr>
        <w:pStyle w:val="BodyText"/>
        <w:spacing w:before="0"/>
        <w:rPr>
          <w:rFonts w:ascii="黑体"/>
          <w:b/>
          <w:sz w:val="16"/>
        </w:rPr>
      </w:pPr>
    </w:p>
    <w:p>
      <w:pPr>
        <w:pStyle w:val="Heading1"/>
        <w:ind w:left="2877"/>
      </w:pPr>
      <w:bookmarkStart w:name="_bookmark20" w:id="21"/>
      <w:bookmarkEnd w:id="21"/>
      <w:r>
        <w:rPr>
          <w:b w:val="0"/>
        </w:rPr>
      </w:r>
      <w:r>
        <w:rPr/>
        <w:t>第五部分 您必须了解的事项</w:t>
      </w:r>
    </w:p>
    <w:p>
      <w:pPr>
        <w:pStyle w:val="BodyText"/>
        <w:spacing w:before="11"/>
        <w:rPr>
          <w:b/>
          <w:sz w:val="37"/>
        </w:rPr>
      </w:pPr>
    </w:p>
    <w:p>
      <w:pPr>
        <w:pStyle w:val="Heading2"/>
      </w:pPr>
      <w:bookmarkStart w:name="_bookmark21" w:id="22"/>
      <w:bookmarkEnd w:id="22"/>
      <w:r>
        <w:rPr>
          <w:b w:val="0"/>
        </w:rPr>
      </w:r>
      <w:r>
        <w:rPr/>
        <w:t>第十七条 明确说明和如实告知义务</w:t>
      </w:r>
    </w:p>
    <w:p>
      <w:pPr>
        <w:pStyle w:val="BodyText"/>
        <w:ind w:left="536"/>
      </w:pPr>
      <w:r>
        <w:rPr/>
        <w:t>订立本附加合同时，我们应向您说明本附加合同的内容。</w:t>
      </w:r>
    </w:p>
    <w:p>
      <w:pPr>
        <w:pStyle w:val="BodyText"/>
        <w:spacing w:line="314" w:lineRule="auto" w:before="84"/>
        <w:ind w:left="116" w:right="110" w:firstLine="420"/>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17"/>
        <w:ind w:left="536"/>
      </w:pPr>
      <w:r>
        <w:rPr/>
        <w:t>我们就您和被保险人的有关情况提出询问，您应当如实告知。</w:t>
      </w:r>
    </w:p>
    <w:p>
      <w:pPr>
        <w:pStyle w:val="BodyText"/>
        <w:spacing w:line="312" w:lineRule="auto" w:before="85"/>
        <w:ind w:left="116" w:right="110" w:firstLine="420"/>
        <w:rPr>
          <w:rFonts w:ascii="黑体" w:eastAsia="黑体" w:hint="eastAsia"/>
        </w:rPr>
      </w:pPr>
      <w:r>
        <w:rPr>
          <w:rFonts w:ascii="黑体" w:eastAsia="黑体" w:hint="eastAsia"/>
        </w:rPr>
        <w:t>如果您故意或者因重大过失未履行前款规定的如实告知义务，足以影响我们决定是否同意承保或者提高保险费率的，我们有权解除本附加合同。</w:t>
      </w:r>
    </w:p>
    <w:p>
      <w:pPr>
        <w:pStyle w:val="BodyText"/>
        <w:spacing w:before="22"/>
        <w:ind w:left="536"/>
        <w:rPr>
          <w:rFonts w:ascii="黑体" w:eastAsia="黑体" w:hint="eastAsia"/>
        </w:rPr>
      </w:pPr>
      <w:r>
        <w:rPr>
          <w:rFonts w:ascii="黑体" w:eastAsia="黑体" w:hint="eastAsia"/>
          <w:spacing w:val="-9"/>
        </w:rPr>
        <w:t>前款规定的合同解除权，自我们知道有解除事由之日起，超过 </w:t>
      </w:r>
      <w:r>
        <w:rPr>
          <w:rFonts w:ascii="黑体" w:eastAsia="黑体" w:hint="eastAsia"/>
        </w:rPr>
        <w:t>30</w:t>
      </w:r>
      <w:r>
        <w:rPr>
          <w:rFonts w:ascii="黑体" w:eastAsia="黑体" w:hint="eastAsia"/>
          <w:spacing w:val="-10"/>
        </w:rPr>
        <w:t> 日不行使而消灭。自合同成立</w:t>
      </w:r>
    </w:p>
    <w:p>
      <w:pPr>
        <w:pStyle w:val="BodyText"/>
        <w:spacing w:line="314" w:lineRule="auto"/>
        <w:ind w:left="116" w:right="112"/>
        <w:rPr>
          <w:rFonts w:ascii="黑体" w:eastAsia="黑体" w:hint="eastAsia"/>
        </w:rPr>
      </w:pPr>
      <w:r>
        <w:rPr>
          <w:rFonts w:ascii="黑体" w:eastAsia="黑体" w:hint="eastAsia"/>
          <w:spacing w:val="-7"/>
        </w:rPr>
        <w:t>之日起超过 </w:t>
      </w:r>
      <w:r>
        <w:rPr>
          <w:rFonts w:ascii="黑体" w:eastAsia="黑体" w:hint="eastAsia"/>
        </w:rPr>
        <w:t>2</w:t>
      </w:r>
      <w:r>
        <w:rPr>
          <w:rFonts w:ascii="黑体" w:eastAsia="黑体" w:hint="eastAsia"/>
          <w:spacing w:val="-7"/>
        </w:rPr>
        <w:t> 年的，我们不得解除合同；发</w:t>
      </w:r>
      <w:r>
        <w:rPr>
          <w:rFonts w:ascii="黑体" w:eastAsia="黑体" w:hint="eastAsia"/>
        </w:rPr>
        <w:t>Th</w:t>
      </w:r>
      <w:r>
        <w:rPr>
          <w:rFonts w:ascii="黑体" w:eastAsia="黑体" w:hint="eastAsia"/>
          <w:spacing w:val="-3"/>
        </w:rPr>
        <w:t>保险事故的，我们应当承担赔偿或者豁免保险费的责</w:t>
      </w:r>
      <w:r>
        <w:rPr>
          <w:rFonts w:ascii="黑体" w:eastAsia="黑体" w:hint="eastAsia"/>
        </w:rPr>
        <w:t>任。</w:t>
      </w:r>
    </w:p>
    <w:p>
      <w:pPr>
        <w:pStyle w:val="BodyText"/>
        <w:spacing w:line="314" w:lineRule="auto" w:before="17"/>
        <w:ind w:left="116" w:right="110" w:firstLine="420"/>
        <w:rPr>
          <w:rFonts w:ascii="黑体" w:eastAsia="黑体" w:hint="eastAsia"/>
        </w:rPr>
      </w:pPr>
      <w:r>
        <w:rPr>
          <w:rFonts w:ascii="黑体" w:eastAsia="黑体" w:hint="eastAsia"/>
        </w:rPr>
        <w:t>如果您故意不履行如实告知义务，对于本附加合同解除前发Th的保险事故，我们不承担豁免保险费的责任，并不退还保险费。</w:t>
      </w:r>
    </w:p>
    <w:p>
      <w:pPr>
        <w:pStyle w:val="BodyText"/>
        <w:spacing w:line="314" w:lineRule="auto" w:before="17"/>
        <w:ind w:left="116" w:right="110" w:firstLine="420"/>
        <w:rPr>
          <w:rFonts w:ascii="黑体" w:eastAsia="黑体" w:hint="eastAsia"/>
        </w:rPr>
      </w:pPr>
      <w:r>
        <w:rPr>
          <w:rFonts w:ascii="黑体" w:eastAsia="黑体" w:hint="eastAsia"/>
        </w:rPr>
        <w:t>如果您因重大过失未履行如实告知义务，对保险事故的发Th有严重影响的，对于本附加合同解除前发Th的保险事故，我们不承担豁免保险费的责任，但应当退还保险费。</w:t>
      </w:r>
    </w:p>
    <w:p>
      <w:pPr>
        <w:pStyle w:val="BodyText"/>
        <w:spacing w:line="314" w:lineRule="auto" w:before="17"/>
        <w:ind w:left="116" w:right="110" w:firstLine="420"/>
      </w:pPr>
      <w:r>
        <w:rPr/>
        <w:t>我们在合同订立时已经知道您未如实告知的情况的，我们不得解除合同；发生保险事故的，我们承担豁免保险费的责任。</w:t>
      </w:r>
    </w:p>
    <w:p>
      <w:pPr>
        <w:pStyle w:val="BodyText"/>
        <w:spacing w:before="2"/>
        <w:rPr>
          <w:sz w:val="25"/>
        </w:rPr>
      </w:pPr>
    </w:p>
    <w:p>
      <w:pPr>
        <w:pStyle w:val="Heading2"/>
      </w:pPr>
      <w:bookmarkStart w:name="_bookmark22" w:id="23"/>
      <w:bookmarkEnd w:id="23"/>
      <w:r>
        <w:rPr>
          <w:b w:val="0"/>
        </w:rPr>
      </w:r>
      <w:r>
        <w:rPr/>
        <w:t>第十八条 宽限期</w:t>
      </w:r>
    </w:p>
    <w:p>
      <w:pPr>
        <w:pStyle w:val="BodyText"/>
        <w:spacing w:line="314" w:lineRule="auto" w:before="84"/>
        <w:ind w:left="116" w:right="110" w:firstLine="420"/>
        <w:jc w:val="both"/>
      </w:pPr>
      <w:r>
        <w:rPr>
          <w:spacing w:val="-7"/>
        </w:rPr>
        <w:t>分期支付保险费的，自您支付首期保险费后，每个保险费到期日次日起</w:t>
      </w:r>
      <w:r>
        <w:rPr>
          <w:spacing w:val="-3"/>
        </w:rPr>
        <w:t>（含该日</w:t>
      </w:r>
      <w:r>
        <w:rPr>
          <w:spacing w:val="-4"/>
        </w:rPr>
        <w:t>）60</w:t>
      </w:r>
      <w:r>
        <w:rPr>
          <w:spacing w:val="-6"/>
        </w:rPr>
        <w:t> 天为交付</w:t>
      </w:r>
      <w:r>
        <w:rPr>
          <w:spacing w:val="-4"/>
        </w:rPr>
        <w:t>保险费的宽限期。宽限期内发生保险事故，我们仍承担保险责任，但我们给付的保险金将扣除您未</w:t>
      </w:r>
      <w:r>
        <w:rPr>
          <w:spacing w:val="-3"/>
        </w:rPr>
        <w:t>支付的保险费。</w:t>
      </w:r>
    </w:p>
    <w:p>
      <w:pPr>
        <w:spacing w:after="0" w:line="314" w:lineRule="auto"/>
        <w:jc w:val="both"/>
        <w:sectPr>
          <w:pgSz w:w="11910" w:h="16840"/>
          <w:pgMar w:header="0" w:footer="915" w:top="1400" w:bottom="1180" w:left="1300" w:right="1340"/>
        </w:sectPr>
      </w:pPr>
    </w:p>
    <w:p>
      <w:pPr>
        <w:pStyle w:val="BodyText"/>
        <w:spacing w:line="314" w:lineRule="auto" w:before="9"/>
        <w:ind w:left="116" w:right="310" w:firstLine="420"/>
        <w:rPr>
          <w:rFonts w:ascii="黑体" w:eastAsia="黑体" w:hint="eastAsia"/>
        </w:rPr>
      </w:pPr>
      <w:r>
        <w:rPr>
          <w:rFonts w:ascii="黑体" w:eastAsia="黑体" w:hint="eastAsia"/>
        </w:rPr>
        <w:t>如果在宽限期结束时，您仍未按照约定足额支付保险费的，则自宽限期结束的次日起本附加合同效力中止，我们不承担保险责任。</w:t>
      </w:r>
    </w:p>
    <w:p>
      <w:pPr>
        <w:pStyle w:val="BodyText"/>
        <w:spacing w:before="2"/>
        <w:rPr>
          <w:rFonts w:ascii="黑体"/>
          <w:sz w:val="25"/>
        </w:rPr>
      </w:pPr>
    </w:p>
    <w:p>
      <w:pPr>
        <w:pStyle w:val="Heading2"/>
      </w:pPr>
      <w:bookmarkStart w:name="_bookmark23" w:id="24"/>
      <w:bookmarkEnd w:id="24"/>
      <w:r>
        <w:rPr>
          <w:b w:val="0"/>
        </w:rPr>
      </w:r>
      <w:r>
        <w:rPr/>
        <w:t>第十九条 年龄计算及错误处理</w:t>
      </w:r>
    </w:p>
    <w:p>
      <w:pPr>
        <w:pStyle w:val="BodyText"/>
        <w:spacing w:line="312" w:lineRule="auto" w:before="84"/>
        <w:ind w:left="116" w:right="206" w:firstLine="420"/>
      </w:pPr>
      <w:r>
        <w:rPr/>
        <w:t>被保险人的投保年龄为以法定证件载明的出生日期为基础计算的</w:t>
      </w:r>
      <w:r>
        <w:rPr>
          <w:b/>
        </w:rPr>
        <w:t>周岁</w:t>
      </w:r>
      <w:r>
        <w:rPr/>
        <w:t>年龄。您在申请投保时， 应将被保险人的真实年龄在投保书上填明，若发生错误按下列规定办理：</w:t>
      </w:r>
    </w:p>
    <w:p>
      <w:pPr>
        <w:pStyle w:val="BodyText"/>
        <w:spacing w:line="314" w:lineRule="auto" w:before="21"/>
        <w:ind w:left="116" w:right="101" w:firstLine="420"/>
        <w:rPr>
          <w:rFonts w:ascii="黑体" w:eastAsia="黑体" w:hint="eastAsia"/>
        </w:rPr>
      </w:pPr>
      <w:r>
        <w:rPr>
          <w:rFonts w:ascii="黑体" w:eastAsia="黑体" w:hint="eastAsia"/>
          <w:spacing w:val="-9"/>
        </w:rPr>
        <w:t>一、 您申报的被保险人年龄不真实，且真实投保年龄不符合本附加合同约定的投保年龄限制的， </w:t>
      </w:r>
      <w:r>
        <w:rPr>
          <w:rFonts w:ascii="黑体" w:eastAsia="黑体" w:hint="eastAsia"/>
          <w:spacing w:val="-5"/>
        </w:rPr>
        <w:t>我们可以解除本附加合同，并向您退还解除保险合同时保险单的现金价值。但自本附加合同</w:t>
      </w:r>
      <w:r>
        <w:rPr>
          <w:rFonts w:ascii="黑体" w:eastAsia="黑体" w:hint="eastAsia"/>
        </w:rPr>
        <w:t>Th</w:t>
      </w:r>
      <w:r>
        <w:rPr>
          <w:rFonts w:ascii="黑体" w:eastAsia="黑体" w:hint="eastAsia"/>
          <w:spacing w:val="-2"/>
        </w:rPr>
        <w:t>效日 </w:t>
      </w:r>
      <w:r>
        <w:rPr>
          <w:rFonts w:ascii="黑体" w:eastAsia="黑体" w:hint="eastAsia"/>
          <w:spacing w:val="-11"/>
        </w:rPr>
        <w:t>起超过 </w:t>
      </w:r>
      <w:r>
        <w:rPr>
          <w:rFonts w:ascii="黑体" w:eastAsia="黑体" w:hint="eastAsia"/>
        </w:rPr>
        <w:t>2</w:t>
      </w:r>
      <w:r>
        <w:rPr>
          <w:rFonts w:ascii="黑体" w:eastAsia="黑体" w:hint="eastAsia"/>
          <w:spacing w:val="-7"/>
        </w:rPr>
        <w:t> 年的，我们不得解除本附加合同，依照本条第二、第三款办理。</w:t>
      </w:r>
    </w:p>
    <w:p>
      <w:pPr>
        <w:pStyle w:val="BodyText"/>
        <w:spacing w:line="314" w:lineRule="auto" w:before="17"/>
        <w:ind w:left="116" w:right="205" w:firstLine="420"/>
      </w:pPr>
      <w:r>
        <w:rPr>
          <w:spacing w:val="-12"/>
        </w:rPr>
        <w:t>二、 您申报的被保险人年龄不真实，致使您实交保险费少于应交保险费的，我们在审核更正后， </w:t>
      </w:r>
      <w:r>
        <w:rPr>
          <w:spacing w:val="-6"/>
        </w:rPr>
        <w:t>有权要求您依照法律及公司投保规则的规定，补齐保险费、参加体检及配合其他业务流程要求；若</w:t>
      </w:r>
      <w:r>
        <w:rPr>
          <w:spacing w:val="-3"/>
        </w:rPr>
        <w:t>补交保险费前已发生保险事故，我们按照实交保险费与应交保险费的比例豁免保险费。</w:t>
      </w:r>
    </w:p>
    <w:p>
      <w:pPr>
        <w:pStyle w:val="BodyText"/>
        <w:spacing w:line="312" w:lineRule="auto" w:before="20"/>
        <w:ind w:left="116" w:right="310" w:firstLine="420"/>
      </w:pPr>
      <w:r>
        <w:rPr>
          <w:spacing w:val="-8"/>
        </w:rPr>
        <w:t>三、 您申报的被保险人年龄不真实，致使您实交保险费多于应交保险费的，我们将在审核更正</w:t>
      </w:r>
      <w:r>
        <w:rPr>
          <w:spacing w:val="-5"/>
        </w:rPr>
        <w:t>后，将多收的保险费无息退还您。</w:t>
      </w:r>
    </w:p>
    <w:p>
      <w:pPr>
        <w:pStyle w:val="BodyText"/>
        <w:spacing w:before="7"/>
        <w:rPr>
          <w:sz w:val="25"/>
        </w:rPr>
      </w:pPr>
    </w:p>
    <w:p>
      <w:pPr>
        <w:pStyle w:val="Heading2"/>
      </w:pPr>
      <w:bookmarkStart w:name="_bookmark24" w:id="25"/>
      <w:bookmarkEnd w:id="25"/>
      <w:r>
        <w:rPr>
          <w:b w:val="0"/>
        </w:rPr>
      </w:r>
      <w:r>
        <w:rPr/>
        <w:t>第二十条 宣告死亡处理</w:t>
      </w:r>
    </w:p>
    <w:p>
      <w:pPr>
        <w:pStyle w:val="BodyText"/>
        <w:spacing w:line="314" w:lineRule="auto"/>
        <w:ind w:left="116" w:right="310" w:firstLine="420"/>
        <w:jc w:val="both"/>
      </w:pPr>
      <w:r>
        <w:rPr/>
        <w:t>如果被保险人在本附加合同有效期内下落不明，后经法院宣告死亡，如果被保险人被宣告死亡之日在保险责任期间内，或者有证据证明下落不明之日在保险责任期间之内的，我们按照本附加合同的约定承担保险责任，本附加合同终止。</w:t>
      </w:r>
    </w:p>
    <w:p>
      <w:pPr>
        <w:pStyle w:val="BodyText"/>
        <w:spacing w:before="19"/>
        <w:ind w:left="536"/>
      </w:pPr>
      <w:r>
        <w:rPr/>
        <w:t>如果被保险人重新出现或确知其没有死亡的，索赔权利人应于知道或应当知道被保险人生还后</w:t>
      </w:r>
    </w:p>
    <w:p>
      <w:pPr>
        <w:pStyle w:val="BodyText"/>
        <w:ind w:left="116"/>
      </w:pPr>
      <w:r>
        <w:rPr/>
        <w:t>30 天内将被豁免的保险费补齐，本附加合同的效力依法确定。</w:t>
      </w:r>
    </w:p>
    <w:p>
      <w:pPr>
        <w:pStyle w:val="BodyText"/>
        <w:spacing w:before="0"/>
        <w:rPr>
          <w:sz w:val="20"/>
        </w:rPr>
      </w:pPr>
    </w:p>
    <w:p>
      <w:pPr>
        <w:pStyle w:val="Heading2"/>
        <w:spacing w:before="135"/>
      </w:pPr>
      <w:bookmarkStart w:name="_bookmark25" w:id="26"/>
      <w:bookmarkEnd w:id="26"/>
      <w:r>
        <w:rPr>
          <w:b w:val="0"/>
        </w:rPr>
      </w:r>
      <w:r>
        <w:rPr/>
        <w:t>第二十一条 司法鉴定</w:t>
      </w:r>
    </w:p>
    <w:p>
      <w:pPr>
        <w:pStyle w:val="BodyText"/>
        <w:spacing w:line="314" w:lineRule="auto" w:before="83"/>
        <w:ind w:left="116" w:right="310" w:firstLine="420"/>
      </w:pPr>
      <w:r>
        <w:rPr/>
        <w:t>如果被保险人与我们就是否达到本附加合同约定的理赔程度或条件发生争议时，被保险人和我们均有权申请司法鉴定机构进行相关鉴定，以确定其原因及程度等。</w:t>
      </w:r>
    </w:p>
    <w:p>
      <w:pPr>
        <w:pStyle w:val="BodyText"/>
        <w:spacing w:before="2"/>
        <w:rPr>
          <w:sz w:val="25"/>
        </w:rPr>
      </w:pPr>
    </w:p>
    <w:p>
      <w:pPr>
        <w:pStyle w:val="Heading2"/>
      </w:pPr>
      <w:bookmarkStart w:name="_bookmark26" w:id="27"/>
      <w:bookmarkEnd w:id="27"/>
      <w:r>
        <w:rPr>
          <w:b w:val="0"/>
        </w:rPr>
      </w:r>
      <w:r>
        <w:rPr/>
        <w:t>第二十二条 高度残疾鉴定</w:t>
      </w:r>
    </w:p>
    <w:p>
      <w:pPr>
        <w:pStyle w:val="BodyText"/>
        <w:spacing w:line="312" w:lineRule="auto" w:before="84"/>
        <w:ind w:left="116" w:right="310" w:firstLine="420"/>
      </w:pPr>
      <w:r>
        <w:rPr/>
        <w:t>被保险人应在治疗结束后，申请司法鉴定机构进行身体高度残疾的鉴定，如果自被保险人遭受意外伤害或诊断患有疾病之日起 180 天内治疗仍未结束，按第 180 天的身体情况进行鉴定。</w:t>
      </w:r>
    </w:p>
    <w:p>
      <w:pPr>
        <w:pStyle w:val="BodyText"/>
        <w:spacing w:before="6"/>
        <w:rPr>
          <w:sz w:val="25"/>
        </w:rPr>
      </w:pPr>
    </w:p>
    <w:p>
      <w:pPr>
        <w:pStyle w:val="Heading2"/>
      </w:pPr>
      <w:bookmarkStart w:name="_bookmark27" w:id="28"/>
      <w:bookmarkEnd w:id="28"/>
      <w:r>
        <w:rPr>
          <w:b w:val="0"/>
        </w:rPr>
      </w:r>
      <w:r>
        <w:rPr/>
        <w:t>第二十三条 争议处理与法律适用</w:t>
      </w:r>
    </w:p>
    <w:p>
      <w:pPr>
        <w:pStyle w:val="BodyText"/>
        <w:spacing w:line="314" w:lineRule="auto" w:before="83"/>
        <w:ind w:left="116" w:right="310" w:firstLine="420"/>
      </w:pPr>
      <w:r>
        <w:rPr>
          <w:spacing w:val="-14"/>
        </w:rPr>
        <w:t>本附加合同履行过程中发生任何争议，双方首先通过协商加以解决。若双方协商未达成协议的， </w:t>
      </w:r>
      <w:r>
        <w:rPr>
          <w:spacing w:val="-7"/>
        </w:rPr>
        <w:t>可依法向有管辖权的人民法院提起诉讼。</w:t>
      </w:r>
    </w:p>
    <w:p>
      <w:pPr>
        <w:pStyle w:val="BodyText"/>
        <w:spacing w:line="314" w:lineRule="auto" w:before="17"/>
        <w:ind w:left="116" w:right="310" w:firstLine="420"/>
      </w:pPr>
      <w:r>
        <w:rPr>
          <w:spacing w:val="-3"/>
        </w:rPr>
        <w:t>与本附加合同有关的以及履行本附加合同产生的一切争议处理适用中华人民共和国法律</w:t>
      </w:r>
      <w:r>
        <w:rPr/>
        <w:t>（</w:t>
      </w:r>
      <w:r>
        <w:rPr>
          <w:spacing w:val="-2"/>
        </w:rPr>
        <w:t>不包</w:t>
      </w:r>
      <w:r>
        <w:rPr>
          <w:spacing w:val="-3"/>
        </w:rPr>
        <w:t>括港澳台地区法律</w:t>
      </w:r>
      <w:r>
        <w:rPr>
          <w:spacing w:val="-108"/>
        </w:rPr>
        <w:t>）</w:t>
      </w:r>
      <w:r>
        <w:rPr/>
        <w:t>。</w:t>
      </w:r>
    </w:p>
    <w:p>
      <w:pPr>
        <w:pStyle w:val="BodyText"/>
        <w:spacing w:before="1"/>
        <w:rPr>
          <w:sz w:val="25"/>
        </w:rPr>
      </w:pPr>
    </w:p>
    <w:p>
      <w:pPr>
        <w:pStyle w:val="Heading2"/>
        <w:spacing w:before="1"/>
      </w:pPr>
      <w:bookmarkStart w:name="_bookmark28" w:id="29"/>
      <w:bookmarkEnd w:id="29"/>
      <w:r>
        <w:rPr>
          <w:b w:val="0"/>
        </w:rPr>
      </w:r>
      <w:r>
        <w:rPr/>
        <w:t>第二十四条 诉讼时效</w:t>
      </w:r>
    </w:p>
    <w:p>
      <w:pPr>
        <w:pStyle w:val="BodyText"/>
        <w:spacing w:line="312" w:lineRule="auto" w:before="85"/>
        <w:ind w:left="116" w:right="310" w:firstLine="420"/>
      </w:pPr>
      <w:r>
        <w:rPr>
          <w:spacing w:val="-5"/>
        </w:rPr>
        <w:t>本附加合同的索赔权利人向我们请求豁免保险费的诉讼时效期间为 </w:t>
      </w:r>
      <w:r>
        <w:rPr/>
        <w:t>5</w:t>
      </w:r>
      <w:r>
        <w:rPr>
          <w:spacing w:val="-7"/>
        </w:rPr>
        <w:t> 年，自其知道或应当知道</w:t>
      </w:r>
      <w:r>
        <w:rPr>
          <w:spacing w:val="-5"/>
        </w:rPr>
        <w:t>保险事故发生之日起计算。</w:t>
      </w:r>
    </w:p>
    <w:p>
      <w:pPr>
        <w:spacing w:after="0" w:line="312" w:lineRule="auto"/>
        <w:sectPr>
          <w:pgSz w:w="11910" w:h="16840"/>
          <w:pgMar w:header="0" w:footer="915" w:top="1400" w:bottom="1180" w:left="1300" w:right="1140"/>
        </w:sectPr>
      </w:pPr>
    </w:p>
    <w:p>
      <w:pPr>
        <w:pStyle w:val="Heading2"/>
        <w:spacing w:before="9"/>
        <w:ind w:left="316"/>
      </w:pPr>
      <w:bookmarkStart w:name="_bookmark29" w:id="30"/>
      <w:bookmarkEnd w:id="30"/>
      <w:r>
        <w:rPr>
          <w:b w:val="0"/>
        </w:rPr>
      </w:r>
      <w:r>
        <w:rPr/>
        <w:t>第二十五条 联系方式变更</w:t>
      </w:r>
    </w:p>
    <w:p>
      <w:pPr>
        <w:pStyle w:val="BodyText"/>
        <w:spacing w:line="314" w:lineRule="auto" w:before="85"/>
        <w:ind w:left="316" w:right="290" w:firstLine="420"/>
        <w:jc w:val="both"/>
      </w:pPr>
      <w:r>
        <w:rPr/>
        <w:t>您的住所、通讯地址、邮箱或电话等联系方式变更时，请您及时以书面形式或双方认可的其他形式通知我们。若您未以书面形式或双方认可的其他形式通知我们，我们按本附加合同载明的最后住所、通讯地址、电子邮箱发送有关通知，均视为已送达给您。</w:t>
      </w:r>
    </w:p>
    <w:p>
      <w:pPr>
        <w:pStyle w:val="BodyText"/>
        <w:spacing w:before="0"/>
        <w:rPr>
          <w:sz w:val="20"/>
        </w:rPr>
      </w:pPr>
    </w:p>
    <w:p>
      <w:pPr>
        <w:pStyle w:val="Heading1"/>
        <w:spacing w:before="141"/>
        <w:ind w:left="3618" w:right="3602"/>
        <w:jc w:val="center"/>
      </w:pPr>
      <w:bookmarkStart w:name="_bookmark30" w:id="31"/>
      <w:bookmarkEnd w:id="31"/>
      <w:r>
        <w:rPr>
          <w:b w:val="0"/>
        </w:rPr>
      </w:r>
      <w:r>
        <w:rPr/>
        <w:t>第六部分 名词释义</w:t>
      </w:r>
    </w:p>
    <w:p>
      <w:pPr>
        <w:pStyle w:val="BodyText"/>
        <w:spacing w:before="0"/>
        <w:rPr>
          <w:b/>
          <w:sz w:val="20"/>
        </w:rPr>
      </w:pPr>
    </w:p>
    <w:p>
      <w:pPr>
        <w:pStyle w:val="BodyText"/>
        <w:spacing w:before="11"/>
        <w:rPr>
          <w:b/>
          <w:sz w:val="1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8"/>
        <w:gridCol w:w="7756"/>
      </w:tblGrid>
      <w:tr>
        <w:trPr>
          <w:trHeight w:val="729" w:hRule="atLeast"/>
        </w:trPr>
        <w:tc>
          <w:tcPr>
            <w:tcW w:w="1668" w:type="dxa"/>
          </w:tcPr>
          <w:p>
            <w:pPr>
              <w:pStyle w:val="TableParagraph"/>
              <w:spacing w:line="211" w:lineRule="exact" w:before="0"/>
              <w:ind w:left="200"/>
              <w:rPr>
                <w:b/>
                <w:sz w:val="21"/>
              </w:rPr>
            </w:pPr>
            <w:r>
              <w:rPr>
                <w:b/>
                <w:sz w:val="21"/>
              </w:rPr>
              <w:t>保险单周年日</w:t>
            </w:r>
          </w:p>
        </w:tc>
        <w:tc>
          <w:tcPr>
            <w:tcW w:w="7756" w:type="dxa"/>
          </w:tcPr>
          <w:p>
            <w:pPr>
              <w:pStyle w:val="TableParagraph"/>
              <w:spacing w:line="211" w:lineRule="exact" w:before="0"/>
              <w:ind w:left="199"/>
              <w:rPr>
                <w:sz w:val="21"/>
              </w:rPr>
            </w:pPr>
            <w:r>
              <w:rPr>
                <w:sz w:val="21"/>
              </w:rPr>
              <w:t>指在本附加合同有效期内的每一个保险单年度内本附加合同生效日的对应日。第</w:t>
            </w:r>
          </w:p>
          <w:p>
            <w:pPr>
              <w:pStyle w:val="TableParagraph"/>
              <w:spacing w:before="85"/>
              <w:ind w:left="199"/>
              <w:rPr>
                <w:sz w:val="21"/>
              </w:rPr>
            </w:pPr>
            <w:r>
              <w:rPr>
                <w:sz w:val="21"/>
              </w:rPr>
              <w:t>一个保单周年日是指保险单生效一年后的本附加合同生效日期的对应日。</w:t>
            </w:r>
          </w:p>
        </w:tc>
      </w:tr>
      <w:tr>
        <w:trPr>
          <w:trHeight w:val="888" w:hRule="atLeast"/>
        </w:trPr>
        <w:tc>
          <w:tcPr>
            <w:tcW w:w="1668" w:type="dxa"/>
          </w:tcPr>
          <w:p>
            <w:pPr>
              <w:pStyle w:val="TableParagraph"/>
              <w:spacing w:before="94"/>
              <w:ind w:left="200"/>
              <w:rPr>
                <w:b/>
                <w:sz w:val="21"/>
              </w:rPr>
            </w:pPr>
            <w:r>
              <w:rPr>
                <w:b/>
                <w:sz w:val="21"/>
              </w:rPr>
              <w:t>保险单年度</w:t>
            </w:r>
          </w:p>
        </w:tc>
        <w:tc>
          <w:tcPr>
            <w:tcW w:w="7756" w:type="dxa"/>
          </w:tcPr>
          <w:p>
            <w:pPr>
              <w:pStyle w:val="TableParagraph"/>
              <w:spacing w:line="314" w:lineRule="auto" w:before="94"/>
              <w:ind w:left="199" w:right="263"/>
              <w:rPr>
                <w:sz w:val="21"/>
              </w:rPr>
            </w:pPr>
            <w:r>
              <w:rPr>
                <w:sz w:val="21"/>
              </w:rPr>
              <w:t>从本附加合同生效日或保单周年日零时起至下一年度的保单周年日零时止为一个保单年度。</w:t>
            </w:r>
          </w:p>
        </w:tc>
      </w:tr>
      <w:tr>
        <w:trPr>
          <w:trHeight w:val="886" w:hRule="atLeast"/>
        </w:trPr>
        <w:tc>
          <w:tcPr>
            <w:tcW w:w="1668" w:type="dxa"/>
          </w:tcPr>
          <w:p>
            <w:pPr>
              <w:pStyle w:val="TableParagraph"/>
              <w:spacing w:before="94"/>
              <w:ind w:left="200"/>
              <w:rPr>
                <w:b/>
                <w:sz w:val="21"/>
              </w:rPr>
            </w:pPr>
            <w:r>
              <w:rPr>
                <w:b/>
                <w:sz w:val="21"/>
              </w:rPr>
              <w:t>保险费到期日</w:t>
            </w:r>
          </w:p>
        </w:tc>
        <w:tc>
          <w:tcPr>
            <w:tcW w:w="7756" w:type="dxa"/>
          </w:tcPr>
          <w:p>
            <w:pPr>
              <w:pStyle w:val="TableParagraph"/>
              <w:spacing w:line="312" w:lineRule="auto" w:before="94"/>
              <w:ind w:left="199" w:right="192"/>
              <w:rPr>
                <w:sz w:val="21"/>
              </w:rPr>
            </w:pPr>
            <w:r>
              <w:rPr>
                <w:sz w:val="21"/>
              </w:rPr>
              <w:t>指本附加合同生效日在每月、每季、每半年或每年（根据交费方式确定）的对应日。若当月没有对应的同一日，则以该月最后一日为对应日。</w:t>
            </w:r>
          </w:p>
        </w:tc>
      </w:tr>
      <w:tr>
        <w:trPr>
          <w:trHeight w:val="7344" w:hRule="atLeast"/>
        </w:trPr>
        <w:tc>
          <w:tcPr>
            <w:tcW w:w="1668" w:type="dxa"/>
          </w:tcPr>
          <w:p>
            <w:pPr>
              <w:pStyle w:val="TableParagraph"/>
              <w:spacing w:before="96"/>
              <w:ind w:left="200"/>
              <w:rPr>
                <w:b/>
                <w:sz w:val="21"/>
              </w:rPr>
            </w:pPr>
            <w:r>
              <w:rPr>
                <w:b/>
                <w:sz w:val="21"/>
              </w:rPr>
              <w:t>高度残疾</w:t>
            </w:r>
          </w:p>
        </w:tc>
        <w:tc>
          <w:tcPr>
            <w:tcW w:w="7756" w:type="dxa"/>
          </w:tcPr>
          <w:p>
            <w:pPr>
              <w:pStyle w:val="TableParagraph"/>
              <w:spacing w:before="96"/>
              <w:ind w:left="199"/>
              <w:rPr>
                <w:sz w:val="21"/>
              </w:rPr>
            </w:pPr>
            <w:r>
              <w:rPr>
                <w:sz w:val="21"/>
              </w:rPr>
              <w:t>指具有下列情况之一项或多项者：</w:t>
            </w:r>
          </w:p>
          <w:p>
            <w:pPr>
              <w:pStyle w:val="TableParagraph"/>
              <w:spacing w:before="83"/>
              <w:ind w:left="199"/>
              <w:rPr>
                <w:sz w:val="21"/>
              </w:rPr>
            </w:pPr>
            <w:r>
              <w:rPr>
                <w:w w:val="100"/>
                <w:sz w:val="21"/>
              </w:rPr>
              <w:t>（</w:t>
            </w:r>
            <w:r>
              <w:rPr>
                <w:rFonts w:ascii="Times New Roman" w:eastAsia="Times New Roman"/>
                <w:w w:val="100"/>
                <w:sz w:val="21"/>
              </w:rPr>
              <w:t>1</w:t>
            </w:r>
            <w:r>
              <w:rPr>
                <w:spacing w:val="-3"/>
                <w:w w:val="100"/>
                <w:sz w:val="21"/>
              </w:rPr>
              <w:t>）双目永久完全失明的（</w:t>
            </w:r>
            <w:r>
              <w:rPr>
                <w:w w:val="100"/>
                <w:sz w:val="21"/>
              </w:rPr>
              <w:t>注</w:t>
            </w:r>
            <w:r>
              <w:rPr>
                <w:spacing w:val="-55"/>
                <w:sz w:val="21"/>
              </w:rPr>
              <w:t> </w:t>
            </w:r>
            <w:r>
              <w:rPr>
                <w:rFonts w:ascii="Times New Roman" w:eastAsia="Times New Roman"/>
                <w:w w:val="100"/>
                <w:sz w:val="21"/>
              </w:rPr>
              <w:t>1</w:t>
            </w:r>
            <w:r>
              <w:rPr>
                <w:spacing w:val="-106"/>
                <w:w w:val="100"/>
                <w:sz w:val="21"/>
              </w:rPr>
              <w:t>）；</w:t>
            </w:r>
          </w:p>
          <w:p>
            <w:pPr>
              <w:pStyle w:val="TableParagraph"/>
              <w:spacing w:before="69"/>
              <w:ind w:left="199"/>
              <w:rPr>
                <w:sz w:val="21"/>
              </w:rPr>
            </w:pPr>
            <w:r>
              <w:rPr>
                <w:sz w:val="21"/>
              </w:rPr>
              <w:t>（</w:t>
            </w:r>
            <w:r>
              <w:rPr>
                <w:rFonts w:ascii="Times New Roman" w:eastAsia="Times New Roman"/>
                <w:sz w:val="21"/>
              </w:rPr>
              <w:t>2</w:t>
            </w:r>
            <w:r>
              <w:rPr>
                <w:sz w:val="21"/>
              </w:rPr>
              <w:t>）两上肢腕关节以上（远端）或两下肢踝关节以上（远端）缺失的；</w:t>
            </w:r>
          </w:p>
          <w:p>
            <w:pPr>
              <w:pStyle w:val="TableParagraph"/>
              <w:spacing w:before="66"/>
              <w:ind w:left="199"/>
              <w:rPr>
                <w:sz w:val="21"/>
              </w:rPr>
            </w:pPr>
            <w:r>
              <w:rPr>
                <w:sz w:val="21"/>
              </w:rPr>
              <w:t>（</w:t>
            </w:r>
            <w:r>
              <w:rPr>
                <w:rFonts w:ascii="Times New Roman" w:eastAsia="Times New Roman"/>
                <w:sz w:val="21"/>
              </w:rPr>
              <w:t>3</w:t>
            </w:r>
            <w:r>
              <w:rPr>
                <w:sz w:val="21"/>
              </w:rPr>
              <w:t>）一上肢腕关节以上（远端）及一下肢踝关节以上（远端）缺失的；</w:t>
            </w:r>
          </w:p>
          <w:p>
            <w:pPr>
              <w:pStyle w:val="TableParagraph"/>
              <w:spacing w:before="68"/>
              <w:ind w:left="199"/>
              <w:rPr>
                <w:sz w:val="21"/>
              </w:rPr>
            </w:pPr>
            <w:r>
              <w:rPr>
                <w:sz w:val="21"/>
              </w:rPr>
              <w:t>（</w:t>
            </w:r>
            <w:r>
              <w:rPr>
                <w:rFonts w:ascii="Times New Roman" w:eastAsia="Times New Roman"/>
                <w:sz w:val="21"/>
              </w:rPr>
              <w:t>4</w:t>
            </w:r>
            <w:r>
              <w:rPr>
                <w:sz w:val="21"/>
              </w:rPr>
              <w:t>）一目永久完全失明及一上肢腕关节以上（远端）缺失的；</w:t>
            </w:r>
          </w:p>
          <w:p>
            <w:pPr>
              <w:pStyle w:val="TableParagraph"/>
              <w:spacing w:before="66"/>
              <w:ind w:left="199"/>
              <w:rPr>
                <w:sz w:val="21"/>
              </w:rPr>
            </w:pPr>
            <w:r>
              <w:rPr>
                <w:sz w:val="21"/>
              </w:rPr>
              <w:t>（</w:t>
            </w:r>
            <w:r>
              <w:rPr>
                <w:rFonts w:ascii="Times New Roman" w:eastAsia="Times New Roman"/>
                <w:sz w:val="21"/>
              </w:rPr>
              <w:t>5</w:t>
            </w:r>
            <w:r>
              <w:rPr>
                <w:sz w:val="21"/>
              </w:rPr>
              <w:t>）一目永久完全失明及一下肢踝关节以上（远端）缺失的；</w:t>
            </w:r>
          </w:p>
          <w:p>
            <w:pPr>
              <w:pStyle w:val="TableParagraph"/>
              <w:spacing w:before="69"/>
              <w:ind w:left="199"/>
              <w:rPr>
                <w:sz w:val="21"/>
              </w:rPr>
            </w:pPr>
            <w:r>
              <w:rPr>
                <w:w w:val="100"/>
                <w:sz w:val="21"/>
              </w:rPr>
              <w:t>（</w:t>
            </w:r>
            <w:r>
              <w:rPr>
                <w:rFonts w:ascii="Times New Roman" w:eastAsia="Times New Roman"/>
                <w:w w:val="100"/>
                <w:sz w:val="21"/>
              </w:rPr>
              <w:t>6</w:t>
            </w:r>
            <w:r>
              <w:rPr>
                <w:spacing w:val="-3"/>
                <w:w w:val="100"/>
                <w:sz w:val="21"/>
              </w:rPr>
              <w:t>）四肢关节机能永久完全丧失的（</w:t>
            </w:r>
            <w:r>
              <w:rPr>
                <w:w w:val="100"/>
                <w:sz w:val="21"/>
              </w:rPr>
              <w:t>注</w:t>
            </w:r>
            <w:r>
              <w:rPr>
                <w:spacing w:val="-53"/>
                <w:sz w:val="21"/>
              </w:rPr>
              <w:t> </w:t>
            </w:r>
            <w:r>
              <w:rPr>
                <w:rFonts w:ascii="Times New Roman" w:eastAsia="Times New Roman"/>
                <w:spacing w:val="-3"/>
                <w:w w:val="100"/>
                <w:sz w:val="21"/>
              </w:rPr>
              <w:t>2</w:t>
            </w:r>
            <w:r>
              <w:rPr>
                <w:w w:val="100"/>
                <w:sz w:val="21"/>
              </w:rPr>
              <w:t>、</w:t>
            </w:r>
            <w:r>
              <w:rPr>
                <w:rFonts w:ascii="Times New Roman" w:eastAsia="Times New Roman"/>
                <w:w w:val="100"/>
                <w:sz w:val="21"/>
              </w:rPr>
              <w:t>5</w:t>
            </w:r>
            <w:r>
              <w:rPr>
                <w:spacing w:val="-108"/>
                <w:w w:val="100"/>
                <w:sz w:val="21"/>
              </w:rPr>
              <w:t>）；</w:t>
            </w:r>
          </w:p>
          <w:p>
            <w:pPr>
              <w:pStyle w:val="TableParagraph"/>
              <w:spacing w:before="66"/>
              <w:ind w:left="199"/>
              <w:rPr>
                <w:sz w:val="21"/>
              </w:rPr>
            </w:pPr>
            <w:r>
              <w:rPr>
                <w:w w:val="100"/>
                <w:sz w:val="21"/>
              </w:rPr>
              <w:t>（</w:t>
            </w:r>
            <w:r>
              <w:rPr>
                <w:rFonts w:ascii="Times New Roman" w:eastAsia="Times New Roman"/>
                <w:w w:val="100"/>
                <w:sz w:val="21"/>
              </w:rPr>
              <w:t>7</w:t>
            </w:r>
            <w:r>
              <w:rPr>
                <w:spacing w:val="-3"/>
                <w:w w:val="100"/>
                <w:sz w:val="21"/>
              </w:rPr>
              <w:t>）咀嚼、吞咽机能永久完全丧失的（</w:t>
            </w:r>
            <w:r>
              <w:rPr>
                <w:w w:val="100"/>
                <w:sz w:val="21"/>
              </w:rPr>
              <w:t>注</w:t>
            </w:r>
            <w:r>
              <w:rPr>
                <w:spacing w:val="-53"/>
                <w:sz w:val="21"/>
              </w:rPr>
              <w:t> </w:t>
            </w:r>
            <w:r>
              <w:rPr>
                <w:rFonts w:ascii="Times New Roman" w:eastAsia="Times New Roman"/>
                <w:w w:val="100"/>
                <w:sz w:val="21"/>
              </w:rPr>
              <w:t>3</w:t>
            </w:r>
            <w:r>
              <w:rPr>
                <w:spacing w:val="-3"/>
                <w:w w:val="100"/>
                <w:sz w:val="21"/>
              </w:rPr>
              <w:t>、</w:t>
            </w:r>
            <w:r>
              <w:rPr>
                <w:rFonts w:ascii="Times New Roman" w:eastAsia="Times New Roman"/>
                <w:w w:val="100"/>
                <w:sz w:val="21"/>
              </w:rPr>
              <w:t>5</w:t>
            </w:r>
            <w:r>
              <w:rPr>
                <w:spacing w:val="-106"/>
                <w:w w:val="100"/>
                <w:sz w:val="21"/>
              </w:rPr>
              <w:t>）；</w:t>
            </w:r>
          </w:p>
          <w:p>
            <w:pPr>
              <w:pStyle w:val="TableParagraph"/>
              <w:spacing w:line="295" w:lineRule="auto" w:before="69"/>
              <w:ind w:left="726" w:right="256" w:hanging="527"/>
              <w:rPr>
                <w:sz w:val="21"/>
              </w:rPr>
            </w:pPr>
            <w:r>
              <w:rPr>
                <w:sz w:val="21"/>
              </w:rPr>
              <w:t>（</w:t>
            </w:r>
            <w:r>
              <w:rPr>
                <w:rFonts w:ascii="Times New Roman" w:eastAsia="Times New Roman"/>
                <w:sz w:val="21"/>
              </w:rPr>
              <w:t>8</w:t>
            </w:r>
            <w:r>
              <w:rPr>
                <w:sz w:val="21"/>
              </w:rPr>
              <w:t>）中枢神经系统机能或胸、腹部脏器机能极度障碍，永久完全丧失基本日常</w:t>
            </w:r>
            <w:r>
              <w:rPr>
                <w:spacing w:val="-1"/>
                <w:w w:val="100"/>
                <w:sz w:val="21"/>
              </w:rPr>
              <w:t>生活能力</w:t>
            </w:r>
            <w:r>
              <w:rPr>
                <w:spacing w:val="-3"/>
                <w:w w:val="100"/>
                <w:sz w:val="21"/>
              </w:rPr>
              <w:t>（</w:t>
            </w:r>
            <w:r>
              <w:rPr>
                <w:w w:val="100"/>
                <w:sz w:val="21"/>
              </w:rPr>
              <w:t>注</w:t>
            </w:r>
            <w:r>
              <w:rPr>
                <w:spacing w:val="-53"/>
                <w:sz w:val="21"/>
              </w:rPr>
              <w:t> </w:t>
            </w:r>
            <w:r>
              <w:rPr>
                <w:rFonts w:ascii="Times New Roman" w:eastAsia="Times New Roman"/>
                <w:spacing w:val="-3"/>
                <w:w w:val="100"/>
                <w:sz w:val="21"/>
              </w:rPr>
              <w:t>4</w:t>
            </w:r>
            <w:r>
              <w:rPr>
                <w:w w:val="100"/>
                <w:sz w:val="21"/>
              </w:rPr>
              <w:t>、</w:t>
            </w:r>
            <w:r>
              <w:rPr>
                <w:rFonts w:ascii="Times New Roman" w:eastAsia="Times New Roman"/>
                <w:w w:val="100"/>
                <w:sz w:val="21"/>
              </w:rPr>
              <w:t>5</w:t>
            </w:r>
            <w:r>
              <w:rPr>
                <w:spacing w:val="-108"/>
                <w:w w:val="100"/>
                <w:sz w:val="21"/>
              </w:rPr>
              <w:t>）。</w:t>
            </w:r>
          </w:p>
          <w:p>
            <w:pPr>
              <w:pStyle w:val="TableParagraph"/>
              <w:spacing w:line="295" w:lineRule="auto" w:before="16"/>
              <w:ind w:left="199" w:right="253"/>
              <w:jc w:val="both"/>
              <w:rPr>
                <w:sz w:val="21"/>
              </w:rPr>
            </w:pPr>
            <w:r>
              <w:rPr>
                <w:spacing w:val="17"/>
                <w:sz w:val="21"/>
              </w:rPr>
              <w:t>注 </w:t>
            </w:r>
            <w:r>
              <w:rPr>
                <w:rFonts w:ascii="Times New Roman" w:eastAsia="Times New Roman"/>
                <w:spacing w:val="-9"/>
                <w:sz w:val="21"/>
              </w:rPr>
              <w:t>1</w:t>
            </w:r>
            <w:r>
              <w:rPr>
                <w:spacing w:val="-7"/>
                <w:sz w:val="21"/>
              </w:rPr>
              <w:t>：失明包括眼球缺失或摘除，或不能辨别明暗，或仅能辨别眼前手动者，最</w:t>
            </w:r>
            <w:r>
              <w:rPr>
                <w:spacing w:val="-5"/>
                <w:sz w:val="21"/>
              </w:rPr>
              <w:t>佳矫正视力低于国际标准视力表 </w:t>
            </w:r>
            <w:r>
              <w:rPr>
                <w:rFonts w:ascii="Times New Roman" w:eastAsia="Times New Roman"/>
                <w:sz w:val="21"/>
              </w:rPr>
              <w:t>0.02</w:t>
            </w:r>
            <w:r>
              <w:rPr>
                <w:spacing w:val="-2"/>
                <w:sz w:val="21"/>
              </w:rPr>
              <w:t>，或视野半径小于 </w:t>
            </w:r>
            <w:r>
              <w:rPr>
                <w:rFonts w:ascii="Times New Roman" w:eastAsia="Times New Roman"/>
                <w:sz w:val="21"/>
              </w:rPr>
              <w:t>5 </w:t>
            </w:r>
            <w:r>
              <w:rPr>
                <w:spacing w:val="-3"/>
                <w:sz w:val="21"/>
              </w:rPr>
              <w:t>度，并由专科医生出具医疗诊断证明。但由白内障引起的失明除外。</w:t>
            </w:r>
          </w:p>
          <w:p>
            <w:pPr>
              <w:pStyle w:val="TableParagraph"/>
              <w:spacing w:line="297" w:lineRule="auto" w:before="34"/>
              <w:ind w:left="199" w:right="198"/>
              <w:rPr>
                <w:sz w:val="21"/>
              </w:rPr>
            </w:pPr>
            <w:r>
              <w:rPr>
                <w:sz w:val="21"/>
              </w:rPr>
              <w:t>注 </w:t>
            </w:r>
            <w:r>
              <w:rPr>
                <w:rFonts w:ascii="Times New Roman" w:eastAsia="Times New Roman"/>
                <w:sz w:val="21"/>
              </w:rPr>
              <w:t>2</w:t>
            </w:r>
            <w:r>
              <w:rPr>
                <w:sz w:val="21"/>
              </w:rPr>
              <w:t>：关节机能的丧失是指关节永久完全僵硬、麻痹或关节不能随意识活动。注 </w:t>
            </w:r>
            <w:r>
              <w:rPr>
                <w:rFonts w:ascii="Times New Roman" w:eastAsia="Times New Roman"/>
                <w:sz w:val="21"/>
              </w:rPr>
              <w:t>3</w:t>
            </w:r>
            <w:r>
              <w:rPr>
                <w:sz w:val="21"/>
              </w:rPr>
              <w:t>：咀嚼、吞咽机能的丧失是指由于牙齿以外的原因引起的器质或功能障碍， 以致不能作咀嚼、吞咽运动，除流质食物外不能摄取或吞咽的状态。</w:t>
            </w:r>
          </w:p>
          <w:p>
            <w:pPr>
              <w:pStyle w:val="TableParagraph"/>
              <w:spacing w:line="295" w:lineRule="auto" w:before="34"/>
              <w:ind w:left="199" w:right="198"/>
              <w:rPr>
                <w:sz w:val="21"/>
              </w:rPr>
            </w:pPr>
            <w:r>
              <w:rPr>
                <w:sz w:val="21"/>
              </w:rPr>
              <w:t>注 </w:t>
            </w:r>
            <w:r>
              <w:rPr>
                <w:rFonts w:ascii="Times New Roman" w:eastAsia="Times New Roman"/>
                <w:sz w:val="21"/>
              </w:rPr>
              <w:t>4</w:t>
            </w:r>
            <w:r>
              <w:rPr>
                <w:sz w:val="21"/>
              </w:rPr>
              <w:t>：基本日常生活能力的丧失是指食物摄取、大小便始末、穿脱衣服、起居、步行、入浴等，皆不能自己为之，需要他人帮助。</w:t>
            </w:r>
          </w:p>
          <w:p>
            <w:pPr>
              <w:pStyle w:val="TableParagraph"/>
              <w:spacing w:line="295" w:lineRule="auto" w:before="36"/>
              <w:ind w:left="199" w:right="190"/>
              <w:rPr>
                <w:sz w:val="21"/>
              </w:rPr>
            </w:pPr>
            <w:r>
              <w:rPr>
                <w:sz w:val="21"/>
              </w:rPr>
              <w:t>注 </w:t>
            </w:r>
            <w:r>
              <w:rPr>
                <w:rFonts w:ascii="Times New Roman" w:eastAsia="Times New Roman"/>
                <w:sz w:val="21"/>
              </w:rPr>
              <w:t>5</w:t>
            </w:r>
            <w:r>
              <w:rPr>
                <w:sz w:val="21"/>
              </w:rPr>
              <w:t>：永久完全丧失是指自以上情况发生之日起经过一百八十天的治疗后，机能仍然完全丧失，但眼球摘除等明显无法恢复之情况，不在此限。</w:t>
            </w:r>
          </w:p>
        </w:tc>
      </w:tr>
      <w:tr>
        <w:trPr>
          <w:trHeight w:val="1465" w:hRule="atLeast"/>
        </w:trPr>
        <w:tc>
          <w:tcPr>
            <w:tcW w:w="1668" w:type="dxa"/>
          </w:tcPr>
          <w:p>
            <w:pPr>
              <w:pStyle w:val="TableParagraph"/>
              <w:spacing w:before="99"/>
              <w:ind w:left="200"/>
              <w:rPr>
                <w:b/>
                <w:sz w:val="21"/>
              </w:rPr>
            </w:pPr>
            <w:r>
              <w:rPr>
                <w:b/>
                <w:sz w:val="21"/>
              </w:rPr>
              <w:t>重大疾病</w:t>
            </w:r>
          </w:p>
        </w:tc>
        <w:tc>
          <w:tcPr>
            <w:tcW w:w="7756" w:type="dxa"/>
          </w:tcPr>
          <w:p>
            <w:pPr>
              <w:pStyle w:val="TableParagraph"/>
              <w:spacing w:line="295" w:lineRule="auto" w:before="99"/>
              <w:ind w:left="199" w:right="254"/>
              <w:rPr>
                <w:sz w:val="21"/>
              </w:rPr>
            </w:pPr>
            <w:r>
              <w:rPr>
                <w:spacing w:val="-5"/>
                <w:sz w:val="21"/>
              </w:rPr>
              <w:t>指被保险人发生符合以下疾病定义所述条件的疾病</w:t>
            </w:r>
            <w:r>
              <w:rPr>
                <w:sz w:val="21"/>
              </w:rPr>
              <w:t>（</w:t>
            </w:r>
            <w:r>
              <w:rPr>
                <w:spacing w:val="-18"/>
                <w:sz w:val="21"/>
              </w:rPr>
              <w:t>共 </w:t>
            </w:r>
            <w:r>
              <w:rPr>
                <w:rFonts w:ascii="Times New Roman" w:eastAsia="Times New Roman"/>
                <w:sz w:val="21"/>
              </w:rPr>
              <w:t>70 </w:t>
            </w:r>
            <w:r>
              <w:rPr>
                <w:sz w:val="21"/>
              </w:rPr>
              <w:t>种</w:t>
            </w:r>
            <w:r>
              <w:rPr>
                <w:spacing w:val="-69"/>
                <w:sz w:val="21"/>
              </w:rPr>
              <w:t>）</w:t>
            </w:r>
            <w:r>
              <w:rPr>
                <w:spacing w:val="-19"/>
                <w:sz w:val="21"/>
              </w:rPr>
              <w:t>，应当由</w:t>
            </w:r>
            <w:r>
              <w:rPr>
                <w:b/>
                <w:spacing w:val="-2"/>
                <w:sz w:val="21"/>
              </w:rPr>
              <w:t>专科医生</w:t>
            </w:r>
            <w:r>
              <w:rPr>
                <w:spacing w:val="-3"/>
                <w:sz w:val="21"/>
              </w:rPr>
              <w:t>明确诊断。</w:t>
            </w:r>
          </w:p>
          <w:p>
            <w:pPr>
              <w:pStyle w:val="TableParagraph"/>
              <w:spacing w:before="36"/>
              <w:ind w:left="199"/>
              <w:rPr>
                <w:sz w:val="21"/>
              </w:rPr>
            </w:pPr>
            <w:r>
              <w:rPr>
                <w:sz w:val="21"/>
              </w:rPr>
              <w:t>第 </w:t>
            </w:r>
            <w:r>
              <w:rPr>
                <w:rFonts w:ascii="Times New Roman" w:eastAsia="Times New Roman"/>
                <w:sz w:val="21"/>
              </w:rPr>
              <w:t>1 </w:t>
            </w:r>
            <w:r>
              <w:rPr>
                <w:sz w:val="21"/>
              </w:rPr>
              <w:t>至第 </w:t>
            </w:r>
            <w:r>
              <w:rPr>
                <w:rFonts w:ascii="Times New Roman" w:eastAsia="Times New Roman"/>
                <w:sz w:val="21"/>
              </w:rPr>
              <w:t>25 </w:t>
            </w:r>
            <w:r>
              <w:rPr>
                <w:sz w:val="21"/>
              </w:rPr>
              <w:t>项为中国保险行业协会与中国医师协会共同制定的重大疾病保险的</w:t>
            </w:r>
          </w:p>
          <w:p>
            <w:pPr>
              <w:pStyle w:val="TableParagraph"/>
              <w:spacing w:line="271" w:lineRule="exact" w:before="66"/>
              <w:ind w:left="199"/>
              <w:rPr>
                <w:sz w:val="21"/>
              </w:rPr>
            </w:pPr>
            <w:r>
              <w:rPr>
                <w:sz w:val="21"/>
              </w:rPr>
              <w:t>疾病定义，第 </w:t>
            </w:r>
            <w:r>
              <w:rPr>
                <w:rFonts w:ascii="Times New Roman" w:eastAsia="Times New Roman"/>
                <w:sz w:val="21"/>
              </w:rPr>
              <w:t>26 </w:t>
            </w:r>
            <w:r>
              <w:rPr>
                <w:sz w:val="21"/>
              </w:rPr>
              <w:t>至第 </w:t>
            </w:r>
            <w:r>
              <w:rPr>
                <w:rFonts w:ascii="Times New Roman" w:eastAsia="Times New Roman"/>
                <w:sz w:val="21"/>
              </w:rPr>
              <w:t>70 </w:t>
            </w:r>
            <w:r>
              <w:rPr>
                <w:sz w:val="21"/>
              </w:rPr>
              <w:t>项为我们增加的疾病种类并自行制定的疾病定义。</w:t>
            </w:r>
          </w:p>
        </w:tc>
      </w:tr>
    </w:tbl>
    <w:p>
      <w:pPr>
        <w:spacing w:after="0" w:line="271" w:lineRule="exact"/>
        <w:rPr>
          <w:sz w:val="21"/>
        </w:rPr>
        <w:sectPr>
          <w:pgSz w:w="11910" w:h="16840"/>
          <w:pgMar w:header="0" w:footer="915" w:top="1400" w:bottom="1180" w:left="1100" w:right="1160"/>
        </w:sectPr>
      </w:pPr>
    </w:p>
    <w:p>
      <w:pPr>
        <w:pStyle w:val="BodyText"/>
        <w:spacing w:before="6"/>
        <w:rPr>
          <w:rFonts w:ascii="Times New Roman"/>
          <w:sz w:val="5"/>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5"/>
        <w:gridCol w:w="7700"/>
      </w:tblGrid>
      <w:tr>
        <w:trPr>
          <w:trHeight w:val="3967" w:hRule="atLeast"/>
        </w:trPr>
        <w:tc>
          <w:tcPr>
            <w:tcW w:w="1665" w:type="dxa"/>
          </w:tcPr>
          <w:p>
            <w:pPr>
              <w:pStyle w:val="TableParagraph"/>
              <w:tabs>
                <w:tab w:pos="619" w:val="left" w:leader="none"/>
              </w:tabs>
              <w:spacing w:line="211" w:lineRule="exact" w:before="0"/>
              <w:ind w:left="200"/>
              <w:rPr>
                <w:b/>
                <w:sz w:val="21"/>
              </w:rPr>
            </w:pPr>
            <w:r>
              <w:rPr>
                <w:b/>
                <w:sz w:val="21"/>
              </w:rPr>
              <w:t>1.</w:t>
              <w:tab/>
              <w:t>恶性肿瘤</w:t>
            </w:r>
          </w:p>
        </w:tc>
        <w:tc>
          <w:tcPr>
            <w:tcW w:w="7700" w:type="dxa"/>
          </w:tcPr>
          <w:p>
            <w:pPr>
              <w:pStyle w:val="TableParagraph"/>
              <w:spacing w:line="211" w:lineRule="exact" w:before="0"/>
              <w:rPr>
                <w:sz w:val="21"/>
              </w:rPr>
            </w:pPr>
            <w:r>
              <w:rPr>
                <w:sz w:val="21"/>
              </w:rPr>
              <w:t>指恶性细胞不受控制的进行性增长和扩散，浸润和破坏周围正常组织，可以经血</w:t>
            </w:r>
          </w:p>
          <w:p>
            <w:pPr>
              <w:pStyle w:val="TableParagraph"/>
              <w:spacing w:line="304" w:lineRule="auto" w:before="85"/>
              <w:ind w:right="197"/>
              <w:rPr>
                <w:sz w:val="21"/>
              </w:rPr>
            </w:pPr>
            <w:r>
              <w:rPr>
                <w:spacing w:val="-14"/>
                <w:sz w:val="21"/>
              </w:rPr>
              <w:t>管、淋巴管和体腔扩散转移到身体其它部位的疾病。经病理学检查结果明确诊断， </w:t>
            </w:r>
            <w:r>
              <w:rPr>
                <w:spacing w:val="-18"/>
                <w:sz w:val="21"/>
              </w:rPr>
              <w:t>临床诊断属于世界卫生组织《疾病和有关健康问题的国际统计分类》</w:t>
            </w:r>
            <w:r>
              <w:rPr>
                <w:sz w:val="21"/>
              </w:rPr>
              <w:t>（</w:t>
            </w:r>
            <w:r>
              <w:rPr>
                <w:rFonts w:ascii="Times New Roman" w:eastAsia="Times New Roman"/>
                <w:sz w:val="21"/>
              </w:rPr>
              <w:t>ICD-10</w:t>
            </w:r>
            <w:r>
              <w:rPr>
                <w:sz w:val="21"/>
              </w:rPr>
              <w:t>） </w:t>
            </w:r>
            <w:r>
              <w:rPr>
                <w:spacing w:val="-3"/>
                <w:sz w:val="21"/>
              </w:rPr>
              <w:t>的恶性肿瘤范畴。</w:t>
            </w:r>
          </w:p>
          <w:p>
            <w:pPr>
              <w:pStyle w:val="TableParagraph"/>
              <w:spacing w:before="26"/>
              <w:rPr>
                <w:rFonts w:ascii="黑体" w:eastAsia="黑体" w:hint="eastAsia"/>
                <w:sz w:val="21"/>
              </w:rPr>
            </w:pPr>
            <w:r>
              <w:rPr>
                <w:rFonts w:ascii="黑体" w:eastAsia="黑体" w:hint="eastAsia"/>
                <w:sz w:val="21"/>
              </w:rPr>
              <w:t>下列疾病不在保障范围内：</w:t>
            </w:r>
          </w:p>
          <w:p>
            <w:pPr>
              <w:pStyle w:val="TableParagraph"/>
              <w:spacing w:before="85"/>
              <w:rPr>
                <w:rFonts w:ascii="黑体" w:eastAsia="黑体" w:hint="eastAsia"/>
                <w:sz w:val="21"/>
              </w:rPr>
            </w:pPr>
            <w:r>
              <w:rPr>
                <w:rFonts w:ascii="黑体" w:eastAsia="黑体" w:hint="eastAsia"/>
                <w:sz w:val="21"/>
              </w:rPr>
              <w:t>（1）原位癌；</w:t>
            </w:r>
          </w:p>
          <w:p>
            <w:pPr>
              <w:pStyle w:val="TableParagraph"/>
              <w:spacing w:before="82"/>
              <w:rPr>
                <w:rFonts w:ascii="黑体" w:eastAsia="黑体" w:hint="eastAsia"/>
                <w:sz w:val="21"/>
              </w:rPr>
            </w:pPr>
            <w:r>
              <w:rPr>
                <w:rFonts w:ascii="黑体" w:eastAsia="黑体" w:hint="eastAsia"/>
                <w:sz w:val="21"/>
              </w:rPr>
              <w:t>（2）相当于 Binet 分期方案 A 期程度的慢性淋巴细胞白血病；</w:t>
            </w:r>
          </w:p>
          <w:p>
            <w:pPr>
              <w:pStyle w:val="TableParagraph"/>
              <w:spacing w:before="84"/>
              <w:rPr>
                <w:rFonts w:ascii="黑体" w:eastAsia="黑体" w:hint="eastAsia"/>
                <w:sz w:val="21"/>
              </w:rPr>
            </w:pPr>
            <w:r>
              <w:rPr>
                <w:rFonts w:ascii="黑体" w:eastAsia="黑体" w:hint="eastAsia"/>
                <w:sz w:val="21"/>
              </w:rPr>
              <w:t>（3）相当于 Ann Arbor 分期方案 I 期程度的何杰金氏病；</w:t>
            </w:r>
          </w:p>
          <w:p>
            <w:pPr>
              <w:pStyle w:val="TableParagraph"/>
              <w:spacing w:before="82"/>
              <w:rPr>
                <w:rFonts w:ascii="黑体" w:eastAsia="黑体" w:hint="eastAsia"/>
                <w:sz w:val="21"/>
              </w:rPr>
            </w:pPr>
            <w:r>
              <w:rPr>
                <w:rFonts w:ascii="黑体" w:eastAsia="黑体" w:hint="eastAsia"/>
                <w:w w:val="100"/>
                <w:sz w:val="21"/>
              </w:rPr>
              <w:t>（4</w:t>
            </w:r>
            <w:r>
              <w:rPr>
                <w:rFonts w:ascii="黑体" w:eastAsia="黑体" w:hint="eastAsia"/>
                <w:spacing w:val="-3"/>
                <w:w w:val="100"/>
                <w:sz w:val="21"/>
              </w:rPr>
              <w:t>）</w:t>
            </w:r>
            <w:r>
              <w:rPr>
                <w:rFonts w:ascii="黑体" w:eastAsia="黑体" w:hint="eastAsia"/>
                <w:spacing w:val="-1"/>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TableParagraph"/>
              <w:spacing w:before="84"/>
              <w:rPr>
                <w:rFonts w:ascii="黑体" w:eastAsia="黑体" w:hint="eastAsia"/>
                <w:sz w:val="21"/>
              </w:rPr>
            </w:pPr>
            <w:r>
              <w:rPr>
                <w:rFonts w:ascii="黑体" w:eastAsia="黑体" w:hint="eastAsia"/>
                <w:position w:val="1"/>
                <w:sz w:val="21"/>
              </w:rPr>
              <w:t>（5）TNM 分期为 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 </w:t>
            </w:r>
            <w:r>
              <w:rPr>
                <w:rFonts w:ascii="黑体" w:eastAsia="黑体" w:hint="eastAsia"/>
                <w:position w:val="1"/>
                <w:sz w:val="21"/>
              </w:rPr>
              <w:t>期或更轻分期的前列腺癌；</w:t>
            </w:r>
          </w:p>
          <w:p>
            <w:pPr>
              <w:pStyle w:val="TableParagraph"/>
              <w:spacing w:before="83"/>
              <w:rPr>
                <w:rFonts w:ascii="黑体" w:eastAsia="黑体" w:hint="eastAsia"/>
                <w:sz w:val="21"/>
              </w:rPr>
            </w:pPr>
            <w:r>
              <w:rPr>
                <w:sz w:val="21"/>
              </w:rPr>
              <w:t>（</w:t>
            </w:r>
            <w:r>
              <w:rPr>
                <w:rFonts w:ascii="Times New Roman" w:eastAsia="Times New Roman"/>
                <w:sz w:val="21"/>
              </w:rPr>
              <w:t>6</w:t>
            </w:r>
            <w:r>
              <w:rPr>
                <w:sz w:val="21"/>
              </w:rPr>
              <w:t>）</w:t>
            </w:r>
            <w:r>
              <w:rPr>
                <w:rFonts w:ascii="黑体" w:eastAsia="黑体" w:hint="eastAsia"/>
                <w:sz w:val="21"/>
              </w:rPr>
              <w:t>感染艾滋病病毒或患艾滋病期间所患恶性肿瘤。</w:t>
            </w:r>
          </w:p>
        </w:tc>
      </w:tr>
      <w:tr>
        <w:trPr>
          <w:trHeight w:val="2681" w:hRule="atLeast"/>
        </w:trPr>
        <w:tc>
          <w:tcPr>
            <w:tcW w:w="1665" w:type="dxa"/>
          </w:tcPr>
          <w:p>
            <w:pPr>
              <w:pStyle w:val="TableParagraph"/>
              <w:tabs>
                <w:tab w:pos="619" w:val="left" w:leader="none"/>
              </w:tabs>
              <w:spacing w:line="312" w:lineRule="auto" w:before="88"/>
              <w:ind w:left="200" w:right="92"/>
              <w:rPr>
                <w:b/>
                <w:sz w:val="21"/>
              </w:rPr>
            </w:pPr>
            <w:r>
              <w:rPr>
                <w:b/>
                <w:sz w:val="21"/>
              </w:rPr>
              <w:t>2.</w:t>
              <w:tab/>
            </w:r>
            <w:r>
              <w:rPr>
                <w:b/>
                <w:spacing w:val="25"/>
                <w:sz w:val="21"/>
              </w:rPr>
              <w:t>急性心肌 </w:t>
            </w:r>
            <w:r>
              <w:rPr>
                <w:b/>
                <w:sz w:val="21"/>
              </w:rPr>
              <w:t>梗塞</w:t>
            </w:r>
          </w:p>
        </w:tc>
        <w:tc>
          <w:tcPr>
            <w:tcW w:w="7700" w:type="dxa"/>
          </w:tcPr>
          <w:p>
            <w:pPr>
              <w:pStyle w:val="TableParagraph"/>
              <w:spacing w:line="312" w:lineRule="auto" w:before="88"/>
              <w:ind w:right="240"/>
              <w:rPr>
                <w:sz w:val="21"/>
              </w:rPr>
            </w:pPr>
            <w:r>
              <w:rPr>
                <w:sz w:val="21"/>
              </w:rPr>
              <w:t>指因冠状动脉阻塞导致的相应区域供血不足造成部分心肌坏死。须满足下列至少三项条件：</w:t>
            </w:r>
          </w:p>
          <w:p>
            <w:pPr>
              <w:pStyle w:val="TableParagraph"/>
              <w:spacing w:before="22"/>
              <w:rPr>
                <w:sz w:val="21"/>
              </w:rPr>
            </w:pPr>
            <w:r>
              <w:rPr>
                <w:sz w:val="21"/>
              </w:rPr>
              <w:t>（</w:t>
            </w:r>
            <w:r>
              <w:rPr>
                <w:rFonts w:ascii="Times New Roman" w:eastAsia="Times New Roman"/>
                <w:sz w:val="21"/>
              </w:rPr>
              <w:t>1</w:t>
            </w:r>
            <w:r>
              <w:rPr>
                <w:sz w:val="21"/>
              </w:rPr>
              <w:t>）典型临床表现，例如急性胸痛等；</w:t>
            </w:r>
          </w:p>
          <w:p>
            <w:pPr>
              <w:pStyle w:val="TableParagraph"/>
              <w:spacing w:before="66"/>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95" w:lineRule="auto" w:before="68"/>
              <w:ind w:left="613" w:right="303" w:hanging="519"/>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36"/>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 </w:t>
            </w:r>
            <w:r>
              <w:rPr>
                <w:rFonts w:ascii="Times New Roman" w:eastAsia="Times New Roman"/>
                <w:sz w:val="21"/>
              </w:rPr>
              <w:t>50%</w:t>
            </w:r>
            <w:r>
              <w:rPr>
                <w:sz w:val="21"/>
              </w:rPr>
              <w:t>。</w:t>
            </w:r>
          </w:p>
        </w:tc>
      </w:tr>
      <w:tr>
        <w:trPr>
          <w:trHeight w:val="2673" w:hRule="atLeast"/>
        </w:trPr>
        <w:tc>
          <w:tcPr>
            <w:tcW w:w="1665" w:type="dxa"/>
          </w:tcPr>
          <w:p>
            <w:pPr>
              <w:pStyle w:val="TableParagraph"/>
              <w:tabs>
                <w:tab w:pos="619" w:val="left" w:leader="none"/>
              </w:tabs>
              <w:spacing w:line="312" w:lineRule="auto" w:before="86"/>
              <w:ind w:left="200" w:right="92"/>
              <w:rPr>
                <w:b/>
                <w:sz w:val="21"/>
              </w:rPr>
            </w:pPr>
            <w:r>
              <w:rPr>
                <w:b/>
                <w:sz w:val="21"/>
              </w:rPr>
              <w:t>3.</w:t>
              <w:tab/>
            </w:r>
            <w:r>
              <w:rPr>
                <w:b/>
                <w:spacing w:val="25"/>
                <w:sz w:val="21"/>
              </w:rPr>
              <w:t>脑中风后 </w:t>
            </w:r>
            <w:r>
              <w:rPr>
                <w:b/>
                <w:sz w:val="21"/>
              </w:rPr>
              <w:t>遗症</w:t>
            </w:r>
          </w:p>
        </w:tc>
        <w:tc>
          <w:tcPr>
            <w:tcW w:w="7700" w:type="dxa"/>
          </w:tcPr>
          <w:p>
            <w:pPr>
              <w:pStyle w:val="TableParagraph"/>
              <w:spacing w:line="314" w:lineRule="auto" w:before="86"/>
              <w:ind w:right="302"/>
              <w:jc w:val="both"/>
              <w:rPr>
                <w:sz w:val="21"/>
              </w:rPr>
            </w:pPr>
            <w:r>
              <w:rPr>
                <w:spacing w:val="-6"/>
                <w:sz w:val="21"/>
              </w:rPr>
              <w:t>指因脑血管的突发病变引起脑血管出血、栓塞或梗塞，并导致神经系统永久性的</w:t>
            </w:r>
            <w:r>
              <w:rPr>
                <w:spacing w:val="-10"/>
                <w:sz w:val="21"/>
              </w:rPr>
              <w:t>功能障碍。神经系统永久性的功能障碍，指疾病确诊 </w:t>
            </w:r>
            <w:r>
              <w:rPr>
                <w:sz w:val="21"/>
              </w:rPr>
              <w:t>180</w:t>
            </w:r>
            <w:r>
              <w:rPr>
                <w:spacing w:val="-9"/>
                <w:sz w:val="21"/>
              </w:rPr>
              <w:t> 天后，仍遗留下列一种</w:t>
            </w:r>
            <w:r>
              <w:rPr>
                <w:spacing w:val="-5"/>
                <w:sz w:val="21"/>
              </w:rPr>
              <w:t>或一种以上障碍：</w:t>
            </w:r>
          </w:p>
          <w:p>
            <w:pPr>
              <w:pStyle w:val="TableParagraph"/>
              <w:spacing w:before="17"/>
              <w:rPr>
                <w:sz w:val="21"/>
              </w:rPr>
            </w:pPr>
            <w:r>
              <w:rPr>
                <w:sz w:val="21"/>
              </w:rPr>
              <w:t>（</w:t>
            </w:r>
            <w:r>
              <w:rPr>
                <w:rFonts w:ascii="Times New Roman" w:eastAsia="Times New Roman"/>
                <w:sz w:val="21"/>
              </w:rPr>
              <w:t>1</w:t>
            </w:r>
            <w:r>
              <w:rPr>
                <w:sz w:val="21"/>
              </w:rPr>
              <w:t>）一肢或一肢以上</w:t>
            </w:r>
            <w:r>
              <w:rPr>
                <w:b/>
                <w:sz w:val="21"/>
              </w:rPr>
              <w:t>肢体机能完全丧失</w:t>
            </w:r>
            <w:r>
              <w:rPr>
                <w:sz w:val="21"/>
              </w:rPr>
              <w:t>；</w:t>
            </w:r>
          </w:p>
          <w:p>
            <w:pPr>
              <w:pStyle w:val="TableParagraph"/>
              <w:spacing w:before="69"/>
              <w:rPr>
                <w:sz w:val="21"/>
              </w:rPr>
            </w:pPr>
            <w:r>
              <w:rPr>
                <w:sz w:val="21"/>
              </w:rPr>
              <w:t>（</w:t>
            </w:r>
            <w:r>
              <w:rPr>
                <w:rFonts w:ascii="Times New Roman" w:eastAsia="Times New Roman"/>
                <w:sz w:val="21"/>
              </w:rPr>
              <w:t>2</w:t>
            </w:r>
            <w:r>
              <w:rPr>
                <w:sz w:val="21"/>
              </w:rPr>
              <w:t>）</w:t>
            </w:r>
            <w:r>
              <w:rPr>
                <w:b/>
                <w:sz w:val="21"/>
              </w:rPr>
              <w:t>语言能力或咀嚼吞咽能力完全丧失</w:t>
            </w:r>
            <w:r>
              <w:rPr>
                <w:sz w:val="21"/>
              </w:rPr>
              <w:t>；</w:t>
            </w:r>
          </w:p>
          <w:p>
            <w:pPr>
              <w:pStyle w:val="TableParagraph"/>
              <w:spacing w:line="314" w:lineRule="auto" w:before="66"/>
              <w:ind w:left="613" w:right="300" w:hanging="519"/>
              <w:rPr>
                <w:sz w:val="21"/>
              </w:rPr>
            </w:pPr>
            <w:r>
              <w:rPr>
                <w:sz w:val="21"/>
              </w:rPr>
              <w:t>（3）自主生活能力完全丧失，无法独立完成</w:t>
            </w:r>
            <w:r>
              <w:rPr>
                <w:b/>
                <w:sz w:val="21"/>
              </w:rPr>
              <w:t>六项基本日常生活活动</w:t>
            </w:r>
            <w:r>
              <w:rPr>
                <w:sz w:val="21"/>
              </w:rPr>
              <w:t>中的三项或三项以上。</w:t>
            </w:r>
          </w:p>
        </w:tc>
      </w:tr>
      <w:tr>
        <w:trPr>
          <w:trHeight w:val="1964" w:hRule="atLeast"/>
        </w:trPr>
        <w:tc>
          <w:tcPr>
            <w:tcW w:w="1665" w:type="dxa"/>
          </w:tcPr>
          <w:p>
            <w:pPr>
              <w:pStyle w:val="TableParagraph"/>
              <w:spacing w:line="314" w:lineRule="auto" w:before="94"/>
              <w:ind w:left="200" w:right="92"/>
              <w:jc w:val="both"/>
              <w:rPr>
                <w:b/>
                <w:sz w:val="21"/>
              </w:rPr>
            </w:pPr>
            <w:r>
              <w:rPr>
                <w:b/>
                <w:sz w:val="21"/>
              </w:rPr>
              <w:t>4. 重大器官移植术或造血干细胞移植术</w:t>
            </w:r>
          </w:p>
        </w:tc>
        <w:tc>
          <w:tcPr>
            <w:tcW w:w="7700" w:type="dxa"/>
          </w:tcPr>
          <w:p>
            <w:pPr>
              <w:pStyle w:val="TableParagraph"/>
              <w:spacing w:line="314" w:lineRule="auto" w:before="94"/>
              <w:ind w:right="303"/>
              <w:jc w:val="both"/>
              <w:rPr>
                <w:sz w:val="21"/>
              </w:rPr>
            </w:pPr>
            <w:r>
              <w:rPr>
                <w:spacing w:val="-8"/>
                <w:sz w:val="21"/>
              </w:rPr>
              <w:t>重大器官移植术，指因相应器官功能衰竭，已经实施了肾脏、肝脏、心脏或肺脏</w:t>
            </w:r>
            <w:r>
              <w:rPr>
                <w:spacing w:val="-5"/>
                <w:sz w:val="21"/>
              </w:rPr>
              <w:t>的异体移植手术。</w:t>
            </w:r>
          </w:p>
          <w:p>
            <w:pPr>
              <w:pStyle w:val="TableParagraph"/>
              <w:spacing w:line="314" w:lineRule="auto" w:before="17"/>
              <w:ind w:right="303"/>
              <w:jc w:val="both"/>
              <w:rPr>
                <w:sz w:val="21"/>
              </w:rPr>
            </w:pPr>
            <w:r>
              <w:rPr>
                <w:spacing w:val="-7"/>
                <w:sz w:val="21"/>
              </w:rPr>
              <w:t>造血干细胞移植术，指因造血功能损害或造血系统恶性肿瘤，已经实施了造血干</w:t>
            </w:r>
            <w:r>
              <w:rPr>
                <w:spacing w:val="-14"/>
                <w:sz w:val="21"/>
              </w:rPr>
              <w:t>细胞</w:t>
            </w:r>
            <w:r>
              <w:rPr>
                <w:sz w:val="21"/>
              </w:rPr>
              <w:t>（</w:t>
            </w:r>
            <w:r>
              <w:rPr>
                <w:spacing w:val="-5"/>
                <w:sz w:val="21"/>
              </w:rPr>
              <w:t>包括骨髓造血干细胞、外周血造血干细胞和脐血造血干细胞</w:t>
            </w:r>
            <w:r>
              <w:rPr>
                <w:spacing w:val="-20"/>
                <w:sz w:val="21"/>
              </w:rPr>
              <w:t>）</w:t>
            </w:r>
            <w:r>
              <w:rPr>
                <w:spacing w:val="-3"/>
                <w:sz w:val="21"/>
              </w:rPr>
              <w:t>的异体移植手术。</w:t>
            </w:r>
          </w:p>
        </w:tc>
      </w:tr>
      <w:tr>
        <w:trPr>
          <w:trHeight w:val="1243" w:hRule="atLeast"/>
        </w:trPr>
        <w:tc>
          <w:tcPr>
            <w:tcW w:w="1665" w:type="dxa"/>
          </w:tcPr>
          <w:p>
            <w:pPr>
              <w:pStyle w:val="TableParagraph"/>
              <w:tabs>
                <w:tab w:pos="619" w:val="left" w:leader="none"/>
              </w:tabs>
              <w:spacing w:line="312" w:lineRule="auto" w:before="96"/>
              <w:ind w:left="200" w:right="92"/>
              <w:rPr>
                <w:b/>
                <w:sz w:val="21"/>
              </w:rPr>
            </w:pPr>
            <w:r>
              <w:rPr>
                <w:b/>
                <w:sz w:val="21"/>
              </w:rPr>
              <w:t>5.</w:t>
              <w:tab/>
            </w:r>
            <w:r>
              <w:rPr>
                <w:b/>
                <w:spacing w:val="25"/>
                <w:sz w:val="21"/>
              </w:rPr>
              <w:t>冠状动脉 </w:t>
            </w:r>
            <w:r>
              <w:rPr>
                <w:b/>
                <w:sz w:val="21"/>
              </w:rPr>
              <w:t>搭桥术</w:t>
            </w:r>
          </w:p>
        </w:tc>
        <w:tc>
          <w:tcPr>
            <w:tcW w:w="7700" w:type="dxa"/>
          </w:tcPr>
          <w:p>
            <w:pPr>
              <w:pStyle w:val="TableParagraph"/>
              <w:spacing w:line="314" w:lineRule="auto" w:before="96"/>
              <w:ind w:right="248"/>
              <w:jc w:val="both"/>
              <w:rPr>
                <w:rFonts w:ascii="黑体" w:eastAsia="黑体" w:hint="eastAsia"/>
                <w:sz w:val="21"/>
              </w:rPr>
            </w:pPr>
            <w:r>
              <w:rPr>
                <w:spacing w:val="-3"/>
                <w:sz w:val="21"/>
              </w:rPr>
              <w:t>指为治疗严重的冠心病，实际实施了开胸进行的冠状动脉血管旁路移植的手术。</w:t>
            </w:r>
            <w:r>
              <w:rPr>
                <w:rFonts w:ascii="黑体" w:eastAsia="黑体" w:hint="eastAsia"/>
                <w:spacing w:val="-8"/>
                <w:sz w:val="21"/>
              </w:rPr>
              <w:t>冠状动脉支架植入术、心导管球囊扩张术、激光射频技术及其他非开胸的介入手</w:t>
            </w:r>
            <w:r>
              <w:rPr>
                <w:rFonts w:ascii="黑体" w:eastAsia="黑体" w:hint="eastAsia"/>
                <w:spacing w:val="-5"/>
                <w:sz w:val="21"/>
              </w:rPr>
              <w:t>术、腔镜手术不在保障范围内。</w:t>
            </w:r>
          </w:p>
        </w:tc>
      </w:tr>
      <w:tr>
        <w:trPr>
          <w:trHeight w:val="730" w:hRule="atLeast"/>
        </w:trPr>
        <w:tc>
          <w:tcPr>
            <w:tcW w:w="1665" w:type="dxa"/>
          </w:tcPr>
          <w:p>
            <w:pPr>
              <w:pStyle w:val="TableParagraph"/>
              <w:tabs>
                <w:tab w:pos="619" w:val="left" w:leader="none"/>
              </w:tabs>
              <w:spacing w:line="350" w:lineRule="atLeast" w:before="22"/>
              <w:ind w:left="200" w:right="92"/>
              <w:rPr>
                <w:b/>
                <w:sz w:val="21"/>
              </w:rPr>
            </w:pPr>
            <w:r>
              <w:rPr>
                <w:b/>
                <w:sz w:val="21"/>
              </w:rPr>
              <w:t>6.</w:t>
              <w:tab/>
            </w:r>
            <w:r>
              <w:rPr>
                <w:b/>
                <w:spacing w:val="25"/>
                <w:sz w:val="21"/>
              </w:rPr>
              <w:t>终末期肾 </w:t>
            </w:r>
            <w:r>
              <w:rPr>
                <w:b/>
                <w:sz w:val="21"/>
              </w:rPr>
              <w:t>病</w:t>
            </w:r>
          </w:p>
        </w:tc>
        <w:tc>
          <w:tcPr>
            <w:tcW w:w="7700" w:type="dxa"/>
          </w:tcPr>
          <w:p>
            <w:pPr>
              <w:pStyle w:val="TableParagraph"/>
              <w:spacing w:line="340" w:lineRule="atLeast" w:before="48"/>
              <w:ind w:right="300"/>
              <w:rPr>
                <w:sz w:val="21"/>
              </w:rPr>
            </w:pPr>
            <w:r>
              <w:rPr>
                <w:sz w:val="21"/>
              </w:rPr>
              <w:t>指双肾功能慢性不可逆性衰竭，达到尿毒症期，经诊断后已经进行了至少 </w:t>
            </w:r>
            <w:r>
              <w:rPr>
                <w:rFonts w:ascii="Times New Roman" w:eastAsia="Times New Roman"/>
                <w:sz w:val="21"/>
              </w:rPr>
              <w:t>90 </w:t>
            </w:r>
            <w:r>
              <w:rPr>
                <w:sz w:val="21"/>
              </w:rPr>
              <w:t>天的规律性透析治疗或实施了肾脏移植手术。</w:t>
            </w:r>
          </w:p>
        </w:tc>
      </w:tr>
    </w:tbl>
    <w:p>
      <w:pPr>
        <w:spacing w:after="0" w:line="340" w:lineRule="atLeast"/>
        <w:rPr>
          <w:sz w:val="21"/>
        </w:rPr>
        <w:sectPr>
          <w:pgSz w:w="11910" w:h="16840"/>
          <w:pgMar w:header="0" w:footer="915" w:top="1580" w:bottom="1100" w:left="1220" w:right="11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5"/>
        <w:gridCol w:w="7698"/>
      </w:tblGrid>
      <w:tr>
        <w:trPr>
          <w:trHeight w:val="730" w:hRule="atLeast"/>
        </w:trPr>
        <w:tc>
          <w:tcPr>
            <w:tcW w:w="1665" w:type="dxa"/>
          </w:tcPr>
          <w:p>
            <w:pPr>
              <w:pStyle w:val="TableParagraph"/>
              <w:tabs>
                <w:tab w:pos="619" w:val="left" w:leader="none"/>
              </w:tabs>
              <w:spacing w:line="204" w:lineRule="exact" w:before="0"/>
              <w:ind w:left="200"/>
              <w:rPr>
                <w:b/>
                <w:sz w:val="21"/>
              </w:rPr>
            </w:pPr>
            <w:r>
              <w:rPr>
                <w:b/>
                <w:sz w:val="21"/>
              </w:rPr>
              <w:t>7.</w:t>
              <w:tab/>
            </w:r>
            <w:r>
              <w:rPr>
                <w:b/>
                <w:spacing w:val="25"/>
                <w:sz w:val="21"/>
              </w:rPr>
              <w:t>多个肢体</w:t>
            </w:r>
          </w:p>
          <w:p>
            <w:pPr>
              <w:pStyle w:val="TableParagraph"/>
              <w:spacing w:before="85"/>
              <w:ind w:left="200"/>
              <w:rPr>
                <w:b/>
                <w:sz w:val="21"/>
              </w:rPr>
            </w:pPr>
            <w:r>
              <w:rPr>
                <w:b/>
                <w:sz w:val="21"/>
              </w:rPr>
              <w:t>缺失</w:t>
            </w:r>
          </w:p>
        </w:tc>
        <w:tc>
          <w:tcPr>
            <w:tcW w:w="7698" w:type="dxa"/>
          </w:tcPr>
          <w:p>
            <w:pPr>
              <w:pStyle w:val="TableParagraph"/>
              <w:spacing w:line="204" w:lineRule="exact" w:before="0"/>
              <w:rPr>
                <w:sz w:val="21"/>
              </w:rPr>
            </w:pPr>
            <w:r>
              <w:rPr>
                <w:sz w:val="21"/>
              </w:rPr>
              <w:t>指因疾病或意外伤害导致两个或两个以上肢体自腕关节或踝关节近端（靠近躯干</w:t>
            </w:r>
          </w:p>
          <w:p>
            <w:pPr>
              <w:pStyle w:val="TableParagraph"/>
              <w:spacing w:before="85"/>
              <w:rPr>
                <w:sz w:val="21"/>
              </w:rPr>
            </w:pPr>
            <w:r>
              <w:rPr>
                <w:sz w:val="21"/>
              </w:rPr>
              <w:t>端）以上完全性断离。</w:t>
            </w:r>
          </w:p>
        </w:tc>
      </w:tr>
      <w:tr>
        <w:trPr>
          <w:trHeight w:val="2331" w:hRule="atLeast"/>
        </w:trPr>
        <w:tc>
          <w:tcPr>
            <w:tcW w:w="1665" w:type="dxa"/>
          </w:tcPr>
          <w:p>
            <w:pPr>
              <w:pStyle w:val="TableParagraph"/>
              <w:tabs>
                <w:tab w:pos="619" w:val="left" w:leader="none"/>
              </w:tabs>
              <w:spacing w:line="314" w:lineRule="auto"/>
              <w:ind w:left="200" w:right="92"/>
              <w:rPr>
                <w:b/>
                <w:sz w:val="21"/>
              </w:rPr>
            </w:pPr>
            <w:r>
              <w:rPr>
                <w:b/>
                <w:sz w:val="21"/>
              </w:rPr>
              <w:t>8.</w:t>
              <w:tab/>
            </w:r>
            <w:r>
              <w:rPr>
                <w:b/>
                <w:spacing w:val="25"/>
                <w:sz w:val="21"/>
              </w:rPr>
              <w:t>急性或亚 </w:t>
            </w:r>
            <w:r>
              <w:rPr>
                <w:b/>
                <w:sz w:val="21"/>
              </w:rPr>
              <w:t>急性重症肝炎</w:t>
            </w:r>
          </w:p>
        </w:tc>
        <w:tc>
          <w:tcPr>
            <w:tcW w:w="7698" w:type="dxa"/>
          </w:tcPr>
          <w:p>
            <w:pPr>
              <w:pStyle w:val="TableParagraph"/>
              <w:spacing w:line="314" w:lineRule="auto"/>
              <w:ind w:right="301"/>
              <w:rPr>
                <w:sz w:val="21"/>
              </w:rPr>
            </w:pPr>
            <w:r>
              <w:rPr>
                <w:spacing w:val="-6"/>
                <w:sz w:val="21"/>
              </w:rPr>
              <w:t>指因肝炎病毒感染引起肝脏组织弥漫性坏死，导致急性肝功能衰竭，且经血清学</w:t>
            </w:r>
            <w:r>
              <w:rPr>
                <w:spacing w:val="-4"/>
                <w:sz w:val="21"/>
              </w:rPr>
              <w:t>或病毒学检查证实，并须满足下列全部条件：</w:t>
            </w:r>
          </w:p>
          <w:p>
            <w:pPr>
              <w:pStyle w:val="TableParagraph"/>
              <w:spacing w:before="17"/>
              <w:rPr>
                <w:sz w:val="21"/>
              </w:rPr>
            </w:pPr>
            <w:r>
              <w:rPr>
                <w:sz w:val="21"/>
              </w:rPr>
              <w:t>（</w:t>
            </w:r>
            <w:r>
              <w:rPr>
                <w:rFonts w:ascii="Times New Roman" w:eastAsia="Times New Roman"/>
                <w:sz w:val="21"/>
              </w:rPr>
              <w:t>1</w:t>
            </w:r>
            <w:r>
              <w:rPr>
                <w:sz w:val="21"/>
              </w:rPr>
              <w:t>）重度黄疸或黄疸迅速加重；</w:t>
            </w:r>
          </w:p>
          <w:p>
            <w:pPr>
              <w:pStyle w:val="TableParagraph"/>
              <w:spacing w:before="69"/>
              <w:rPr>
                <w:sz w:val="21"/>
              </w:rPr>
            </w:pPr>
            <w:r>
              <w:rPr>
                <w:sz w:val="21"/>
              </w:rPr>
              <w:t>（</w:t>
            </w:r>
            <w:r>
              <w:rPr>
                <w:rFonts w:ascii="Times New Roman" w:eastAsia="Times New Roman"/>
                <w:sz w:val="21"/>
              </w:rPr>
              <w:t>2</w:t>
            </w:r>
            <w:r>
              <w:rPr>
                <w:sz w:val="21"/>
              </w:rPr>
              <w:t>）肝性脑病；</w:t>
            </w:r>
          </w:p>
          <w:p>
            <w:pPr>
              <w:pStyle w:val="TableParagraph"/>
              <w:spacing w:before="66"/>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68"/>
              <w:rPr>
                <w:sz w:val="21"/>
              </w:rPr>
            </w:pPr>
            <w:r>
              <w:rPr>
                <w:sz w:val="21"/>
              </w:rPr>
              <w:t>（</w:t>
            </w:r>
            <w:r>
              <w:rPr>
                <w:rFonts w:ascii="Times New Roman" w:eastAsia="Times New Roman"/>
                <w:sz w:val="21"/>
              </w:rPr>
              <w:t>4</w:t>
            </w:r>
            <w:r>
              <w:rPr>
                <w:sz w:val="21"/>
              </w:rPr>
              <w:t>）肝功能指标进行性恶化。</w:t>
            </w:r>
          </w:p>
        </w:tc>
      </w:tr>
      <w:tr>
        <w:trPr>
          <w:trHeight w:val="2673" w:hRule="atLeast"/>
        </w:trPr>
        <w:tc>
          <w:tcPr>
            <w:tcW w:w="1665" w:type="dxa"/>
          </w:tcPr>
          <w:p>
            <w:pPr>
              <w:pStyle w:val="TableParagraph"/>
              <w:tabs>
                <w:tab w:pos="619" w:val="left" w:leader="none"/>
              </w:tabs>
              <w:spacing w:line="314" w:lineRule="auto" w:before="79"/>
              <w:ind w:left="200" w:right="92"/>
              <w:rPr>
                <w:b/>
                <w:sz w:val="21"/>
              </w:rPr>
            </w:pPr>
            <w:r>
              <w:rPr>
                <w:b/>
                <w:sz w:val="21"/>
              </w:rPr>
              <w:t>9.</w:t>
              <w:tab/>
            </w:r>
            <w:r>
              <w:rPr>
                <w:b/>
                <w:spacing w:val="25"/>
                <w:sz w:val="21"/>
              </w:rPr>
              <w:t>良性脑肿 </w:t>
            </w:r>
            <w:r>
              <w:rPr>
                <w:b/>
                <w:sz w:val="21"/>
              </w:rPr>
              <w:t>瘤</w:t>
            </w:r>
          </w:p>
        </w:tc>
        <w:tc>
          <w:tcPr>
            <w:tcW w:w="7698" w:type="dxa"/>
          </w:tcPr>
          <w:p>
            <w:pPr>
              <w:pStyle w:val="TableParagraph"/>
              <w:spacing w:line="314" w:lineRule="auto" w:before="79"/>
              <w:ind w:right="198"/>
              <w:rPr>
                <w:sz w:val="21"/>
              </w:rPr>
            </w:pPr>
            <w:r>
              <w:rPr>
                <w:spacing w:val="-14"/>
                <w:sz w:val="21"/>
              </w:rPr>
              <w:t>指脑的良性肿瘤，已经引起颅内压增高，临床表现为视神经乳头水肿、精神症状、</w:t>
            </w:r>
            <w:r>
              <w:rPr>
                <w:spacing w:val="-7"/>
                <w:w w:val="100"/>
                <w:sz w:val="21"/>
              </w:rPr>
              <w:t>癫痫及运动感觉障碍等，并危及生命。须由头颅断层扫描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3"/>
                <w:w w:val="100"/>
                <w:sz w:val="21"/>
              </w:rPr>
              <w:t>、核磁共振检查</w:t>
            </w:r>
          </w:p>
          <w:p>
            <w:pPr>
              <w:pStyle w:val="TableParagraph"/>
              <w:spacing w:line="297" w:lineRule="auto" w:before="0"/>
              <w:ind w:right="301"/>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）等影像学检查证实，并须满足下列至少一项条件：</w:t>
            </w:r>
          </w:p>
          <w:p>
            <w:pPr>
              <w:pStyle w:val="TableParagraph"/>
              <w:spacing w:before="37"/>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68"/>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66"/>
              <w:rPr>
                <w:rFonts w:ascii="黑体" w:eastAsia="黑体" w:hint="eastAsia"/>
                <w:sz w:val="21"/>
              </w:rPr>
            </w:pPr>
            <w:r>
              <w:rPr>
                <w:rFonts w:ascii="黑体" w:eastAsia="黑体" w:hint="eastAsia"/>
                <w:sz w:val="21"/>
              </w:rPr>
              <w:t>脑垂体瘤、脑囊肿、脑血管性疾病不在保障范围内。</w:t>
            </w:r>
          </w:p>
        </w:tc>
      </w:tr>
      <w:tr>
        <w:trPr>
          <w:trHeight w:val="2323" w:hRule="atLeast"/>
        </w:trPr>
        <w:tc>
          <w:tcPr>
            <w:tcW w:w="1665" w:type="dxa"/>
          </w:tcPr>
          <w:p>
            <w:pPr>
              <w:pStyle w:val="TableParagraph"/>
              <w:spacing w:line="314" w:lineRule="auto"/>
              <w:ind w:left="200" w:right="92"/>
              <w:jc w:val="both"/>
              <w:rPr>
                <w:b/>
                <w:sz w:val="21"/>
              </w:rPr>
            </w:pPr>
            <w:r>
              <w:rPr>
                <w:b/>
                <w:sz w:val="21"/>
              </w:rPr>
              <w:t>10. 慢性肝功能衰竭失代偿期</w:t>
            </w:r>
          </w:p>
        </w:tc>
        <w:tc>
          <w:tcPr>
            <w:tcW w:w="7698" w:type="dxa"/>
          </w:tcPr>
          <w:p>
            <w:pPr>
              <w:pStyle w:val="TableParagraph"/>
              <w:rPr>
                <w:sz w:val="21"/>
              </w:rPr>
            </w:pPr>
            <w:r>
              <w:rPr>
                <w:sz w:val="21"/>
              </w:rPr>
              <w:t>指因慢性肝脏疾病导致肝功能衰竭。须满足下列全部条件：</w:t>
            </w:r>
          </w:p>
          <w:p>
            <w:pPr>
              <w:pStyle w:val="TableParagraph"/>
              <w:spacing w:before="84"/>
              <w:rPr>
                <w:sz w:val="21"/>
              </w:rPr>
            </w:pPr>
            <w:r>
              <w:rPr>
                <w:sz w:val="21"/>
              </w:rPr>
              <w:t>（</w:t>
            </w:r>
            <w:r>
              <w:rPr>
                <w:rFonts w:ascii="Times New Roman" w:eastAsia="Times New Roman"/>
                <w:sz w:val="21"/>
              </w:rPr>
              <w:t>1</w:t>
            </w:r>
            <w:r>
              <w:rPr>
                <w:sz w:val="21"/>
              </w:rPr>
              <w:t>）持续性黄疸；</w:t>
            </w:r>
          </w:p>
          <w:p>
            <w:pPr>
              <w:pStyle w:val="TableParagraph"/>
              <w:spacing w:before="66"/>
              <w:rPr>
                <w:sz w:val="21"/>
              </w:rPr>
            </w:pPr>
            <w:r>
              <w:rPr>
                <w:sz w:val="21"/>
              </w:rPr>
              <w:t>（</w:t>
            </w:r>
            <w:r>
              <w:rPr>
                <w:rFonts w:ascii="Times New Roman" w:eastAsia="Times New Roman"/>
                <w:sz w:val="21"/>
              </w:rPr>
              <w:t>2</w:t>
            </w:r>
            <w:r>
              <w:rPr>
                <w:sz w:val="21"/>
              </w:rPr>
              <w:t>）腹水；</w:t>
            </w:r>
          </w:p>
          <w:p>
            <w:pPr>
              <w:pStyle w:val="TableParagraph"/>
              <w:spacing w:before="69"/>
              <w:rPr>
                <w:sz w:val="21"/>
              </w:rPr>
            </w:pPr>
            <w:r>
              <w:rPr>
                <w:sz w:val="21"/>
              </w:rPr>
              <w:t>（</w:t>
            </w:r>
            <w:r>
              <w:rPr>
                <w:rFonts w:ascii="Times New Roman" w:eastAsia="Times New Roman"/>
                <w:sz w:val="21"/>
              </w:rPr>
              <w:t>3</w:t>
            </w:r>
            <w:r>
              <w:rPr>
                <w:sz w:val="21"/>
              </w:rPr>
              <w:t>）肝性脑病；</w:t>
            </w:r>
          </w:p>
          <w:p>
            <w:pPr>
              <w:pStyle w:val="TableParagraph"/>
              <w:spacing w:before="67"/>
              <w:rPr>
                <w:sz w:val="21"/>
              </w:rPr>
            </w:pPr>
            <w:r>
              <w:rPr>
                <w:sz w:val="21"/>
              </w:rPr>
              <w:t>（</w:t>
            </w:r>
            <w:r>
              <w:rPr>
                <w:rFonts w:ascii="Times New Roman" w:eastAsia="Times New Roman"/>
                <w:sz w:val="21"/>
              </w:rPr>
              <w:t>4</w:t>
            </w:r>
            <w:r>
              <w:rPr>
                <w:sz w:val="21"/>
              </w:rPr>
              <w:t>）充血性脾肿大伴脾功能亢进或食管胃底静脉曲张。</w:t>
            </w:r>
          </w:p>
          <w:p>
            <w:pPr>
              <w:pStyle w:val="TableParagraph"/>
              <w:spacing w:before="69"/>
              <w:rPr>
                <w:rFonts w:ascii="黑体" w:eastAsia="黑体" w:hint="eastAsia"/>
                <w:sz w:val="21"/>
              </w:rPr>
            </w:pPr>
            <w:r>
              <w:rPr>
                <w:rFonts w:ascii="黑体" w:eastAsia="黑体" w:hint="eastAsia"/>
                <w:sz w:val="21"/>
              </w:rPr>
              <w:t>因酗酒或药物滥用导致的肝功能衰竭不在保障范围内。</w:t>
            </w:r>
          </w:p>
        </w:tc>
      </w:tr>
      <w:tr>
        <w:trPr>
          <w:trHeight w:val="2319" w:hRule="atLeast"/>
        </w:trPr>
        <w:tc>
          <w:tcPr>
            <w:tcW w:w="1665" w:type="dxa"/>
          </w:tcPr>
          <w:p>
            <w:pPr>
              <w:pStyle w:val="TableParagraph"/>
              <w:spacing w:line="314" w:lineRule="auto"/>
              <w:ind w:left="200" w:right="92"/>
              <w:jc w:val="both"/>
              <w:rPr>
                <w:b/>
                <w:sz w:val="21"/>
              </w:rPr>
            </w:pPr>
            <w:r>
              <w:rPr>
                <w:b/>
                <w:sz w:val="21"/>
              </w:rPr>
              <w:t>11. 脑炎后遗症或脑膜炎后遗症</w:t>
            </w:r>
          </w:p>
        </w:tc>
        <w:tc>
          <w:tcPr>
            <w:tcW w:w="7698" w:type="dxa"/>
          </w:tcPr>
          <w:p>
            <w:pPr>
              <w:pStyle w:val="TableParagraph"/>
              <w:spacing w:line="314" w:lineRule="auto"/>
              <w:ind w:right="299"/>
              <w:rPr>
                <w:sz w:val="21"/>
              </w:rPr>
            </w:pPr>
            <w:r>
              <w:rPr>
                <w:spacing w:val="-6"/>
                <w:sz w:val="21"/>
              </w:rPr>
              <w:t>指因患脑炎或脑膜炎导致的神经系统永久性的功能障碍。神经系统永久性的功能</w:t>
            </w:r>
            <w:r>
              <w:rPr>
                <w:spacing w:val="-9"/>
                <w:sz w:val="21"/>
              </w:rPr>
              <w:t>障碍，指疾病确诊 </w:t>
            </w:r>
            <w:r>
              <w:rPr>
                <w:rFonts w:ascii="Times New Roman" w:eastAsia="Times New Roman"/>
                <w:sz w:val="21"/>
              </w:rPr>
              <w:t>180</w:t>
            </w:r>
            <w:r>
              <w:rPr>
                <w:rFonts w:ascii="Times New Roman" w:eastAsia="Times New Roman"/>
                <w:spacing w:val="7"/>
                <w:sz w:val="21"/>
              </w:rPr>
              <w:t>  </w:t>
            </w:r>
            <w:r>
              <w:rPr>
                <w:spacing w:val="-3"/>
                <w:sz w:val="21"/>
              </w:rPr>
              <w:t>天后，仍残留下列一种或一种以上障碍：</w:t>
            </w:r>
          </w:p>
          <w:p>
            <w:pPr>
              <w:pStyle w:val="TableParagraph"/>
              <w:spacing w:line="286" w:lineRule="exact" w:before="0"/>
              <w:rPr>
                <w:sz w:val="21"/>
              </w:rPr>
            </w:pPr>
            <w:r>
              <w:rPr>
                <w:sz w:val="21"/>
              </w:rPr>
              <w:t>（</w:t>
            </w:r>
            <w:r>
              <w:rPr>
                <w:rFonts w:ascii="Times New Roman" w:eastAsia="Times New Roman"/>
                <w:sz w:val="21"/>
              </w:rPr>
              <w:t>1</w:t>
            </w:r>
            <w:r>
              <w:rPr>
                <w:sz w:val="21"/>
              </w:rPr>
              <w:t>）一肢或一肢以上肢体机能完全丧失；</w:t>
            </w:r>
          </w:p>
          <w:p>
            <w:pPr>
              <w:pStyle w:val="TableParagraph"/>
              <w:spacing w:before="70"/>
              <w:rPr>
                <w:sz w:val="21"/>
              </w:rPr>
            </w:pPr>
            <w:r>
              <w:rPr>
                <w:sz w:val="21"/>
              </w:rPr>
              <w:t>（</w:t>
            </w:r>
            <w:r>
              <w:rPr>
                <w:rFonts w:ascii="Times New Roman" w:eastAsia="Times New Roman"/>
                <w:sz w:val="21"/>
              </w:rPr>
              <w:t>2</w:t>
            </w:r>
            <w:r>
              <w:rPr>
                <w:sz w:val="21"/>
              </w:rPr>
              <w:t>）语言能力或咀嚼吞咽能力完全丧失；</w:t>
            </w:r>
          </w:p>
          <w:p>
            <w:pPr>
              <w:pStyle w:val="TableParagraph"/>
              <w:spacing w:line="297" w:lineRule="auto" w:before="67"/>
              <w:ind w:left="621" w:right="303" w:hanging="527"/>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606" w:hRule="atLeast"/>
        </w:trPr>
        <w:tc>
          <w:tcPr>
            <w:tcW w:w="1665" w:type="dxa"/>
          </w:tcPr>
          <w:p>
            <w:pPr>
              <w:pStyle w:val="TableParagraph"/>
              <w:spacing w:before="91"/>
              <w:ind w:left="200"/>
              <w:rPr>
                <w:b/>
                <w:sz w:val="21"/>
              </w:rPr>
            </w:pPr>
            <w:r>
              <w:rPr>
                <w:b/>
                <w:sz w:val="21"/>
              </w:rPr>
              <w:t>12. 深度昏迷</w:t>
            </w:r>
          </w:p>
        </w:tc>
        <w:tc>
          <w:tcPr>
            <w:tcW w:w="7698" w:type="dxa"/>
          </w:tcPr>
          <w:p>
            <w:pPr>
              <w:pStyle w:val="TableParagraph"/>
              <w:spacing w:line="297" w:lineRule="auto" w:before="91"/>
              <w:ind w:right="300"/>
              <w:jc w:val="both"/>
              <w:rPr>
                <w:sz w:val="21"/>
              </w:rPr>
            </w:pP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r>
              <w:rPr>
                <w:sz w:val="21"/>
              </w:rPr>
              <w:t>昏迷程度按</w:t>
            </w:r>
            <w:r>
              <w:rPr>
                <w:spacing w:val="-7"/>
                <w:sz w:val="21"/>
              </w:rPr>
              <w:t>照格拉斯哥昏迷分级</w:t>
            </w:r>
            <w:r>
              <w:rPr>
                <w:sz w:val="21"/>
              </w:rPr>
              <w:t>（</w:t>
            </w:r>
            <w:r>
              <w:rPr>
                <w:rFonts w:ascii="Times New Roman" w:eastAsia="Times New Roman"/>
                <w:sz w:val="21"/>
              </w:rPr>
              <w:t>Glasgow coma </w:t>
            </w:r>
            <w:r>
              <w:rPr>
                <w:rFonts w:ascii="Times New Roman" w:eastAsia="Times New Roman"/>
                <w:spacing w:val="-7"/>
                <w:sz w:val="21"/>
              </w:rPr>
              <w:t>scale</w:t>
            </w:r>
            <w:r>
              <w:rPr>
                <w:spacing w:val="-7"/>
                <w:sz w:val="21"/>
              </w:rPr>
              <w:t>）</w:t>
            </w:r>
            <w:r>
              <w:rPr>
                <w:spacing w:val="-14"/>
                <w:sz w:val="21"/>
              </w:rPr>
              <w:t>结果为 </w:t>
            </w:r>
            <w:r>
              <w:rPr>
                <w:rFonts w:ascii="Times New Roman" w:eastAsia="Times New Roman"/>
                <w:sz w:val="21"/>
              </w:rPr>
              <w:t>5 </w:t>
            </w:r>
            <w:r>
              <w:rPr>
                <w:spacing w:val="-16"/>
                <w:sz w:val="21"/>
              </w:rPr>
              <w:t>分或 </w:t>
            </w:r>
            <w:r>
              <w:rPr>
                <w:rFonts w:ascii="Times New Roman" w:eastAsia="Times New Roman"/>
                <w:sz w:val="21"/>
              </w:rPr>
              <w:t>5 </w:t>
            </w:r>
            <w:r>
              <w:rPr>
                <w:spacing w:val="-7"/>
                <w:sz w:val="21"/>
              </w:rPr>
              <w:t>分以下，且已经持续</w:t>
            </w:r>
            <w:r>
              <w:rPr>
                <w:spacing w:val="-8"/>
                <w:sz w:val="21"/>
              </w:rPr>
              <w:t>使用呼吸机及其它生命维持系统 </w:t>
            </w:r>
            <w:r>
              <w:rPr>
                <w:rFonts w:ascii="Times New Roman" w:eastAsia="Times New Roman"/>
                <w:sz w:val="21"/>
              </w:rPr>
              <w:t>96 </w:t>
            </w:r>
            <w:r>
              <w:rPr>
                <w:spacing w:val="-3"/>
                <w:sz w:val="21"/>
              </w:rPr>
              <w:t>小时以上。</w:t>
            </w:r>
          </w:p>
          <w:p>
            <w:pPr>
              <w:pStyle w:val="TableParagraph"/>
              <w:spacing w:before="13"/>
              <w:jc w:val="both"/>
              <w:rPr>
                <w:rFonts w:ascii="黑体" w:eastAsia="黑体" w:hint="eastAsia"/>
                <w:sz w:val="21"/>
              </w:rPr>
            </w:pPr>
            <w:r>
              <w:rPr>
                <w:rFonts w:ascii="黑体" w:eastAsia="黑体" w:hint="eastAsia"/>
                <w:sz w:val="21"/>
              </w:rPr>
              <w:t>因酗酒或药物滥用导致的深度昏迷不在保障范围内。</w:t>
            </w:r>
          </w:p>
        </w:tc>
      </w:tr>
      <w:tr>
        <w:trPr>
          <w:trHeight w:val="1808" w:hRule="atLeast"/>
        </w:trPr>
        <w:tc>
          <w:tcPr>
            <w:tcW w:w="1665" w:type="dxa"/>
          </w:tcPr>
          <w:p>
            <w:pPr>
              <w:pStyle w:val="TableParagraph"/>
              <w:spacing w:before="91"/>
              <w:ind w:left="200"/>
              <w:rPr>
                <w:b/>
                <w:sz w:val="21"/>
              </w:rPr>
            </w:pPr>
            <w:r>
              <w:rPr>
                <w:b/>
                <w:sz w:val="21"/>
              </w:rPr>
              <w:t>13. 双耳失聪</w:t>
            </w:r>
          </w:p>
        </w:tc>
        <w:tc>
          <w:tcPr>
            <w:tcW w:w="7698" w:type="dxa"/>
          </w:tcPr>
          <w:p>
            <w:pPr>
              <w:pStyle w:val="TableParagraph"/>
              <w:spacing w:line="295" w:lineRule="auto" w:before="91"/>
              <w:ind w:right="298"/>
              <w:jc w:val="both"/>
              <w:rPr>
                <w:sz w:val="21"/>
              </w:rPr>
            </w:pPr>
            <w:r>
              <w:rPr>
                <w:spacing w:val="-3"/>
                <w:sz w:val="21"/>
              </w:rPr>
              <w:t>指因疾病或意外伤害导致双耳听力</w:t>
            </w:r>
            <w:r>
              <w:rPr>
                <w:b/>
                <w:sz w:val="21"/>
              </w:rPr>
              <w:t>永久不可逆性</w:t>
            </w:r>
            <w:r>
              <w:rPr>
                <w:spacing w:val="-5"/>
                <w:sz w:val="21"/>
              </w:rPr>
              <w:t>丧失，在 </w:t>
            </w:r>
            <w:r>
              <w:rPr>
                <w:rFonts w:ascii="Times New Roman" w:eastAsia="Times New Roman"/>
                <w:sz w:val="21"/>
              </w:rPr>
              <w:t>500 </w:t>
            </w:r>
            <w:r>
              <w:rPr>
                <w:spacing w:val="-2"/>
                <w:sz w:val="21"/>
              </w:rPr>
              <w:t>赫兹、</w:t>
            </w:r>
            <w:r>
              <w:rPr>
                <w:rFonts w:ascii="Times New Roman" w:eastAsia="Times New Roman"/>
                <w:sz w:val="21"/>
              </w:rPr>
              <w:t>1000 </w:t>
            </w:r>
            <w:r>
              <w:rPr>
                <w:sz w:val="21"/>
              </w:rPr>
              <w:t>赫兹</w:t>
            </w:r>
            <w:r>
              <w:rPr>
                <w:spacing w:val="-22"/>
                <w:sz w:val="21"/>
              </w:rPr>
              <w:t>和 </w:t>
            </w:r>
            <w:r>
              <w:rPr>
                <w:rFonts w:ascii="Times New Roman" w:eastAsia="Times New Roman"/>
                <w:sz w:val="21"/>
              </w:rPr>
              <w:t>2000 </w:t>
            </w:r>
            <w:r>
              <w:rPr>
                <w:spacing w:val="-9"/>
                <w:sz w:val="21"/>
              </w:rPr>
              <w:t>赫兹语音频率下，平均听阈大于 </w:t>
            </w:r>
            <w:r>
              <w:rPr>
                <w:rFonts w:ascii="Times New Roman" w:eastAsia="Times New Roman"/>
                <w:sz w:val="21"/>
              </w:rPr>
              <w:t>90 </w:t>
            </w:r>
            <w:r>
              <w:rPr>
                <w:spacing w:val="-7"/>
                <w:sz w:val="21"/>
              </w:rPr>
              <w:t>分贝，且经纯音听力测试、声导抗检</w:t>
            </w:r>
            <w:r>
              <w:rPr>
                <w:spacing w:val="-5"/>
                <w:sz w:val="21"/>
              </w:rPr>
              <w:t>测或听觉诱发电位检测等证实。</w:t>
            </w:r>
          </w:p>
          <w:p>
            <w:pPr>
              <w:pStyle w:val="TableParagraph"/>
              <w:spacing w:before="34"/>
              <w:jc w:val="both"/>
              <w:rPr>
                <w:rFonts w:ascii="黑体" w:eastAsia="黑体" w:hint="eastAsia"/>
                <w:sz w:val="21"/>
              </w:rPr>
            </w:pPr>
            <w:r>
              <w:rPr>
                <w:rFonts w:ascii="黑体" w:eastAsia="黑体" w:hint="eastAsia"/>
                <w:sz w:val="21"/>
              </w:rPr>
              <w:t>被保险人申请理赔时年龄必须在三周岁以上，并且提供理赔当时的听力丧失诊断</w:t>
            </w:r>
          </w:p>
          <w:p>
            <w:pPr>
              <w:pStyle w:val="TableParagraph"/>
              <w:spacing w:line="262" w:lineRule="exact" w:before="84"/>
              <w:jc w:val="both"/>
              <w:rPr>
                <w:rFonts w:ascii="黑体" w:eastAsia="黑体" w:hint="eastAsia"/>
                <w:sz w:val="21"/>
              </w:rPr>
            </w:pPr>
            <w:r>
              <w:rPr>
                <w:rFonts w:ascii="黑体" w:eastAsia="黑体" w:hint="eastAsia"/>
                <w:sz w:val="21"/>
              </w:rPr>
              <w:t>及检查证据。</w:t>
            </w:r>
          </w:p>
        </w:tc>
      </w:tr>
    </w:tbl>
    <w:p>
      <w:pPr>
        <w:spacing w:after="0" w:line="262" w:lineRule="exact"/>
        <w:jc w:val="both"/>
        <w:rPr>
          <w:rFonts w:ascii="黑体" w:eastAsia="黑体" w:hint="eastAsia"/>
          <w:sz w:val="21"/>
        </w:rPr>
        <w:sectPr>
          <w:pgSz w:w="11910" w:h="16840"/>
          <w:pgMar w:header="0" w:footer="915" w:top="1480" w:bottom="1100" w:left="1220" w:right="1100"/>
        </w:sectPr>
      </w:pPr>
    </w:p>
    <w:p>
      <w:pPr>
        <w:pStyle w:val="BodyText"/>
        <w:spacing w:before="6"/>
        <w:rPr>
          <w:rFonts w:ascii="Times New Roman"/>
          <w:sz w:val="5"/>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5"/>
        <w:gridCol w:w="7703"/>
      </w:tblGrid>
      <w:tr>
        <w:trPr>
          <w:trHeight w:val="2882" w:hRule="atLeast"/>
        </w:trPr>
        <w:tc>
          <w:tcPr>
            <w:tcW w:w="1665" w:type="dxa"/>
          </w:tcPr>
          <w:p>
            <w:pPr>
              <w:pStyle w:val="TableParagraph"/>
              <w:spacing w:line="211" w:lineRule="exact" w:before="0"/>
              <w:ind w:left="200"/>
              <w:rPr>
                <w:b/>
                <w:sz w:val="21"/>
              </w:rPr>
            </w:pPr>
            <w:r>
              <w:rPr>
                <w:b/>
                <w:sz w:val="21"/>
              </w:rPr>
              <w:t>14. 双目失明</w:t>
            </w:r>
          </w:p>
        </w:tc>
        <w:tc>
          <w:tcPr>
            <w:tcW w:w="7703" w:type="dxa"/>
          </w:tcPr>
          <w:p>
            <w:pPr>
              <w:pStyle w:val="TableParagraph"/>
              <w:spacing w:line="211" w:lineRule="exact" w:before="0"/>
              <w:rPr>
                <w:sz w:val="21"/>
              </w:rPr>
            </w:pPr>
            <w:r>
              <w:rPr>
                <w:sz w:val="21"/>
              </w:rPr>
              <w:t>指因疾病或意外伤害导致双眼视力永久不可逆性丧失，双眼中较好眼须满足下列</w:t>
            </w:r>
          </w:p>
          <w:p>
            <w:pPr>
              <w:pStyle w:val="TableParagraph"/>
              <w:spacing w:before="85"/>
              <w:rPr>
                <w:sz w:val="21"/>
              </w:rPr>
            </w:pPr>
            <w:r>
              <w:rPr>
                <w:sz w:val="21"/>
              </w:rPr>
              <w:t>至少一项条件：</w:t>
            </w:r>
          </w:p>
          <w:p>
            <w:pPr>
              <w:pStyle w:val="TableParagraph"/>
              <w:spacing w:before="82"/>
              <w:rPr>
                <w:sz w:val="21"/>
              </w:rPr>
            </w:pPr>
            <w:r>
              <w:rPr>
                <w:sz w:val="21"/>
              </w:rPr>
              <w:t>（</w:t>
            </w:r>
            <w:r>
              <w:rPr>
                <w:rFonts w:ascii="Times New Roman" w:eastAsia="Times New Roman"/>
                <w:sz w:val="21"/>
              </w:rPr>
              <w:t>1</w:t>
            </w:r>
            <w:r>
              <w:rPr>
                <w:sz w:val="21"/>
              </w:rPr>
              <w:t>）眼球缺失或摘除；</w:t>
            </w:r>
          </w:p>
          <w:p>
            <w:pPr>
              <w:pStyle w:val="TableParagraph"/>
              <w:spacing w:line="295" w:lineRule="auto" w:before="68"/>
              <w:ind w:left="621" w:right="303" w:hanging="527"/>
              <w:rPr>
                <w:sz w:val="21"/>
              </w:rPr>
            </w:pPr>
            <w:r>
              <w:rPr>
                <w:sz w:val="21"/>
              </w:rPr>
              <w:t>（</w:t>
            </w:r>
            <w:r>
              <w:rPr>
                <w:rFonts w:ascii="Times New Roman" w:eastAsia="Times New Roman"/>
                <w:sz w:val="21"/>
              </w:rPr>
              <w:t>2</w:t>
            </w:r>
            <w:r>
              <w:rPr>
                <w:sz w:val="21"/>
              </w:rPr>
              <w:t>）</w:t>
            </w:r>
            <w:r>
              <w:rPr>
                <w:spacing w:val="0"/>
                <w:sz w:val="21"/>
              </w:rPr>
              <w:t>矫正视力低于 </w:t>
            </w:r>
            <w:r>
              <w:rPr>
                <w:rFonts w:ascii="Times New Roman" w:eastAsia="Times New Roman"/>
                <w:sz w:val="21"/>
              </w:rPr>
              <w:t>0.02</w:t>
            </w:r>
            <w:r>
              <w:rPr>
                <w:sz w:val="21"/>
              </w:rPr>
              <w:t>（</w:t>
            </w:r>
            <w:r>
              <w:rPr>
                <w:spacing w:val="-3"/>
                <w:sz w:val="21"/>
              </w:rPr>
              <w:t>采用国际标准视力表，如果使用其他视力表应进行换</w:t>
            </w:r>
            <w:r>
              <w:rPr>
                <w:spacing w:val="-3"/>
                <w:w w:val="100"/>
                <w:sz w:val="21"/>
              </w:rPr>
              <w:t>算</w:t>
            </w:r>
            <w:r>
              <w:rPr>
                <w:spacing w:val="-106"/>
                <w:w w:val="100"/>
                <w:sz w:val="21"/>
              </w:rPr>
              <w:t>）</w:t>
            </w:r>
            <w:r>
              <w:rPr>
                <w:w w:val="100"/>
                <w:sz w:val="21"/>
              </w:rPr>
              <w:t>；</w:t>
            </w:r>
          </w:p>
          <w:p>
            <w:pPr>
              <w:pStyle w:val="TableParagraph"/>
              <w:spacing w:before="36"/>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314" w:lineRule="auto" w:before="66"/>
              <w:ind w:right="304"/>
              <w:rPr>
                <w:rFonts w:ascii="黑体" w:eastAsia="黑体" w:hint="eastAsia"/>
                <w:sz w:val="21"/>
              </w:rPr>
            </w:pPr>
            <w:r>
              <w:rPr>
                <w:rFonts w:ascii="黑体" w:eastAsia="黑体" w:hint="eastAsia"/>
                <w:spacing w:val="-6"/>
                <w:sz w:val="21"/>
              </w:rPr>
              <w:t>被保险人申请理赔时年龄必须在三周岁以上，并且提供理赔当时的视力丧失诊断</w:t>
            </w:r>
            <w:r>
              <w:rPr>
                <w:rFonts w:ascii="黑体" w:eastAsia="黑体" w:hint="eastAsia"/>
                <w:spacing w:val="-4"/>
                <w:sz w:val="21"/>
              </w:rPr>
              <w:t>及检查证据。</w:t>
            </w:r>
          </w:p>
        </w:tc>
      </w:tr>
      <w:tr>
        <w:trPr>
          <w:trHeight w:val="1246" w:hRule="atLeast"/>
        </w:trPr>
        <w:tc>
          <w:tcPr>
            <w:tcW w:w="1665" w:type="dxa"/>
          </w:tcPr>
          <w:p>
            <w:pPr>
              <w:pStyle w:val="TableParagraph"/>
              <w:spacing w:before="94"/>
              <w:ind w:left="200"/>
              <w:rPr>
                <w:b/>
                <w:sz w:val="21"/>
              </w:rPr>
            </w:pPr>
            <w:r>
              <w:rPr>
                <w:b/>
                <w:sz w:val="21"/>
              </w:rPr>
              <w:t>15. 瘫痪</w:t>
            </w:r>
          </w:p>
        </w:tc>
        <w:tc>
          <w:tcPr>
            <w:tcW w:w="7703" w:type="dxa"/>
          </w:tcPr>
          <w:p>
            <w:pPr>
              <w:pStyle w:val="TableParagraph"/>
              <w:spacing w:line="304" w:lineRule="auto" w:before="94"/>
              <w:ind w:right="304"/>
              <w:jc w:val="both"/>
              <w:rPr>
                <w:sz w:val="21"/>
              </w:rPr>
            </w:pPr>
            <w:r>
              <w:rPr>
                <w:spacing w:val="-5"/>
                <w:sz w:val="21"/>
              </w:rPr>
              <w:t>指因疾病或意外伤害导致两肢或两肢以上肢体机能永久完全丧失。肢体机能永久</w:t>
            </w:r>
            <w:r>
              <w:rPr>
                <w:spacing w:val="-12"/>
                <w:sz w:val="21"/>
              </w:rPr>
              <w:t>完全丧失，指疾病确诊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7"/>
                <w:sz w:val="21"/>
              </w:rPr>
              <w:t>天后，每肢三大关节中的两</w:t>
            </w:r>
            <w:r>
              <w:rPr>
                <w:spacing w:val="-5"/>
                <w:sz w:val="21"/>
              </w:rPr>
              <w:t>大关节仍然完全僵硬，或不能随意识活动。</w:t>
            </w:r>
          </w:p>
        </w:tc>
      </w:tr>
      <w:tr>
        <w:trPr>
          <w:trHeight w:val="887" w:hRule="atLeast"/>
        </w:trPr>
        <w:tc>
          <w:tcPr>
            <w:tcW w:w="1665" w:type="dxa"/>
          </w:tcPr>
          <w:p>
            <w:pPr>
              <w:pStyle w:val="TableParagraph"/>
              <w:spacing w:line="314" w:lineRule="auto" w:before="94"/>
              <w:ind w:left="200" w:right="92"/>
              <w:rPr>
                <w:b/>
                <w:sz w:val="21"/>
              </w:rPr>
            </w:pPr>
            <w:r>
              <w:rPr>
                <w:b/>
                <w:sz w:val="21"/>
              </w:rPr>
              <w:t>16. 心脏瓣膜手术</w:t>
            </w:r>
          </w:p>
        </w:tc>
        <w:tc>
          <w:tcPr>
            <w:tcW w:w="7703" w:type="dxa"/>
          </w:tcPr>
          <w:p>
            <w:pPr>
              <w:pStyle w:val="TableParagraph"/>
              <w:spacing w:before="94"/>
              <w:rPr>
                <w:sz w:val="21"/>
              </w:rPr>
            </w:pPr>
            <w:r>
              <w:rPr>
                <w:sz w:val="21"/>
              </w:rPr>
              <w:t>指为治疗心脏瓣膜疾病，实际实施了开胸进行的心脏瓣膜置换或修复的手术。</w:t>
            </w:r>
          </w:p>
        </w:tc>
      </w:tr>
      <w:tr>
        <w:trPr>
          <w:trHeight w:val="2323" w:hRule="atLeast"/>
        </w:trPr>
        <w:tc>
          <w:tcPr>
            <w:tcW w:w="1665" w:type="dxa"/>
          </w:tcPr>
          <w:p>
            <w:pPr>
              <w:pStyle w:val="TableParagraph"/>
              <w:spacing w:line="314" w:lineRule="auto" w:before="94"/>
              <w:ind w:left="200" w:right="92"/>
              <w:rPr>
                <w:b/>
                <w:sz w:val="21"/>
              </w:rPr>
            </w:pPr>
            <w:r>
              <w:rPr>
                <w:b/>
                <w:sz w:val="21"/>
              </w:rPr>
              <w:t>17. 严重阿尔茨海默病</w:t>
            </w:r>
          </w:p>
        </w:tc>
        <w:tc>
          <w:tcPr>
            <w:tcW w:w="7703" w:type="dxa"/>
          </w:tcPr>
          <w:p>
            <w:pPr>
              <w:pStyle w:val="TableParagraph"/>
              <w:spacing w:line="309" w:lineRule="auto" w:before="94"/>
              <w:ind w:right="197"/>
              <w:rPr>
                <w:sz w:val="21"/>
              </w:rPr>
            </w:pPr>
            <w:r>
              <w:rPr>
                <w:spacing w:val="-8"/>
                <w:sz w:val="21"/>
              </w:rPr>
              <w:t>指因大脑进行性、不可逆性改变导致智能严重衰退或丧失，临床表现为明显的认</w:t>
            </w:r>
            <w:r>
              <w:rPr>
                <w:spacing w:val="-7"/>
                <w:sz w:val="21"/>
              </w:rPr>
              <w:t>知能力障碍、行为异常和社交能力减退，其日常生活 必须持续受到他人监护。</w:t>
            </w:r>
            <w:r>
              <w:rPr>
                <w:spacing w:val="-6"/>
                <w:w w:val="100"/>
                <w:sz w:val="21"/>
              </w:rPr>
              <w:t>须由头颅断层扫描</w:t>
            </w:r>
            <w:r>
              <w:rPr>
                <w:spacing w:val="-3"/>
                <w:w w:val="100"/>
                <w:sz w:val="21"/>
              </w:rPr>
              <w:t>（</w:t>
            </w:r>
            <w:r>
              <w:rPr>
                <w:rFonts w:ascii="Times New Roman" w:eastAsia="Times New Roman"/>
                <w:w w:val="100"/>
                <w:sz w:val="21"/>
              </w:rPr>
              <w:t>CT</w:t>
            </w:r>
            <w:r>
              <w:rPr>
                <w:spacing w:val="-108"/>
                <w:w w:val="100"/>
                <w:sz w:val="21"/>
              </w:rPr>
              <w:t>）</w:t>
            </w:r>
            <w:r>
              <w:rPr>
                <w:spacing w:val="-5"/>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10"/>
                <w:w w:val="100"/>
                <w:sz w:val="21"/>
              </w:rPr>
              <w:t>）</w:t>
            </w:r>
            <w:r>
              <w:rPr>
                <w:spacing w:val="-4"/>
                <w:w w:val="100"/>
                <w:sz w:val="21"/>
              </w:rPr>
              <w:t>或正电子发射断层扫描</w:t>
            </w:r>
            <w:r>
              <w:rPr>
                <w:spacing w:val="-3"/>
                <w:w w:val="100"/>
                <w:sz w:val="21"/>
              </w:rPr>
              <w:t>（</w:t>
            </w:r>
            <w:r>
              <w:rPr>
                <w:rFonts w:ascii="Times New Roman" w:eastAsia="Times New Roman"/>
                <w:w w:val="100"/>
                <w:sz w:val="21"/>
              </w:rPr>
              <w:t>PE</w:t>
            </w:r>
            <w:r>
              <w:rPr>
                <w:rFonts w:ascii="Times New Roman" w:eastAsia="Times New Roman"/>
                <w:spacing w:val="0"/>
                <w:w w:val="100"/>
                <w:sz w:val="21"/>
              </w:rPr>
              <w:t>T</w:t>
            </w:r>
            <w:r>
              <w:rPr>
                <w:w w:val="100"/>
                <w:sz w:val="21"/>
              </w:rPr>
              <w:t>）</w:t>
            </w:r>
            <w:r>
              <w:rPr>
                <w:spacing w:val="-8"/>
                <w:sz w:val="21"/>
              </w:rPr>
              <w:t>等影像学检查证实，且自主生活能力完全丧失，无法独立完成六项基本日常生活</w:t>
            </w:r>
            <w:r>
              <w:rPr>
                <w:spacing w:val="-5"/>
                <w:sz w:val="21"/>
              </w:rPr>
              <w:t>活动中的三项或三项以上。</w:t>
            </w:r>
          </w:p>
          <w:p>
            <w:pPr>
              <w:pStyle w:val="TableParagraph"/>
              <w:spacing w:before="24"/>
              <w:rPr>
                <w:rFonts w:ascii="黑体" w:eastAsia="黑体" w:hint="eastAsia"/>
                <w:sz w:val="21"/>
              </w:rPr>
            </w:pPr>
            <w:r>
              <w:rPr>
                <w:rFonts w:ascii="黑体" w:eastAsia="黑体" w:hint="eastAsia"/>
                <w:sz w:val="21"/>
              </w:rPr>
              <w:t>神经官能症和精神疾病不在保障范围内。</w:t>
            </w:r>
          </w:p>
        </w:tc>
      </w:tr>
      <w:tr>
        <w:trPr>
          <w:trHeight w:val="3041" w:hRule="atLeast"/>
        </w:trPr>
        <w:tc>
          <w:tcPr>
            <w:tcW w:w="1665" w:type="dxa"/>
          </w:tcPr>
          <w:p>
            <w:pPr>
              <w:pStyle w:val="TableParagraph"/>
              <w:spacing w:line="314" w:lineRule="auto" w:before="94"/>
              <w:ind w:left="200" w:right="92"/>
              <w:rPr>
                <w:b/>
                <w:sz w:val="21"/>
              </w:rPr>
            </w:pPr>
            <w:r>
              <w:rPr>
                <w:b/>
                <w:sz w:val="21"/>
              </w:rPr>
              <w:t>18. 严重脑损伤</w:t>
            </w:r>
          </w:p>
        </w:tc>
        <w:tc>
          <w:tcPr>
            <w:tcW w:w="7703" w:type="dxa"/>
          </w:tcPr>
          <w:p>
            <w:pPr>
              <w:pStyle w:val="TableParagraph"/>
              <w:spacing w:line="314" w:lineRule="auto" w:before="94"/>
              <w:ind w:right="202"/>
              <w:rPr>
                <w:sz w:val="21"/>
              </w:rPr>
            </w:pPr>
            <w:r>
              <w:rPr>
                <w:spacing w:val="-7"/>
                <w:sz w:val="21"/>
              </w:rPr>
              <w:t>指因头部遭受机械性外力，引起脑重要部位损伤，导致神经系统永久性的功能障</w:t>
            </w:r>
            <w:r>
              <w:rPr>
                <w:spacing w:val="-13"/>
                <w:w w:val="100"/>
                <w:sz w:val="21"/>
              </w:rPr>
              <w:t>碍。须由头颅断层扫描</w:t>
            </w:r>
            <w:r>
              <w:rPr>
                <w:w w:val="100"/>
                <w:sz w:val="21"/>
              </w:rPr>
              <w:t>（</w:t>
            </w:r>
            <w:r>
              <w:rPr>
                <w:spacing w:val="-3"/>
                <w:w w:val="100"/>
                <w:sz w:val="21"/>
              </w:rPr>
              <w:t>C</w:t>
            </w:r>
            <w:r>
              <w:rPr>
                <w:spacing w:val="-2"/>
                <w:w w:val="100"/>
                <w:sz w:val="21"/>
              </w:rPr>
              <w:t>T</w:t>
            </w:r>
            <w:r>
              <w:rPr>
                <w:spacing w:val="-106"/>
                <w:w w:val="100"/>
                <w:sz w:val="21"/>
              </w:rPr>
              <w:t>）</w:t>
            </w:r>
            <w:r>
              <w:rPr>
                <w:spacing w:val="-16"/>
                <w:w w:val="100"/>
                <w:sz w:val="21"/>
              </w:rPr>
              <w:t>、核磁共振检查</w:t>
            </w:r>
            <w:r>
              <w:rPr>
                <w:spacing w:val="-1"/>
                <w:w w:val="100"/>
                <w:sz w:val="21"/>
              </w:rPr>
              <w:t>（</w:t>
            </w:r>
            <w:r>
              <w:rPr>
                <w:w w:val="100"/>
                <w:sz w:val="21"/>
              </w:rPr>
              <w:t>M</w:t>
            </w:r>
            <w:r>
              <w:rPr>
                <w:spacing w:val="-3"/>
                <w:w w:val="100"/>
                <w:sz w:val="21"/>
              </w:rPr>
              <w:t>R</w:t>
            </w:r>
            <w:r>
              <w:rPr>
                <w:spacing w:val="-1"/>
                <w:w w:val="100"/>
                <w:sz w:val="21"/>
              </w:rPr>
              <w:t>I</w:t>
            </w:r>
            <w:r>
              <w:rPr>
                <w:spacing w:val="-46"/>
                <w:w w:val="100"/>
                <w:sz w:val="21"/>
              </w:rPr>
              <w:t>）</w:t>
            </w:r>
            <w:r>
              <w:rPr>
                <w:spacing w:val="-8"/>
                <w:w w:val="100"/>
                <w:sz w:val="21"/>
              </w:rPr>
              <w:t>或正电子发射断层扫描</w:t>
            </w:r>
            <w:r>
              <w:rPr>
                <w:spacing w:val="-2"/>
                <w:w w:val="100"/>
                <w:sz w:val="21"/>
              </w:rPr>
              <w:t>（</w:t>
            </w:r>
            <w:r>
              <w:rPr>
                <w:w w:val="100"/>
                <w:sz w:val="21"/>
              </w:rPr>
              <w:t>PE</w:t>
            </w:r>
            <w:r>
              <w:rPr>
                <w:spacing w:val="-3"/>
                <w:w w:val="100"/>
                <w:sz w:val="21"/>
              </w:rPr>
              <w:t>T</w:t>
            </w:r>
            <w:r>
              <w:rPr>
                <w:w w:val="100"/>
                <w:sz w:val="21"/>
              </w:rPr>
              <w:t>）</w:t>
            </w:r>
            <w:r>
              <w:rPr>
                <w:sz w:val="21"/>
              </w:rPr>
              <w:t>等影像学检查证实。神经系统永久性的功能障碍，指脑损伤 180 天后，仍遗留</w:t>
            </w:r>
            <w:r>
              <w:rPr>
                <w:spacing w:val="-3"/>
                <w:sz w:val="21"/>
              </w:rPr>
              <w:t>下列一种或一种以上障碍：</w:t>
            </w:r>
          </w:p>
          <w:p>
            <w:pPr>
              <w:pStyle w:val="TableParagraph"/>
              <w:spacing w:before="17"/>
              <w:rPr>
                <w:sz w:val="21"/>
              </w:rPr>
            </w:pPr>
            <w:r>
              <w:rPr>
                <w:sz w:val="21"/>
              </w:rPr>
              <w:t>（</w:t>
            </w:r>
            <w:r>
              <w:rPr>
                <w:rFonts w:ascii="Times New Roman" w:eastAsia="Times New Roman"/>
                <w:sz w:val="21"/>
              </w:rPr>
              <w:t>1</w:t>
            </w:r>
            <w:r>
              <w:rPr>
                <w:sz w:val="21"/>
              </w:rPr>
              <w:t>）一肢或一肢以上肢体机能完全丧失；</w:t>
            </w:r>
          </w:p>
          <w:p>
            <w:pPr>
              <w:pStyle w:val="TableParagraph"/>
              <w:spacing w:before="69"/>
              <w:rPr>
                <w:sz w:val="21"/>
              </w:rPr>
            </w:pPr>
            <w:r>
              <w:rPr>
                <w:sz w:val="21"/>
              </w:rPr>
              <w:t>（</w:t>
            </w:r>
            <w:r>
              <w:rPr>
                <w:rFonts w:ascii="Times New Roman" w:eastAsia="Times New Roman"/>
                <w:sz w:val="21"/>
              </w:rPr>
              <w:t>2</w:t>
            </w:r>
            <w:r>
              <w:rPr>
                <w:sz w:val="21"/>
              </w:rPr>
              <w:t>）语言能力或咀嚼吞咽能力完全丧失；</w:t>
            </w:r>
          </w:p>
          <w:p>
            <w:pPr>
              <w:pStyle w:val="TableParagraph"/>
              <w:spacing w:line="297" w:lineRule="auto" w:before="66"/>
              <w:ind w:left="621" w:right="308" w:hanging="527"/>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2322" w:hRule="atLeast"/>
        </w:trPr>
        <w:tc>
          <w:tcPr>
            <w:tcW w:w="1665" w:type="dxa"/>
          </w:tcPr>
          <w:p>
            <w:pPr>
              <w:pStyle w:val="TableParagraph"/>
              <w:spacing w:line="312" w:lineRule="auto" w:before="95"/>
              <w:ind w:left="200" w:right="92"/>
              <w:rPr>
                <w:b/>
                <w:sz w:val="21"/>
              </w:rPr>
            </w:pPr>
            <w:r>
              <w:rPr>
                <w:b/>
                <w:sz w:val="21"/>
              </w:rPr>
              <w:t>19. 严重帕金森病</w:t>
            </w:r>
          </w:p>
        </w:tc>
        <w:tc>
          <w:tcPr>
            <w:tcW w:w="7703" w:type="dxa"/>
          </w:tcPr>
          <w:p>
            <w:pPr>
              <w:pStyle w:val="TableParagraph"/>
              <w:spacing w:line="312" w:lineRule="auto" w:before="95"/>
              <w:ind w:right="304"/>
              <w:rPr>
                <w:sz w:val="21"/>
              </w:rPr>
            </w:pPr>
            <w:r>
              <w:rPr>
                <w:spacing w:val="-7"/>
                <w:sz w:val="21"/>
              </w:rPr>
              <w:t>是一种中枢神经系统的退行性疾病，临床表现为震颤麻痹、共济失调等。须满足</w:t>
            </w:r>
            <w:r>
              <w:rPr>
                <w:spacing w:val="-5"/>
                <w:sz w:val="21"/>
              </w:rPr>
              <w:t>下列全部条件：</w:t>
            </w:r>
          </w:p>
          <w:p>
            <w:pPr>
              <w:pStyle w:val="TableParagraph"/>
              <w:spacing w:before="22"/>
              <w:rPr>
                <w:sz w:val="21"/>
              </w:rPr>
            </w:pPr>
            <w:r>
              <w:rPr>
                <w:sz w:val="21"/>
              </w:rPr>
              <w:t>（</w:t>
            </w:r>
            <w:r>
              <w:rPr>
                <w:rFonts w:ascii="Times New Roman" w:eastAsia="Times New Roman"/>
                <w:sz w:val="21"/>
              </w:rPr>
              <w:t>1</w:t>
            </w:r>
            <w:r>
              <w:rPr>
                <w:sz w:val="21"/>
              </w:rPr>
              <w:t>）药物治疗无法控制病情；</w:t>
            </w:r>
          </w:p>
          <w:p>
            <w:pPr>
              <w:pStyle w:val="TableParagraph"/>
              <w:spacing w:line="297" w:lineRule="auto" w:before="66"/>
              <w:ind w:left="621" w:right="308" w:hanging="527"/>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31"/>
              <w:rPr>
                <w:rFonts w:ascii="黑体" w:eastAsia="黑体" w:hint="eastAsia"/>
                <w:sz w:val="21"/>
              </w:rPr>
            </w:pPr>
            <w:r>
              <w:rPr>
                <w:rFonts w:ascii="黑体" w:eastAsia="黑体" w:hint="eastAsia"/>
                <w:sz w:val="21"/>
              </w:rPr>
              <w:t>继发性帕金森综合征不在保障范围内。</w:t>
            </w:r>
          </w:p>
        </w:tc>
      </w:tr>
      <w:tr>
        <w:trPr>
          <w:trHeight w:val="728" w:hRule="atLeast"/>
        </w:trPr>
        <w:tc>
          <w:tcPr>
            <w:tcW w:w="1665" w:type="dxa"/>
          </w:tcPr>
          <w:p>
            <w:pPr>
              <w:pStyle w:val="TableParagraph"/>
              <w:spacing w:line="350" w:lineRule="atLeast" w:before="20"/>
              <w:ind w:left="200" w:right="92"/>
              <w:rPr>
                <w:b/>
                <w:sz w:val="21"/>
              </w:rPr>
            </w:pPr>
            <w:r>
              <w:rPr>
                <w:b/>
                <w:sz w:val="21"/>
              </w:rPr>
              <w:t>20. 严重Ⅲ度烧伤</w:t>
            </w:r>
          </w:p>
        </w:tc>
        <w:tc>
          <w:tcPr>
            <w:tcW w:w="7703" w:type="dxa"/>
          </w:tcPr>
          <w:p>
            <w:pPr>
              <w:pStyle w:val="TableParagraph"/>
              <w:spacing w:line="350" w:lineRule="atLeast" w:before="20"/>
              <w:ind w:right="240"/>
              <w:rPr>
                <w:sz w:val="21"/>
              </w:rPr>
            </w:pPr>
            <w:r>
              <w:rPr>
                <w:sz w:val="21"/>
              </w:rPr>
              <w:t>指烧伤程度为Ⅲ度，且Ⅲ度烧伤面积达到全身体表面积的 20%或 20%以上。体表面积根据《中国新九分法》计算。</w:t>
            </w:r>
          </w:p>
        </w:tc>
      </w:tr>
    </w:tbl>
    <w:p>
      <w:pPr>
        <w:spacing w:after="0" w:line="350" w:lineRule="atLeast"/>
        <w:rPr>
          <w:sz w:val="21"/>
        </w:rPr>
        <w:sectPr>
          <w:pgSz w:w="11910" w:h="16840"/>
          <w:pgMar w:header="0" w:footer="915" w:top="1580" w:bottom="1100" w:left="1220" w:right="11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5"/>
        <w:gridCol w:w="7649"/>
      </w:tblGrid>
      <w:tr>
        <w:trPr>
          <w:trHeight w:val="1096" w:hRule="atLeast"/>
        </w:trPr>
        <w:tc>
          <w:tcPr>
            <w:tcW w:w="1665" w:type="dxa"/>
          </w:tcPr>
          <w:p>
            <w:pPr>
              <w:pStyle w:val="TableParagraph"/>
              <w:spacing w:line="204" w:lineRule="exact" w:before="0"/>
              <w:ind w:left="200"/>
              <w:rPr>
                <w:b/>
                <w:sz w:val="21"/>
              </w:rPr>
            </w:pPr>
            <w:r>
              <w:rPr>
                <w:b/>
                <w:sz w:val="21"/>
              </w:rPr>
              <w:t>21. 严重原发</w:t>
            </w:r>
          </w:p>
          <w:p>
            <w:pPr>
              <w:pStyle w:val="TableParagraph"/>
              <w:spacing w:before="85"/>
              <w:ind w:left="200"/>
              <w:rPr>
                <w:b/>
                <w:sz w:val="21"/>
              </w:rPr>
            </w:pPr>
            <w:r>
              <w:rPr>
                <w:b/>
                <w:sz w:val="21"/>
              </w:rPr>
              <w:t>性肺动脉高压</w:t>
            </w:r>
          </w:p>
        </w:tc>
        <w:tc>
          <w:tcPr>
            <w:tcW w:w="7649" w:type="dxa"/>
          </w:tcPr>
          <w:p>
            <w:pPr>
              <w:pStyle w:val="TableParagraph"/>
              <w:spacing w:line="204" w:lineRule="exact" w:before="0"/>
              <w:rPr>
                <w:sz w:val="21"/>
              </w:rPr>
            </w:pPr>
            <w:r>
              <w:rPr>
                <w:sz w:val="21"/>
              </w:rPr>
              <w:t>指不明原因的肺动脉压力持续性增高，进行性发展而导致的慢性 疾病，已经造</w:t>
            </w:r>
          </w:p>
          <w:p>
            <w:pPr>
              <w:pStyle w:val="TableParagraph"/>
              <w:spacing w:before="85"/>
              <w:rPr>
                <w:sz w:val="21"/>
              </w:rPr>
            </w:pPr>
            <w:r>
              <w:rPr>
                <w:sz w:val="21"/>
              </w:rPr>
              <w:t>成永久不可逆性的体力活动能力受限，达到美国纽约心脏病学会心功能状态分级</w:t>
            </w:r>
          </w:p>
          <w:p>
            <w:pPr>
              <w:pStyle w:val="TableParagraph"/>
              <w:spacing w:before="82"/>
              <w:rPr>
                <w:sz w:val="21"/>
              </w:rPr>
            </w:pP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238" w:hRule="atLeast"/>
        </w:trPr>
        <w:tc>
          <w:tcPr>
            <w:tcW w:w="1665" w:type="dxa"/>
          </w:tcPr>
          <w:p>
            <w:pPr>
              <w:pStyle w:val="TableParagraph"/>
              <w:spacing w:line="312" w:lineRule="auto" w:before="80"/>
              <w:ind w:left="200" w:right="92"/>
              <w:rPr>
                <w:b/>
                <w:sz w:val="21"/>
              </w:rPr>
            </w:pPr>
            <w:r>
              <w:rPr>
                <w:b/>
                <w:sz w:val="21"/>
              </w:rPr>
              <w:t>22. 严重运动神经元病</w:t>
            </w:r>
          </w:p>
        </w:tc>
        <w:tc>
          <w:tcPr>
            <w:tcW w:w="7649" w:type="dxa"/>
          </w:tcPr>
          <w:p>
            <w:pPr>
              <w:pStyle w:val="TableParagraph"/>
              <w:spacing w:line="314" w:lineRule="auto" w:before="80"/>
              <w:ind w:right="197"/>
              <w:jc w:val="both"/>
              <w:rPr>
                <w:sz w:val="21"/>
              </w:rPr>
            </w:pPr>
            <w:r>
              <w:rPr>
                <w:spacing w:val="-6"/>
                <w:sz w:val="21"/>
              </w:rPr>
              <w:t>是一组中枢神经系统运动神经元的进行性变性疾病，包括进行性脊肌萎缩症、进</w:t>
            </w:r>
            <w:r>
              <w:rPr>
                <w:spacing w:val="-9"/>
                <w:sz w:val="21"/>
              </w:rPr>
              <w:t>行性延髓麻痹症、原发性侧索硬化症、肌萎缩性侧索硬化症。须满足自主生活能</w:t>
            </w:r>
            <w:r>
              <w:rPr>
                <w:spacing w:val="-5"/>
                <w:sz w:val="21"/>
              </w:rPr>
              <w:t>力完全丧失，无法独立完成六项基本日常生活活动中的三项或三项以上的条件。</w:t>
            </w:r>
          </w:p>
        </w:tc>
      </w:tr>
      <w:tr>
        <w:trPr>
          <w:trHeight w:val="1963" w:hRule="atLeast"/>
        </w:trPr>
        <w:tc>
          <w:tcPr>
            <w:tcW w:w="1665" w:type="dxa"/>
          </w:tcPr>
          <w:p>
            <w:pPr>
              <w:pStyle w:val="TableParagraph"/>
              <w:spacing w:line="314" w:lineRule="auto"/>
              <w:ind w:left="200" w:right="92"/>
              <w:rPr>
                <w:b/>
                <w:sz w:val="21"/>
              </w:rPr>
            </w:pPr>
            <w:r>
              <w:rPr>
                <w:b/>
                <w:sz w:val="21"/>
              </w:rPr>
              <w:t>23. 语言能力丧失</w:t>
            </w:r>
          </w:p>
        </w:tc>
        <w:tc>
          <w:tcPr>
            <w:tcW w:w="7649" w:type="dxa"/>
          </w:tcPr>
          <w:p>
            <w:pPr>
              <w:pStyle w:val="TableParagraph"/>
              <w:spacing w:line="314" w:lineRule="auto"/>
              <w:ind w:right="249"/>
              <w:rPr>
                <w:sz w:val="21"/>
              </w:rPr>
            </w:pPr>
            <w:r>
              <w:rPr>
                <w:spacing w:val="-4"/>
                <w:sz w:val="21"/>
              </w:rPr>
              <w:t>指因疾病或意外伤害导致完全丧失语言能力，经过积极治疗至少 </w:t>
            </w:r>
            <w:r>
              <w:rPr>
                <w:sz w:val="21"/>
              </w:rPr>
              <w:t>12</w:t>
            </w:r>
            <w:r>
              <w:rPr>
                <w:spacing w:val="-5"/>
                <w:sz w:val="21"/>
              </w:rPr>
              <w:t> 个月</w:t>
            </w:r>
            <w:r>
              <w:rPr>
                <w:spacing w:val="-3"/>
                <w:sz w:val="21"/>
              </w:rPr>
              <w:t>（</w:t>
            </w:r>
            <w:r>
              <w:rPr>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17"/>
              <w:rPr>
                <w:rFonts w:ascii="黑体" w:eastAsia="黑体" w:hint="eastAsia"/>
                <w:sz w:val="21"/>
              </w:rPr>
            </w:pPr>
            <w:r>
              <w:rPr>
                <w:rFonts w:ascii="黑体" w:eastAsia="黑体" w:hint="eastAsia"/>
                <w:sz w:val="21"/>
              </w:rPr>
              <w:t>精神心理因素所致的语言能力丧失不在保障范围内。</w:t>
            </w:r>
          </w:p>
          <w:p>
            <w:pPr>
              <w:pStyle w:val="TableParagraph"/>
              <w:spacing w:line="312" w:lineRule="auto" w:before="85"/>
              <w:ind w:right="250"/>
              <w:rPr>
                <w:rFonts w:ascii="黑体" w:eastAsia="黑体" w:hint="eastAsia"/>
                <w:sz w:val="21"/>
              </w:rPr>
            </w:pPr>
            <w:r>
              <w:rPr>
                <w:rFonts w:ascii="黑体" w:eastAsia="黑体" w:hint="eastAsia"/>
                <w:spacing w:val="-6"/>
                <w:sz w:val="21"/>
              </w:rPr>
              <w:t>被保险人申请理赔时年龄必须在三周岁以上，并且提供理赔当时的语言能力丧失</w:t>
            </w:r>
            <w:r>
              <w:rPr>
                <w:rFonts w:ascii="黑体" w:eastAsia="黑体" w:hint="eastAsia"/>
                <w:spacing w:val="-4"/>
                <w:sz w:val="21"/>
              </w:rPr>
              <w:t>诊断及检查证据。</w:t>
            </w:r>
          </w:p>
        </w:tc>
      </w:tr>
      <w:tr>
        <w:trPr>
          <w:trHeight w:val="2682" w:hRule="atLeast"/>
        </w:trPr>
        <w:tc>
          <w:tcPr>
            <w:tcW w:w="1665" w:type="dxa"/>
          </w:tcPr>
          <w:p>
            <w:pPr>
              <w:pStyle w:val="TableParagraph"/>
              <w:spacing w:line="314" w:lineRule="auto"/>
              <w:ind w:left="200" w:right="92"/>
              <w:rPr>
                <w:b/>
                <w:sz w:val="21"/>
              </w:rPr>
            </w:pPr>
            <w:r>
              <w:rPr>
                <w:b/>
                <w:sz w:val="21"/>
              </w:rPr>
              <w:t>24. 重型再生障碍性贫血</w:t>
            </w:r>
          </w:p>
        </w:tc>
        <w:tc>
          <w:tcPr>
            <w:tcW w:w="7649" w:type="dxa"/>
          </w:tcPr>
          <w:p>
            <w:pPr>
              <w:pStyle w:val="TableParagraph"/>
              <w:spacing w:line="314" w:lineRule="auto"/>
              <w:ind w:right="197"/>
              <w:rPr>
                <w:sz w:val="21"/>
              </w:rPr>
            </w:pPr>
            <w:r>
              <w:rPr>
                <w:sz w:val="21"/>
              </w:rPr>
              <w:t>指因骨髓造血功能慢性持续性衰竭导致的贫血、中性粒细胞减少及血小板减少。须满足下列全部条件：</w:t>
            </w:r>
          </w:p>
          <w:p>
            <w:pPr>
              <w:pStyle w:val="TableParagraph"/>
              <w:spacing w:before="17"/>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69"/>
              <w:rPr>
                <w:sz w:val="21"/>
              </w:rPr>
            </w:pPr>
            <w:r>
              <w:rPr>
                <w:sz w:val="21"/>
              </w:rPr>
              <w:t>（</w:t>
            </w:r>
            <w:r>
              <w:rPr>
                <w:rFonts w:ascii="Times New Roman" w:eastAsia="Times New Roman"/>
                <w:sz w:val="21"/>
              </w:rPr>
              <w:t>2</w:t>
            </w:r>
            <w:r>
              <w:rPr>
                <w:sz w:val="21"/>
              </w:rPr>
              <w:t>）外周血象必须具备以下三项条件：</w:t>
            </w:r>
          </w:p>
          <w:p>
            <w:pPr>
              <w:pStyle w:val="TableParagraph"/>
              <w:tabs>
                <w:tab w:pos="935" w:val="left" w:leader="none"/>
              </w:tabs>
              <w:spacing w:before="66"/>
              <w:ind w:left="515"/>
              <w:rPr>
                <w:sz w:val="21"/>
              </w:rPr>
            </w:pPr>
            <w:r>
              <w:rPr>
                <w:sz w:val="21"/>
              </w:rPr>
              <w:t>①</w:t>
              <w:tab/>
            </w:r>
            <w:r>
              <w:rPr>
                <w:spacing w:val="-3"/>
                <w:sz w:val="21"/>
              </w:rPr>
              <w:t>中性粒细胞绝对值≤</w:t>
            </w:r>
            <w:r>
              <w:rPr>
                <w:sz w:val="21"/>
              </w:rPr>
              <w:t>0.5×10</w:t>
            </w:r>
            <w:r>
              <w:rPr>
                <w:position w:val="11"/>
                <w:sz w:val="11"/>
              </w:rPr>
              <w:t>9</w:t>
            </w:r>
            <w:r>
              <w:rPr>
                <w:sz w:val="21"/>
              </w:rPr>
              <w:t>/L</w:t>
            </w:r>
            <w:r>
              <w:rPr>
                <w:spacing w:val="2"/>
                <w:sz w:val="21"/>
              </w:rPr>
              <w:t> ；</w:t>
            </w:r>
          </w:p>
          <w:p>
            <w:pPr>
              <w:pStyle w:val="TableParagraph"/>
              <w:tabs>
                <w:tab w:pos="935" w:val="left" w:leader="none"/>
              </w:tabs>
              <w:spacing w:before="84"/>
              <w:ind w:left="515"/>
              <w:rPr>
                <w:sz w:val="21"/>
              </w:rPr>
            </w:pPr>
            <w:r>
              <w:rPr>
                <w:sz w:val="21"/>
              </w:rPr>
              <w:t>②</w:t>
              <w:tab/>
            </w:r>
            <w:r>
              <w:rPr>
                <w:spacing w:val="-3"/>
                <w:sz w:val="21"/>
              </w:rPr>
              <w:t>网织红细胞＜</w:t>
            </w:r>
            <w:r>
              <w:rPr>
                <w:spacing w:val="-1"/>
                <w:sz w:val="21"/>
              </w:rPr>
              <w:t>1%；</w:t>
            </w:r>
          </w:p>
          <w:p>
            <w:pPr>
              <w:pStyle w:val="TableParagraph"/>
              <w:tabs>
                <w:tab w:pos="935" w:val="left" w:leader="none"/>
              </w:tabs>
              <w:spacing w:before="82"/>
              <w:ind w:left="515"/>
              <w:rPr>
                <w:sz w:val="21"/>
              </w:rPr>
            </w:pPr>
            <w:r>
              <w:rPr>
                <w:sz w:val="21"/>
              </w:rPr>
              <w:t>③</w:t>
              <w:tab/>
            </w:r>
            <w:r>
              <w:rPr>
                <w:spacing w:val="-3"/>
                <w:sz w:val="21"/>
              </w:rPr>
              <w:t>血小板绝对值≤</w:t>
            </w:r>
            <w:r>
              <w:rPr>
                <w:spacing w:val="-1"/>
                <w:sz w:val="21"/>
              </w:rPr>
              <w:t>20×10</w:t>
            </w:r>
            <w:r>
              <w:rPr>
                <w:spacing w:val="-1"/>
                <w:position w:val="11"/>
                <w:sz w:val="11"/>
              </w:rPr>
              <w:t>9</w:t>
            </w:r>
            <w:r>
              <w:rPr>
                <w:spacing w:val="-1"/>
                <w:sz w:val="21"/>
              </w:rPr>
              <w:t>/L</w:t>
            </w:r>
            <w:r>
              <w:rPr>
                <w:sz w:val="21"/>
              </w:rPr>
              <w:t>。</w:t>
            </w:r>
          </w:p>
        </w:tc>
      </w:tr>
      <w:tr>
        <w:trPr>
          <w:trHeight w:val="1605" w:hRule="atLeast"/>
        </w:trPr>
        <w:tc>
          <w:tcPr>
            <w:tcW w:w="1665" w:type="dxa"/>
          </w:tcPr>
          <w:p>
            <w:pPr>
              <w:pStyle w:val="TableParagraph"/>
              <w:spacing w:line="312" w:lineRule="auto" w:before="89"/>
              <w:ind w:left="200" w:right="92"/>
              <w:rPr>
                <w:b/>
                <w:sz w:val="21"/>
              </w:rPr>
            </w:pPr>
            <w:r>
              <w:rPr>
                <w:b/>
                <w:sz w:val="21"/>
              </w:rPr>
              <w:t>25. 主动脉手术</w:t>
            </w:r>
          </w:p>
        </w:tc>
        <w:tc>
          <w:tcPr>
            <w:tcW w:w="7649" w:type="dxa"/>
          </w:tcPr>
          <w:p>
            <w:pPr>
              <w:pStyle w:val="TableParagraph"/>
              <w:spacing w:line="314" w:lineRule="auto" w:before="89"/>
              <w:ind w:right="250"/>
              <w:jc w:val="both"/>
              <w:rPr>
                <w:sz w:val="21"/>
              </w:rPr>
            </w:pPr>
            <w:r>
              <w:rPr>
                <w:spacing w:val="-7"/>
                <w:sz w:val="21"/>
              </w:rPr>
              <w:t>指为治疗主动脉疾病，实际实施了开胸或开腹进行的切除、置换、修补病损主动</w:t>
            </w:r>
            <w:r>
              <w:rPr>
                <w:spacing w:val="-9"/>
                <w:sz w:val="21"/>
              </w:rPr>
              <w:t>脉血管的手术。主动脉指胸主动脉和腹主动脉，不包括胸主动脉和腹主动脉的分</w:t>
            </w:r>
            <w:r>
              <w:rPr>
                <w:spacing w:val="-6"/>
                <w:sz w:val="21"/>
              </w:rPr>
              <w:t>支血管。</w:t>
            </w:r>
          </w:p>
          <w:p>
            <w:pPr>
              <w:pStyle w:val="TableParagraph"/>
              <w:spacing w:before="17"/>
              <w:jc w:val="both"/>
              <w:rPr>
                <w:rFonts w:ascii="黑体" w:eastAsia="黑体" w:hint="eastAsia"/>
                <w:sz w:val="21"/>
              </w:rPr>
            </w:pPr>
            <w:r>
              <w:rPr>
                <w:rFonts w:ascii="黑体" w:eastAsia="黑体" w:hint="eastAsia"/>
                <w:sz w:val="21"/>
              </w:rPr>
              <w:t>动脉内血管成形术不在保障范围内。</w:t>
            </w:r>
          </w:p>
        </w:tc>
      </w:tr>
      <w:tr>
        <w:trPr>
          <w:trHeight w:val="2330" w:hRule="atLeast"/>
        </w:trPr>
        <w:tc>
          <w:tcPr>
            <w:tcW w:w="1665" w:type="dxa"/>
          </w:tcPr>
          <w:p>
            <w:pPr>
              <w:pStyle w:val="TableParagraph"/>
              <w:spacing w:line="312" w:lineRule="auto" w:before="88"/>
              <w:ind w:left="200" w:right="92"/>
              <w:rPr>
                <w:b/>
                <w:sz w:val="21"/>
              </w:rPr>
            </w:pPr>
            <w:r>
              <w:rPr>
                <w:b/>
                <w:sz w:val="21"/>
              </w:rPr>
              <w:t>26. 慢性呼吸功能衰竭</w:t>
            </w:r>
          </w:p>
        </w:tc>
        <w:tc>
          <w:tcPr>
            <w:tcW w:w="7649" w:type="dxa"/>
          </w:tcPr>
          <w:p>
            <w:pPr>
              <w:pStyle w:val="TableParagraph"/>
              <w:spacing w:line="312" w:lineRule="auto" w:before="88"/>
              <w:ind w:right="250"/>
              <w:rPr>
                <w:sz w:val="21"/>
              </w:rPr>
            </w:pPr>
            <w:r>
              <w:rPr>
                <w:spacing w:val="-6"/>
                <w:sz w:val="21"/>
              </w:rPr>
              <w:t>慢性肺部疾病导致永久不可逆性的慢性呼吸功能衰竭。慢性呼吸功能衰竭必须明</w:t>
            </w:r>
            <w:r>
              <w:rPr>
                <w:spacing w:val="-4"/>
                <w:sz w:val="21"/>
              </w:rPr>
              <w:t>确诊断并满足下列全部条件：</w:t>
            </w:r>
          </w:p>
          <w:p>
            <w:pPr>
              <w:pStyle w:val="TableParagraph"/>
              <w:spacing w:before="21"/>
              <w:rPr>
                <w:sz w:val="21"/>
              </w:rPr>
            </w:pPr>
            <w:r>
              <w:rPr>
                <w:sz w:val="21"/>
              </w:rPr>
              <w:t>（</w:t>
            </w:r>
            <w:r>
              <w:rPr>
                <w:rFonts w:ascii="Times New Roman" w:eastAsia="Times New Roman"/>
                <w:sz w:val="21"/>
              </w:rPr>
              <w:t>1</w:t>
            </w:r>
            <w:r>
              <w:rPr>
                <w:sz w:val="21"/>
              </w:rPr>
              <w:t>）休息时出现呼吸困难；</w:t>
            </w:r>
          </w:p>
          <w:p>
            <w:pPr>
              <w:pStyle w:val="TableParagraph"/>
              <w:spacing w:before="66"/>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 2</w:t>
            </w:r>
            <w:r>
              <w:rPr>
                <w:sz w:val="21"/>
              </w:rPr>
              <w:t>）</w:t>
            </w:r>
            <w:r>
              <w:rPr>
                <w:rFonts w:ascii="Times New Roman" w:eastAsia="Times New Roman"/>
                <w:sz w:val="21"/>
              </w:rPr>
              <w:t>&lt; 50mmHg</w:t>
            </w:r>
            <w:r>
              <w:rPr>
                <w:sz w:val="21"/>
              </w:rPr>
              <w:t>；</w:t>
            </w:r>
          </w:p>
          <w:p>
            <w:pPr>
              <w:pStyle w:val="TableParagraph"/>
              <w:spacing w:before="69"/>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 2</w:t>
            </w:r>
            <w:r>
              <w:rPr>
                <w:sz w:val="21"/>
              </w:rPr>
              <w:t>）</w:t>
            </w:r>
            <w:r>
              <w:rPr>
                <w:rFonts w:ascii="Times New Roman" w:eastAsia="Times New Roman"/>
                <w:sz w:val="21"/>
              </w:rPr>
              <w:t>&lt; 80</w:t>
            </w:r>
            <w:r>
              <w:rPr>
                <w:sz w:val="21"/>
              </w:rPr>
              <w:t>％；</w:t>
            </w:r>
          </w:p>
          <w:p>
            <w:pPr>
              <w:pStyle w:val="TableParagraph"/>
              <w:spacing w:before="67"/>
              <w:rPr>
                <w:sz w:val="21"/>
              </w:rPr>
            </w:pPr>
            <w:r>
              <w:rPr>
                <w:sz w:val="21"/>
              </w:rPr>
              <w:t>（</w:t>
            </w:r>
            <w:r>
              <w:rPr>
                <w:rFonts w:ascii="Times New Roman" w:eastAsia="Times New Roman"/>
                <w:sz w:val="21"/>
              </w:rPr>
              <w:t>4</w:t>
            </w:r>
            <w:r>
              <w:rPr>
                <w:sz w:val="21"/>
              </w:rPr>
              <w:t>）因缺氧必须接受持续的输氧治疗。</w:t>
            </w:r>
          </w:p>
        </w:tc>
      </w:tr>
      <w:tr>
        <w:trPr>
          <w:trHeight w:val="1964" w:hRule="atLeast"/>
        </w:trPr>
        <w:tc>
          <w:tcPr>
            <w:tcW w:w="1665" w:type="dxa"/>
          </w:tcPr>
          <w:p>
            <w:pPr>
              <w:pStyle w:val="TableParagraph"/>
              <w:spacing w:line="314" w:lineRule="auto" w:before="80"/>
              <w:ind w:left="200" w:right="92"/>
              <w:rPr>
                <w:b/>
                <w:sz w:val="21"/>
              </w:rPr>
            </w:pPr>
            <w:r>
              <w:rPr>
                <w:b/>
                <w:sz w:val="21"/>
              </w:rPr>
              <w:t>27. 多发性硬化</w:t>
            </w:r>
          </w:p>
        </w:tc>
        <w:tc>
          <w:tcPr>
            <w:tcW w:w="7649" w:type="dxa"/>
          </w:tcPr>
          <w:p>
            <w:pPr>
              <w:pStyle w:val="TableParagraph"/>
              <w:spacing w:line="314" w:lineRule="auto" w:before="80"/>
              <w:ind w:right="252"/>
              <w:jc w:val="both"/>
              <w:rPr>
                <w:sz w:val="21"/>
              </w:rPr>
            </w:pPr>
            <w:r>
              <w:rPr>
                <w:spacing w:val="-6"/>
                <w:sz w:val="21"/>
              </w:rPr>
              <w:t>指中枢神经系统白质多灶性脱髓鞘病变，病变有时累及灰质。多发性硬化必须明</w:t>
            </w:r>
            <w:r>
              <w:rPr>
                <w:spacing w:val="-8"/>
                <w:sz w:val="21"/>
              </w:rPr>
              <w:t>确诊断，并且已经造成永久不可逆的神经系统功能损害。永久不可逆的神经系统损害指被保险人持续 </w:t>
            </w:r>
            <w:r>
              <w:rPr>
                <w:rFonts w:ascii="Times New Roman" w:eastAsia="Times New Roman"/>
                <w:sz w:val="21"/>
              </w:rPr>
              <w:t>180 </w:t>
            </w:r>
            <w:r>
              <w:rPr>
                <w:spacing w:val="-3"/>
                <w:sz w:val="21"/>
              </w:rPr>
              <w:t>天无法独立完成下列基本日常生活活动：</w:t>
            </w:r>
          </w:p>
          <w:p>
            <w:pPr>
              <w:pStyle w:val="TableParagraph"/>
              <w:spacing w:line="288" w:lineRule="exact" w:before="0"/>
              <w:jc w:val="both"/>
              <w:rPr>
                <w:sz w:val="21"/>
              </w:rPr>
            </w:pPr>
            <w:r>
              <w:rPr>
                <w:sz w:val="21"/>
              </w:rPr>
              <w:t>（</w:t>
            </w:r>
            <w:r>
              <w:rPr>
                <w:rFonts w:ascii="Times New Roman" w:eastAsia="Times New Roman"/>
                <w:sz w:val="21"/>
              </w:rPr>
              <w:t>1</w:t>
            </w:r>
            <w:r>
              <w:rPr>
                <w:sz w:val="21"/>
              </w:rPr>
              <w:t>）移动：自己从一个房间到另一个房间；或者</w:t>
            </w:r>
          </w:p>
          <w:p>
            <w:pPr>
              <w:pStyle w:val="TableParagraph"/>
              <w:spacing w:before="66"/>
              <w:jc w:val="both"/>
              <w:rPr>
                <w:sz w:val="21"/>
              </w:rPr>
            </w:pPr>
            <w:r>
              <w:rPr>
                <w:sz w:val="21"/>
              </w:rPr>
              <w:t>（</w:t>
            </w:r>
            <w:r>
              <w:rPr>
                <w:rFonts w:ascii="Times New Roman" w:eastAsia="Times New Roman"/>
                <w:sz w:val="21"/>
              </w:rPr>
              <w:t>2</w:t>
            </w:r>
            <w:r>
              <w:rPr>
                <w:sz w:val="21"/>
              </w:rPr>
              <w:t>）进食：自己从已准备好的碗或碟中取食物放入口中。</w:t>
            </w:r>
          </w:p>
        </w:tc>
      </w:tr>
      <w:tr>
        <w:trPr>
          <w:trHeight w:val="736" w:hRule="atLeast"/>
        </w:trPr>
        <w:tc>
          <w:tcPr>
            <w:tcW w:w="1665" w:type="dxa"/>
          </w:tcPr>
          <w:p>
            <w:pPr>
              <w:pStyle w:val="TableParagraph"/>
              <w:spacing w:line="358" w:lineRule="exact" w:before="39"/>
              <w:ind w:left="200" w:right="92"/>
              <w:rPr>
                <w:b/>
                <w:sz w:val="21"/>
              </w:rPr>
            </w:pPr>
            <w:r>
              <w:rPr>
                <w:b/>
                <w:sz w:val="21"/>
              </w:rPr>
              <w:t>28. 严重冠心病</w:t>
            </w:r>
          </w:p>
        </w:tc>
        <w:tc>
          <w:tcPr>
            <w:tcW w:w="7649" w:type="dxa"/>
          </w:tcPr>
          <w:p>
            <w:pPr>
              <w:pStyle w:val="TableParagraph"/>
              <w:spacing w:line="358" w:lineRule="exact" w:before="39"/>
              <w:ind w:right="250"/>
              <w:rPr>
                <w:sz w:val="21"/>
              </w:rPr>
            </w:pPr>
            <w:r>
              <w:rPr>
                <w:spacing w:val="-5"/>
                <w:sz w:val="21"/>
              </w:rPr>
              <w:t>指经根据冠状动脉造影检查结果明确诊断为三支主要血管严重狭窄性病变</w:t>
            </w:r>
            <w:r>
              <w:rPr>
                <w:spacing w:val="-3"/>
                <w:sz w:val="21"/>
              </w:rPr>
              <w:t>（</w:t>
            </w:r>
            <w:r>
              <w:rPr>
                <w:sz w:val="21"/>
              </w:rPr>
              <w:t>至少</w:t>
            </w:r>
            <w:r>
              <w:rPr>
                <w:spacing w:val="-6"/>
                <w:sz w:val="21"/>
              </w:rPr>
              <w:t>一支血管管腔直径减少 </w:t>
            </w:r>
            <w:r>
              <w:rPr>
                <w:rFonts w:ascii="Times New Roman" w:eastAsia="Times New Roman"/>
                <w:sz w:val="21"/>
              </w:rPr>
              <w:t>75</w:t>
            </w:r>
            <w:r>
              <w:rPr>
                <w:spacing w:val="-5"/>
                <w:sz w:val="21"/>
              </w:rPr>
              <w:t>％以上和其他两支血管管腔直径减少 </w:t>
            </w:r>
            <w:r>
              <w:rPr>
                <w:rFonts w:ascii="Times New Roman" w:eastAsia="Times New Roman"/>
                <w:sz w:val="21"/>
              </w:rPr>
              <w:t>60</w:t>
            </w:r>
            <w:r>
              <w:rPr>
                <w:spacing w:val="-2"/>
                <w:sz w:val="21"/>
              </w:rPr>
              <w:t>％以上</w:t>
            </w:r>
            <w:r>
              <w:rPr>
                <w:spacing w:val="-106"/>
                <w:sz w:val="21"/>
              </w:rPr>
              <w:t>）</w:t>
            </w:r>
            <w:r>
              <w:rPr>
                <w:spacing w:val="-20"/>
                <w:sz w:val="21"/>
              </w:rPr>
              <w:t>。冠状</w:t>
            </w:r>
          </w:p>
        </w:tc>
      </w:tr>
    </w:tbl>
    <w:p>
      <w:pPr>
        <w:spacing w:after="0" w:line="358" w:lineRule="exact"/>
        <w:rPr>
          <w:sz w:val="21"/>
        </w:rPr>
        <w:sectPr>
          <w:pgSz w:w="11910" w:h="16840"/>
          <w:pgMar w:header="0" w:footer="915" w:top="1480" w:bottom="1100" w:left="1220" w:right="116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5"/>
        <w:gridCol w:w="7597"/>
      </w:tblGrid>
      <w:tr>
        <w:trPr>
          <w:trHeight w:val="730" w:hRule="atLeast"/>
        </w:trPr>
        <w:tc>
          <w:tcPr>
            <w:tcW w:w="1665" w:type="dxa"/>
          </w:tcPr>
          <w:p>
            <w:pPr>
              <w:pStyle w:val="TableParagraph"/>
              <w:spacing w:before="0"/>
              <w:ind w:left="0"/>
              <w:rPr>
                <w:rFonts w:ascii="Times New Roman"/>
                <w:sz w:val="20"/>
              </w:rPr>
            </w:pPr>
          </w:p>
        </w:tc>
        <w:tc>
          <w:tcPr>
            <w:tcW w:w="7597" w:type="dxa"/>
          </w:tcPr>
          <w:p>
            <w:pPr>
              <w:pStyle w:val="TableParagraph"/>
              <w:spacing w:line="204" w:lineRule="exact" w:before="0"/>
              <w:rPr>
                <w:sz w:val="21"/>
              </w:rPr>
            </w:pPr>
            <w:r>
              <w:rPr>
                <w:sz w:val="21"/>
              </w:rPr>
              <w:t>动脉的主要血管指左冠状动脉主干、前降支、左旋支及右冠状动脉。</w:t>
            </w:r>
          </w:p>
          <w:p>
            <w:pPr>
              <w:pStyle w:val="TableParagraph"/>
              <w:spacing w:before="85"/>
              <w:rPr>
                <w:rFonts w:ascii="黑体" w:eastAsia="黑体" w:hint="eastAsia"/>
                <w:sz w:val="21"/>
              </w:rPr>
            </w:pPr>
            <w:r>
              <w:rPr>
                <w:rFonts w:ascii="黑体" w:eastAsia="黑体" w:hint="eastAsia"/>
                <w:sz w:val="21"/>
              </w:rPr>
              <w:t>前降支、左旋支及右冠状动脉的分支血管的狭窄不作为本保障的衡量指标。</w:t>
            </w:r>
          </w:p>
        </w:tc>
      </w:tr>
      <w:tr>
        <w:trPr>
          <w:trHeight w:val="1246" w:hRule="atLeast"/>
        </w:trPr>
        <w:tc>
          <w:tcPr>
            <w:tcW w:w="1665" w:type="dxa"/>
          </w:tcPr>
          <w:p>
            <w:pPr>
              <w:pStyle w:val="TableParagraph"/>
              <w:spacing w:line="314" w:lineRule="auto"/>
              <w:ind w:left="200" w:right="92"/>
              <w:rPr>
                <w:b/>
                <w:sz w:val="21"/>
              </w:rPr>
            </w:pPr>
            <w:r>
              <w:rPr>
                <w:b/>
                <w:sz w:val="21"/>
              </w:rPr>
              <w:t>29. 严重心肌病</w:t>
            </w:r>
          </w:p>
        </w:tc>
        <w:tc>
          <w:tcPr>
            <w:tcW w:w="7597" w:type="dxa"/>
          </w:tcPr>
          <w:p>
            <w:pPr>
              <w:pStyle w:val="TableParagraph"/>
              <w:spacing w:line="314" w:lineRule="auto"/>
              <w:ind w:right="197"/>
              <w:jc w:val="both"/>
              <w:rPr>
                <w:sz w:val="21"/>
              </w:rPr>
            </w:pPr>
            <w:r>
              <w:rPr>
                <w:spacing w:val="-5"/>
                <w:sz w:val="21"/>
              </w:rPr>
              <w:t>指被保人因心肌病导致慢性心功能损害造成永久不可逆性的心功能衰竭。心功能衰竭程度达到纽约心脏病学会的心功能分级标准之心功能 </w:t>
            </w:r>
            <w:r>
              <w:rPr>
                <w:sz w:val="21"/>
              </w:rPr>
              <w:t>IV</w:t>
            </w:r>
            <w:r>
              <w:rPr>
                <w:spacing w:val="-4"/>
                <w:sz w:val="21"/>
              </w:rPr>
              <w:t> 级。被保险人永久</w:t>
            </w:r>
            <w:r>
              <w:rPr>
                <w:spacing w:val="-3"/>
                <w:sz w:val="21"/>
              </w:rPr>
              <w:t>不可逆性的体力活动能力受限，不能从事任何体力活动。</w:t>
            </w:r>
          </w:p>
        </w:tc>
      </w:tr>
      <w:tr>
        <w:trPr>
          <w:trHeight w:val="6628" w:hRule="atLeast"/>
        </w:trPr>
        <w:tc>
          <w:tcPr>
            <w:tcW w:w="1665" w:type="dxa"/>
          </w:tcPr>
          <w:p>
            <w:pPr>
              <w:pStyle w:val="TableParagraph"/>
              <w:spacing w:line="312" w:lineRule="auto" w:before="88"/>
              <w:ind w:left="200" w:right="92"/>
              <w:rPr>
                <w:b/>
                <w:sz w:val="21"/>
              </w:rPr>
            </w:pPr>
            <w:r>
              <w:rPr>
                <w:b/>
                <w:sz w:val="21"/>
              </w:rPr>
              <w:t>30. 系统性红斑狼疮性肾炎</w:t>
            </w:r>
          </w:p>
        </w:tc>
        <w:tc>
          <w:tcPr>
            <w:tcW w:w="7597" w:type="dxa"/>
          </w:tcPr>
          <w:p>
            <w:pPr>
              <w:pStyle w:val="TableParagraph"/>
              <w:spacing w:line="314" w:lineRule="auto" w:before="88"/>
              <w:ind w:right="198"/>
              <w:jc w:val="both"/>
              <w:rPr>
                <w:sz w:val="21"/>
              </w:rPr>
            </w:pPr>
            <w:r>
              <w:rPr>
                <w:spacing w:val="-5"/>
                <w:sz w:val="21"/>
              </w:rPr>
              <w:t>指系统性红斑狼疮患者并发狼疮性肾炎而影响和损害肾脏功能，且肌酐清除率持</w:t>
            </w:r>
            <w:r>
              <w:rPr>
                <w:spacing w:val="-9"/>
                <w:sz w:val="21"/>
              </w:rPr>
              <w:t>续低于 </w:t>
            </w:r>
            <w:r>
              <w:rPr>
                <w:sz w:val="21"/>
              </w:rPr>
              <w:t>30ml/</w:t>
            </w:r>
            <w:r>
              <w:rPr>
                <w:spacing w:val="-3"/>
                <w:sz w:val="21"/>
              </w:rPr>
              <w:t>分。系统性红斑狼疮性肾炎的诊断必须经专科医生确诊，并满足下列条件：</w:t>
            </w:r>
          </w:p>
          <w:p>
            <w:pPr>
              <w:pStyle w:val="TableParagraph"/>
              <w:spacing w:before="17"/>
              <w:jc w:val="both"/>
              <w:rPr>
                <w:sz w:val="21"/>
              </w:rPr>
            </w:pPr>
            <w:r>
              <w:rPr>
                <w:sz w:val="21"/>
              </w:rPr>
              <w:t>（1）临床表现至少具备下列条件的四个：</w:t>
            </w:r>
          </w:p>
          <w:p>
            <w:pPr>
              <w:pStyle w:val="TableParagraph"/>
              <w:tabs>
                <w:tab w:pos="935" w:val="left" w:leader="none"/>
              </w:tabs>
              <w:spacing w:before="85"/>
              <w:ind w:left="515"/>
              <w:rPr>
                <w:sz w:val="21"/>
              </w:rPr>
            </w:pPr>
            <w:r>
              <w:rPr>
                <w:sz w:val="21"/>
              </w:rPr>
              <w:t>①</w:t>
              <w:tab/>
            </w:r>
            <w:r>
              <w:rPr>
                <w:spacing w:val="-3"/>
                <w:sz w:val="21"/>
              </w:rPr>
              <w:t>蝶形红斑或盘形红斑；</w:t>
            </w:r>
          </w:p>
          <w:p>
            <w:pPr>
              <w:pStyle w:val="TableParagraph"/>
              <w:tabs>
                <w:tab w:pos="935" w:val="left" w:leader="none"/>
              </w:tabs>
              <w:spacing w:before="83"/>
              <w:ind w:left="515"/>
              <w:rPr>
                <w:sz w:val="21"/>
              </w:rPr>
            </w:pPr>
            <w:r>
              <w:rPr>
                <w:sz w:val="21"/>
              </w:rPr>
              <w:t>②</w:t>
              <w:tab/>
            </w:r>
            <w:r>
              <w:rPr>
                <w:spacing w:val="-1"/>
                <w:sz w:val="21"/>
              </w:rPr>
              <w:t>光敏感；</w:t>
            </w:r>
          </w:p>
          <w:p>
            <w:pPr>
              <w:pStyle w:val="TableParagraph"/>
              <w:tabs>
                <w:tab w:pos="935" w:val="left" w:leader="none"/>
              </w:tabs>
              <w:spacing w:before="85"/>
              <w:ind w:left="515"/>
              <w:rPr>
                <w:sz w:val="21"/>
              </w:rPr>
            </w:pPr>
            <w:r>
              <w:rPr>
                <w:sz w:val="21"/>
              </w:rPr>
              <w:t>③</w:t>
              <w:tab/>
            </w:r>
            <w:r>
              <w:rPr>
                <w:spacing w:val="-3"/>
                <w:sz w:val="21"/>
              </w:rPr>
              <w:t>口鼻腔黏膜溃疡；</w:t>
            </w:r>
          </w:p>
          <w:p>
            <w:pPr>
              <w:pStyle w:val="TableParagraph"/>
              <w:tabs>
                <w:tab w:pos="935" w:val="left" w:leader="none"/>
              </w:tabs>
              <w:spacing w:before="82"/>
              <w:ind w:left="515"/>
              <w:rPr>
                <w:sz w:val="21"/>
              </w:rPr>
            </w:pPr>
            <w:r>
              <w:rPr>
                <w:sz w:val="21"/>
              </w:rPr>
              <w:t>④</w:t>
              <w:tab/>
            </w:r>
            <w:r>
              <w:rPr>
                <w:spacing w:val="-3"/>
                <w:sz w:val="21"/>
              </w:rPr>
              <w:t>非畸形性关节炎或多关节痛；</w:t>
            </w:r>
          </w:p>
          <w:p>
            <w:pPr>
              <w:pStyle w:val="TableParagraph"/>
              <w:tabs>
                <w:tab w:pos="935" w:val="left" w:leader="none"/>
              </w:tabs>
              <w:spacing w:before="84"/>
              <w:ind w:left="515"/>
              <w:rPr>
                <w:sz w:val="21"/>
              </w:rPr>
            </w:pPr>
            <w:r>
              <w:rPr>
                <w:sz w:val="21"/>
              </w:rPr>
              <w:t>⑤</w:t>
              <w:tab/>
            </w:r>
            <w:r>
              <w:rPr>
                <w:spacing w:val="-3"/>
                <w:sz w:val="21"/>
              </w:rPr>
              <w:t>胸膜炎或心包炎；</w:t>
            </w:r>
          </w:p>
          <w:p>
            <w:pPr>
              <w:pStyle w:val="TableParagraph"/>
              <w:tabs>
                <w:tab w:pos="935" w:val="left" w:leader="none"/>
              </w:tabs>
              <w:spacing w:before="82"/>
              <w:ind w:left="515"/>
              <w:rPr>
                <w:sz w:val="21"/>
              </w:rPr>
            </w:pPr>
            <w:r>
              <w:rPr>
                <w:sz w:val="21"/>
              </w:rPr>
              <w:t>⑥</w:t>
              <w:tab/>
            </w:r>
            <w:r>
              <w:rPr>
                <w:spacing w:val="-3"/>
                <w:sz w:val="21"/>
              </w:rPr>
              <w:t>癫痫或精神症状；</w:t>
            </w:r>
          </w:p>
          <w:p>
            <w:pPr>
              <w:pStyle w:val="TableParagraph"/>
              <w:tabs>
                <w:tab w:pos="935" w:val="left" w:leader="none"/>
              </w:tabs>
              <w:spacing w:line="312" w:lineRule="auto" w:before="85"/>
              <w:ind w:left="935" w:right="199" w:hanging="420"/>
              <w:rPr>
                <w:sz w:val="21"/>
              </w:rPr>
            </w:pPr>
            <w:r>
              <w:rPr>
                <w:sz w:val="21"/>
              </w:rPr>
              <w:t>⑦</w:t>
              <w:tab/>
            </w:r>
            <w:r>
              <w:rPr>
                <w:spacing w:val="-4"/>
                <w:sz w:val="21"/>
              </w:rPr>
              <w:t>血象异常(白细胞小于 </w:t>
            </w:r>
            <w:r>
              <w:rPr>
                <w:sz w:val="21"/>
              </w:rPr>
              <w:t>4×10</w:t>
            </w:r>
            <w:r>
              <w:rPr>
                <w:position w:val="11"/>
                <w:sz w:val="11"/>
              </w:rPr>
              <w:t>9</w:t>
            </w:r>
            <w:r>
              <w:rPr>
                <w:sz w:val="21"/>
              </w:rPr>
              <w:t>/L</w:t>
            </w:r>
            <w:r>
              <w:rPr>
                <w:spacing w:val="-6"/>
                <w:sz w:val="21"/>
              </w:rPr>
              <w:t> 或血小板小于 </w:t>
            </w:r>
            <w:r>
              <w:rPr>
                <w:sz w:val="21"/>
              </w:rPr>
              <w:t>100×10</w:t>
            </w:r>
            <w:r>
              <w:rPr>
                <w:position w:val="11"/>
                <w:sz w:val="11"/>
              </w:rPr>
              <w:t>9</w:t>
            </w:r>
            <w:r>
              <w:rPr>
                <w:sz w:val="21"/>
              </w:rPr>
              <w:t>/L</w:t>
            </w:r>
            <w:r>
              <w:rPr>
                <w:spacing w:val="-5"/>
                <w:sz w:val="21"/>
              </w:rPr>
              <w:t> 或溶血性贫血)。</w:t>
            </w:r>
          </w:p>
          <w:p>
            <w:pPr>
              <w:pStyle w:val="TableParagraph"/>
              <w:spacing w:before="22"/>
              <w:jc w:val="both"/>
              <w:rPr>
                <w:sz w:val="21"/>
              </w:rPr>
            </w:pPr>
            <w:r>
              <w:rPr>
                <w:sz w:val="21"/>
              </w:rPr>
              <w:t>（2）检测结果至少具备下列条件的两个：</w:t>
            </w:r>
          </w:p>
          <w:p>
            <w:pPr>
              <w:pStyle w:val="TableParagraph"/>
              <w:tabs>
                <w:tab w:pos="935" w:val="left" w:leader="none"/>
              </w:tabs>
              <w:spacing w:before="82"/>
              <w:ind w:left="515"/>
              <w:rPr>
                <w:sz w:val="21"/>
              </w:rPr>
            </w:pPr>
            <w:r>
              <w:rPr>
                <w:sz w:val="21"/>
              </w:rPr>
              <w:t>①</w:t>
              <w:tab/>
            </w:r>
            <w:r>
              <w:rPr>
                <w:spacing w:val="-25"/>
                <w:sz w:val="21"/>
              </w:rPr>
              <w:t>抗 </w:t>
            </w:r>
            <w:r>
              <w:rPr>
                <w:sz w:val="21"/>
              </w:rPr>
              <w:t>dsDNA</w:t>
            </w:r>
            <w:r>
              <w:rPr>
                <w:spacing w:val="-10"/>
                <w:sz w:val="21"/>
              </w:rPr>
              <w:t> 抗体阳性；</w:t>
            </w:r>
          </w:p>
          <w:p>
            <w:pPr>
              <w:pStyle w:val="TableParagraph"/>
              <w:tabs>
                <w:tab w:pos="935" w:val="left" w:leader="none"/>
              </w:tabs>
              <w:spacing w:before="85"/>
              <w:ind w:left="515"/>
              <w:rPr>
                <w:sz w:val="21"/>
              </w:rPr>
            </w:pPr>
            <w:r>
              <w:rPr>
                <w:sz w:val="21"/>
              </w:rPr>
              <w:t>②</w:t>
              <w:tab/>
            </w:r>
            <w:r>
              <w:rPr>
                <w:spacing w:val="-25"/>
                <w:sz w:val="21"/>
              </w:rPr>
              <w:t>抗 </w:t>
            </w:r>
            <w:r>
              <w:rPr>
                <w:sz w:val="21"/>
              </w:rPr>
              <w:t>Sm</w:t>
            </w:r>
            <w:r>
              <w:rPr>
                <w:spacing w:val="-11"/>
                <w:sz w:val="21"/>
              </w:rPr>
              <w:t> 抗体阳性；</w:t>
            </w:r>
          </w:p>
          <w:p>
            <w:pPr>
              <w:pStyle w:val="TableParagraph"/>
              <w:tabs>
                <w:tab w:pos="935" w:val="left" w:leader="none"/>
              </w:tabs>
              <w:spacing w:before="82"/>
              <w:ind w:left="515"/>
              <w:rPr>
                <w:sz w:val="21"/>
              </w:rPr>
            </w:pPr>
            <w:r>
              <w:rPr>
                <w:sz w:val="21"/>
              </w:rPr>
              <w:t>③</w:t>
              <w:tab/>
            </w:r>
            <w:r>
              <w:rPr>
                <w:spacing w:val="-2"/>
                <w:sz w:val="21"/>
              </w:rPr>
              <w:t>抗核抗体阳性；</w:t>
            </w:r>
          </w:p>
          <w:p>
            <w:pPr>
              <w:pStyle w:val="TableParagraph"/>
              <w:tabs>
                <w:tab w:pos="935" w:val="left" w:leader="none"/>
              </w:tabs>
              <w:spacing w:before="84"/>
              <w:ind w:left="515"/>
              <w:rPr>
                <w:sz w:val="21"/>
              </w:rPr>
            </w:pPr>
            <w:r>
              <w:rPr>
                <w:sz w:val="21"/>
              </w:rPr>
              <w:t>④</w:t>
              <w:tab/>
            </w:r>
            <w:r>
              <w:rPr>
                <w:spacing w:val="-3"/>
                <w:sz w:val="21"/>
              </w:rPr>
              <w:t>皮肤狼疮带试验(非病损部位)或肾活检阳性；</w:t>
            </w:r>
          </w:p>
          <w:p>
            <w:pPr>
              <w:pStyle w:val="TableParagraph"/>
              <w:tabs>
                <w:tab w:pos="935" w:val="left" w:leader="none"/>
              </w:tabs>
              <w:spacing w:before="82"/>
              <w:ind w:left="515"/>
              <w:rPr>
                <w:sz w:val="21"/>
              </w:rPr>
            </w:pPr>
            <w:r>
              <w:rPr>
                <w:sz w:val="21"/>
              </w:rPr>
              <w:t>⑤</w:t>
              <w:tab/>
              <w:t>C3</w:t>
            </w:r>
            <w:r>
              <w:rPr>
                <w:spacing w:val="-14"/>
                <w:sz w:val="21"/>
              </w:rPr>
              <w:t> 降低。</w:t>
            </w:r>
          </w:p>
        </w:tc>
      </w:tr>
      <w:tr>
        <w:trPr>
          <w:trHeight w:val="4117" w:hRule="atLeast"/>
        </w:trPr>
        <w:tc>
          <w:tcPr>
            <w:tcW w:w="1665" w:type="dxa"/>
          </w:tcPr>
          <w:p>
            <w:pPr>
              <w:pStyle w:val="TableParagraph"/>
              <w:spacing w:line="314" w:lineRule="auto"/>
              <w:ind w:left="200" w:right="92"/>
              <w:jc w:val="both"/>
              <w:rPr>
                <w:b/>
                <w:sz w:val="21"/>
              </w:rPr>
            </w:pPr>
            <w:r>
              <w:rPr>
                <w:b/>
                <w:sz w:val="21"/>
              </w:rPr>
              <w:t>31. 由输血或输液导致的人类免疫缺陷病毒感染</w:t>
            </w:r>
          </w:p>
        </w:tc>
        <w:tc>
          <w:tcPr>
            <w:tcW w:w="7597" w:type="dxa"/>
          </w:tcPr>
          <w:p>
            <w:pPr>
              <w:pStyle w:val="TableParagraph"/>
              <w:rPr>
                <w:sz w:val="21"/>
              </w:rPr>
            </w:pPr>
            <w:r>
              <w:rPr>
                <w:sz w:val="21"/>
              </w:rPr>
              <w:t>被保险人感染上人类免疫缺陷病毒（HIV）并且满足下列全部条件：</w:t>
            </w:r>
          </w:p>
          <w:p>
            <w:pPr>
              <w:pStyle w:val="TableParagraph"/>
              <w:spacing w:before="84"/>
              <w:rPr>
                <w:sz w:val="21"/>
              </w:rPr>
            </w:pPr>
            <w:r>
              <w:rPr>
                <w:sz w:val="21"/>
              </w:rPr>
              <w:t>（</w:t>
            </w:r>
            <w:r>
              <w:rPr>
                <w:rFonts w:ascii="Times New Roman" w:eastAsia="Times New Roman"/>
                <w:sz w:val="21"/>
              </w:rPr>
              <w:t>1</w:t>
            </w:r>
            <w:r>
              <w:rPr>
                <w:sz w:val="21"/>
              </w:rPr>
              <w:t>）在保障起始日或复效日之后，被保险人因输血而感染 </w:t>
            </w:r>
            <w:r>
              <w:rPr>
                <w:rFonts w:ascii="Times New Roman" w:eastAsia="Times New Roman"/>
                <w:sz w:val="21"/>
              </w:rPr>
              <w:t>HIV</w:t>
            </w:r>
            <w:r>
              <w:rPr>
                <w:sz w:val="21"/>
              </w:rPr>
              <w:t>；</w:t>
            </w:r>
          </w:p>
          <w:p>
            <w:pPr>
              <w:pStyle w:val="TableParagraph"/>
              <w:spacing w:line="297" w:lineRule="auto" w:before="66"/>
              <w:ind w:left="613" w:right="208" w:hanging="519"/>
              <w:rPr>
                <w:sz w:val="21"/>
              </w:rPr>
            </w:pPr>
            <w:r>
              <w:rPr>
                <w:sz w:val="21"/>
              </w:rPr>
              <w:t>（</w:t>
            </w:r>
            <w:r>
              <w:rPr>
                <w:rFonts w:ascii="Times New Roman" w:eastAsia="Times New Roman"/>
                <w:sz w:val="21"/>
              </w:rPr>
              <w:t>2</w:t>
            </w:r>
            <w:r>
              <w:rPr>
                <w:sz w:val="21"/>
              </w:rPr>
              <w:t>）提供输血治疗的输血中心或医院出具该项输血感染属医疗责任事故的报告，或者法院终审裁定为医疗责任并且不准上诉；</w:t>
            </w:r>
          </w:p>
          <w:p>
            <w:pPr>
              <w:pStyle w:val="TableParagraph"/>
              <w:spacing w:before="32"/>
              <w:rPr>
                <w:sz w:val="21"/>
              </w:rPr>
            </w:pPr>
            <w:r>
              <w:rPr>
                <w:sz w:val="21"/>
              </w:rPr>
              <w:t>（</w:t>
            </w:r>
            <w:r>
              <w:rPr>
                <w:rFonts w:ascii="Times New Roman" w:eastAsia="Times New Roman"/>
                <w:sz w:val="21"/>
              </w:rPr>
              <w:t>3</w:t>
            </w:r>
            <w:r>
              <w:rPr>
                <w:sz w:val="21"/>
              </w:rPr>
              <w:t>）受感染的被保险人不是血友病患者。</w:t>
            </w:r>
          </w:p>
          <w:p>
            <w:pPr>
              <w:pStyle w:val="TableParagraph"/>
              <w:spacing w:before="69"/>
              <w:rPr>
                <w:rFonts w:ascii="黑体" w:eastAsia="黑体" w:hint="eastAsia"/>
                <w:sz w:val="21"/>
              </w:rPr>
            </w:pPr>
            <w:r>
              <w:rPr>
                <w:rFonts w:ascii="黑体" w:eastAsia="黑体" w:hint="eastAsia"/>
                <w:sz w:val="21"/>
              </w:rPr>
              <w:t>在任何治愈艾滋病（AIDS）或阻止 HIV 病毒作用的疗法被发现以后，或能防止</w:t>
            </w:r>
          </w:p>
          <w:p>
            <w:pPr>
              <w:pStyle w:val="TableParagraph"/>
              <w:spacing w:before="83"/>
              <w:rPr>
                <w:rFonts w:ascii="黑体" w:eastAsia="黑体" w:hint="eastAsia"/>
                <w:sz w:val="21"/>
              </w:rPr>
            </w:pPr>
            <w:r>
              <w:rPr>
                <w:rFonts w:ascii="黑体" w:eastAsia="黑体" w:hint="eastAsia"/>
                <w:sz w:val="21"/>
              </w:rPr>
              <w:t>AIDS 发Th的医疗方法被研究出来以后，本保障将不再予以赔付。</w:t>
            </w:r>
          </w:p>
          <w:p>
            <w:pPr>
              <w:pStyle w:val="TableParagraph"/>
              <w:spacing w:line="312" w:lineRule="auto" w:before="85"/>
              <w:ind w:right="199"/>
              <w:rPr>
                <w:rFonts w:ascii="黑体" w:eastAsia="黑体" w:hint="eastAsia"/>
                <w:sz w:val="21"/>
              </w:rPr>
            </w:pPr>
            <w:r>
              <w:rPr>
                <w:rFonts w:ascii="黑体" w:eastAsia="黑体" w:hint="eastAsia"/>
                <w:spacing w:val="-5"/>
                <w:sz w:val="21"/>
              </w:rPr>
              <w:t>任何因其他传播方式</w:t>
            </w:r>
            <w:r>
              <w:rPr>
                <w:rFonts w:ascii="黑体" w:eastAsia="黑体" w:hint="eastAsia"/>
                <w:spacing w:val="-3"/>
                <w:sz w:val="21"/>
              </w:rPr>
              <w:t>（</w:t>
            </w:r>
            <w:r>
              <w:rPr>
                <w:rFonts w:ascii="黑体" w:eastAsia="黑体" w:hint="eastAsia"/>
                <w:spacing w:val="-5"/>
                <w:sz w:val="21"/>
              </w:rPr>
              <w:t>包括：性传播或静脉注射毒品</w:t>
            </w:r>
            <w:r>
              <w:rPr>
                <w:rFonts w:ascii="黑体" w:eastAsia="黑体" w:hint="eastAsia"/>
                <w:spacing w:val="-20"/>
                <w:sz w:val="21"/>
              </w:rPr>
              <w:t>）</w:t>
            </w:r>
            <w:r>
              <w:rPr>
                <w:rFonts w:ascii="黑体" w:eastAsia="黑体" w:hint="eastAsia"/>
                <w:spacing w:val="-11"/>
                <w:sz w:val="21"/>
              </w:rPr>
              <w:t>导致的 </w:t>
            </w:r>
            <w:r>
              <w:rPr>
                <w:rFonts w:ascii="黑体" w:eastAsia="黑体" w:hint="eastAsia"/>
                <w:sz w:val="21"/>
              </w:rPr>
              <w:t>HIV</w:t>
            </w:r>
            <w:r>
              <w:rPr>
                <w:rFonts w:ascii="黑体" w:eastAsia="黑体" w:hint="eastAsia"/>
                <w:spacing w:val="-9"/>
                <w:sz w:val="21"/>
              </w:rPr>
              <w:t> 感染不在本保</w:t>
            </w:r>
            <w:r>
              <w:rPr>
                <w:rFonts w:ascii="黑体" w:eastAsia="黑体" w:hint="eastAsia"/>
                <w:spacing w:val="-5"/>
                <w:sz w:val="21"/>
              </w:rPr>
              <w:t>单保障范围内。</w:t>
            </w:r>
          </w:p>
          <w:p>
            <w:pPr>
              <w:pStyle w:val="TableParagraph"/>
              <w:spacing w:line="312" w:lineRule="auto" w:before="22"/>
              <w:ind w:right="211"/>
              <w:rPr>
                <w:sz w:val="21"/>
              </w:rPr>
            </w:pPr>
            <w:r>
              <w:rPr>
                <w:sz w:val="21"/>
              </w:rPr>
              <w:t>保险公司必须拥有获得使用被保险人的所有血液样本的权利和能够对这些样本进行独立检验的权利。</w:t>
            </w:r>
          </w:p>
        </w:tc>
      </w:tr>
      <w:tr>
        <w:trPr>
          <w:trHeight w:val="1104" w:hRule="atLeast"/>
        </w:trPr>
        <w:tc>
          <w:tcPr>
            <w:tcW w:w="1665" w:type="dxa"/>
          </w:tcPr>
          <w:p>
            <w:pPr>
              <w:pStyle w:val="TableParagraph"/>
              <w:spacing w:line="312" w:lineRule="auto" w:before="88"/>
              <w:ind w:left="200" w:right="92"/>
              <w:rPr>
                <w:b/>
                <w:sz w:val="21"/>
              </w:rPr>
            </w:pPr>
            <w:r>
              <w:rPr>
                <w:b/>
                <w:sz w:val="21"/>
              </w:rPr>
              <w:t>32. 因职业关系导致的人类</w:t>
            </w:r>
          </w:p>
          <w:p>
            <w:pPr>
              <w:pStyle w:val="TableParagraph"/>
              <w:spacing w:before="21"/>
              <w:ind w:left="200"/>
              <w:rPr>
                <w:b/>
                <w:sz w:val="21"/>
              </w:rPr>
            </w:pPr>
            <w:r>
              <w:rPr>
                <w:b/>
                <w:sz w:val="21"/>
              </w:rPr>
              <w:t>免疫缺陷病毒</w:t>
            </w:r>
          </w:p>
        </w:tc>
        <w:tc>
          <w:tcPr>
            <w:tcW w:w="7597" w:type="dxa"/>
          </w:tcPr>
          <w:p>
            <w:pPr>
              <w:pStyle w:val="TableParagraph"/>
              <w:spacing w:line="312" w:lineRule="auto" w:before="88"/>
              <w:ind w:right="198"/>
              <w:rPr>
                <w:sz w:val="21"/>
              </w:rPr>
            </w:pPr>
            <w:r>
              <w:rPr>
                <w:spacing w:val="-6"/>
                <w:sz w:val="21"/>
              </w:rPr>
              <w:t>被保险人在其常规职业工作过程中遭遇外伤，或者职业需要处理血液或者其他体</w:t>
            </w:r>
            <w:r>
              <w:rPr>
                <w:spacing w:val="-4"/>
                <w:w w:val="100"/>
                <w:sz w:val="21"/>
              </w:rPr>
              <w:t>液时感染上人类免疫缺陷病毒</w:t>
            </w:r>
            <w:r>
              <w:rPr>
                <w:spacing w:val="-2"/>
                <w:w w:val="100"/>
                <w:sz w:val="21"/>
              </w:rPr>
              <w:t>（</w:t>
            </w:r>
            <w:r>
              <w:rPr>
                <w:w w:val="100"/>
                <w:sz w:val="21"/>
              </w:rPr>
              <w:t>HIV</w:t>
            </w:r>
            <w:r>
              <w:rPr>
                <w:spacing w:val="-108"/>
                <w:w w:val="100"/>
                <w:sz w:val="21"/>
              </w:rPr>
              <w:t>）</w:t>
            </w:r>
            <w:r>
              <w:rPr>
                <w:spacing w:val="-3"/>
                <w:w w:val="100"/>
                <w:sz w:val="21"/>
              </w:rPr>
              <w:t>。必须满足下列全部条件：</w:t>
            </w:r>
          </w:p>
          <w:p>
            <w:pPr>
              <w:pStyle w:val="TableParagraph"/>
              <w:spacing w:line="278" w:lineRule="exact" w:before="21"/>
              <w:rPr>
                <w:sz w:val="21"/>
              </w:rPr>
            </w:pPr>
            <w:r>
              <w:rPr>
                <w:sz w:val="21"/>
              </w:rPr>
              <w:t>（</w:t>
            </w:r>
            <w:r>
              <w:rPr>
                <w:rFonts w:ascii="Times New Roman" w:eastAsia="Times New Roman"/>
                <w:sz w:val="21"/>
              </w:rPr>
              <w:t>1</w:t>
            </w:r>
            <w:r>
              <w:rPr>
                <w:sz w:val="21"/>
              </w:rPr>
              <w:t>）感染必须是在被保险人正在从事其职业工作中发生，该职业必须属于以下</w:t>
            </w:r>
          </w:p>
        </w:tc>
      </w:tr>
    </w:tbl>
    <w:p>
      <w:pPr>
        <w:spacing w:after="0" w:line="278" w:lineRule="exact"/>
        <w:rPr>
          <w:sz w:val="21"/>
        </w:rPr>
        <w:sectPr>
          <w:pgSz w:w="11910" w:h="16840"/>
          <w:pgMar w:header="0" w:footer="915" w:top="1480" w:bottom="1100" w:left="1220" w:right="12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5"/>
        <w:gridCol w:w="7649"/>
      </w:tblGrid>
      <w:tr>
        <w:trPr>
          <w:trHeight w:val="4318" w:hRule="atLeast"/>
        </w:trPr>
        <w:tc>
          <w:tcPr>
            <w:tcW w:w="1665" w:type="dxa"/>
          </w:tcPr>
          <w:p>
            <w:pPr>
              <w:pStyle w:val="TableParagraph"/>
              <w:spacing w:line="204" w:lineRule="exact" w:before="0"/>
              <w:ind w:left="200"/>
              <w:rPr>
                <w:b/>
                <w:sz w:val="21"/>
              </w:rPr>
            </w:pPr>
            <w:r>
              <w:rPr>
                <w:b/>
                <w:sz w:val="21"/>
              </w:rPr>
              <w:t>（HIV）感染</w:t>
            </w:r>
          </w:p>
        </w:tc>
        <w:tc>
          <w:tcPr>
            <w:tcW w:w="7649" w:type="dxa"/>
          </w:tcPr>
          <w:p>
            <w:pPr>
              <w:pStyle w:val="TableParagraph"/>
              <w:spacing w:line="204" w:lineRule="exact" w:before="0"/>
              <w:ind w:left="613"/>
              <w:rPr>
                <w:sz w:val="21"/>
              </w:rPr>
            </w:pPr>
            <w:r>
              <w:rPr>
                <w:sz w:val="21"/>
              </w:rPr>
              <w:t>列表内的职业；</w:t>
            </w:r>
          </w:p>
          <w:p>
            <w:pPr>
              <w:pStyle w:val="TableParagraph"/>
              <w:spacing w:before="85"/>
              <w:rPr>
                <w:sz w:val="21"/>
              </w:rPr>
            </w:pPr>
            <w:r>
              <w:rPr>
                <w:sz w:val="21"/>
              </w:rPr>
              <w:t>（</w:t>
            </w:r>
            <w:r>
              <w:rPr>
                <w:rFonts w:ascii="Times New Roman" w:eastAsia="Times New Roman"/>
                <w:sz w:val="21"/>
              </w:rPr>
              <w:t>2</w:t>
            </w:r>
            <w:r>
              <w:rPr>
                <w:sz w:val="21"/>
              </w:rPr>
              <w:t>）血清转化必须出现在事故发生后的 </w:t>
            </w:r>
            <w:r>
              <w:rPr>
                <w:rFonts w:ascii="Times New Roman" w:eastAsia="Times New Roman"/>
                <w:sz w:val="21"/>
              </w:rPr>
              <w:t>6 </w:t>
            </w:r>
            <w:r>
              <w:rPr>
                <w:sz w:val="21"/>
              </w:rPr>
              <w:t>个月以内；</w:t>
            </w:r>
          </w:p>
          <w:p>
            <w:pPr>
              <w:pStyle w:val="TableParagraph"/>
              <w:spacing w:line="297" w:lineRule="auto" w:before="66"/>
              <w:ind w:left="613" w:right="249" w:hanging="519"/>
              <w:rPr>
                <w:sz w:val="21"/>
              </w:rPr>
            </w:pPr>
            <w:r>
              <w:rPr>
                <w:sz w:val="21"/>
              </w:rPr>
              <w:t>（</w:t>
            </w:r>
            <w:r>
              <w:rPr>
                <w:rFonts w:ascii="Times New Roman" w:eastAsia="Times New Roman"/>
                <w:sz w:val="21"/>
              </w:rPr>
              <w:t>3</w:t>
            </w:r>
            <w:r>
              <w:rPr>
                <w:sz w:val="21"/>
              </w:rPr>
              <w:t>）必须提供被保险人在所报事故发生后的 </w:t>
            </w:r>
            <w:r>
              <w:rPr>
                <w:rFonts w:ascii="Times New Roman" w:eastAsia="Times New Roman"/>
                <w:sz w:val="21"/>
              </w:rPr>
              <w:t>5 </w:t>
            </w:r>
            <w:r>
              <w:rPr>
                <w:sz w:val="21"/>
              </w:rPr>
              <w:t>天以内进行的检查报告，该报告必须显示被保险人血液 </w:t>
            </w:r>
            <w:r>
              <w:rPr>
                <w:rFonts w:ascii="Times New Roman" w:eastAsia="Times New Roman"/>
                <w:sz w:val="21"/>
              </w:rPr>
              <w:t>HIV </w:t>
            </w:r>
            <w:r>
              <w:rPr>
                <w:sz w:val="21"/>
              </w:rPr>
              <w:t>病毒阴性和</w:t>
            </w:r>
            <w:r>
              <w:rPr>
                <w:rFonts w:ascii="Times New Roman" w:eastAsia="Times New Roman"/>
                <w:sz w:val="21"/>
              </w:rPr>
              <w:t>/</w:t>
            </w:r>
            <w:r>
              <w:rPr>
                <w:sz w:val="21"/>
              </w:rPr>
              <w:t>或 </w:t>
            </w:r>
            <w:r>
              <w:rPr>
                <w:rFonts w:ascii="Times New Roman" w:eastAsia="Times New Roman"/>
                <w:sz w:val="21"/>
              </w:rPr>
              <w:t>HIV </w:t>
            </w:r>
            <w:r>
              <w:rPr>
                <w:sz w:val="21"/>
              </w:rPr>
              <w:t>抗体阴性；</w:t>
            </w:r>
          </w:p>
          <w:p>
            <w:pPr>
              <w:pStyle w:val="TableParagraph"/>
              <w:spacing w:before="10"/>
              <w:rPr>
                <w:rFonts w:ascii="Times New Roman" w:eastAsia="Times New Roman"/>
                <w:sz w:val="21"/>
              </w:rPr>
            </w:pPr>
            <w:r>
              <w:rPr>
                <w:sz w:val="21"/>
              </w:rPr>
              <w:t>（</w:t>
            </w:r>
            <w:r>
              <w:rPr>
                <w:rFonts w:ascii="Times New Roman" w:eastAsia="Times New Roman"/>
                <w:sz w:val="21"/>
              </w:rPr>
              <w:t>4</w:t>
            </w:r>
            <w:r>
              <w:rPr>
                <w:sz w:val="21"/>
              </w:rPr>
              <w:t>）必须在事故发生后的 </w:t>
            </w:r>
            <w:r>
              <w:rPr>
                <w:rFonts w:ascii="Times New Roman" w:eastAsia="Times New Roman"/>
                <w:sz w:val="21"/>
              </w:rPr>
              <w:t>12 </w:t>
            </w:r>
            <w:r>
              <w:rPr>
                <w:sz w:val="21"/>
              </w:rPr>
              <w:t>个月内证实被保险人体内存在 </w:t>
            </w:r>
            <w:r>
              <w:rPr>
                <w:rFonts w:ascii="Times New Roman" w:eastAsia="Times New Roman"/>
                <w:sz w:val="21"/>
              </w:rPr>
              <w:t>HIV </w:t>
            </w:r>
            <w:r>
              <w:rPr>
                <w:sz w:val="21"/>
              </w:rPr>
              <w:t>病毒或者 </w:t>
            </w:r>
            <w:r>
              <w:rPr>
                <w:rFonts w:ascii="Times New Roman" w:eastAsia="Times New Roman"/>
                <w:sz w:val="21"/>
              </w:rPr>
              <w:t>HIV</w:t>
            </w:r>
          </w:p>
          <w:p>
            <w:pPr>
              <w:pStyle w:val="TableParagraph"/>
              <w:spacing w:before="68"/>
              <w:ind w:left="613"/>
              <w:rPr>
                <w:sz w:val="21"/>
              </w:rPr>
            </w:pPr>
            <w:r>
              <w:rPr>
                <w:sz w:val="21"/>
              </w:rPr>
              <w:t>抗体。</w:t>
            </w:r>
          </w:p>
          <w:p>
            <w:pPr>
              <w:pStyle w:val="TableParagraph"/>
              <w:spacing w:before="82"/>
              <w:rPr>
                <w:sz w:val="21"/>
              </w:rPr>
            </w:pPr>
            <w:r>
              <w:rPr>
                <w:sz w:val="21"/>
              </w:rPr>
              <w:t>职业限制如下所示:</w:t>
            </w:r>
          </w:p>
          <w:p>
            <w:pPr>
              <w:pStyle w:val="TableParagraph"/>
              <w:tabs>
                <w:tab w:pos="4142" w:val="left" w:leader="none"/>
              </w:tabs>
              <w:spacing w:before="85"/>
              <w:ind w:left="685"/>
              <w:rPr>
                <w:sz w:val="21"/>
              </w:rPr>
            </w:pPr>
            <w:r>
              <w:rPr>
                <w:sz w:val="21"/>
              </w:rPr>
              <w:t>医生</w:t>
            </w:r>
            <w:r>
              <w:rPr>
                <w:spacing w:val="-3"/>
                <w:sz w:val="21"/>
              </w:rPr>
              <w:t>和</w:t>
            </w:r>
            <w:r>
              <w:rPr>
                <w:sz w:val="21"/>
              </w:rPr>
              <w:t>牙</w:t>
            </w:r>
            <w:r>
              <w:rPr>
                <w:spacing w:val="-3"/>
                <w:sz w:val="21"/>
              </w:rPr>
              <w:t>科</w:t>
            </w:r>
            <w:r>
              <w:rPr>
                <w:sz w:val="21"/>
              </w:rPr>
              <w:t>医生</w:t>
              <w:tab/>
              <w:t>护士</w:t>
            </w:r>
          </w:p>
          <w:p>
            <w:pPr>
              <w:pStyle w:val="TableParagraph"/>
              <w:tabs>
                <w:tab w:pos="4142" w:val="left" w:leader="none"/>
              </w:tabs>
              <w:spacing w:before="83"/>
              <w:ind w:left="685"/>
              <w:rPr>
                <w:sz w:val="21"/>
              </w:rPr>
            </w:pPr>
            <w:r>
              <w:rPr>
                <w:sz w:val="21"/>
              </w:rPr>
              <w:t>医院</w:t>
            </w:r>
            <w:r>
              <w:rPr>
                <w:spacing w:val="-3"/>
                <w:sz w:val="21"/>
              </w:rPr>
              <w:t>化</w:t>
            </w:r>
            <w:r>
              <w:rPr>
                <w:sz w:val="21"/>
              </w:rPr>
              <w:t>验</w:t>
            </w:r>
            <w:r>
              <w:rPr>
                <w:spacing w:val="-3"/>
                <w:sz w:val="21"/>
              </w:rPr>
              <w:t>室</w:t>
            </w:r>
            <w:r>
              <w:rPr>
                <w:sz w:val="21"/>
              </w:rPr>
              <w:t>工</w:t>
            </w:r>
            <w:r>
              <w:rPr>
                <w:spacing w:val="-3"/>
                <w:sz w:val="21"/>
              </w:rPr>
              <w:t>作</w:t>
            </w:r>
            <w:r>
              <w:rPr>
                <w:sz w:val="21"/>
              </w:rPr>
              <w:t>人员</w:t>
              <w:tab/>
              <w:t>医院</w:t>
            </w:r>
            <w:r>
              <w:rPr>
                <w:spacing w:val="-3"/>
                <w:sz w:val="21"/>
              </w:rPr>
              <w:t>护</w:t>
            </w:r>
            <w:r>
              <w:rPr>
                <w:sz w:val="21"/>
              </w:rPr>
              <w:t>工</w:t>
            </w:r>
          </w:p>
          <w:p>
            <w:pPr>
              <w:pStyle w:val="TableParagraph"/>
              <w:tabs>
                <w:tab w:pos="4142" w:val="left" w:leader="none"/>
              </w:tabs>
              <w:spacing w:before="85"/>
              <w:ind w:left="685"/>
              <w:rPr>
                <w:sz w:val="21"/>
              </w:rPr>
            </w:pPr>
            <w:r>
              <w:rPr>
                <w:sz w:val="21"/>
              </w:rPr>
              <w:t>医生</w:t>
            </w:r>
            <w:r>
              <w:rPr>
                <w:spacing w:val="-3"/>
                <w:sz w:val="21"/>
              </w:rPr>
              <w:t>助</w:t>
            </w:r>
            <w:r>
              <w:rPr>
                <w:sz w:val="21"/>
              </w:rPr>
              <w:t>理</w:t>
            </w:r>
            <w:r>
              <w:rPr>
                <w:spacing w:val="-3"/>
                <w:sz w:val="21"/>
              </w:rPr>
              <w:t>和</w:t>
            </w:r>
            <w:r>
              <w:rPr>
                <w:sz w:val="21"/>
              </w:rPr>
              <w:t>牙</w:t>
            </w:r>
            <w:r>
              <w:rPr>
                <w:spacing w:val="-3"/>
                <w:sz w:val="21"/>
              </w:rPr>
              <w:t>医</w:t>
            </w:r>
            <w:r>
              <w:rPr>
                <w:sz w:val="21"/>
              </w:rPr>
              <w:t>助理</w:t>
              <w:tab/>
              <w:t>救护</w:t>
            </w:r>
            <w:r>
              <w:rPr>
                <w:spacing w:val="-3"/>
                <w:sz w:val="21"/>
              </w:rPr>
              <w:t>车</w:t>
            </w:r>
            <w:r>
              <w:rPr>
                <w:sz w:val="21"/>
              </w:rPr>
              <w:t>工</w:t>
            </w:r>
            <w:r>
              <w:rPr>
                <w:spacing w:val="-3"/>
                <w:sz w:val="21"/>
              </w:rPr>
              <w:t>作</w:t>
            </w:r>
            <w:r>
              <w:rPr>
                <w:sz w:val="21"/>
              </w:rPr>
              <w:t>人员</w:t>
            </w:r>
          </w:p>
          <w:p>
            <w:pPr>
              <w:pStyle w:val="TableParagraph"/>
              <w:tabs>
                <w:tab w:pos="4142" w:val="left" w:leader="none"/>
              </w:tabs>
              <w:spacing w:before="83"/>
              <w:ind w:left="685"/>
              <w:rPr>
                <w:sz w:val="21"/>
              </w:rPr>
            </w:pPr>
            <w:r>
              <w:rPr>
                <w:sz w:val="21"/>
              </w:rPr>
              <w:t>助产士</w:t>
              <w:tab/>
              <w:t>消防</w:t>
            </w:r>
            <w:r>
              <w:rPr>
                <w:spacing w:val="-3"/>
                <w:sz w:val="21"/>
              </w:rPr>
              <w:t>队</w:t>
            </w:r>
            <w:r>
              <w:rPr>
                <w:sz w:val="21"/>
              </w:rPr>
              <w:t>员</w:t>
            </w:r>
          </w:p>
          <w:p>
            <w:pPr>
              <w:pStyle w:val="TableParagraph"/>
              <w:tabs>
                <w:tab w:pos="4142" w:val="left" w:leader="none"/>
              </w:tabs>
              <w:spacing w:before="85"/>
              <w:ind w:left="685"/>
              <w:rPr>
                <w:sz w:val="21"/>
              </w:rPr>
            </w:pPr>
            <w:r>
              <w:rPr>
                <w:sz w:val="21"/>
              </w:rPr>
              <w:t>警察</w:t>
              <w:tab/>
              <w:t>狱警</w:t>
            </w:r>
          </w:p>
        </w:tc>
      </w:tr>
      <w:tr>
        <w:trPr>
          <w:trHeight w:val="4117" w:hRule="atLeast"/>
        </w:trPr>
        <w:tc>
          <w:tcPr>
            <w:tcW w:w="1665" w:type="dxa"/>
          </w:tcPr>
          <w:p>
            <w:pPr>
              <w:pStyle w:val="TableParagraph"/>
              <w:spacing w:line="314" w:lineRule="auto"/>
              <w:ind w:left="200" w:right="92"/>
              <w:jc w:val="both"/>
              <w:rPr>
                <w:b/>
                <w:sz w:val="21"/>
              </w:rPr>
            </w:pPr>
            <w:r>
              <w:rPr>
                <w:b/>
                <w:sz w:val="21"/>
              </w:rPr>
              <w:t>33. 特发性慢性肾上腺皮质功能减退</w:t>
            </w:r>
          </w:p>
        </w:tc>
        <w:tc>
          <w:tcPr>
            <w:tcW w:w="7649" w:type="dxa"/>
          </w:tcPr>
          <w:p>
            <w:pPr>
              <w:pStyle w:val="TableParagraph"/>
              <w:spacing w:line="314" w:lineRule="auto"/>
              <w:ind w:right="188"/>
              <w:rPr>
                <w:sz w:val="21"/>
              </w:rPr>
            </w:pPr>
            <w:r>
              <w:rPr>
                <w:sz w:val="21"/>
              </w:rPr>
              <w:t>指自身免疫性肾上腺炎（既往称：特发性肾上腺皮质萎缩）导致肾上腺萎缩和慢性肾上腺皮质功能减退。必须满足所有以下条件：</w:t>
            </w:r>
          </w:p>
          <w:p>
            <w:pPr>
              <w:pStyle w:val="TableParagraph"/>
              <w:spacing w:before="17"/>
              <w:rPr>
                <w:sz w:val="21"/>
              </w:rPr>
            </w:pPr>
            <w:r>
              <w:rPr>
                <w:sz w:val="21"/>
              </w:rPr>
              <w:t>（1）明确诊断，符合所有以下诊断标准：</w:t>
            </w:r>
          </w:p>
          <w:p>
            <w:pPr>
              <w:pStyle w:val="TableParagraph"/>
              <w:tabs>
                <w:tab w:pos="935" w:val="left" w:leader="none"/>
              </w:tabs>
              <w:spacing w:before="85"/>
              <w:ind w:left="515"/>
              <w:rPr>
                <w:sz w:val="21"/>
              </w:rPr>
            </w:pPr>
            <w:r>
              <w:rPr>
                <w:sz w:val="21"/>
              </w:rPr>
              <w:t>①</w:t>
              <w:tab/>
            </w:r>
            <w:r>
              <w:rPr>
                <w:spacing w:val="-3"/>
                <w:sz w:val="21"/>
              </w:rPr>
              <w:t>血浆促肾上腺皮质激素(</w:t>
            </w:r>
            <w:r>
              <w:rPr>
                <w:spacing w:val="-1"/>
                <w:sz w:val="21"/>
              </w:rPr>
              <w:t>ACTH</w:t>
            </w:r>
            <w:r>
              <w:rPr>
                <w:spacing w:val="-3"/>
                <w:sz w:val="21"/>
              </w:rPr>
              <w:t>)水平测定，&gt;</w:t>
            </w:r>
            <w:r>
              <w:rPr>
                <w:spacing w:val="-1"/>
                <w:sz w:val="21"/>
              </w:rPr>
              <w:t>100pg/ml；</w:t>
            </w:r>
          </w:p>
          <w:p>
            <w:pPr>
              <w:pStyle w:val="TableParagraph"/>
              <w:tabs>
                <w:tab w:pos="935" w:val="left" w:leader="none"/>
              </w:tabs>
              <w:spacing w:line="314" w:lineRule="auto" w:before="82"/>
              <w:ind w:left="935" w:right="249" w:hanging="420"/>
              <w:rPr>
                <w:sz w:val="21"/>
              </w:rPr>
            </w:pPr>
            <w:r>
              <w:rPr>
                <w:sz w:val="21"/>
              </w:rPr>
              <w:t>②</w:t>
              <w:tab/>
            </w:r>
            <w:r>
              <w:rPr>
                <w:spacing w:val="-4"/>
                <w:sz w:val="21"/>
              </w:rPr>
              <w:t>血浆肾素活性、血管紧张素 </w:t>
            </w:r>
            <w:r>
              <w:rPr>
                <w:sz w:val="21"/>
              </w:rPr>
              <w:t>II</w:t>
            </w:r>
            <w:r>
              <w:rPr>
                <w:spacing w:val="-4"/>
                <w:sz w:val="21"/>
              </w:rPr>
              <w:t> 和醛固酮测定，显示为原发性肾上腺皮</w:t>
            </w:r>
            <w:r>
              <w:rPr>
                <w:spacing w:val="-3"/>
                <w:sz w:val="21"/>
              </w:rPr>
              <w:t>质功能减退症；</w:t>
            </w:r>
          </w:p>
          <w:p>
            <w:pPr>
              <w:pStyle w:val="TableParagraph"/>
              <w:tabs>
                <w:tab w:pos="935" w:val="left" w:leader="none"/>
              </w:tabs>
              <w:spacing w:line="314" w:lineRule="auto" w:before="17"/>
              <w:ind w:left="935" w:right="247" w:hanging="420"/>
              <w:rPr>
                <w:sz w:val="21"/>
              </w:rPr>
            </w:pPr>
            <w:r>
              <w:rPr>
                <w:sz w:val="21"/>
              </w:rPr>
              <w:t>③</w:t>
              <w:tab/>
            </w:r>
            <w:r>
              <w:rPr>
                <w:spacing w:val="2"/>
                <w:sz w:val="21"/>
              </w:rPr>
              <w:t>促肾上腺皮质激素</w:t>
            </w:r>
            <w:r>
              <w:rPr>
                <w:sz w:val="21"/>
              </w:rPr>
              <w:t>(ACTH)刺激试验显示为原发性肾上腺皮质功能减退 症。</w:t>
            </w:r>
          </w:p>
          <w:p>
            <w:pPr>
              <w:pStyle w:val="TableParagraph"/>
              <w:spacing w:before="18"/>
              <w:rPr>
                <w:sz w:val="21"/>
              </w:rPr>
            </w:pPr>
            <w:r>
              <w:rPr>
                <w:sz w:val="21"/>
              </w:rPr>
              <w:t>（2）已经采用皮质类固醇替代治疗 180 天以上。</w:t>
            </w:r>
          </w:p>
          <w:p>
            <w:pPr>
              <w:pStyle w:val="TableParagraph"/>
              <w:spacing w:line="312" w:lineRule="auto" w:before="85"/>
              <w:ind w:right="252"/>
              <w:rPr>
                <w:rFonts w:ascii="黑体" w:eastAsia="黑体" w:hint="eastAsia"/>
                <w:sz w:val="21"/>
              </w:rPr>
            </w:pPr>
            <w:r>
              <w:rPr>
                <w:rFonts w:ascii="黑体" w:eastAsia="黑体" w:hint="eastAsia"/>
                <w:spacing w:val="-2"/>
                <w:sz w:val="21"/>
              </w:rPr>
              <w:t>肾上腺结核、</w:t>
            </w:r>
            <w:r>
              <w:rPr>
                <w:rFonts w:ascii="黑体" w:eastAsia="黑体" w:hint="eastAsia"/>
                <w:sz w:val="21"/>
              </w:rPr>
              <w:t>HIV</w:t>
            </w:r>
            <w:r>
              <w:rPr>
                <w:rFonts w:ascii="黑体" w:eastAsia="黑体" w:hint="eastAsia"/>
                <w:spacing w:val="-7"/>
                <w:sz w:val="21"/>
              </w:rPr>
              <w:t> 感染或艾滋病、感染、肿瘤所致的原发性肾上腺皮质功能减退</w:t>
            </w:r>
            <w:r>
              <w:rPr>
                <w:rFonts w:ascii="黑体" w:eastAsia="黑体" w:hint="eastAsia"/>
                <w:spacing w:val="-5"/>
                <w:sz w:val="21"/>
              </w:rPr>
              <w:t>和继发性肾上腺皮质功能减退不在本保障范围内。</w:t>
            </w:r>
          </w:p>
        </w:tc>
      </w:tr>
      <w:tr>
        <w:trPr>
          <w:trHeight w:val="1604" w:hRule="atLeast"/>
        </w:trPr>
        <w:tc>
          <w:tcPr>
            <w:tcW w:w="1665" w:type="dxa"/>
          </w:tcPr>
          <w:p>
            <w:pPr>
              <w:pStyle w:val="TableParagraph"/>
              <w:spacing w:line="312" w:lineRule="auto" w:before="88"/>
              <w:ind w:left="200" w:right="119"/>
              <w:rPr>
                <w:b/>
                <w:sz w:val="21"/>
              </w:rPr>
            </w:pPr>
            <w:r>
              <w:rPr>
                <w:b/>
                <w:sz w:val="21"/>
              </w:rPr>
              <w:t>34. 植物人状态</w:t>
            </w:r>
          </w:p>
        </w:tc>
        <w:tc>
          <w:tcPr>
            <w:tcW w:w="7649" w:type="dxa"/>
          </w:tcPr>
          <w:p>
            <w:pPr>
              <w:pStyle w:val="TableParagraph"/>
              <w:spacing w:line="314" w:lineRule="auto" w:before="88"/>
              <w:ind w:right="252"/>
              <w:jc w:val="both"/>
              <w:rPr>
                <w:sz w:val="21"/>
              </w:rPr>
            </w:pPr>
            <w:r>
              <w:rPr>
                <w:sz w:val="21"/>
              </w:rPr>
              <w:t>指由于严重颅脑外伤造成大脑和/或脑干严重损害导致完全永久性的对自身和环</w:t>
            </w:r>
            <w:r>
              <w:rPr>
                <w:spacing w:val="-6"/>
                <w:sz w:val="21"/>
              </w:rPr>
              <w:t>境的意识丧失和中枢神经系统功能丧失，仅残存植物神经功能的疾病状态。诊断</w:t>
            </w:r>
            <w:r>
              <w:rPr>
                <w:spacing w:val="-4"/>
                <w:sz w:val="21"/>
              </w:rPr>
              <w:t>必须明确并且具有严重颅脑外伤和脑损害的证据。</w:t>
            </w:r>
          </w:p>
          <w:p>
            <w:pPr>
              <w:pStyle w:val="TableParagraph"/>
              <w:spacing w:before="17"/>
              <w:jc w:val="both"/>
              <w:rPr>
                <w:rFonts w:ascii="黑体" w:eastAsia="黑体" w:hint="eastAsia"/>
                <w:sz w:val="21"/>
              </w:rPr>
            </w:pPr>
            <w:r>
              <w:rPr>
                <w:rFonts w:ascii="黑体" w:eastAsia="黑体" w:hint="eastAsia"/>
                <w:sz w:val="21"/>
              </w:rPr>
              <w:t>植物人状态必须持续 30 天以上方可申请理赔。</w:t>
            </w:r>
          </w:p>
        </w:tc>
      </w:tr>
      <w:tr>
        <w:trPr>
          <w:trHeight w:val="888" w:hRule="atLeast"/>
        </w:trPr>
        <w:tc>
          <w:tcPr>
            <w:tcW w:w="1665" w:type="dxa"/>
          </w:tcPr>
          <w:p>
            <w:pPr>
              <w:pStyle w:val="TableParagraph"/>
              <w:ind w:left="200"/>
              <w:rPr>
                <w:b/>
                <w:sz w:val="21"/>
              </w:rPr>
            </w:pPr>
            <w:r>
              <w:rPr>
                <w:b/>
                <w:sz w:val="21"/>
              </w:rPr>
              <w:t>35. 小肠移植</w:t>
            </w:r>
          </w:p>
        </w:tc>
        <w:tc>
          <w:tcPr>
            <w:tcW w:w="7649" w:type="dxa"/>
          </w:tcPr>
          <w:p>
            <w:pPr>
              <w:pStyle w:val="TableParagraph"/>
              <w:spacing w:line="314" w:lineRule="auto"/>
              <w:ind w:right="197"/>
              <w:rPr>
                <w:sz w:val="21"/>
              </w:rPr>
            </w:pPr>
            <w:r>
              <w:rPr>
                <w:sz w:val="21"/>
              </w:rPr>
              <w:t>小肠移植术指因疾病或外伤导致严重小肠损害不得不切除三分之二以上肠段，为了维持生理功能的需要已经实际接受了小肠的同种（人类）异体器官移植手术。</w:t>
            </w:r>
          </w:p>
        </w:tc>
      </w:tr>
      <w:tr>
        <w:trPr>
          <w:trHeight w:val="2331" w:hRule="atLeast"/>
        </w:trPr>
        <w:tc>
          <w:tcPr>
            <w:tcW w:w="1665" w:type="dxa"/>
          </w:tcPr>
          <w:p>
            <w:pPr>
              <w:pStyle w:val="TableParagraph"/>
              <w:spacing w:line="314" w:lineRule="auto" w:before="88"/>
              <w:ind w:left="200" w:right="92"/>
              <w:rPr>
                <w:b/>
                <w:sz w:val="21"/>
              </w:rPr>
            </w:pPr>
            <w:r>
              <w:rPr>
                <w:b/>
                <w:sz w:val="21"/>
              </w:rPr>
              <w:t>36. 重症急性坏死性筋膜炎</w:t>
            </w:r>
          </w:p>
        </w:tc>
        <w:tc>
          <w:tcPr>
            <w:tcW w:w="7649" w:type="dxa"/>
          </w:tcPr>
          <w:p>
            <w:pPr>
              <w:pStyle w:val="TableParagraph"/>
              <w:spacing w:line="314" w:lineRule="auto" w:before="88"/>
              <w:ind w:right="252"/>
              <w:jc w:val="both"/>
              <w:rPr>
                <w:sz w:val="21"/>
              </w:rPr>
            </w:pPr>
            <w:r>
              <w:rPr>
                <w:sz w:val="21"/>
              </w:rPr>
              <w:t>是一种由细菌侵入皮下组织和筋膜引起的急性坏死性软组织感染，可伴有毒血</w:t>
            </w:r>
            <w:r>
              <w:rPr>
                <w:spacing w:val="-8"/>
                <w:sz w:val="21"/>
              </w:rPr>
              <w:t>症、败血症、中毒性休克、弥漫性血管内凝血及多器官衰竭。必须满足以下所有条件：</w:t>
            </w:r>
          </w:p>
          <w:p>
            <w:pPr>
              <w:pStyle w:val="TableParagraph"/>
              <w:spacing w:before="20"/>
              <w:jc w:val="both"/>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before="66"/>
              <w:jc w:val="both"/>
              <w:rPr>
                <w:sz w:val="21"/>
              </w:rPr>
            </w:pPr>
            <w:r>
              <w:rPr>
                <w:sz w:val="21"/>
              </w:rPr>
              <w:t>（</w:t>
            </w:r>
            <w:r>
              <w:rPr>
                <w:rFonts w:ascii="Times New Roman" w:eastAsia="Times New Roman"/>
                <w:sz w:val="21"/>
              </w:rPr>
              <w:t>2</w:t>
            </w:r>
            <w:r>
              <w:rPr>
                <w:sz w:val="21"/>
              </w:rPr>
              <w:t>）病情迅速恶化，有脓毒血症表现；</w:t>
            </w:r>
          </w:p>
          <w:p>
            <w:pPr>
              <w:pStyle w:val="TableParagraph"/>
              <w:spacing w:before="68"/>
              <w:jc w:val="both"/>
              <w:rPr>
                <w:sz w:val="21"/>
              </w:rPr>
            </w:pPr>
            <w:r>
              <w:rPr>
                <w:spacing w:val="-1"/>
                <w:sz w:val="21"/>
              </w:rPr>
              <w:t>（</w:t>
            </w:r>
            <w:r>
              <w:rPr>
                <w:rFonts w:ascii="Times New Roman" w:eastAsia="Times New Roman"/>
                <w:spacing w:val="-1"/>
                <w:sz w:val="21"/>
              </w:rPr>
              <w:t>3</w:t>
            </w:r>
            <w:r>
              <w:rPr>
                <w:spacing w:val="-1"/>
                <w:sz w:val="21"/>
              </w:rPr>
              <w:t>）</w:t>
            </w:r>
            <w:r>
              <w:rPr>
                <w:spacing w:val="-3"/>
                <w:sz w:val="21"/>
              </w:rPr>
              <w:t>受感染肢体被截肢（自腕关节或踝关节近端</w:t>
            </w:r>
            <w:r>
              <w:rPr>
                <w:spacing w:val="-108"/>
                <w:sz w:val="21"/>
              </w:rPr>
              <w:t>）</w:t>
            </w:r>
            <w:r>
              <w:rPr>
                <w:sz w:val="21"/>
              </w:rPr>
              <w:t>。</w:t>
            </w:r>
          </w:p>
        </w:tc>
      </w:tr>
      <w:tr>
        <w:trPr>
          <w:trHeight w:val="361" w:hRule="atLeast"/>
        </w:trPr>
        <w:tc>
          <w:tcPr>
            <w:tcW w:w="1665" w:type="dxa"/>
          </w:tcPr>
          <w:p>
            <w:pPr>
              <w:pStyle w:val="TableParagraph"/>
              <w:spacing w:line="262" w:lineRule="exact" w:before="79"/>
              <w:ind w:left="200"/>
              <w:rPr>
                <w:b/>
                <w:sz w:val="21"/>
              </w:rPr>
            </w:pPr>
            <w:r>
              <w:rPr>
                <w:b/>
                <w:sz w:val="21"/>
              </w:rPr>
              <w:t>37. 严重类风</w:t>
            </w:r>
          </w:p>
        </w:tc>
        <w:tc>
          <w:tcPr>
            <w:tcW w:w="7649" w:type="dxa"/>
          </w:tcPr>
          <w:p>
            <w:pPr>
              <w:pStyle w:val="TableParagraph"/>
              <w:spacing w:line="262" w:lineRule="exact" w:before="79"/>
              <w:rPr>
                <w:sz w:val="21"/>
              </w:rPr>
            </w:pPr>
            <w:r>
              <w:rPr>
                <w:sz w:val="21"/>
              </w:rPr>
              <w:t>广泛的关节损坏，临床上存在三个或三个以上下列关节的畸形：手、腕、肘、颈</w:t>
            </w:r>
          </w:p>
        </w:tc>
      </w:tr>
    </w:tbl>
    <w:p>
      <w:pPr>
        <w:spacing w:after="0" w:line="262" w:lineRule="exact"/>
        <w:rPr>
          <w:sz w:val="21"/>
        </w:rPr>
        <w:sectPr>
          <w:pgSz w:w="11910" w:h="16840"/>
          <w:pgMar w:header="0" w:footer="915" w:top="1480" w:bottom="1100" w:left="1220" w:right="116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5"/>
        <w:gridCol w:w="7648"/>
      </w:tblGrid>
      <w:tr>
        <w:trPr>
          <w:trHeight w:val="2882" w:hRule="atLeast"/>
        </w:trPr>
        <w:tc>
          <w:tcPr>
            <w:tcW w:w="1665" w:type="dxa"/>
          </w:tcPr>
          <w:p>
            <w:pPr>
              <w:pStyle w:val="TableParagraph"/>
              <w:spacing w:line="204" w:lineRule="exact" w:before="0"/>
              <w:ind w:left="200"/>
              <w:rPr>
                <w:b/>
                <w:sz w:val="21"/>
              </w:rPr>
            </w:pPr>
            <w:r>
              <w:rPr>
                <w:b/>
                <w:sz w:val="21"/>
              </w:rPr>
              <w:t>湿性关节炎</w:t>
            </w:r>
          </w:p>
        </w:tc>
        <w:tc>
          <w:tcPr>
            <w:tcW w:w="7648" w:type="dxa"/>
          </w:tcPr>
          <w:p>
            <w:pPr>
              <w:pStyle w:val="TableParagraph"/>
              <w:spacing w:line="204" w:lineRule="exact" w:before="0"/>
              <w:rPr>
                <w:sz w:val="21"/>
              </w:rPr>
            </w:pPr>
            <w:r>
              <w:rPr>
                <w:sz w:val="21"/>
              </w:rPr>
              <w:t>椎、膝、踝、蹠－趾关节。并且由专科医生确认被保险人在无他人协助下无法独</w:t>
            </w:r>
          </w:p>
          <w:p>
            <w:pPr>
              <w:pStyle w:val="TableParagraph"/>
              <w:spacing w:before="85"/>
              <w:rPr>
                <w:sz w:val="21"/>
              </w:rPr>
            </w:pPr>
            <w:r>
              <w:rPr>
                <w:sz w:val="21"/>
              </w:rPr>
              <w:t>立完成以下至少三项日常生活活动。上述畸形及功能异常须持续至少达 180 天。</w:t>
            </w:r>
          </w:p>
          <w:p>
            <w:pPr>
              <w:pStyle w:val="TableParagraph"/>
              <w:spacing w:before="82"/>
              <w:rPr>
                <w:sz w:val="21"/>
              </w:rPr>
            </w:pPr>
            <w:r>
              <w:rPr>
                <w:sz w:val="21"/>
              </w:rPr>
              <w:t>（</w:t>
            </w:r>
            <w:r>
              <w:rPr>
                <w:rFonts w:ascii="Times New Roman" w:eastAsia="Times New Roman"/>
                <w:sz w:val="21"/>
              </w:rPr>
              <w:t>1</w:t>
            </w:r>
            <w:r>
              <w:rPr>
                <w:sz w:val="21"/>
              </w:rPr>
              <w:t>）穿衣：自己能够穿衣及脱衣；</w:t>
            </w:r>
          </w:p>
          <w:p>
            <w:pPr>
              <w:pStyle w:val="TableParagraph"/>
              <w:spacing w:before="69"/>
              <w:rPr>
                <w:sz w:val="21"/>
              </w:rPr>
            </w:pPr>
            <w:r>
              <w:rPr>
                <w:sz w:val="21"/>
              </w:rPr>
              <w:t>（</w:t>
            </w:r>
            <w:r>
              <w:rPr>
                <w:rFonts w:ascii="Times New Roman" w:eastAsia="Times New Roman"/>
                <w:sz w:val="21"/>
              </w:rPr>
              <w:t>2</w:t>
            </w:r>
            <w:r>
              <w:rPr>
                <w:sz w:val="21"/>
              </w:rPr>
              <w:t>）移动：自己从一个房间到另一个房间；</w:t>
            </w:r>
          </w:p>
          <w:p>
            <w:pPr>
              <w:pStyle w:val="TableParagraph"/>
              <w:spacing w:before="66"/>
              <w:rPr>
                <w:sz w:val="21"/>
              </w:rPr>
            </w:pPr>
            <w:r>
              <w:rPr>
                <w:sz w:val="21"/>
              </w:rPr>
              <w:t>（</w:t>
            </w:r>
            <w:r>
              <w:rPr>
                <w:rFonts w:ascii="Times New Roman" w:eastAsia="Times New Roman"/>
                <w:sz w:val="21"/>
              </w:rPr>
              <w:t>3</w:t>
            </w:r>
            <w:r>
              <w:rPr>
                <w:sz w:val="21"/>
              </w:rPr>
              <w:t>）行动：自己上下床或上下轮椅；</w:t>
            </w:r>
          </w:p>
          <w:p>
            <w:pPr>
              <w:pStyle w:val="TableParagraph"/>
              <w:spacing w:before="68"/>
              <w:rPr>
                <w:sz w:val="21"/>
              </w:rPr>
            </w:pPr>
            <w:r>
              <w:rPr>
                <w:sz w:val="21"/>
              </w:rPr>
              <w:t>（</w:t>
            </w:r>
            <w:r>
              <w:rPr>
                <w:rFonts w:ascii="Times New Roman" w:eastAsia="Times New Roman"/>
                <w:sz w:val="21"/>
              </w:rPr>
              <w:t>4</w:t>
            </w:r>
            <w:r>
              <w:rPr>
                <w:sz w:val="21"/>
              </w:rPr>
              <w:t>）卫生：自己控制进行大小便；</w:t>
            </w:r>
          </w:p>
          <w:p>
            <w:pPr>
              <w:pStyle w:val="TableParagraph"/>
              <w:spacing w:before="66"/>
              <w:rPr>
                <w:sz w:val="21"/>
              </w:rPr>
            </w:pPr>
            <w:r>
              <w:rPr>
                <w:sz w:val="21"/>
              </w:rPr>
              <w:t>（</w:t>
            </w:r>
            <w:r>
              <w:rPr>
                <w:rFonts w:ascii="Times New Roman" w:eastAsia="Times New Roman"/>
                <w:sz w:val="21"/>
              </w:rPr>
              <w:t>5</w:t>
            </w:r>
            <w:r>
              <w:rPr>
                <w:sz w:val="21"/>
              </w:rPr>
              <w:t>）进食：自己从已准备好的碗</w:t>
            </w:r>
            <w:r>
              <w:rPr>
                <w:rFonts w:ascii="Times New Roman" w:eastAsia="Times New Roman"/>
                <w:sz w:val="21"/>
              </w:rPr>
              <w:t>/</w:t>
            </w:r>
            <w:r>
              <w:rPr>
                <w:sz w:val="21"/>
              </w:rPr>
              <w:t>碟中摄取食物放入口中；</w:t>
            </w:r>
          </w:p>
          <w:p>
            <w:pPr>
              <w:pStyle w:val="TableParagraph"/>
              <w:spacing w:before="69"/>
              <w:rPr>
                <w:sz w:val="21"/>
              </w:rPr>
            </w:pPr>
            <w:r>
              <w:rPr>
                <w:sz w:val="21"/>
              </w:rPr>
              <w:t>（6）洗澡：自己进行淋浴或盆浴。</w:t>
            </w:r>
          </w:p>
        </w:tc>
      </w:tr>
      <w:tr>
        <w:trPr>
          <w:trHeight w:val="1247" w:hRule="atLeast"/>
        </w:trPr>
        <w:tc>
          <w:tcPr>
            <w:tcW w:w="1665" w:type="dxa"/>
          </w:tcPr>
          <w:p>
            <w:pPr>
              <w:pStyle w:val="TableParagraph"/>
              <w:spacing w:line="314" w:lineRule="auto"/>
              <w:ind w:left="200" w:right="92"/>
              <w:rPr>
                <w:b/>
                <w:sz w:val="21"/>
              </w:rPr>
            </w:pPr>
            <w:r>
              <w:rPr>
                <w:b/>
                <w:sz w:val="21"/>
              </w:rPr>
              <w:t>38. 严重克隆病</w:t>
            </w:r>
          </w:p>
        </w:tc>
        <w:tc>
          <w:tcPr>
            <w:tcW w:w="7648" w:type="dxa"/>
          </w:tcPr>
          <w:p>
            <w:pPr>
              <w:pStyle w:val="TableParagraph"/>
              <w:spacing w:line="314" w:lineRule="auto"/>
              <w:ind w:right="249"/>
              <w:jc w:val="both"/>
              <w:rPr>
                <w:sz w:val="21"/>
              </w:rPr>
            </w:pPr>
            <w:r>
              <w:rPr>
                <w:spacing w:val="-6"/>
                <w:sz w:val="21"/>
              </w:rPr>
              <w:t>克隆病是一种慢性肉芽肿性肠炎，具有特征性的克隆病病理组织学变化。诊断必</w:t>
            </w:r>
            <w:r>
              <w:rPr>
                <w:spacing w:val="-9"/>
                <w:sz w:val="21"/>
              </w:rPr>
              <w:t>须由病理检查结果证实。被保险人所患的克隆病必须已经造成瘘管形成并伴有肠</w:t>
            </w:r>
            <w:r>
              <w:rPr>
                <w:spacing w:val="-5"/>
                <w:sz w:val="21"/>
              </w:rPr>
              <w:t>梗阻或肠穿孔。</w:t>
            </w:r>
          </w:p>
        </w:tc>
      </w:tr>
      <w:tr>
        <w:trPr>
          <w:trHeight w:val="1604" w:hRule="atLeast"/>
        </w:trPr>
        <w:tc>
          <w:tcPr>
            <w:tcW w:w="1665" w:type="dxa"/>
          </w:tcPr>
          <w:p>
            <w:pPr>
              <w:pStyle w:val="TableParagraph"/>
              <w:spacing w:line="312" w:lineRule="auto" w:before="88"/>
              <w:ind w:left="200" w:right="92"/>
              <w:rPr>
                <w:b/>
                <w:sz w:val="21"/>
              </w:rPr>
            </w:pPr>
            <w:r>
              <w:rPr>
                <w:b/>
                <w:sz w:val="21"/>
              </w:rPr>
              <w:t>39. 严重溃疡性结肠炎</w:t>
            </w:r>
          </w:p>
        </w:tc>
        <w:tc>
          <w:tcPr>
            <w:tcW w:w="7648" w:type="dxa"/>
          </w:tcPr>
          <w:p>
            <w:pPr>
              <w:pStyle w:val="TableParagraph"/>
              <w:spacing w:line="312" w:lineRule="auto" w:before="88"/>
              <w:ind w:right="251"/>
              <w:jc w:val="both"/>
              <w:rPr>
                <w:sz w:val="21"/>
              </w:rPr>
            </w:pPr>
            <w:r>
              <w:rPr>
                <w:sz w:val="21"/>
              </w:rPr>
              <w:t>本保单所保障的溃疡性结肠炎是指伴有致命性电解质紊乱的急性暴发性溃疡性</w:t>
            </w:r>
            <w:r>
              <w:rPr>
                <w:spacing w:val="-7"/>
                <w:sz w:val="21"/>
              </w:rPr>
              <w:t>结肠炎，病变累及全结肠，表现为严重的血便和系统性症状体征，治疗通常采取</w:t>
            </w:r>
            <w:r>
              <w:rPr>
                <w:spacing w:val="-8"/>
                <w:sz w:val="21"/>
              </w:rPr>
              <w:t>全结肠切除和回肠造瘘术。溃疡性结肠炎必须根据组织病理学特点诊断，并且被</w:t>
            </w:r>
            <w:r>
              <w:rPr>
                <w:spacing w:val="-5"/>
                <w:sz w:val="21"/>
              </w:rPr>
              <w:t>保险人已经接受了结肠切除或回肠造瘘术。</w:t>
            </w:r>
          </w:p>
        </w:tc>
      </w:tr>
      <w:tr>
        <w:trPr>
          <w:trHeight w:val="2682" w:hRule="atLeast"/>
        </w:trPr>
        <w:tc>
          <w:tcPr>
            <w:tcW w:w="1665" w:type="dxa"/>
          </w:tcPr>
          <w:p>
            <w:pPr>
              <w:pStyle w:val="TableParagraph"/>
              <w:spacing w:line="314" w:lineRule="auto"/>
              <w:ind w:left="200" w:right="92"/>
              <w:rPr>
                <w:b/>
                <w:sz w:val="21"/>
              </w:rPr>
            </w:pPr>
            <w:r>
              <w:rPr>
                <w:b/>
                <w:sz w:val="21"/>
              </w:rPr>
              <w:t>40. 原发性硬化性胆管炎</w:t>
            </w:r>
          </w:p>
        </w:tc>
        <w:tc>
          <w:tcPr>
            <w:tcW w:w="7648" w:type="dxa"/>
          </w:tcPr>
          <w:p>
            <w:pPr>
              <w:pStyle w:val="TableParagraph"/>
              <w:spacing w:line="314" w:lineRule="auto"/>
              <w:ind w:right="249"/>
              <w:jc w:val="both"/>
              <w:rPr>
                <w:sz w:val="21"/>
              </w:rPr>
            </w:pPr>
            <w:r>
              <w:rPr>
                <w:spacing w:val="-7"/>
                <w:sz w:val="21"/>
              </w:rPr>
              <w:t>指一种胆汁淤积综合征，其特征是肝内、肝外胆道因纤维化性炎症逐渐狭窄，并</w:t>
            </w:r>
            <w:r>
              <w:rPr>
                <w:spacing w:val="-9"/>
                <w:sz w:val="21"/>
              </w:rPr>
              <w:t>最终导致完全阻塞而发展为肝硬化。本病须经内镜逆行胰胆管造影等影像学检查</w:t>
            </w:r>
            <w:r>
              <w:rPr>
                <w:spacing w:val="-5"/>
                <w:sz w:val="21"/>
              </w:rPr>
              <w:t>证实，并须满足下列全部条件：</w:t>
            </w:r>
          </w:p>
          <w:p>
            <w:pPr>
              <w:pStyle w:val="TableParagraph"/>
              <w:spacing w:before="19"/>
              <w:jc w:val="both"/>
              <w:rPr>
                <w:sz w:val="21"/>
              </w:rPr>
            </w:pPr>
            <w:r>
              <w:rPr>
                <w:sz w:val="21"/>
              </w:rPr>
              <w:t>（</w:t>
            </w:r>
            <w:r>
              <w:rPr>
                <w:rFonts w:ascii="Times New Roman" w:eastAsia="Times New Roman"/>
                <w:sz w:val="21"/>
              </w:rPr>
              <w:t>1</w:t>
            </w:r>
            <w:r>
              <w:rPr>
                <w:sz w:val="21"/>
              </w:rPr>
              <w:t>）总胆红素和直接胆红素同时升高，血清 </w:t>
            </w:r>
            <w:r>
              <w:rPr>
                <w:rFonts w:ascii="Times New Roman" w:eastAsia="Times New Roman"/>
                <w:sz w:val="21"/>
              </w:rPr>
              <w:t>ALP&gt;200U/L</w:t>
            </w:r>
            <w:r>
              <w:rPr>
                <w:sz w:val="21"/>
              </w:rPr>
              <w:t>；</w:t>
            </w:r>
          </w:p>
          <w:p>
            <w:pPr>
              <w:pStyle w:val="TableParagraph"/>
              <w:spacing w:before="66"/>
              <w:jc w:val="both"/>
              <w:rPr>
                <w:sz w:val="21"/>
              </w:rPr>
            </w:pPr>
            <w:r>
              <w:rPr>
                <w:sz w:val="21"/>
              </w:rPr>
              <w:t>（</w:t>
            </w:r>
            <w:r>
              <w:rPr>
                <w:rFonts w:ascii="Times New Roman" w:eastAsia="Times New Roman"/>
                <w:sz w:val="21"/>
              </w:rPr>
              <w:t>2</w:t>
            </w:r>
            <w:r>
              <w:rPr>
                <w:sz w:val="21"/>
              </w:rPr>
              <w:t>）持续性黄疸病史；</w:t>
            </w:r>
          </w:p>
          <w:p>
            <w:pPr>
              <w:pStyle w:val="TableParagraph"/>
              <w:spacing w:before="68"/>
              <w:jc w:val="both"/>
              <w:rPr>
                <w:sz w:val="21"/>
              </w:rPr>
            </w:pPr>
            <w:r>
              <w:rPr>
                <w:sz w:val="21"/>
              </w:rPr>
              <w:t>（</w:t>
            </w:r>
            <w:r>
              <w:rPr>
                <w:rFonts w:ascii="Times New Roman" w:eastAsia="Times New Roman"/>
                <w:sz w:val="21"/>
              </w:rPr>
              <w:t>3</w:t>
            </w:r>
            <w:r>
              <w:rPr>
                <w:sz w:val="21"/>
              </w:rPr>
              <w:t>）出现胆汁性肝硬化或门脉高压。</w:t>
            </w:r>
          </w:p>
          <w:p>
            <w:pPr>
              <w:pStyle w:val="TableParagraph"/>
              <w:spacing w:before="66"/>
              <w:jc w:val="both"/>
              <w:rPr>
                <w:sz w:val="21"/>
              </w:rPr>
            </w:pPr>
            <w:r>
              <w:rPr>
                <w:sz w:val="21"/>
              </w:rPr>
              <w:t>因肿瘤或胆管损伤等继发性的硬化性胆管炎不在保障范围内。</w:t>
            </w:r>
          </w:p>
        </w:tc>
      </w:tr>
      <w:tr>
        <w:trPr>
          <w:trHeight w:val="2682" w:hRule="atLeast"/>
        </w:trPr>
        <w:tc>
          <w:tcPr>
            <w:tcW w:w="1665" w:type="dxa"/>
          </w:tcPr>
          <w:p>
            <w:pPr>
              <w:pStyle w:val="TableParagraph"/>
              <w:spacing w:line="312" w:lineRule="auto" w:before="88"/>
              <w:ind w:left="200" w:right="65"/>
              <w:rPr>
                <w:b/>
                <w:sz w:val="21"/>
              </w:rPr>
            </w:pPr>
            <w:r>
              <w:rPr>
                <w:b/>
                <w:sz w:val="21"/>
              </w:rPr>
              <w:t>41. II 级重症急性胰腺炎</w:t>
            </w:r>
          </w:p>
        </w:tc>
        <w:tc>
          <w:tcPr>
            <w:tcW w:w="7648" w:type="dxa"/>
          </w:tcPr>
          <w:p>
            <w:pPr>
              <w:pStyle w:val="TableParagraph"/>
              <w:spacing w:before="88"/>
              <w:rPr>
                <w:sz w:val="21"/>
              </w:rPr>
            </w:pPr>
            <w:r>
              <w:rPr>
                <w:sz w:val="21"/>
              </w:rPr>
              <w:t>重症急性胰腺炎是指急性胰腺炎伴有脏器功能障碍，并且符合以下所有条件。</w:t>
            </w:r>
          </w:p>
          <w:p>
            <w:pPr>
              <w:pStyle w:val="TableParagraph"/>
              <w:spacing w:line="295" w:lineRule="auto" w:before="82"/>
              <w:ind w:left="613" w:right="250" w:hanging="519"/>
              <w:jc w:val="both"/>
              <w:rPr>
                <w:sz w:val="21"/>
              </w:rPr>
            </w:pPr>
            <w:r>
              <w:rPr>
                <w:sz w:val="21"/>
              </w:rPr>
              <w:t>（</w:t>
            </w:r>
            <w:r>
              <w:rPr>
                <w:rFonts w:ascii="Times New Roman" w:hAnsi="Times New Roman" w:eastAsia="Times New Roman"/>
                <w:sz w:val="21"/>
              </w:rPr>
              <w:t>1</w:t>
            </w:r>
            <w:r>
              <w:rPr>
                <w:sz w:val="21"/>
              </w:rPr>
              <w:t>）</w:t>
            </w:r>
            <w:r>
              <w:rPr>
                <w:spacing w:val="-29"/>
                <w:sz w:val="21"/>
              </w:rPr>
              <w:t>按 </w:t>
            </w:r>
            <w:r>
              <w:rPr>
                <w:rFonts w:ascii="Times New Roman" w:hAnsi="Times New Roman" w:eastAsia="Times New Roman"/>
                <w:spacing w:val="-5"/>
                <w:sz w:val="21"/>
              </w:rPr>
              <w:t>APACHE</w:t>
            </w:r>
            <w:r>
              <w:rPr>
                <w:spacing w:val="-13"/>
                <w:sz w:val="21"/>
              </w:rPr>
              <w:t>Ⅱ评分达到 </w:t>
            </w:r>
            <w:r>
              <w:rPr>
                <w:rFonts w:ascii="Times New Roman" w:hAnsi="Times New Roman" w:eastAsia="Times New Roman"/>
                <w:sz w:val="21"/>
              </w:rPr>
              <w:t>8 </w:t>
            </w:r>
            <w:r>
              <w:rPr>
                <w:spacing w:val="-20"/>
                <w:sz w:val="21"/>
              </w:rPr>
              <w:t>分或 </w:t>
            </w:r>
            <w:r>
              <w:rPr>
                <w:rFonts w:ascii="Times New Roman" w:hAnsi="Times New Roman" w:eastAsia="Times New Roman"/>
                <w:sz w:val="21"/>
              </w:rPr>
              <w:t>8 </w:t>
            </w:r>
            <w:r>
              <w:rPr>
                <w:spacing w:val="-14"/>
                <w:sz w:val="21"/>
              </w:rPr>
              <w:t>分以上和 </w:t>
            </w:r>
            <w:r>
              <w:rPr>
                <w:rFonts w:ascii="Times New Roman" w:hAnsi="Times New Roman" w:eastAsia="Times New Roman"/>
                <w:sz w:val="21"/>
              </w:rPr>
              <w:t>Balthazar </w:t>
            </w:r>
            <w:r>
              <w:rPr>
                <w:spacing w:val="-3"/>
                <w:sz w:val="21"/>
              </w:rPr>
              <w:t>分级系统达到Ⅱ级或Ⅱ </w:t>
            </w:r>
            <w:r>
              <w:rPr>
                <w:spacing w:val="-6"/>
                <w:sz w:val="21"/>
              </w:rPr>
              <w:t>级以上的重症急性胰腺炎，或改良 </w:t>
            </w:r>
            <w:r>
              <w:rPr>
                <w:rFonts w:ascii="Times New Roman" w:hAnsi="Times New Roman" w:eastAsia="Times New Roman"/>
                <w:sz w:val="21"/>
              </w:rPr>
              <w:t>Marshall </w:t>
            </w:r>
            <w:r>
              <w:rPr>
                <w:spacing w:val="-14"/>
                <w:sz w:val="21"/>
              </w:rPr>
              <w:t>评分 </w:t>
            </w:r>
            <w:r>
              <w:rPr>
                <w:rFonts w:ascii="Times New Roman" w:hAnsi="Times New Roman" w:eastAsia="Times New Roman"/>
                <w:sz w:val="21"/>
              </w:rPr>
              <w:t>3 </w:t>
            </w:r>
            <w:r>
              <w:rPr>
                <w:spacing w:val="-9"/>
                <w:sz w:val="21"/>
              </w:rPr>
              <w:t>个系统中有 </w:t>
            </w:r>
            <w:r>
              <w:rPr>
                <w:rFonts w:ascii="Times New Roman" w:hAnsi="Times New Roman" w:eastAsia="Times New Roman"/>
                <w:sz w:val="21"/>
              </w:rPr>
              <w:t>1 </w:t>
            </w:r>
            <w:r>
              <w:rPr>
                <w:spacing w:val="-3"/>
                <w:sz w:val="21"/>
              </w:rPr>
              <w:t>个系统的</w:t>
            </w:r>
            <w:r>
              <w:rPr>
                <w:spacing w:val="-10"/>
                <w:sz w:val="21"/>
              </w:rPr>
              <w:t>评分大于等于 </w:t>
            </w:r>
            <w:r>
              <w:rPr>
                <w:rFonts w:ascii="Times New Roman" w:hAnsi="Times New Roman" w:eastAsia="Times New Roman"/>
                <w:sz w:val="21"/>
              </w:rPr>
              <w:t>2 </w:t>
            </w:r>
            <w:r>
              <w:rPr>
                <w:sz w:val="21"/>
              </w:rPr>
              <w:t>分；</w:t>
            </w:r>
          </w:p>
          <w:p>
            <w:pPr>
              <w:pStyle w:val="TableParagraph"/>
              <w:spacing w:before="15"/>
              <w:rPr>
                <w:sz w:val="21"/>
              </w:rPr>
            </w:pPr>
            <w:r>
              <w:rPr>
                <w:sz w:val="21"/>
              </w:rPr>
              <w:t>（</w:t>
            </w:r>
            <w:r>
              <w:rPr>
                <w:rFonts w:ascii="Times New Roman" w:eastAsia="Times New Roman"/>
                <w:sz w:val="21"/>
              </w:rPr>
              <w:t>2</w:t>
            </w:r>
            <w:r>
              <w:rPr>
                <w:sz w:val="21"/>
              </w:rPr>
              <w:t>）接受了外科剖腹手术进行坏死组织清除、坏死病灶切除或胰腺切除。</w:t>
            </w:r>
          </w:p>
          <w:p>
            <w:pPr>
              <w:pStyle w:val="TableParagraph"/>
              <w:spacing w:line="314" w:lineRule="auto" w:before="66"/>
              <w:ind w:right="251"/>
              <w:rPr>
                <w:rFonts w:ascii="黑体" w:eastAsia="黑体" w:hint="eastAsia"/>
                <w:sz w:val="21"/>
              </w:rPr>
            </w:pPr>
            <w:r>
              <w:rPr>
                <w:rFonts w:ascii="黑体" w:eastAsia="黑体" w:hint="eastAsia"/>
                <w:sz w:val="21"/>
              </w:rPr>
              <w:t>因酗酒或饮酒过量所致的急性坏死性胰腺炎以及腹腔镜手术不在本附加合同保障范围内。</w:t>
            </w:r>
          </w:p>
        </w:tc>
      </w:tr>
      <w:tr>
        <w:trPr>
          <w:trHeight w:val="2321" w:hRule="atLeast"/>
        </w:trPr>
        <w:tc>
          <w:tcPr>
            <w:tcW w:w="1665" w:type="dxa"/>
          </w:tcPr>
          <w:p>
            <w:pPr>
              <w:pStyle w:val="TableParagraph"/>
              <w:spacing w:line="314" w:lineRule="auto"/>
              <w:ind w:left="200" w:right="92"/>
              <w:jc w:val="both"/>
              <w:rPr>
                <w:b/>
                <w:sz w:val="21"/>
              </w:rPr>
            </w:pPr>
            <w:r>
              <w:rPr>
                <w:b/>
                <w:sz w:val="21"/>
              </w:rPr>
              <w:t>42. 非阿尔茨海默病所致严重痴呆</w:t>
            </w:r>
          </w:p>
        </w:tc>
        <w:tc>
          <w:tcPr>
            <w:tcW w:w="7648" w:type="dxa"/>
          </w:tcPr>
          <w:p>
            <w:pPr>
              <w:pStyle w:val="TableParagraph"/>
              <w:spacing w:line="314" w:lineRule="auto"/>
              <w:ind w:right="249"/>
              <w:jc w:val="both"/>
              <w:rPr>
                <w:sz w:val="21"/>
              </w:rPr>
            </w:pPr>
            <w:r>
              <w:rPr>
                <w:sz w:val="21"/>
              </w:rPr>
              <w:t>指因阿尔茨海默病以外的脑的器质性疾病造成脑功能衰竭导致永久不可逆性的</w:t>
            </w:r>
            <w:r>
              <w:rPr>
                <w:spacing w:val="-7"/>
                <w:sz w:val="21"/>
              </w:rPr>
              <w:t>严重痴呆，临床表现为明显的认知能力障碍、行为异常和社交能力减退。被保险</w:t>
            </w:r>
            <w:r>
              <w:rPr>
                <w:spacing w:val="-10"/>
                <w:sz w:val="21"/>
              </w:rPr>
              <w:t>人自主生活能力完全丧失，无法独立完成六项基本日常生活活动中的三项或三项以上，日常生活必须持续受到他人监护。导致痴呆的疾病必须明确诊断，并且由</w:t>
            </w:r>
            <w:r>
              <w:rPr>
                <w:spacing w:val="-5"/>
                <w:sz w:val="21"/>
              </w:rPr>
              <w:t>完整的临床、实验室和影像学检查结果证实。</w:t>
            </w:r>
          </w:p>
          <w:p>
            <w:pPr>
              <w:pStyle w:val="TableParagraph"/>
              <w:spacing w:before="17"/>
              <w:jc w:val="both"/>
              <w:rPr>
                <w:rFonts w:ascii="黑体" w:eastAsia="黑体" w:hint="eastAsia"/>
                <w:sz w:val="21"/>
              </w:rPr>
            </w:pPr>
            <w:r>
              <w:rPr>
                <w:rFonts w:ascii="黑体" w:eastAsia="黑体" w:hint="eastAsia"/>
                <w:sz w:val="21"/>
              </w:rPr>
              <w:t>神经官能症，精神疾病及酒精中毒所致脑损害不在保障范围内。</w:t>
            </w:r>
          </w:p>
        </w:tc>
      </w:tr>
      <w:tr>
        <w:trPr>
          <w:trHeight w:val="370" w:hRule="atLeast"/>
        </w:trPr>
        <w:tc>
          <w:tcPr>
            <w:tcW w:w="1665" w:type="dxa"/>
          </w:tcPr>
          <w:p>
            <w:pPr>
              <w:pStyle w:val="TableParagraph"/>
              <w:spacing w:line="262" w:lineRule="exact" w:before="88"/>
              <w:ind w:left="200"/>
              <w:rPr>
                <w:b/>
                <w:sz w:val="21"/>
              </w:rPr>
            </w:pPr>
            <w:r>
              <w:rPr>
                <w:b/>
                <w:sz w:val="21"/>
              </w:rPr>
              <w:t>43. 破裂脑动</w:t>
            </w:r>
          </w:p>
        </w:tc>
        <w:tc>
          <w:tcPr>
            <w:tcW w:w="7648" w:type="dxa"/>
          </w:tcPr>
          <w:p>
            <w:pPr>
              <w:pStyle w:val="TableParagraph"/>
              <w:spacing w:line="262" w:lineRule="exact" w:before="88"/>
              <w:rPr>
                <w:sz w:val="21"/>
              </w:rPr>
            </w:pPr>
            <w:r>
              <w:rPr>
                <w:sz w:val="21"/>
              </w:rPr>
              <w:t>指因脑动脉瘤破裂造成蛛网膜下腔出血，被保险人实际接受了在全麻下进行的开</w:t>
            </w:r>
          </w:p>
        </w:tc>
      </w:tr>
    </w:tbl>
    <w:p>
      <w:pPr>
        <w:spacing w:after="0" w:line="262" w:lineRule="exact"/>
        <w:rPr>
          <w:sz w:val="21"/>
        </w:rPr>
        <w:sectPr>
          <w:pgSz w:w="11910" w:h="16840"/>
          <w:pgMar w:header="0" w:footer="915" w:top="1480" w:bottom="1100" w:left="1220" w:right="116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5"/>
        <w:gridCol w:w="7700"/>
      </w:tblGrid>
      <w:tr>
        <w:trPr>
          <w:trHeight w:val="1088" w:hRule="atLeast"/>
        </w:trPr>
        <w:tc>
          <w:tcPr>
            <w:tcW w:w="1665" w:type="dxa"/>
          </w:tcPr>
          <w:p>
            <w:pPr>
              <w:pStyle w:val="TableParagraph"/>
              <w:spacing w:line="204" w:lineRule="exact" w:before="0"/>
              <w:ind w:left="181" w:right="179"/>
              <w:jc w:val="center"/>
              <w:rPr>
                <w:b/>
                <w:sz w:val="21"/>
              </w:rPr>
            </w:pPr>
            <w:r>
              <w:rPr>
                <w:b/>
                <w:sz w:val="21"/>
              </w:rPr>
              <w:t>脉瘤夹闭手术</w:t>
            </w:r>
          </w:p>
        </w:tc>
        <w:tc>
          <w:tcPr>
            <w:tcW w:w="7700" w:type="dxa"/>
          </w:tcPr>
          <w:p>
            <w:pPr>
              <w:pStyle w:val="TableParagraph"/>
              <w:spacing w:line="204" w:lineRule="exact" w:before="0"/>
              <w:rPr>
                <w:sz w:val="21"/>
              </w:rPr>
            </w:pPr>
            <w:r>
              <w:rPr>
                <w:sz w:val="21"/>
              </w:rPr>
              <w:t>颅动脉瘤夹闭手术。</w:t>
            </w:r>
          </w:p>
          <w:p>
            <w:pPr>
              <w:pStyle w:val="TableParagraph"/>
              <w:spacing w:line="312" w:lineRule="auto" w:before="85"/>
              <w:ind w:right="301"/>
              <w:rPr>
                <w:rFonts w:ascii="黑体" w:eastAsia="黑体" w:hint="eastAsia"/>
                <w:sz w:val="21"/>
              </w:rPr>
            </w:pPr>
            <w:r>
              <w:rPr>
                <w:rFonts w:ascii="黑体" w:eastAsia="黑体" w:hint="eastAsia"/>
                <w:spacing w:val="-4"/>
                <w:sz w:val="21"/>
              </w:rPr>
              <w:t>脑动脉瘤</w:t>
            </w:r>
            <w:r>
              <w:rPr>
                <w:rFonts w:ascii="黑体" w:eastAsia="黑体" w:hint="eastAsia"/>
                <w:sz w:val="21"/>
              </w:rPr>
              <w:t>（</w:t>
            </w:r>
            <w:r>
              <w:rPr>
                <w:rFonts w:ascii="黑体" w:eastAsia="黑体" w:hint="eastAsia"/>
                <w:spacing w:val="-2"/>
                <w:sz w:val="21"/>
              </w:rPr>
              <w:t>未破裂</w:t>
            </w:r>
            <w:r>
              <w:rPr>
                <w:rFonts w:ascii="黑体" w:eastAsia="黑体" w:hint="eastAsia"/>
                <w:spacing w:val="-15"/>
                <w:sz w:val="21"/>
              </w:rPr>
              <w:t>）</w:t>
            </w:r>
            <w:r>
              <w:rPr>
                <w:rFonts w:ascii="黑体" w:eastAsia="黑体" w:hint="eastAsia"/>
                <w:spacing w:val="-7"/>
                <w:sz w:val="21"/>
              </w:rPr>
              <w:t>预防性手术、颅骨打孔手术、动脉瘤栓塞手术、血管内手术</w:t>
            </w:r>
            <w:r>
              <w:rPr>
                <w:rFonts w:ascii="黑体" w:eastAsia="黑体" w:hint="eastAsia"/>
                <w:spacing w:val="-5"/>
                <w:sz w:val="21"/>
              </w:rPr>
              <w:t>及其他颅脑手术不在本保障范围内。</w:t>
            </w:r>
          </w:p>
        </w:tc>
      </w:tr>
      <w:tr>
        <w:trPr>
          <w:trHeight w:val="1605" w:hRule="atLeast"/>
        </w:trPr>
        <w:tc>
          <w:tcPr>
            <w:tcW w:w="1665" w:type="dxa"/>
          </w:tcPr>
          <w:p>
            <w:pPr>
              <w:pStyle w:val="TableParagraph"/>
              <w:spacing w:line="312" w:lineRule="auto" w:before="88"/>
              <w:ind w:left="200" w:right="92"/>
              <w:rPr>
                <w:b/>
                <w:sz w:val="21"/>
              </w:rPr>
            </w:pPr>
            <w:r>
              <w:rPr>
                <w:b/>
                <w:sz w:val="21"/>
              </w:rPr>
              <w:t>44. 主动脉夹层血肿</w:t>
            </w:r>
          </w:p>
        </w:tc>
        <w:tc>
          <w:tcPr>
            <w:tcW w:w="7700" w:type="dxa"/>
          </w:tcPr>
          <w:p>
            <w:pPr>
              <w:pStyle w:val="TableParagraph"/>
              <w:spacing w:line="312" w:lineRule="auto" w:before="88"/>
              <w:ind w:right="197"/>
              <w:jc w:val="both"/>
              <w:rPr>
                <w:sz w:val="21"/>
              </w:rPr>
            </w:pPr>
            <w:r>
              <w:rPr>
                <w:spacing w:val="-6"/>
                <w:sz w:val="21"/>
              </w:rPr>
              <w:t>是指主动脉壁在受到某些病理因素的破坏后，高速、高压的主动脉血流将其内膜</w:t>
            </w:r>
            <w:r>
              <w:rPr>
                <w:spacing w:val="-10"/>
                <w:sz w:val="21"/>
              </w:rPr>
              <w:t>撕裂，以致主动脉腔内的血流通过主动脉内膜的破裂口进入主动脉内壁而形成血</w:t>
            </w:r>
            <w:r>
              <w:rPr>
                <w:spacing w:val="-5"/>
                <w:w w:val="100"/>
                <w:sz w:val="21"/>
              </w:rPr>
              <w:t>肿。被保险人需通过电脑断层扫描</w:t>
            </w:r>
            <w:r>
              <w:rPr>
                <w:spacing w:val="0"/>
                <w:w w:val="100"/>
                <w:sz w:val="21"/>
              </w:rPr>
              <w:t>（</w:t>
            </w:r>
            <w:r>
              <w:rPr>
                <w:w w:val="100"/>
                <w:sz w:val="21"/>
              </w:rPr>
              <w:t>CT</w:t>
            </w:r>
            <w:r>
              <w:rPr>
                <w:spacing w:val="-106"/>
                <w:w w:val="100"/>
                <w:sz w:val="21"/>
              </w:rPr>
              <w:t>）</w:t>
            </w:r>
            <w:r>
              <w:rPr>
                <w:w w:val="100"/>
                <w:sz w:val="21"/>
              </w:rPr>
              <w:t>、磁共振扫描</w:t>
            </w:r>
            <w:r>
              <w:rPr>
                <w:spacing w:val="2"/>
                <w:w w:val="100"/>
                <w:sz w:val="21"/>
              </w:rPr>
              <w:t>（</w:t>
            </w:r>
            <w:r>
              <w:rPr>
                <w:w w:val="100"/>
                <w:sz w:val="21"/>
              </w:rPr>
              <w:t>M</w:t>
            </w:r>
            <w:r>
              <w:rPr>
                <w:spacing w:val="-3"/>
                <w:w w:val="100"/>
                <w:sz w:val="21"/>
              </w:rPr>
              <w:t>R</w:t>
            </w:r>
            <w:r>
              <w:rPr>
                <w:spacing w:val="1"/>
                <w:w w:val="100"/>
                <w:sz w:val="21"/>
              </w:rPr>
              <w:t>I</w:t>
            </w:r>
            <w:r>
              <w:rPr>
                <w:spacing w:val="-106"/>
                <w:w w:val="100"/>
                <w:sz w:val="21"/>
              </w:rPr>
              <w:t>）</w:t>
            </w:r>
            <w:r>
              <w:rPr>
                <w:w w:val="100"/>
                <w:sz w:val="21"/>
              </w:rPr>
              <w:t>、磁共振血管检验</w:t>
            </w:r>
            <w:r>
              <w:rPr>
                <w:spacing w:val="-20"/>
                <w:sz w:val="21"/>
              </w:rPr>
              <w:t>法</w:t>
            </w:r>
            <w:r>
              <w:rPr>
                <w:spacing w:val="-5"/>
                <w:sz w:val="21"/>
              </w:rPr>
              <w:t>（MRA）或血管扫描等检查明确诊断，并且实施了胸腹切开的直视主动脉手术。</w:t>
            </w:r>
          </w:p>
        </w:tc>
      </w:tr>
      <w:tr>
        <w:trPr>
          <w:trHeight w:val="3757" w:hRule="atLeast"/>
        </w:trPr>
        <w:tc>
          <w:tcPr>
            <w:tcW w:w="1665" w:type="dxa"/>
          </w:tcPr>
          <w:p>
            <w:pPr>
              <w:pStyle w:val="TableParagraph"/>
              <w:spacing w:line="312" w:lineRule="auto" w:before="88"/>
              <w:ind w:left="200" w:right="92"/>
              <w:rPr>
                <w:b/>
                <w:sz w:val="21"/>
              </w:rPr>
            </w:pPr>
            <w:r>
              <w:rPr>
                <w:b/>
                <w:sz w:val="21"/>
              </w:rPr>
              <w:t>45. 系统性硬皮病</w:t>
            </w:r>
          </w:p>
        </w:tc>
        <w:tc>
          <w:tcPr>
            <w:tcW w:w="7700" w:type="dxa"/>
          </w:tcPr>
          <w:p>
            <w:pPr>
              <w:pStyle w:val="TableParagraph"/>
              <w:spacing w:line="314" w:lineRule="auto" w:before="88"/>
              <w:ind w:right="248"/>
              <w:jc w:val="both"/>
              <w:rPr>
                <w:sz w:val="21"/>
              </w:rPr>
            </w:pPr>
            <w:r>
              <w:rPr>
                <w:w w:val="100"/>
                <w:sz w:val="21"/>
              </w:rPr>
              <w:t>系统性硬皮病（须累及内脏器官</w:t>
            </w:r>
            <w:r>
              <w:rPr>
                <w:spacing w:val="-106"/>
                <w:w w:val="100"/>
                <w:sz w:val="21"/>
              </w:rPr>
              <w:t>）</w:t>
            </w:r>
            <w:r>
              <w:rPr>
                <w:w w:val="100"/>
                <w:sz w:val="21"/>
              </w:rPr>
              <w:t>，指一种以局限性或弥漫性皮肤增厚和皮肤、</w:t>
            </w:r>
            <w:r>
              <w:rPr>
                <w:spacing w:val="-3"/>
                <w:sz w:val="21"/>
              </w:rPr>
              <w:t>血管、内脏器官异常纤维化为特征的结缔组织病。本病须经专科医师明确诊断， 并须满足下列至少一项条件：</w:t>
            </w:r>
          </w:p>
          <w:p>
            <w:pPr>
              <w:pStyle w:val="TableParagraph"/>
              <w:spacing w:before="17"/>
              <w:jc w:val="both"/>
              <w:rPr>
                <w:sz w:val="21"/>
              </w:rPr>
            </w:pPr>
            <w:r>
              <w:rPr>
                <w:sz w:val="21"/>
              </w:rPr>
              <w:t>（</w:t>
            </w:r>
            <w:r>
              <w:rPr>
                <w:rFonts w:ascii="Times New Roman" w:eastAsia="Times New Roman"/>
                <w:sz w:val="21"/>
              </w:rPr>
              <w:t>1</w:t>
            </w:r>
            <w:r>
              <w:rPr>
                <w:sz w:val="21"/>
              </w:rPr>
              <w:t>）肺脏：肺部病变进而发展为肺间质纤维化和肺动脉高压；</w:t>
            </w:r>
          </w:p>
          <w:p>
            <w:pPr>
              <w:pStyle w:val="TableParagraph"/>
              <w:spacing w:before="68"/>
              <w:jc w:val="both"/>
              <w:rPr>
                <w:sz w:val="21"/>
              </w:rPr>
            </w:pPr>
            <w:r>
              <w:rPr>
                <w:sz w:val="21"/>
              </w:rPr>
              <w:t>（</w:t>
            </w:r>
            <w:r>
              <w:rPr>
                <w:rFonts w:ascii="Times New Roman" w:eastAsia="Times New Roman"/>
                <w:sz w:val="21"/>
              </w:rPr>
              <w:t>2</w:t>
            </w:r>
            <w:r>
              <w:rPr>
                <w:sz w:val="21"/>
              </w:rPr>
              <w:t>）心脏：心功能受损达到美国纽约心脏病学会心功能状态分级 </w:t>
            </w:r>
            <w:r>
              <w:rPr>
                <w:rFonts w:ascii="Times New Roman" w:eastAsia="Times New Roman"/>
                <w:sz w:val="21"/>
              </w:rPr>
              <w:t>IV </w:t>
            </w:r>
            <w:r>
              <w:rPr>
                <w:sz w:val="21"/>
              </w:rPr>
              <w:t>级；</w:t>
            </w:r>
          </w:p>
          <w:p>
            <w:pPr>
              <w:pStyle w:val="TableParagraph"/>
              <w:spacing w:before="66"/>
              <w:jc w:val="both"/>
              <w:rPr>
                <w:sz w:val="21"/>
              </w:rPr>
            </w:pPr>
            <w:r>
              <w:rPr>
                <w:sz w:val="21"/>
              </w:rPr>
              <w:t>（</w:t>
            </w:r>
            <w:r>
              <w:rPr>
                <w:rFonts w:ascii="Times New Roman" w:eastAsia="Times New Roman"/>
                <w:sz w:val="21"/>
              </w:rPr>
              <w:t>3</w:t>
            </w:r>
            <w:r>
              <w:rPr>
                <w:sz w:val="21"/>
              </w:rPr>
              <w:t>）肾脏：肾脏受损导致双肾功能慢性不可逆衰竭，达到尿毒症期。</w:t>
            </w:r>
          </w:p>
          <w:p>
            <w:pPr>
              <w:pStyle w:val="TableParagraph"/>
              <w:spacing w:before="69"/>
              <w:jc w:val="both"/>
              <w:rPr>
                <w:rFonts w:ascii="黑体" w:eastAsia="黑体" w:hint="eastAsia"/>
                <w:sz w:val="21"/>
              </w:rPr>
            </w:pPr>
            <w:r>
              <w:rPr>
                <w:rFonts w:ascii="黑体" w:eastAsia="黑体" w:hint="eastAsia"/>
                <w:sz w:val="21"/>
              </w:rPr>
              <w:t>下列疾病不在本险种保障范围内：</w:t>
            </w:r>
          </w:p>
          <w:p>
            <w:pPr>
              <w:pStyle w:val="TableParagraph"/>
              <w:tabs>
                <w:tab w:pos="935" w:val="left" w:leader="none"/>
              </w:tabs>
              <w:spacing w:before="82"/>
              <w:ind w:left="515"/>
              <w:rPr>
                <w:rFonts w:ascii="黑体" w:hAnsi="黑体" w:eastAsia="黑体" w:hint="eastAsia"/>
                <w:sz w:val="21"/>
              </w:rPr>
            </w:pPr>
            <w:r>
              <w:rPr>
                <w:rFonts w:ascii="黑体" w:hAnsi="黑体" w:eastAsia="黑体" w:hint="eastAsia"/>
                <w:w w:val="100"/>
                <w:sz w:val="21"/>
              </w:rPr>
              <w:t>①</w:t>
            </w:r>
            <w:r>
              <w:rPr>
                <w:rFonts w:ascii="黑体" w:hAnsi="黑体" w:eastAsia="黑体" w:hint="eastAsia"/>
                <w:sz w:val="21"/>
              </w:rPr>
              <w:tab/>
            </w:r>
            <w:r>
              <w:rPr>
                <w:rFonts w:ascii="黑体" w:hAnsi="黑体" w:eastAsia="黑体" w:hint="eastAsia"/>
                <w:spacing w:val="-2"/>
                <w:w w:val="100"/>
                <w:sz w:val="21"/>
              </w:rPr>
              <w:t>部性硬皮病</w:t>
            </w:r>
            <w:r>
              <w:rPr>
                <w:rFonts w:ascii="黑体" w:hAnsi="黑体" w:eastAsia="黑体" w:hint="eastAsia"/>
                <w:w w:val="100"/>
                <w:sz w:val="21"/>
              </w:rPr>
              <w:t>（</w:t>
            </w:r>
            <w:r>
              <w:rPr>
                <w:rFonts w:ascii="黑体" w:hAnsi="黑体" w:eastAsia="黑体" w:hint="eastAsia"/>
                <w:spacing w:val="-3"/>
                <w:w w:val="100"/>
                <w:sz w:val="21"/>
              </w:rPr>
              <w:t>如：带状硬皮病、硬斑病</w:t>
            </w:r>
            <w:r>
              <w:rPr>
                <w:rFonts w:ascii="黑体" w:hAnsi="黑体" w:eastAsia="黑体" w:hint="eastAsia"/>
                <w:spacing w:val="-108"/>
                <w:w w:val="100"/>
                <w:sz w:val="21"/>
              </w:rPr>
              <w:t>）</w:t>
            </w:r>
            <w:r>
              <w:rPr>
                <w:rFonts w:ascii="黑体" w:hAnsi="黑体" w:eastAsia="黑体" w:hint="eastAsia"/>
                <w:w w:val="100"/>
                <w:sz w:val="21"/>
              </w:rPr>
              <w:t>；</w:t>
            </w:r>
          </w:p>
          <w:p>
            <w:pPr>
              <w:pStyle w:val="TableParagraph"/>
              <w:tabs>
                <w:tab w:pos="935" w:val="left" w:leader="none"/>
              </w:tabs>
              <w:spacing w:before="84"/>
              <w:ind w:left="515"/>
              <w:rPr>
                <w:rFonts w:ascii="黑体" w:hAnsi="黑体" w:eastAsia="黑体" w:hint="eastAsia"/>
                <w:sz w:val="21"/>
              </w:rPr>
            </w:pPr>
            <w:r>
              <w:rPr>
                <w:rFonts w:ascii="黑体" w:hAnsi="黑体" w:eastAsia="黑体" w:hint="eastAsia"/>
                <w:sz w:val="21"/>
              </w:rPr>
              <w:t>②</w:t>
              <w:tab/>
            </w:r>
            <w:r>
              <w:rPr>
                <w:rFonts w:ascii="黑体" w:hAnsi="黑体" w:eastAsia="黑体" w:hint="eastAsia"/>
                <w:spacing w:val="-3"/>
                <w:sz w:val="21"/>
              </w:rPr>
              <w:t>嗜酸性粒细胞性筋膜炎；</w:t>
            </w:r>
          </w:p>
          <w:p>
            <w:pPr>
              <w:pStyle w:val="TableParagraph"/>
              <w:tabs>
                <w:tab w:pos="935" w:val="left" w:leader="none"/>
              </w:tabs>
              <w:spacing w:before="82"/>
              <w:ind w:left="515"/>
              <w:rPr>
                <w:rFonts w:ascii="黑体" w:hAnsi="黑体" w:eastAsia="黑体" w:hint="eastAsia"/>
                <w:sz w:val="21"/>
              </w:rPr>
            </w:pPr>
            <w:r>
              <w:rPr>
                <w:sz w:val="21"/>
              </w:rPr>
              <w:t>③</w:t>
              <w:tab/>
            </w:r>
            <w:r>
              <w:rPr>
                <w:rFonts w:ascii="黑体" w:hAnsi="黑体" w:eastAsia="黑体" w:hint="eastAsia"/>
                <w:sz w:val="21"/>
              </w:rPr>
              <w:t>CREST</w:t>
            </w:r>
            <w:r>
              <w:rPr>
                <w:rFonts w:ascii="黑体" w:hAnsi="黑体" w:eastAsia="黑体" w:hint="eastAsia"/>
                <w:spacing w:val="-11"/>
                <w:sz w:val="21"/>
              </w:rPr>
              <w:t> 综合征。</w:t>
            </w:r>
          </w:p>
        </w:tc>
      </w:tr>
      <w:tr>
        <w:trPr>
          <w:trHeight w:val="2323" w:hRule="atLeast"/>
        </w:trPr>
        <w:tc>
          <w:tcPr>
            <w:tcW w:w="1665" w:type="dxa"/>
          </w:tcPr>
          <w:p>
            <w:pPr>
              <w:pStyle w:val="TableParagraph"/>
              <w:spacing w:line="314" w:lineRule="auto"/>
              <w:ind w:left="200" w:right="92"/>
              <w:rPr>
                <w:b/>
                <w:sz w:val="21"/>
              </w:rPr>
            </w:pPr>
            <w:r>
              <w:rPr>
                <w:b/>
                <w:sz w:val="21"/>
              </w:rPr>
              <w:t>46. 严重慢性复发性胰腺炎</w:t>
            </w:r>
          </w:p>
        </w:tc>
        <w:tc>
          <w:tcPr>
            <w:tcW w:w="7700" w:type="dxa"/>
          </w:tcPr>
          <w:p>
            <w:pPr>
              <w:pStyle w:val="TableParagraph"/>
              <w:spacing w:line="314" w:lineRule="auto"/>
              <w:ind w:right="197"/>
              <w:rPr>
                <w:sz w:val="21"/>
              </w:rPr>
            </w:pPr>
            <w:r>
              <w:rPr>
                <w:spacing w:val="-6"/>
                <w:sz w:val="21"/>
              </w:rPr>
              <w:t>指慢性反复发作的胰腺炎症导致胰腺的广泛纤维化、坏死、弥漫性钙化及假性囊</w:t>
            </w:r>
            <w:r>
              <w:rPr>
                <w:spacing w:val="-15"/>
                <w:sz w:val="21"/>
              </w:rPr>
              <w:t>肿形成，造成胰腺功能障碍出现严重糖尿病和营养不良。必须满足以下所有条件：</w:t>
            </w:r>
          </w:p>
          <w:p>
            <w:pPr>
              <w:pStyle w:val="TableParagraph"/>
              <w:spacing w:line="297" w:lineRule="auto" w:before="17"/>
              <w:ind w:left="613" w:right="234" w:hanging="519"/>
              <w:rPr>
                <w:sz w:val="21"/>
              </w:rPr>
            </w:pPr>
            <w:r>
              <w:rPr>
                <w:sz w:val="21"/>
              </w:rPr>
              <w:t>（</w:t>
            </w:r>
            <w:r>
              <w:rPr>
                <w:rFonts w:ascii="Times New Roman" w:eastAsia="Times New Roman"/>
                <w:sz w:val="21"/>
              </w:rPr>
              <w:t>1</w:t>
            </w:r>
            <w:r>
              <w:rPr>
                <w:sz w:val="21"/>
              </w:rPr>
              <w:t>）</w:t>
            </w:r>
            <w:r>
              <w:rPr>
                <w:rFonts w:ascii="Times New Roman" w:eastAsia="Times New Roman"/>
                <w:sz w:val="21"/>
              </w:rPr>
              <w:t>CT </w:t>
            </w:r>
            <w:r>
              <w:rPr>
                <w:sz w:val="21"/>
              </w:rPr>
              <w:t>显示胰腺广泛钙化或逆行胰胆管造影（ERCP）显示胰管扭曲、扩张和狭窄；</w:t>
            </w:r>
          </w:p>
          <w:p>
            <w:pPr>
              <w:pStyle w:val="TableParagraph"/>
              <w:spacing w:before="32"/>
              <w:rPr>
                <w:sz w:val="21"/>
              </w:rPr>
            </w:pPr>
            <w:r>
              <w:rPr>
                <w:sz w:val="21"/>
              </w:rPr>
              <w:t>（</w:t>
            </w:r>
            <w:r>
              <w:rPr>
                <w:rFonts w:ascii="Times New Roman" w:eastAsia="Times New Roman"/>
                <w:sz w:val="21"/>
              </w:rPr>
              <w:t>2</w:t>
            </w:r>
            <w:r>
              <w:rPr>
                <w:sz w:val="21"/>
              </w:rPr>
              <w:t>）接受胰岛素替代治疗和酶替代治疗 </w:t>
            </w:r>
            <w:r>
              <w:rPr>
                <w:rFonts w:ascii="Times New Roman" w:eastAsia="Times New Roman"/>
                <w:sz w:val="21"/>
              </w:rPr>
              <w:t>180 </w:t>
            </w:r>
            <w:r>
              <w:rPr>
                <w:sz w:val="21"/>
              </w:rPr>
              <w:t>天以上。</w:t>
            </w:r>
          </w:p>
          <w:p>
            <w:pPr>
              <w:pStyle w:val="TableParagraph"/>
              <w:spacing w:before="69"/>
              <w:rPr>
                <w:rFonts w:ascii="黑体" w:eastAsia="黑体" w:hint="eastAsia"/>
                <w:sz w:val="21"/>
              </w:rPr>
            </w:pPr>
            <w:r>
              <w:rPr>
                <w:rFonts w:ascii="黑体" w:eastAsia="黑体" w:hint="eastAsia"/>
                <w:sz w:val="21"/>
              </w:rPr>
              <w:t>因酒精所致的慢性复发性胰腺炎除外。</w:t>
            </w:r>
          </w:p>
        </w:tc>
      </w:tr>
      <w:tr>
        <w:trPr>
          <w:trHeight w:val="888" w:hRule="atLeast"/>
        </w:trPr>
        <w:tc>
          <w:tcPr>
            <w:tcW w:w="1665" w:type="dxa"/>
          </w:tcPr>
          <w:p>
            <w:pPr>
              <w:pStyle w:val="TableParagraph"/>
              <w:ind w:left="200"/>
              <w:rPr>
                <w:b/>
                <w:sz w:val="21"/>
              </w:rPr>
            </w:pPr>
            <w:r>
              <w:rPr>
                <w:b/>
                <w:sz w:val="21"/>
              </w:rPr>
              <w:t>47. 胰腺移植</w:t>
            </w:r>
          </w:p>
        </w:tc>
        <w:tc>
          <w:tcPr>
            <w:tcW w:w="7700" w:type="dxa"/>
          </w:tcPr>
          <w:p>
            <w:pPr>
              <w:pStyle w:val="TableParagraph"/>
              <w:rPr>
                <w:sz w:val="21"/>
              </w:rPr>
            </w:pPr>
            <w:r>
              <w:rPr>
                <w:sz w:val="21"/>
              </w:rPr>
              <w:t>指因胰腺功能衰竭，已经实施了在全身麻醉下进行的胰腺的异体器官移植手术。</w:t>
            </w:r>
          </w:p>
          <w:p>
            <w:pPr>
              <w:pStyle w:val="TableParagraph"/>
              <w:spacing w:before="84"/>
              <w:rPr>
                <w:rFonts w:ascii="黑体" w:eastAsia="黑体" w:hint="eastAsia"/>
                <w:sz w:val="21"/>
              </w:rPr>
            </w:pPr>
            <w:r>
              <w:rPr>
                <w:rFonts w:ascii="黑体" w:eastAsia="黑体" w:hint="eastAsia"/>
                <w:sz w:val="21"/>
              </w:rPr>
              <w:t>单纯胰岛移植、部分胰腺组织或细胞的移植不在本保障范围内。</w:t>
            </w:r>
          </w:p>
        </w:tc>
      </w:tr>
      <w:tr>
        <w:trPr>
          <w:trHeight w:val="1971" w:hRule="atLeast"/>
        </w:trPr>
        <w:tc>
          <w:tcPr>
            <w:tcW w:w="1665" w:type="dxa"/>
          </w:tcPr>
          <w:p>
            <w:pPr>
              <w:pStyle w:val="TableParagraph"/>
              <w:spacing w:line="314" w:lineRule="auto"/>
              <w:ind w:left="200" w:right="92"/>
              <w:rPr>
                <w:b/>
                <w:sz w:val="21"/>
              </w:rPr>
            </w:pPr>
            <w:r>
              <w:rPr>
                <w:b/>
                <w:sz w:val="21"/>
              </w:rPr>
              <w:t>48. 严重心肌炎</w:t>
            </w:r>
          </w:p>
        </w:tc>
        <w:tc>
          <w:tcPr>
            <w:tcW w:w="7700" w:type="dxa"/>
          </w:tcPr>
          <w:p>
            <w:pPr>
              <w:pStyle w:val="TableParagraph"/>
              <w:spacing w:line="314" w:lineRule="auto"/>
              <w:ind w:right="314"/>
              <w:rPr>
                <w:sz w:val="21"/>
              </w:rPr>
            </w:pPr>
            <w:r>
              <w:rPr>
                <w:sz w:val="21"/>
              </w:rPr>
              <w:t>指被保人因严重心肌炎性病变导致心功能损害造成持续的永久不可逆性的心功能衰竭持续 180 天以上。必须满足所有以下条件：</w:t>
            </w:r>
          </w:p>
          <w:p>
            <w:pPr>
              <w:pStyle w:val="TableParagraph"/>
              <w:spacing w:line="297" w:lineRule="auto" w:before="17"/>
              <w:ind w:left="613" w:right="300" w:hanging="519"/>
              <w:rPr>
                <w:sz w:val="21"/>
              </w:rPr>
            </w:pPr>
            <w:r>
              <w:rPr>
                <w:sz w:val="21"/>
              </w:rPr>
              <w:t>（</w:t>
            </w:r>
            <w:r>
              <w:rPr>
                <w:rFonts w:ascii="Times New Roman" w:eastAsia="Times New Roman"/>
                <w:sz w:val="21"/>
              </w:rPr>
              <w:t>1</w:t>
            </w:r>
            <w:r>
              <w:rPr>
                <w:sz w:val="21"/>
              </w:rPr>
              <w:t>）</w:t>
            </w:r>
            <w:r>
              <w:rPr>
                <w:spacing w:val="-5"/>
                <w:sz w:val="21"/>
              </w:rPr>
              <w:t>心功能衰竭程度达到纽约心脏病学会的心功能分级标准之心功能 </w:t>
            </w:r>
            <w:r>
              <w:rPr>
                <w:rFonts w:ascii="Times New Roman" w:eastAsia="Times New Roman"/>
                <w:sz w:val="21"/>
              </w:rPr>
              <w:t>IV </w:t>
            </w:r>
            <w:r>
              <w:rPr>
                <w:spacing w:val="-24"/>
                <w:sz w:val="21"/>
              </w:rPr>
              <w:t>级，或</w:t>
            </w:r>
            <w:r>
              <w:rPr>
                <w:spacing w:val="-14"/>
                <w:sz w:val="21"/>
              </w:rPr>
              <w:t>左室射血数低于 </w:t>
            </w:r>
            <w:r>
              <w:rPr>
                <w:rFonts w:ascii="Times New Roman" w:eastAsia="Times New Roman"/>
                <w:sz w:val="21"/>
              </w:rPr>
              <w:t>30%</w:t>
            </w:r>
            <w:r>
              <w:rPr>
                <w:sz w:val="21"/>
              </w:rPr>
              <w:t>；</w:t>
            </w:r>
          </w:p>
          <w:p>
            <w:pPr>
              <w:pStyle w:val="TableParagraph"/>
              <w:spacing w:before="11"/>
              <w:rPr>
                <w:sz w:val="21"/>
              </w:rPr>
            </w:pPr>
            <w:r>
              <w:rPr>
                <w:sz w:val="21"/>
              </w:rPr>
              <w:t>（</w:t>
            </w:r>
            <w:r>
              <w:rPr>
                <w:rFonts w:ascii="Times New Roman" w:eastAsia="Times New Roman"/>
                <w:sz w:val="21"/>
              </w:rPr>
              <w:t>2</w:t>
            </w:r>
            <w:r>
              <w:rPr>
                <w:sz w:val="21"/>
              </w:rPr>
              <w:t>）被保险人永久不可逆性的体力活动能力受限，不能从事任何体力活动。</w:t>
            </w:r>
          </w:p>
        </w:tc>
      </w:tr>
      <w:tr>
        <w:trPr>
          <w:trHeight w:val="1238" w:hRule="atLeast"/>
        </w:trPr>
        <w:tc>
          <w:tcPr>
            <w:tcW w:w="1665" w:type="dxa"/>
          </w:tcPr>
          <w:p>
            <w:pPr>
              <w:pStyle w:val="TableParagraph"/>
              <w:spacing w:line="314" w:lineRule="auto" w:before="79"/>
              <w:ind w:left="200" w:right="92"/>
              <w:rPr>
                <w:b/>
                <w:sz w:val="21"/>
              </w:rPr>
            </w:pPr>
            <w:r>
              <w:rPr>
                <w:b/>
                <w:sz w:val="21"/>
              </w:rPr>
              <w:t>49. 肺源性心脏病</w:t>
            </w:r>
          </w:p>
        </w:tc>
        <w:tc>
          <w:tcPr>
            <w:tcW w:w="7700" w:type="dxa"/>
          </w:tcPr>
          <w:p>
            <w:pPr>
              <w:pStyle w:val="TableParagraph"/>
              <w:spacing w:line="314" w:lineRule="auto" w:before="79"/>
              <w:ind w:right="248"/>
              <w:jc w:val="both"/>
              <w:rPr>
                <w:sz w:val="21"/>
              </w:rPr>
            </w:pPr>
            <w:r>
              <w:rPr>
                <w:sz w:val="21"/>
              </w:rPr>
              <w:t>指被保人因慢性肺部疾病导致慢性心功能损害造成永久不可逆性的心功能衰竭。心功能衰竭程度达到纽约心脏病学会的心功能分级标准之心功能 IV 级。被保险人永久不可逆性的体力活动能力受限，不能从事任何体力活动。</w:t>
            </w:r>
          </w:p>
        </w:tc>
      </w:tr>
      <w:tr>
        <w:trPr>
          <w:trHeight w:val="728" w:hRule="atLeast"/>
        </w:trPr>
        <w:tc>
          <w:tcPr>
            <w:tcW w:w="1665" w:type="dxa"/>
          </w:tcPr>
          <w:p>
            <w:pPr>
              <w:pStyle w:val="TableParagraph"/>
              <w:spacing w:line="350" w:lineRule="atLeast" w:before="13"/>
              <w:ind w:left="200" w:right="92"/>
              <w:rPr>
                <w:b/>
                <w:sz w:val="21"/>
              </w:rPr>
            </w:pPr>
            <w:r>
              <w:rPr>
                <w:b/>
                <w:sz w:val="21"/>
              </w:rPr>
              <w:t>50. 嗜铬细胞瘤</w:t>
            </w:r>
          </w:p>
        </w:tc>
        <w:tc>
          <w:tcPr>
            <w:tcW w:w="7700" w:type="dxa"/>
          </w:tcPr>
          <w:p>
            <w:pPr>
              <w:pStyle w:val="TableParagraph"/>
              <w:spacing w:line="350" w:lineRule="atLeast" w:before="13"/>
              <w:ind w:right="314"/>
              <w:rPr>
                <w:sz w:val="21"/>
              </w:rPr>
            </w:pPr>
            <w:r>
              <w:rPr>
                <w:sz w:val="21"/>
              </w:rPr>
              <w:t>指发生在肾上腺或肾上腺外嗜铬组织的以分泌过多的儿茶酚胺为表现的神经内分泌肿瘤。嗜铬细胞瘤必须由内分泌专科医生诊断，并且满足以下所有条件：</w:t>
            </w:r>
          </w:p>
        </w:tc>
      </w:tr>
    </w:tbl>
    <w:p>
      <w:pPr>
        <w:spacing w:after="0" w:line="350" w:lineRule="atLeast"/>
        <w:rPr>
          <w:sz w:val="21"/>
        </w:rPr>
        <w:sectPr>
          <w:pgSz w:w="11910" w:h="16840"/>
          <w:pgMar w:header="0" w:footer="915" w:top="1480" w:bottom="1100" w:left="1220" w:right="11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4"/>
        <w:gridCol w:w="7683"/>
      </w:tblGrid>
      <w:tr>
        <w:trPr>
          <w:trHeight w:val="744" w:hRule="atLeast"/>
        </w:trPr>
        <w:tc>
          <w:tcPr>
            <w:tcW w:w="1684" w:type="dxa"/>
          </w:tcPr>
          <w:p>
            <w:pPr>
              <w:pStyle w:val="TableParagraph"/>
              <w:spacing w:before="0"/>
              <w:ind w:left="0"/>
              <w:rPr>
                <w:rFonts w:ascii="Times New Roman"/>
                <w:sz w:val="20"/>
              </w:rPr>
            </w:pPr>
          </w:p>
        </w:tc>
        <w:tc>
          <w:tcPr>
            <w:tcW w:w="7683" w:type="dxa"/>
          </w:tcPr>
          <w:p>
            <w:pPr>
              <w:pStyle w:val="TableParagraph"/>
              <w:spacing w:line="234" w:lineRule="exact" w:before="0"/>
              <w:ind w:left="75"/>
              <w:rPr>
                <w:sz w:val="21"/>
              </w:rPr>
            </w:pPr>
            <w:r>
              <w:rPr>
                <w:sz w:val="21"/>
              </w:rPr>
              <w:t>（</w:t>
            </w:r>
            <w:r>
              <w:rPr>
                <w:rFonts w:ascii="Times New Roman" w:eastAsia="Times New Roman"/>
                <w:sz w:val="21"/>
              </w:rPr>
              <w:t>1</w:t>
            </w:r>
            <w:r>
              <w:rPr>
                <w:sz w:val="21"/>
              </w:rPr>
              <w:t>）临床有高血压症候群表现；</w:t>
            </w:r>
          </w:p>
          <w:p>
            <w:pPr>
              <w:pStyle w:val="TableParagraph"/>
              <w:spacing w:before="69"/>
              <w:ind w:left="75"/>
              <w:rPr>
                <w:sz w:val="21"/>
              </w:rPr>
            </w:pPr>
            <w:r>
              <w:rPr>
                <w:sz w:val="21"/>
              </w:rPr>
              <w:t>（</w:t>
            </w:r>
            <w:r>
              <w:rPr>
                <w:rFonts w:ascii="Times New Roman" w:eastAsia="Times New Roman"/>
                <w:sz w:val="21"/>
              </w:rPr>
              <w:t>2</w:t>
            </w:r>
            <w:r>
              <w:rPr>
                <w:sz w:val="21"/>
              </w:rPr>
              <w:t>）已经实施了嗜铬细胞瘤切除手术。</w:t>
            </w:r>
          </w:p>
        </w:tc>
      </w:tr>
      <w:tr>
        <w:trPr>
          <w:trHeight w:val="3033" w:hRule="atLeast"/>
        </w:trPr>
        <w:tc>
          <w:tcPr>
            <w:tcW w:w="1684" w:type="dxa"/>
          </w:tcPr>
          <w:p>
            <w:pPr>
              <w:pStyle w:val="TableParagraph"/>
              <w:spacing w:line="314" w:lineRule="auto" w:before="86"/>
              <w:ind w:left="200" w:right="111"/>
              <w:rPr>
                <w:b/>
                <w:sz w:val="21"/>
              </w:rPr>
            </w:pPr>
            <w:r>
              <w:rPr>
                <w:b/>
                <w:sz w:val="21"/>
              </w:rPr>
              <w:t>51. 肺淋巴管肌瘤病</w:t>
            </w:r>
          </w:p>
        </w:tc>
        <w:tc>
          <w:tcPr>
            <w:tcW w:w="7683" w:type="dxa"/>
          </w:tcPr>
          <w:p>
            <w:pPr>
              <w:pStyle w:val="TableParagraph"/>
              <w:spacing w:line="314" w:lineRule="auto" w:before="86"/>
              <w:ind w:left="75" w:right="303"/>
              <w:jc w:val="both"/>
              <w:rPr>
                <w:sz w:val="21"/>
              </w:rPr>
            </w:pPr>
            <w:r>
              <w:rPr>
                <w:spacing w:val="-6"/>
                <w:sz w:val="21"/>
              </w:rPr>
              <w:t>肺淋巴管肌瘤病是一种弥漫性肺部疾病，其特征性病理表现为囊性病变及不成熟</w:t>
            </w:r>
            <w:r>
              <w:rPr>
                <w:sz w:val="21"/>
              </w:rPr>
              <w:t>的平滑肌细胞和血管周上皮细胞异常增生形成多发结节。必须满足下列全部条件：</w:t>
            </w:r>
          </w:p>
          <w:p>
            <w:pPr>
              <w:pStyle w:val="TableParagraph"/>
              <w:spacing w:before="19"/>
              <w:ind w:left="75"/>
              <w:jc w:val="both"/>
              <w:rPr>
                <w:sz w:val="21"/>
              </w:rPr>
            </w:pPr>
            <w:r>
              <w:rPr>
                <w:sz w:val="21"/>
              </w:rPr>
              <w:t>（</w:t>
            </w:r>
            <w:r>
              <w:rPr>
                <w:rFonts w:ascii="Times New Roman" w:eastAsia="Times New Roman"/>
                <w:sz w:val="21"/>
              </w:rPr>
              <w:t>1</w:t>
            </w:r>
            <w:r>
              <w:rPr>
                <w:sz w:val="21"/>
              </w:rPr>
              <w:t>）经组织病理学检查明确诊断；</w:t>
            </w:r>
          </w:p>
          <w:p>
            <w:pPr>
              <w:pStyle w:val="TableParagraph"/>
              <w:spacing w:before="66"/>
              <w:ind w:left="75"/>
              <w:jc w:val="both"/>
              <w:rPr>
                <w:sz w:val="21"/>
              </w:rPr>
            </w:pPr>
            <w:r>
              <w:rPr>
                <w:sz w:val="21"/>
              </w:rPr>
              <w:t>（</w:t>
            </w:r>
            <w:r>
              <w:rPr>
                <w:rFonts w:ascii="Times New Roman" w:eastAsia="Times New Roman"/>
                <w:sz w:val="21"/>
              </w:rPr>
              <w:t>2</w:t>
            </w:r>
            <w:r>
              <w:rPr>
                <w:sz w:val="21"/>
              </w:rPr>
              <w:t>）</w:t>
            </w:r>
            <w:r>
              <w:rPr>
                <w:rFonts w:ascii="Times New Roman" w:eastAsia="Times New Roman"/>
                <w:sz w:val="21"/>
              </w:rPr>
              <w:t>CT  </w:t>
            </w:r>
            <w:r>
              <w:rPr>
                <w:sz w:val="21"/>
              </w:rPr>
              <w:t>显示双肺弥漫性囊性改变；</w:t>
            </w:r>
          </w:p>
          <w:p>
            <w:pPr>
              <w:pStyle w:val="TableParagraph"/>
              <w:spacing w:before="69"/>
              <w:ind w:left="75"/>
              <w:jc w:val="both"/>
              <w:rPr>
                <w:sz w:val="21"/>
              </w:rPr>
            </w:pPr>
            <w:r>
              <w:rPr>
                <w:sz w:val="21"/>
              </w:rPr>
              <w:t>（</w:t>
            </w:r>
            <w:r>
              <w:rPr>
                <w:rFonts w:ascii="Times New Roman" w:eastAsia="Times New Roman"/>
                <w:sz w:val="21"/>
              </w:rPr>
              <w:t>3</w:t>
            </w:r>
            <w:r>
              <w:rPr>
                <w:sz w:val="21"/>
              </w:rPr>
              <w:t>）肺功能检查显示 FEV1 和 DLCO（CO 弥散功能）下降；</w:t>
            </w:r>
          </w:p>
          <w:p>
            <w:pPr>
              <w:pStyle w:val="TableParagraph"/>
              <w:spacing w:before="67"/>
              <w:ind w:left="75"/>
              <w:jc w:val="both"/>
              <w:rPr>
                <w:sz w:val="21"/>
              </w:rPr>
            </w:pPr>
            <w:r>
              <w:rPr>
                <w:sz w:val="21"/>
              </w:rPr>
              <w:t>（</w:t>
            </w:r>
            <w:r>
              <w:rPr>
                <w:rFonts w:ascii="Times New Roman" w:eastAsia="Times New Roman"/>
                <w:sz w:val="21"/>
              </w:rPr>
              <w:t>4</w:t>
            </w:r>
            <w:r>
              <w:rPr>
                <w:sz w:val="21"/>
              </w:rPr>
              <w:t>）动脉血气分析显示低氧血症。</w:t>
            </w:r>
          </w:p>
          <w:p>
            <w:pPr>
              <w:pStyle w:val="TableParagraph"/>
              <w:spacing w:before="69"/>
              <w:ind w:left="75"/>
              <w:jc w:val="both"/>
              <w:rPr>
                <w:rFonts w:ascii="黑体" w:eastAsia="黑体" w:hint="eastAsia"/>
                <w:sz w:val="21"/>
              </w:rPr>
            </w:pPr>
            <w:r>
              <w:rPr>
                <w:rFonts w:ascii="黑体" w:eastAsia="黑体" w:hint="eastAsia"/>
                <w:sz w:val="21"/>
              </w:rPr>
              <w:t>疑似肺淋巴管肌瘤病除外。</w:t>
            </w:r>
          </w:p>
        </w:tc>
      </w:tr>
      <w:tr>
        <w:trPr>
          <w:trHeight w:val="4484" w:hRule="atLeast"/>
        </w:trPr>
        <w:tc>
          <w:tcPr>
            <w:tcW w:w="1684" w:type="dxa"/>
          </w:tcPr>
          <w:p>
            <w:pPr>
              <w:pStyle w:val="TableParagraph"/>
              <w:spacing w:line="314" w:lineRule="auto" w:before="95"/>
              <w:ind w:left="200" w:right="111"/>
              <w:jc w:val="both"/>
              <w:rPr>
                <w:b/>
                <w:sz w:val="21"/>
              </w:rPr>
            </w:pPr>
            <w:r>
              <w:rPr>
                <w:b/>
                <w:sz w:val="21"/>
              </w:rPr>
              <w:t>52. 疾病或外伤所致智力障碍（残疾）</w:t>
            </w:r>
          </w:p>
        </w:tc>
        <w:tc>
          <w:tcPr>
            <w:tcW w:w="7683" w:type="dxa"/>
          </w:tcPr>
          <w:p>
            <w:pPr>
              <w:pStyle w:val="TableParagraph"/>
              <w:spacing w:line="314" w:lineRule="auto" w:before="95"/>
              <w:ind w:left="75" w:right="199"/>
              <w:rPr>
                <w:sz w:val="21"/>
              </w:rPr>
            </w:pPr>
            <w:r>
              <w:rPr>
                <w:spacing w:val="-4"/>
                <w:sz w:val="21"/>
              </w:rPr>
              <w:t>因严重头部创伤或疾病造成被保险人智力低常</w:t>
            </w:r>
            <w:r>
              <w:rPr>
                <w:spacing w:val="-3"/>
                <w:sz w:val="21"/>
              </w:rPr>
              <w:t>（智力低于常态</w:t>
            </w:r>
            <w:r>
              <w:rPr>
                <w:spacing w:val="-20"/>
                <w:sz w:val="21"/>
              </w:rPr>
              <w:t>）</w:t>
            </w:r>
            <w:r>
              <w:rPr>
                <w:spacing w:val="-6"/>
                <w:sz w:val="21"/>
              </w:rPr>
              <w:t>或智力残疾。根</w:t>
            </w:r>
            <w:r>
              <w:rPr>
                <w:spacing w:val="-8"/>
                <w:w w:val="100"/>
                <w:sz w:val="21"/>
              </w:rPr>
              <w:t>据智商</w:t>
            </w:r>
            <w:r>
              <w:rPr>
                <w:w w:val="100"/>
                <w:sz w:val="21"/>
              </w:rPr>
              <w:t>（</w:t>
            </w:r>
            <w:r>
              <w:rPr>
                <w:spacing w:val="-3"/>
                <w:w w:val="100"/>
                <w:sz w:val="21"/>
              </w:rPr>
              <w:t>I</w:t>
            </w:r>
            <w:r>
              <w:rPr>
                <w:w w:val="100"/>
                <w:sz w:val="21"/>
              </w:rPr>
              <w:t>Q</w:t>
            </w:r>
            <w:r>
              <w:rPr>
                <w:spacing w:val="-10"/>
                <w:w w:val="100"/>
                <w:sz w:val="21"/>
              </w:rPr>
              <w:t>）</w:t>
            </w:r>
            <w:r>
              <w:rPr>
                <w:spacing w:val="-4"/>
                <w:w w:val="100"/>
                <w:sz w:val="21"/>
              </w:rPr>
              <w:t>智力低常分为轻度</w:t>
            </w:r>
            <w:r>
              <w:rPr>
                <w:spacing w:val="-1"/>
                <w:w w:val="100"/>
                <w:sz w:val="21"/>
              </w:rPr>
              <w:t>（</w:t>
            </w:r>
            <w:r>
              <w:rPr>
                <w:spacing w:val="-3"/>
                <w:w w:val="100"/>
                <w:sz w:val="21"/>
              </w:rPr>
              <w:t>I</w:t>
            </w:r>
            <w:r>
              <w:rPr>
                <w:w w:val="100"/>
                <w:sz w:val="21"/>
              </w:rPr>
              <w:t>Q5</w:t>
            </w:r>
            <w:r>
              <w:rPr>
                <w:spacing w:val="-1"/>
                <w:w w:val="100"/>
                <w:sz w:val="21"/>
              </w:rPr>
              <w:t>0</w:t>
            </w:r>
            <w:r>
              <w:rPr>
                <w:spacing w:val="-3"/>
                <w:w w:val="100"/>
                <w:sz w:val="21"/>
              </w:rPr>
              <w:t>-</w:t>
            </w:r>
            <w:r>
              <w:rPr>
                <w:w w:val="100"/>
                <w:sz w:val="21"/>
              </w:rPr>
              <w:t>70</w:t>
            </w:r>
            <w:r>
              <w:rPr>
                <w:spacing w:val="-108"/>
                <w:w w:val="100"/>
                <w:sz w:val="21"/>
              </w:rPr>
              <w:t>）</w:t>
            </w:r>
            <w:r>
              <w:rPr>
                <w:spacing w:val="-8"/>
                <w:w w:val="100"/>
                <w:sz w:val="21"/>
              </w:rPr>
              <w:t>；中度</w:t>
            </w:r>
            <w:r>
              <w:rPr>
                <w:w w:val="100"/>
                <w:sz w:val="21"/>
              </w:rPr>
              <w:t>（IQ</w:t>
            </w:r>
            <w:r>
              <w:rPr>
                <w:spacing w:val="-3"/>
                <w:w w:val="100"/>
                <w:sz w:val="21"/>
              </w:rPr>
              <w:t>3</w:t>
            </w:r>
            <w:r>
              <w:rPr>
                <w:spacing w:val="-1"/>
                <w:w w:val="100"/>
                <w:sz w:val="21"/>
              </w:rPr>
              <w:t>5</w:t>
            </w:r>
            <w:r>
              <w:rPr>
                <w:w w:val="100"/>
                <w:sz w:val="21"/>
              </w:rPr>
              <w:t>-5</w:t>
            </w:r>
            <w:r>
              <w:rPr>
                <w:spacing w:val="-3"/>
                <w:w w:val="100"/>
                <w:sz w:val="21"/>
              </w:rPr>
              <w:t>0</w:t>
            </w:r>
            <w:r>
              <w:rPr>
                <w:spacing w:val="-106"/>
                <w:w w:val="100"/>
                <w:sz w:val="21"/>
              </w:rPr>
              <w:t>）</w:t>
            </w:r>
            <w:r>
              <w:rPr>
                <w:spacing w:val="-7"/>
                <w:w w:val="100"/>
                <w:sz w:val="21"/>
              </w:rPr>
              <w:t>；重度</w:t>
            </w:r>
            <w:r>
              <w:rPr>
                <w:spacing w:val="-1"/>
                <w:w w:val="100"/>
                <w:sz w:val="21"/>
              </w:rPr>
              <w:t>（</w:t>
            </w:r>
            <w:r>
              <w:rPr>
                <w:spacing w:val="-3"/>
                <w:w w:val="100"/>
                <w:sz w:val="21"/>
              </w:rPr>
              <w:t>I</w:t>
            </w:r>
            <w:r>
              <w:rPr>
                <w:w w:val="100"/>
                <w:sz w:val="21"/>
              </w:rPr>
              <w:t>Q20</w:t>
            </w:r>
            <w:r>
              <w:rPr>
                <w:spacing w:val="-3"/>
                <w:w w:val="100"/>
                <w:sz w:val="21"/>
              </w:rPr>
              <w:t>-</w:t>
            </w:r>
            <w:r>
              <w:rPr>
                <w:w w:val="100"/>
                <w:sz w:val="21"/>
              </w:rPr>
              <w:t>35）</w:t>
            </w:r>
            <w:r>
              <w:rPr>
                <w:spacing w:val="-5"/>
                <w:w w:val="100"/>
                <w:sz w:val="21"/>
              </w:rPr>
              <w:t>和极重度</w:t>
            </w:r>
            <w:r>
              <w:rPr>
                <w:w w:val="100"/>
                <w:sz w:val="21"/>
              </w:rPr>
              <w:t>（</w:t>
            </w:r>
            <w:r>
              <w:rPr>
                <w:spacing w:val="-3"/>
                <w:w w:val="100"/>
                <w:sz w:val="21"/>
              </w:rPr>
              <w:t>I</w:t>
            </w:r>
            <w:r>
              <w:rPr>
                <w:w w:val="100"/>
                <w:sz w:val="21"/>
              </w:rPr>
              <w:t>Q&lt;2</w:t>
            </w:r>
            <w:r>
              <w:rPr>
                <w:spacing w:val="-3"/>
                <w:w w:val="100"/>
                <w:sz w:val="21"/>
              </w:rPr>
              <w:t>0</w:t>
            </w:r>
            <w:r>
              <w:rPr>
                <w:spacing w:val="-106"/>
                <w:w w:val="100"/>
                <w:sz w:val="21"/>
              </w:rPr>
              <w:t>）</w:t>
            </w:r>
            <w:r>
              <w:rPr>
                <w:spacing w:val="-6"/>
                <w:w w:val="100"/>
                <w:sz w:val="21"/>
              </w:rPr>
              <w:t>。智商</w:t>
            </w:r>
            <w:r>
              <w:rPr>
                <w:spacing w:val="-6"/>
                <w:sz w:val="21"/>
              </w:rPr>
              <w:t> </w:t>
            </w:r>
            <w:r>
              <w:rPr>
                <w:spacing w:val="-3"/>
                <w:w w:val="100"/>
                <w:sz w:val="21"/>
              </w:rPr>
              <w:t>7</w:t>
            </w:r>
            <w:r>
              <w:rPr>
                <w:w w:val="100"/>
                <w:sz w:val="21"/>
              </w:rPr>
              <w:t>0-85</w:t>
            </w:r>
            <w:r>
              <w:rPr>
                <w:spacing w:val="-55"/>
                <w:sz w:val="21"/>
              </w:rPr>
              <w:t> </w:t>
            </w:r>
            <w:r>
              <w:rPr>
                <w:spacing w:val="-6"/>
                <w:w w:val="100"/>
                <w:sz w:val="21"/>
              </w:rPr>
              <w:t>为智力临界低常，不在本保障范围内。智商的检</w:t>
            </w:r>
            <w:r>
              <w:rPr>
                <w:spacing w:val="-7"/>
                <w:sz w:val="21"/>
              </w:rPr>
              <w:t>测必须由我们认可的专职心理测验工作者进行，心理测验工作者必须持有由心理</w:t>
            </w:r>
            <w:r>
              <w:rPr>
                <w:spacing w:val="-9"/>
                <w:sz w:val="21"/>
              </w:rPr>
              <w:t>测量专业委员会资格认定书。根据被保险人年龄采用对应的智力量表如韦克斯勒</w:t>
            </w:r>
            <w:r>
              <w:rPr>
                <w:spacing w:val="-6"/>
                <w:sz w:val="21"/>
              </w:rPr>
              <w:t>智力量表</w:t>
            </w:r>
            <w:r>
              <w:rPr>
                <w:spacing w:val="-3"/>
                <w:sz w:val="21"/>
              </w:rPr>
              <w:t>（儿童智力量表或成人智力量表</w:t>
            </w:r>
            <w:r>
              <w:rPr>
                <w:spacing w:val="-106"/>
                <w:sz w:val="21"/>
              </w:rPr>
              <w:t>）</w:t>
            </w:r>
            <w:r>
              <w:rPr>
                <w:sz w:val="21"/>
              </w:rPr>
              <w:t>。</w:t>
            </w:r>
          </w:p>
          <w:p>
            <w:pPr>
              <w:pStyle w:val="TableParagraph"/>
              <w:spacing w:before="17"/>
              <w:ind w:left="75"/>
              <w:rPr>
                <w:sz w:val="21"/>
              </w:rPr>
            </w:pPr>
            <w:r>
              <w:rPr>
                <w:sz w:val="21"/>
              </w:rPr>
              <w:t>理赔时必须满足下列全部条件：</w:t>
            </w:r>
          </w:p>
          <w:p>
            <w:pPr>
              <w:pStyle w:val="TableParagraph"/>
              <w:spacing w:before="84"/>
              <w:ind w:left="75"/>
              <w:rPr>
                <w:sz w:val="21"/>
              </w:rPr>
            </w:pPr>
            <w:r>
              <w:rPr>
                <w:sz w:val="21"/>
              </w:rPr>
              <w:t>（</w:t>
            </w:r>
            <w:r>
              <w:rPr>
                <w:rFonts w:ascii="Times New Roman" w:eastAsia="Times New Roman"/>
                <w:sz w:val="21"/>
              </w:rPr>
              <w:t>1</w:t>
            </w:r>
            <w:r>
              <w:rPr>
                <w:sz w:val="21"/>
              </w:rPr>
              <w:t>）被保险人大于或等于六周岁；</w:t>
            </w:r>
          </w:p>
          <w:p>
            <w:pPr>
              <w:pStyle w:val="TableParagraph"/>
              <w:spacing w:before="66"/>
              <w:ind w:left="75"/>
              <w:rPr>
                <w:sz w:val="21"/>
              </w:rPr>
            </w:pPr>
            <w:r>
              <w:rPr>
                <w:sz w:val="21"/>
              </w:rPr>
              <w:t>（</w:t>
            </w:r>
            <w:r>
              <w:rPr>
                <w:rFonts w:ascii="Times New Roman" w:eastAsia="Times New Roman"/>
                <w:sz w:val="21"/>
              </w:rPr>
              <w:t>2</w:t>
            </w:r>
            <w:r>
              <w:rPr>
                <w:sz w:val="21"/>
              </w:rPr>
              <w:t>）专科医生确诊被保险人由于严重头部创伤或疾病造成智力低下；</w:t>
            </w:r>
          </w:p>
          <w:p>
            <w:pPr>
              <w:pStyle w:val="TableParagraph"/>
              <w:spacing w:line="295" w:lineRule="auto" w:before="69"/>
              <w:ind w:left="602" w:right="196" w:hanging="527"/>
              <w:rPr>
                <w:sz w:val="21"/>
              </w:rPr>
            </w:pPr>
            <w:r>
              <w:rPr>
                <w:sz w:val="21"/>
              </w:rPr>
              <w:t>（</w:t>
            </w:r>
            <w:r>
              <w:rPr>
                <w:rFonts w:ascii="Times New Roman" w:eastAsia="Times New Roman"/>
                <w:sz w:val="21"/>
              </w:rPr>
              <w:t>3</w:t>
            </w:r>
            <w:r>
              <w:rPr>
                <w:sz w:val="21"/>
              </w:rPr>
              <w:t>）</w:t>
            </w:r>
            <w:r>
              <w:rPr>
                <w:spacing w:val="-5"/>
                <w:sz w:val="21"/>
              </w:rPr>
              <w:t>专职合格心理检测工作者适时做的心理检测证实被保险人智力低常</w:t>
            </w:r>
            <w:r>
              <w:rPr>
                <w:spacing w:val="-3"/>
                <w:sz w:val="21"/>
              </w:rPr>
              <w:t>（</w:t>
            </w:r>
            <w:r>
              <w:rPr>
                <w:spacing w:val="-2"/>
                <w:sz w:val="21"/>
              </w:rPr>
              <w:t>轻度、</w:t>
            </w:r>
            <w:r>
              <w:rPr>
                <w:spacing w:val="-3"/>
                <w:w w:val="100"/>
                <w:sz w:val="21"/>
              </w:rPr>
              <w:t>中度、重度或极重度</w:t>
            </w:r>
            <w:r>
              <w:rPr>
                <w:spacing w:val="-106"/>
                <w:w w:val="100"/>
                <w:sz w:val="21"/>
              </w:rPr>
              <w:t>）</w:t>
            </w:r>
            <w:r>
              <w:rPr>
                <w:w w:val="100"/>
                <w:sz w:val="21"/>
              </w:rPr>
              <w:t>；</w:t>
            </w:r>
          </w:p>
          <w:p>
            <w:pPr>
              <w:pStyle w:val="TableParagraph"/>
              <w:spacing w:before="36"/>
              <w:ind w:left="75"/>
              <w:rPr>
                <w:sz w:val="21"/>
              </w:rPr>
            </w:pPr>
            <w:r>
              <w:rPr>
                <w:sz w:val="21"/>
              </w:rPr>
              <w:t>（</w:t>
            </w:r>
            <w:r>
              <w:rPr>
                <w:rFonts w:ascii="Times New Roman" w:eastAsia="Times New Roman"/>
                <w:sz w:val="21"/>
              </w:rPr>
              <w:t>4</w:t>
            </w:r>
            <w:r>
              <w:rPr>
                <w:sz w:val="21"/>
              </w:rPr>
              <w:t>）被保险人的智力低常自确认日起持续 </w:t>
            </w:r>
            <w:r>
              <w:rPr>
                <w:rFonts w:ascii="Times New Roman" w:eastAsia="Times New Roman"/>
                <w:sz w:val="21"/>
              </w:rPr>
              <w:t>180 </w:t>
            </w:r>
            <w:r>
              <w:rPr>
                <w:sz w:val="21"/>
              </w:rPr>
              <w:t>天以上。</w:t>
            </w:r>
          </w:p>
        </w:tc>
      </w:tr>
      <w:tr>
        <w:trPr>
          <w:trHeight w:val="2314" w:hRule="atLeast"/>
        </w:trPr>
        <w:tc>
          <w:tcPr>
            <w:tcW w:w="1684" w:type="dxa"/>
          </w:tcPr>
          <w:p>
            <w:pPr>
              <w:pStyle w:val="TableParagraph"/>
              <w:spacing w:line="312" w:lineRule="auto" w:before="86"/>
              <w:ind w:left="200" w:right="111"/>
              <w:rPr>
                <w:b/>
                <w:sz w:val="21"/>
              </w:rPr>
            </w:pPr>
            <w:r>
              <w:rPr>
                <w:b/>
                <w:sz w:val="21"/>
              </w:rPr>
              <w:t>53. 溶血性尿毒综合征</w:t>
            </w:r>
          </w:p>
        </w:tc>
        <w:tc>
          <w:tcPr>
            <w:tcW w:w="7683" w:type="dxa"/>
          </w:tcPr>
          <w:p>
            <w:pPr>
              <w:pStyle w:val="TableParagraph"/>
              <w:spacing w:line="312" w:lineRule="auto" w:before="86"/>
              <w:ind w:left="75" w:right="303"/>
              <w:rPr>
                <w:sz w:val="21"/>
              </w:rPr>
            </w:pPr>
            <w:r>
              <w:rPr>
                <w:spacing w:val="-7"/>
                <w:sz w:val="21"/>
              </w:rPr>
              <w:t>一种由于感染导致的急性综合征，引起红细胞溶血，肾功能衰竭及尿毒症。溶血</w:t>
            </w:r>
            <w:r>
              <w:rPr>
                <w:spacing w:val="-5"/>
                <w:sz w:val="21"/>
              </w:rPr>
              <w:t>尿毒综合征必须由血液和肾脏专科医师诊断，并且符合所有以下条件：</w:t>
            </w:r>
          </w:p>
          <w:p>
            <w:pPr>
              <w:pStyle w:val="TableParagraph"/>
              <w:spacing w:before="21"/>
              <w:ind w:left="75"/>
              <w:rPr>
                <w:sz w:val="21"/>
              </w:rPr>
            </w:pPr>
            <w:r>
              <w:rPr>
                <w:sz w:val="21"/>
              </w:rPr>
              <w:t>（</w:t>
            </w:r>
            <w:r>
              <w:rPr>
                <w:rFonts w:ascii="Times New Roman" w:eastAsia="Times New Roman"/>
                <w:sz w:val="21"/>
              </w:rPr>
              <w:t>1</w:t>
            </w:r>
            <w:r>
              <w:rPr>
                <w:sz w:val="21"/>
              </w:rPr>
              <w:t>）实验室检查确认有溶血性贫血、血尿、尿毒症、血小板减少性紫癜；</w:t>
            </w:r>
          </w:p>
          <w:p>
            <w:pPr>
              <w:pStyle w:val="TableParagraph"/>
              <w:spacing w:before="66"/>
              <w:ind w:left="75"/>
              <w:rPr>
                <w:sz w:val="21"/>
              </w:rPr>
            </w:pPr>
            <w:r>
              <w:rPr>
                <w:sz w:val="21"/>
              </w:rPr>
              <w:t>（</w:t>
            </w:r>
            <w:r>
              <w:rPr>
                <w:rFonts w:ascii="Times New Roman" w:eastAsia="Times New Roman"/>
                <w:sz w:val="21"/>
              </w:rPr>
              <w:t>2</w:t>
            </w:r>
            <w:r>
              <w:rPr>
                <w:sz w:val="21"/>
              </w:rPr>
              <w:t>）因肾脏功能衰竭实施了肾脏透析治疗。</w:t>
            </w:r>
          </w:p>
          <w:p>
            <w:pPr>
              <w:pStyle w:val="TableParagraph"/>
              <w:spacing w:line="312" w:lineRule="auto" w:before="69"/>
              <w:ind w:left="75" w:right="303"/>
              <w:rPr>
                <w:rFonts w:ascii="黑体" w:eastAsia="黑体" w:hint="eastAsia"/>
                <w:sz w:val="21"/>
              </w:rPr>
            </w:pPr>
            <w:r>
              <w:rPr>
                <w:rFonts w:ascii="黑体" w:eastAsia="黑体" w:hint="eastAsia"/>
                <w:spacing w:val="-7"/>
                <w:sz w:val="21"/>
              </w:rPr>
              <w:t>任何非因感染导致的溶血性贫血，如：自身免疫性溶血性贫血、与红细胞末缺陷</w:t>
            </w:r>
            <w:r>
              <w:rPr>
                <w:rFonts w:ascii="黑体" w:eastAsia="黑体" w:hint="eastAsia"/>
                <w:spacing w:val="-5"/>
                <w:sz w:val="21"/>
              </w:rPr>
              <w:t>有关的溶血性贫血、红细胞酶病、血红蛋白病等，不在本保单保障范围内。</w:t>
            </w:r>
          </w:p>
        </w:tc>
      </w:tr>
      <w:tr>
        <w:trPr>
          <w:trHeight w:val="1964" w:hRule="atLeast"/>
        </w:trPr>
        <w:tc>
          <w:tcPr>
            <w:tcW w:w="1684" w:type="dxa"/>
          </w:tcPr>
          <w:p>
            <w:pPr>
              <w:pStyle w:val="TableParagraph"/>
              <w:spacing w:line="314" w:lineRule="auto" w:before="96"/>
              <w:ind w:left="200" w:right="73"/>
              <w:jc w:val="both"/>
              <w:rPr>
                <w:b/>
                <w:sz w:val="21"/>
              </w:rPr>
            </w:pPr>
            <w:r>
              <w:rPr>
                <w:b/>
                <w:sz w:val="21"/>
              </w:rPr>
              <w:t>54. 克 - 雅氏病（CJD、人类疯牛病）</w:t>
            </w:r>
          </w:p>
        </w:tc>
        <w:tc>
          <w:tcPr>
            <w:tcW w:w="7683" w:type="dxa"/>
          </w:tcPr>
          <w:p>
            <w:pPr>
              <w:pStyle w:val="TableParagraph"/>
              <w:spacing w:line="312" w:lineRule="auto" w:before="96"/>
              <w:ind w:left="75" w:right="302"/>
              <w:jc w:val="both"/>
              <w:rPr>
                <w:sz w:val="21"/>
              </w:rPr>
            </w:pPr>
            <w:r>
              <w:rPr>
                <w:sz w:val="21"/>
              </w:rPr>
              <w:t>克-雅氏病是一种传染性海绵状脑病，临床表现为快速进行性痴呆、肌阵挛和特</w:t>
            </w:r>
            <w:r>
              <w:rPr>
                <w:spacing w:val="-9"/>
                <w:sz w:val="21"/>
              </w:rPr>
              <w:t>征性脑电图变化。本病须经三级医院的专科医师根据 </w:t>
            </w:r>
            <w:r>
              <w:rPr>
                <w:sz w:val="21"/>
              </w:rPr>
              <w:t>WHO</w:t>
            </w:r>
            <w:r>
              <w:rPr>
                <w:spacing w:val="-10"/>
                <w:sz w:val="21"/>
              </w:rPr>
              <w:t> 诊断标准明确诊断，并</w:t>
            </w:r>
            <w:r>
              <w:rPr>
                <w:spacing w:val="-9"/>
                <w:sz w:val="21"/>
              </w:rPr>
              <w:t>且被保险人自主生活能力完全丧失，无法独立完成六项基本日常生活活动中的三</w:t>
            </w:r>
            <w:r>
              <w:rPr>
                <w:spacing w:val="-5"/>
                <w:sz w:val="21"/>
              </w:rPr>
              <w:t>项或三项以上。</w:t>
            </w:r>
          </w:p>
          <w:p>
            <w:pPr>
              <w:pStyle w:val="TableParagraph"/>
              <w:spacing w:before="22"/>
              <w:ind w:left="75"/>
              <w:jc w:val="both"/>
              <w:rPr>
                <w:rFonts w:ascii="黑体" w:eastAsia="黑体" w:hint="eastAsia"/>
                <w:sz w:val="21"/>
              </w:rPr>
            </w:pPr>
            <w:r>
              <w:rPr>
                <w:rFonts w:ascii="黑体" w:eastAsia="黑体" w:hint="eastAsia"/>
                <w:sz w:val="21"/>
              </w:rPr>
              <w:t>克-雅氏病疑似病例除外。</w:t>
            </w:r>
          </w:p>
        </w:tc>
      </w:tr>
      <w:tr>
        <w:trPr>
          <w:trHeight w:val="1087" w:hRule="atLeast"/>
        </w:trPr>
        <w:tc>
          <w:tcPr>
            <w:tcW w:w="1684" w:type="dxa"/>
          </w:tcPr>
          <w:p>
            <w:pPr>
              <w:pStyle w:val="TableParagraph"/>
              <w:spacing w:line="312" w:lineRule="auto" w:before="94"/>
              <w:ind w:left="200" w:right="111"/>
              <w:rPr>
                <w:b/>
                <w:sz w:val="21"/>
              </w:rPr>
            </w:pPr>
            <w:r>
              <w:rPr>
                <w:b/>
                <w:sz w:val="21"/>
              </w:rPr>
              <w:t>55. 丝虫病所致象皮病</w:t>
            </w:r>
          </w:p>
        </w:tc>
        <w:tc>
          <w:tcPr>
            <w:tcW w:w="7683" w:type="dxa"/>
          </w:tcPr>
          <w:p>
            <w:pPr>
              <w:pStyle w:val="TableParagraph"/>
              <w:spacing w:line="312" w:lineRule="auto" w:before="94"/>
              <w:ind w:left="75" w:right="303"/>
              <w:rPr>
                <w:sz w:val="21"/>
              </w:rPr>
            </w:pPr>
            <w:r>
              <w:rPr>
                <w:spacing w:val="-6"/>
                <w:sz w:val="21"/>
              </w:rPr>
              <w:t>指因丝虫感染导致淋巴阻塞性出现严重淋巴水肿，达到国际淋巴学会淋巴肿分期</w:t>
            </w:r>
            <w:r>
              <w:rPr>
                <w:spacing w:val="-18"/>
                <w:sz w:val="21"/>
              </w:rPr>
              <w:t>第 </w:t>
            </w:r>
            <w:r>
              <w:rPr>
                <w:rFonts w:ascii="Times New Roman" w:eastAsia="Times New Roman"/>
                <w:sz w:val="21"/>
              </w:rPr>
              <w:t>III </w:t>
            </w:r>
            <w:r>
              <w:rPr>
                <w:spacing w:val="-5"/>
                <w:sz w:val="21"/>
              </w:rPr>
              <w:t>期，临床表现为肢体象皮肿，患肢较键肢增粗 </w:t>
            </w:r>
            <w:r>
              <w:rPr>
                <w:rFonts w:ascii="Times New Roman" w:eastAsia="Times New Roman"/>
                <w:sz w:val="21"/>
              </w:rPr>
              <w:t>30%</w:t>
            </w:r>
            <w:r>
              <w:rPr>
                <w:spacing w:val="-3"/>
                <w:sz w:val="21"/>
              </w:rPr>
              <w:t>以上，日常生活不能自</w:t>
            </w:r>
          </w:p>
          <w:p>
            <w:pPr>
              <w:pStyle w:val="TableParagraph"/>
              <w:spacing w:line="254" w:lineRule="exact" w:before="0"/>
              <w:ind w:left="75"/>
              <w:rPr>
                <w:sz w:val="21"/>
              </w:rPr>
            </w:pPr>
            <w:r>
              <w:rPr>
                <w:sz w:val="21"/>
              </w:rPr>
              <w:t>理。</w:t>
            </w:r>
          </w:p>
        </w:tc>
      </w:tr>
    </w:tbl>
    <w:p>
      <w:pPr>
        <w:spacing w:after="0" w:line="254" w:lineRule="exact"/>
        <w:rPr>
          <w:sz w:val="21"/>
        </w:rPr>
        <w:sectPr>
          <w:pgSz w:w="11910" w:h="16840"/>
          <w:pgMar w:header="0" w:footer="915" w:top="1460" w:bottom="1100" w:left="1220" w:right="11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5"/>
        <w:gridCol w:w="7650"/>
      </w:tblGrid>
      <w:tr>
        <w:trPr>
          <w:trHeight w:val="2882" w:hRule="atLeast"/>
        </w:trPr>
        <w:tc>
          <w:tcPr>
            <w:tcW w:w="1665" w:type="dxa"/>
          </w:tcPr>
          <w:p>
            <w:pPr>
              <w:pStyle w:val="TableParagraph"/>
              <w:spacing w:line="204" w:lineRule="exact" w:before="0"/>
              <w:ind w:left="200"/>
              <w:rPr>
                <w:b/>
                <w:sz w:val="21"/>
              </w:rPr>
            </w:pPr>
            <w:r>
              <w:rPr>
                <w:b/>
                <w:sz w:val="21"/>
              </w:rPr>
              <w:t>56. 埃博拉病</w:t>
            </w:r>
          </w:p>
          <w:p>
            <w:pPr>
              <w:pStyle w:val="TableParagraph"/>
              <w:spacing w:before="85"/>
              <w:ind w:left="200"/>
              <w:rPr>
                <w:b/>
                <w:sz w:val="21"/>
              </w:rPr>
            </w:pPr>
            <w:r>
              <w:rPr>
                <w:b/>
                <w:sz w:val="21"/>
              </w:rPr>
              <w:t>毒感染</w:t>
            </w:r>
          </w:p>
        </w:tc>
        <w:tc>
          <w:tcPr>
            <w:tcW w:w="7650" w:type="dxa"/>
          </w:tcPr>
          <w:p>
            <w:pPr>
              <w:pStyle w:val="TableParagraph"/>
              <w:spacing w:line="204" w:lineRule="exact" w:before="0"/>
              <w:rPr>
                <w:sz w:val="21"/>
              </w:rPr>
            </w:pPr>
            <w:r>
              <w:rPr>
                <w:sz w:val="21"/>
              </w:rPr>
              <w:t>指埃博拉病毒感染导致的急性出血性传染病。埃博拉病毒病必须经国家认可的有</w:t>
            </w:r>
          </w:p>
          <w:p>
            <w:pPr>
              <w:pStyle w:val="TableParagraph"/>
              <w:spacing w:line="312" w:lineRule="auto" w:before="85"/>
              <w:ind w:right="190"/>
              <w:rPr>
                <w:sz w:val="21"/>
              </w:rPr>
            </w:pPr>
            <w:r>
              <w:rPr>
                <w:sz w:val="21"/>
              </w:rPr>
              <w:t>合法资质的传染病专家确诊并且上报国家疾病控制中心接受了隔离和治疗，必须满足以下所有条件：</w:t>
            </w:r>
          </w:p>
          <w:p>
            <w:pPr>
              <w:pStyle w:val="TableParagraph"/>
              <w:spacing w:before="21"/>
              <w:rPr>
                <w:sz w:val="21"/>
              </w:rPr>
            </w:pPr>
            <w:r>
              <w:rPr>
                <w:sz w:val="21"/>
              </w:rPr>
              <w:t>（1）实验室检查证据证实存在埃博拉病毒感染；</w:t>
            </w:r>
          </w:p>
          <w:p>
            <w:pPr>
              <w:pStyle w:val="TableParagraph"/>
              <w:spacing w:before="82"/>
              <w:rPr>
                <w:sz w:val="21"/>
              </w:rPr>
            </w:pPr>
            <w:r>
              <w:rPr>
                <w:sz w:val="21"/>
              </w:rPr>
              <w:t>（2）存在广泛出血的临床表现；</w:t>
            </w:r>
          </w:p>
          <w:p>
            <w:pPr>
              <w:pStyle w:val="TableParagraph"/>
              <w:spacing w:before="85"/>
              <w:rPr>
                <w:sz w:val="21"/>
              </w:rPr>
            </w:pPr>
            <w:r>
              <w:rPr>
                <w:sz w:val="21"/>
              </w:rPr>
              <w:t>（3）病程持续 30 天以上。</w:t>
            </w:r>
          </w:p>
          <w:p>
            <w:pPr>
              <w:pStyle w:val="TableParagraph"/>
              <w:spacing w:line="314" w:lineRule="auto" w:before="82"/>
              <w:ind w:right="264"/>
              <w:rPr>
                <w:rFonts w:ascii="黑体" w:eastAsia="黑体" w:hint="eastAsia"/>
                <w:sz w:val="21"/>
              </w:rPr>
            </w:pPr>
            <w:r>
              <w:rPr>
                <w:rFonts w:ascii="黑体" w:eastAsia="黑体" w:hint="eastAsia"/>
                <w:sz w:val="21"/>
              </w:rPr>
              <w:t>单纯实验室诊断但没有临床出血表现的或者在确诊之前已经死亡的不在本保障范围内。</w:t>
            </w:r>
          </w:p>
        </w:tc>
      </w:tr>
      <w:tr>
        <w:trPr>
          <w:trHeight w:val="3049" w:hRule="atLeast"/>
        </w:trPr>
        <w:tc>
          <w:tcPr>
            <w:tcW w:w="1665" w:type="dxa"/>
          </w:tcPr>
          <w:p>
            <w:pPr>
              <w:pStyle w:val="TableParagraph"/>
              <w:spacing w:line="314" w:lineRule="auto"/>
              <w:ind w:left="200" w:right="92"/>
              <w:rPr>
                <w:b/>
                <w:sz w:val="21"/>
              </w:rPr>
            </w:pPr>
            <w:r>
              <w:rPr>
                <w:b/>
                <w:sz w:val="21"/>
              </w:rPr>
              <w:t>57. 严重自身免疫性肝炎</w:t>
            </w:r>
          </w:p>
        </w:tc>
        <w:tc>
          <w:tcPr>
            <w:tcW w:w="7650" w:type="dxa"/>
          </w:tcPr>
          <w:p>
            <w:pPr>
              <w:pStyle w:val="TableParagraph"/>
              <w:spacing w:line="314" w:lineRule="auto"/>
              <w:ind w:right="251"/>
              <w:jc w:val="both"/>
              <w:rPr>
                <w:sz w:val="21"/>
              </w:rPr>
            </w:pPr>
            <w:r>
              <w:rPr>
                <w:spacing w:val="-5"/>
                <w:sz w:val="21"/>
              </w:rPr>
              <w:t>自身免疫性肝炎是一种原因不明的慢性肝脏的坏死性炎性疾病，机体免疫机制被</w:t>
            </w:r>
            <w:r>
              <w:rPr>
                <w:spacing w:val="-8"/>
                <w:sz w:val="21"/>
              </w:rPr>
              <w:t>破坏，产生针对肝脏自身抗原的抗体导致自身免疫反应，从而破坏肝细胞造成肝</w:t>
            </w:r>
            <w:r>
              <w:rPr>
                <w:spacing w:val="-5"/>
                <w:sz w:val="21"/>
              </w:rPr>
              <w:t>脏炎症坏死，进而发展为肝硬化。必须满足所有以下条件：</w:t>
            </w:r>
          </w:p>
          <w:p>
            <w:pPr>
              <w:pStyle w:val="TableParagraph"/>
              <w:spacing w:before="19"/>
              <w:rPr>
                <w:sz w:val="21"/>
              </w:rPr>
            </w:pPr>
            <w:r>
              <w:rPr>
                <w:sz w:val="21"/>
              </w:rPr>
              <w:t>（</w:t>
            </w:r>
            <w:r>
              <w:rPr>
                <w:rFonts w:ascii="Times New Roman" w:hAnsi="Times New Roman" w:eastAsia="Times New Roman"/>
                <w:sz w:val="21"/>
              </w:rPr>
              <w:t>1</w:t>
            </w:r>
            <w:r>
              <w:rPr>
                <w:sz w:val="21"/>
              </w:rPr>
              <w:t>）高</w:t>
            </w:r>
            <w:r>
              <w:rPr>
                <w:rFonts w:ascii="Arial" w:hAnsi="Arial" w:eastAsia="Arial"/>
                <w:sz w:val="21"/>
              </w:rPr>
              <w:t>γ</w:t>
            </w:r>
            <w:r>
              <w:rPr>
                <w:rFonts w:ascii="Arial" w:hAnsi="Arial" w:eastAsia="Arial"/>
                <w:spacing w:val="55"/>
                <w:sz w:val="21"/>
              </w:rPr>
              <w:t> </w:t>
            </w:r>
            <w:r>
              <w:rPr>
                <w:spacing w:val="-3"/>
                <w:sz w:val="21"/>
              </w:rPr>
              <w:t>球蛋白血症；</w:t>
            </w:r>
          </w:p>
          <w:p>
            <w:pPr>
              <w:pStyle w:val="TableParagraph"/>
              <w:spacing w:line="297" w:lineRule="auto" w:before="66"/>
              <w:ind w:left="613" w:right="250" w:hanging="519"/>
              <w:rPr>
                <w:sz w:val="21"/>
              </w:rPr>
            </w:pPr>
            <w:r>
              <w:rPr>
                <w:sz w:val="21"/>
              </w:rPr>
              <w:t>（</w:t>
            </w:r>
            <w:r>
              <w:rPr>
                <w:rFonts w:ascii="Times New Roman" w:eastAsia="Times New Roman"/>
                <w:sz w:val="21"/>
              </w:rPr>
              <w:t>2</w:t>
            </w:r>
            <w:r>
              <w:rPr>
                <w:sz w:val="21"/>
              </w:rPr>
              <w:t>）</w:t>
            </w:r>
            <w:r>
              <w:rPr>
                <w:spacing w:val="-3"/>
                <w:sz w:val="21"/>
              </w:rPr>
              <w:t>血液中存在高水平的自身免疫抗体，如 </w:t>
            </w:r>
            <w:r>
              <w:rPr>
                <w:rFonts w:ascii="Times New Roman" w:eastAsia="Times New Roman"/>
                <w:sz w:val="21"/>
              </w:rPr>
              <w:t>ANA</w:t>
            </w:r>
            <w:r>
              <w:rPr>
                <w:sz w:val="21"/>
              </w:rPr>
              <w:t>（</w:t>
            </w:r>
            <w:r>
              <w:rPr>
                <w:spacing w:val="-2"/>
                <w:sz w:val="21"/>
              </w:rPr>
              <w:t>抗核抗体</w:t>
            </w:r>
            <w:r>
              <w:rPr>
                <w:spacing w:val="-108"/>
                <w:sz w:val="21"/>
              </w:rPr>
              <w:t>）</w:t>
            </w:r>
            <w:r>
              <w:rPr>
                <w:sz w:val="21"/>
              </w:rPr>
              <w:t>、</w:t>
            </w:r>
            <w:r>
              <w:rPr>
                <w:rFonts w:ascii="Times New Roman" w:eastAsia="Times New Roman"/>
                <w:sz w:val="21"/>
              </w:rPr>
              <w:t>SMA</w:t>
            </w:r>
            <w:r>
              <w:rPr>
                <w:sz w:val="21"/>
              </w:rPr>
              <w:t>（</w:t>
            </w:r>
            <w:r>
              <w:rPr>
                <w:spacing w:val="-2"/>
                <w:sz w:val="21"/>
              </w:rPr>
              <w:t>抗平滑</w:t>
            </w:r>
            <w:r>
              <w:rPr>
                <w:spacing w:val="-3"/>
                <w:sz w:val="21"/>
              </w:rPr>
              <w:t>肌抗体</w:t>
            </w:r>
            <w:r>
              <w:rPr>
                <w:spacing w:val="-106"/>
                <w:sz w:val="21"/>
              </w:rPr>
              <w:t>）</w:t>
            </w:r>
            <w:r>
              <w:rPr>
                <w:spacing w:val="-19"/>
                <w:sz w:val="21"/>
              </w:rPr>
              <w:t>、抗 </w:t>
            </w:r>
            <w:r>
              <w:rPr>
                <w:rFonts w:ascii="Times New Roman" w:eastAsia="Times New Roman"/>
                <w:sz w:val="21"/>
              </w:rPr>
              <w:t>LKM1 </w:t>
            </w:r>
            <w:r>
              <w:rPr>
                <w:spacing w:val="-2"/>
                <w:sz w:val="21"/>
              </w:rPr>
              <w:t>抗体或抗</w:t>
            </w:r>
            <w:r>
              <w:rPr>
                <w:rFonts w:ascii="Times New Roman" w:eastAsia="Times New Roman"/>
                <w:sz w:val="21"/>
              </w:rPr>
              <w:t>-SLA/LP </w:t>
            </w:r>
            <w:r>
              <w:rPr>
                <w:spacing w:val="-2"/>
                <w:sz w:val="21"/>
              </w:rPr>
              <w:t>抗体；</w:t>
            </w:r>
          </w:p>
          <w:p>
            <w:pPr>
              <w:pStyle w:val="TableParagraph"/>
              <w:spacing w:before="10"/>
              <w:jc w:val="both"/>
              <w:rPr>
                <w:sz w:val="21"/>
              </w:rPr>
            </w:pPr>
            <w:r>
              <w:rPr>
                <w:sz w:val="21"/>
              </w:rPr>
              <w:t>（</w:t>
            </w:r>
            <w:r>
              <w:rPr>
                <w:rFonts w:ascii="Times New Roman" w:eastAsia="Times New Roman"/>
                <w:sz w:val="21"/>
              </w:rPr>
              <w:t>3</w:t>
            </w:r>
            <w:r>
              <w:rPr>
                <w:sz w:val="21"/>
              </w:rPr>
              <w:t>）肝脏活检证实免疫性肝炎；</w:t>
            </w:r>
          </w:p>
          <w:p>
            <w:pPr>
              <w:pStyle w:val="TableParagraph"/>
              <w:spacing w:before="68"/>
              <w:jc w:val="both"/>
              <w:rPr>
                <w:sz w:val="21"/>
              </w:rPr>
            </w:pPr>
            <w:r>
              <w:rPr>
                <w:sz w:val="21"/>
              </w:rPr>
              <w:t>（</w:t>
            </w:r>
            <w:r>
              <w:rPr>
                <w:rFonts w:ascii="Times New Roman" w:eastAsia="Times New Roman"/>
                <w:sz w:val="21"/>
              </w:rPr>
              <w:t>4</w:t>
            </w:r>
            <w:r>
              <w:rPr>
                <w:sz w:val="21"/>
              </w:rPr>
              <w:t>）临床已经出现腹水、食道静脉曲张和脾肿大等肝硬化表现。</w:t>
            </w:r>
          </w:p>
        </w:tc>
      </w:tr>
      <w:tr>
        <w:trPr>
          <w:trHeight w:val="3021" w:hRule="atLeast"/>
        </w:trPr>
        <w:tc>
          <w:tcPr>
            <w:tcW w:w="1665" w:type="dxa"/>
          </w:tcPr>
          <w:p>
            <w:pPr>
              <w:pStyle w:val="TableParagraph"/>
              <w:spacing w:line="314" w:lineRule="auto" w:before="79"/>
              <w:ind w:left="200" w:right="92"/>
              <w:rPr>
                <w:b/>
                <w:sz w:val="21"/>
              </w:rPr>
            </w:pPr>
            <w:r>
              <w:rPr>
                <w:b/>
                <w:sz w:val="21"/>
              </w:rPr>
              <w:t>58. 失去一肢及一眼</w:t>
            </w:r>
          </w:p>
        </w:tc>
        <w:tc>
          <w:tcPr>
            <w:tcW w:w="7650" w:type="dxa"/>
          </w:tcPr>
          <w:p>
            <w:pPr>
              <w:pStyle w:val="TableParagraph"/>
              <w:spacing w:line="314" w:lineRule="auto" w:before="79"/>
              <w:ind w:right="187"/>
              <w:rPr>
                <w:sz w:val="21"/>
              </w:rPr>
            </w:pPr>
            <w:r>
              <w:rPr>
                <w:sz w:val="21"/>
              </w:rPr>
              <w:t>因疾病或意外伤害导致单眼视力丧失及任何一肢自腕关节或踝关节近端（靠近躯干端）以上完全性断离。</w:t>
            </w:r>
          </w:p>
          <w:p>
            <w:pPr>
              <w:pStyle w:val="TableParagraph"/>
              <w:spacing w:before="17"/>
              <w:rPr>
                <w:sz w:val="21"/>
              </w:rPr>
            </w:pPr>
            <w:r>
              <w:rPr>
                <w:sz w:val="21"/>
              </w:rPr>
              <w:t>一眼视力丧失指一只眼视力永久不可逆性丧失，患眼须满足下列至少一项条件：</w:t>
            </w:r>
          </w:p>
          <w:p>
            <w:pPr>
              <w:pStyle w:val="TableParagraph"/>
              <w:spacing w:before="85"/>
              <w:rPr>
                <w:sz w:val="21"/>
              </w:rPr>
            </w:pPr>
            <w:r>
              <w:rPr>
                <w:sz w:val="21"/>
              </w:rPr>
              <w:t>（</w:t>
            </w:r>
            <w:r>
              <w:rPr>
                <w:rFonts w:ascii="Times New Roman" w:eastAsia="Times New Roman"/>
                <w:sz w:val="21"/>
              </w:rPr>
              <w:t>1</w:t>
            </w:r>
            <w:r>
              <w:rPr>
                <w:sz w:val="21"/>
              </w:rPr>
              <w:t>）眼球缺失或摘除；</w:t>
            </w:r>
          </w:p>
          <w:p>
            <w:pPr>
              <w:pStyle w:val="TableParagraph"/>
              <w:spacing w:line="297" w:lineRule="auto" w:before="66"/>
              <w:ind w:left="613" w:right="250" w:hanging="519"/>
              <w:rPr>
                <w:sz w:val="21"/>
              </w:rPr>
            </w:pPr>
            <w:r>
              <w:rPr>
                <w:sz w:val="21"/>
              </w:rPr>
              <w:t>（</w:t>
            </w:r>
            <w:r>
              <w:rPr>
                <w:rFonts w:ascii="Times New Roman" w:eastAsia="Times New Roman"/>
                <w:sz w:val="21"/>
              </w:rPr>
              <w:t>2</w:t>
            </w:r>
            <w:r>
              <w:rPr>
                <w:sz w:val="21"/>
              </w:rPr>
              <w:t>）</w:t>
            </w:r>
            <w:r>
              <w:rPr>
                <w:spacing w:val="0"/>
                <w:sz w:val="21"/>
              </w:rPr>
              <w:t>矫正视力低于 </w:t>
            </w:r>
            <w:r>
              <w:rPr>
                <w:rFonts w:ascii="Times New Roman" w:eastAsia="Times New Roman"/>
                <w:sz w:val="21"/>
              </w:rPr>
              <w:t>0.02</w:t>
            </w:r>
            <w:r>
              <w:rPr>
                <w:sz w:val="21"/>
              </w:rPr>
              <w:t>（</w:t>
            </w:r>
            <w:r>
              <w:rPr>
                <w:spacing w:val="-3"/>
                <w:sz w:val="21"/>
              </w:rPr>
              <w:t>采用国际标准视力表，如果使用其它视力表应进行换</w:t>
            </w:r>
            <w:r>
              <w:rPr>
                <w:spacing w:val="-3"/>
                <w:w w:val="100"/>
                <w:sz w:val="21"/>
              </w:rPr>
              <w:t>算</w:t>
            </w:r>
            <w:r>
              <w:rPr>
                <w:spacing w:val="-106"/>
                <w:w w:val="100"/>
                <w:sz w:val="21"/>
              </w:rPr>
              <w:t>）</w:t>
            </w:r>
            <w:r>
              <w:rPr>
                <w:w w:val="100"/>
                <w:sz w:val="21"/>
              </w:rPr>
              <w:t>；</w:t>
            </w:r>
          </w:p>
          <w:p>
            <w:pPr>
              <w:pStyle w:val="TableParagraph"/>
              <w:spacing w:before="32"/>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before="69"/>
              <w:rPr>
                <w:rFonts w:ascii="黑体" w:eastAsia="黑体" w:hint="eastAsia"/>
                <w:sz w:val="21"/>
              </w:rPr>
            </w:pPr>
            <w:r>
              <w:rPr>
                <w:rFonts w:ascii="黑体" w:eastAsia="黑体" w:hint="eastAsia"/>
                <w:sz w:val="21"/>
              </w:rPr>
              <w:t>被保险人在 3 周岁之前因疾病导致单眼视力丧失不在保障范围内。</w:t>
            </w:r>
          </w:p>
        </w:tc>
      </w:tr>
      <w:tr>
        <w:trPr>
          <w:trHeight w:val="1523" w:hRule="atLeast"/>
        </w:trPr>
        <w:tc>
          <w:tcPr>
            <w:tcW w:w="1665" w:type="dxa"/>
          </w:tcPr>
          <w:p>
            <w:pPr>
              <w:pStyle w:val="TableParagraph"/>
              <w:spacing w:line="314" w:lineRule="auto" w:before="99"/>
              <w:ind w:left="200" w:right="92"/>
              <w:jc w:val="both"/>
              <w:rPr>
                <w:b/>
                <w:sz w:val="21"/>
              </w:rPr>
            </w:pPr>
            <w:r>
              <w:rPr>
                <w:b/>
                <w:sz w:val="21"/>
              </w:rPr>
              <w:t>59. 溶血性链球菌感染引起的坏疽</w:t>
            </w:r>
          </w:p>
        </w:tc>
        <w:tc>
          <w:tcPr>
            <w:tcW w:w="7650" w:type="dxa"/>
          </w:tcPr>
          <w:p>
            <w:pPr>
              <w:pStyle w:val="TableParagraph"/>
              <w:spacing w:line="273" w:lineRule="auto" w:before="75"/>
              <w:ind w:right="253"/>
              <w:rPr>
                <w:sz w:val="21"/>
              </w:rPr>
            </w:pPr>
            <w:r>
              <w:rPr>
                <w:spacing w:val="-6"/>
                <w:sz w:val="21"/>
              </w:rPr>
              <w:t>由于急性溶血性链球菌感染导致广泛的皮肤、皮下组织和深层组织的坏死。必须</w:t>
            </w:r>
            <w:r>
              <w:rPr>
                <w:spacing w:val="-4"/>
                <w:sz w:val="21"/>
              </w:rPr>
              <w:t>满足以下所有条件：</w:t>
            </w:r>
          </w:p>
          <w:p>
            <w:pPr>
              <w:pStyle w:val="TableParagraph"/>
              <w:spacing w:before="31"/>
              <w:rPr>
                <w:sz w:val="21"/>
              </w:rPr>
            </w:pPr>
            <w:r>
              <w:rPr>
                <w:sz w:val="21"/>
              </w:rPr>
              <w:t>（1）细菌培养证实致病菌为溶血性链球菌；</w:t>
            </w:r>
          </w:p>
          <w:p>
            <w:pPr>
              <w:pStyle w:val="TableParagraph"/>
              <w:spacing w:before="82"/>
              <w:rPr>
                <w:sz w:val="21"/>
              </w:rPr>
            </w:pPr>
            <w:r>
              <w:rPr>
                <w:spacing w:val="-1"/>
                <w:sz w:val="21"/>
              </w:rPr>
              <w:t>（2）</w:t>
            </w:r>
            <w:r>
              <w:rPr>
                <w:spacing w:val="-3"/>
                <w:sz w:val="21"/>
              </w:rPr>
              <w:t>受感染肢体被截肢（自腕关节或踝关节近端</w:t>
            </w:r>
            <w:r>
              <w:rPr>
                <w:spacing w:val="-108"/>
                <w:sz w:val="21"/>
              </w:rPr>
              <w:t>）</w:t>
            </w:r>
            <w:r>
              <w:rPr>
                <w:sz w:val="21"/>
              </w:rPr>
              <w:t>。</w:t>
            </w:r>
          </w:p>
        </w:tc>
      </w:tr>
      <w:tr>
        <w:trPr>
          <w:trHeight w:val="3241" w:hRule="atLeast"/>
        </w:trPr>
        <w:tc>
          <w:tcPr>
            <w:tcW w:w="1665" w:type="dxa"/>
          </w:tcPr>
          <w:p>
            <w:pPr>
              <w:pStyle w:val="TableParagraph"/>
              <w:spacing w:line="312" w:lineRule="auto" w:before="89"/>
              <w:ind w:left="200" w:right="92"/>
              <w:rPr>
                <w:b/>
                <w:sz w:val="21"/>
              </w:rPr>
            </w:pPr>
            <w:r>
              <w:rPr>
                <w:b/>
                <w:sz w:val="21"/>
              </w:rPr>
              <w:t>60. 原发性骨髓纤维化</w:t>
            </w:r>
          </w:p>
        </w:tc>
        <w:tc>
          <w:tcPr>
            <w:tcW w:w="7650" w:type="dxa"/>
          </w:tcPr>
          <w:p>
            <w:pPr>
              <w:pStyle w:val="TableParagraph"/>
              <w:spacing w:line="312" w:lineRule="auto" w:before="89"/>
              <w:ind w:right="251"/>
              <w:rPr>
                <w:sz w:val="21"/>
              </w:rPr>
            </w:pPr>
            <w:r>
              <w:rPr>
                <w:spacing w:val="-6"/>
                <w:sz w:val="21"/>
              </w:rPr>
              <w:t>原发性骨髓纤维化以骨髓纤维增生和髓外造血为特点，表现为进行性贫血、脾肿</w:t>
            </w:r>
            <w:r>
              <w:rPr>
                <w:spacing w:val="-4"/>
                <w:sz w:val="21"/>
              </w:rPr>
              <w:t>大、外周血幼稚细胞等等。</w:t>
            </w:r>
          </w:p>
          <w:p>
            <w:pPr>
              <w:pStyle w:val="TableParagraph"/>
              <w:spacing w:line="295" w:lineRule="auto" w:before="22"/>
              <w:ind w:right="252"/>
              <w:rPr>
                <w:sz w:val="21"/>
              </w:rPr>
            </w:pPr>
            <w:r>
              <w:rPr>
                <w:sz w:val="21"/>
              </w:rPr>
              <w:t>被保险人被明确诊断为原发性骨髓纤维化持续 </w:t>
            </w:r>
            <w:r>
              <w:rPr>
                <w:rFonts w:ascii="Arial" w:eastAsia="Arial"/>
                <w:sz w:val="21"/>
              </w:rPr>
              <w:t>180 </w:t>
            </w:r>
            <w:r>
              <w:rPr>
                <w:sz w:val="21"/>
              </w:rPr>
              <w:t>天，并符合以下条件中的三项：</w:t>
            </w:r>
          </w:p>
          <w:p>
            <w:pPr>
              <w:pStyle w:val="TableParagraph"/>
              <w:spacing w:before="36"/>
              <w:rPr>
                <w:sz w:val="21"/>
              </w:rPr>
            </w:pPr>
            <w:r>
              <w:rPr>
                <w:sz w:val="21"/>
              </w:rPr>
              <w:t>（1）血红蛋白</w:t>
            </w:r>
            <w:r>
              <w:rPr>
                <w:rFonts w:ascii="Times New Roman" w:eastAsia="Times New Roman"/>
                <w:sz w:val="21"/>
              </w:rPr>
              <w:t>&lt;100g/l</w:t>
            </w:r>
            <w:r>
              <w:rPr>
                <w:sz w:val="21"/>
              </w:rPr>
              <w:t>；</w:t>
            </w:r>
          </w:p>
          <w:p>
            <w:pPr>
              <w:pStyle w:val="TableParagraph"/>
              <w:spacing w:before="66"/>
              <w:rPr>
                <w:sz w:val="21"/>
              </w:rPr>
            </w:pPr>
            <w:r>
              <w:rPr>
                <w:sz w:val="21"/>
              </w:rPr>
              <w:t>（2）白细胞计数</w:t>
            </w:r>
            <w:r>
              <w:rPr>
                <w:rFonts w:ascii="Times New Roman" w:eastAsia="Times New Roman"/>
                <w:sz w:val="21"/>
              </w:rPr>
              <w:t>&gt;25x10</w:t>
            </w:r>
            <w:r>
              <w:rPr>
                <w:rFonts w:ascii="Times New Roman" w:eastAsia="Times New Roman"/>
                <w:sz w:val="21"/>
                <w:vertAlign w:val="superscript"/>
              </w:rPr>
              <w:t>9</w:t>
            </w:r>
            <w:r>
              <w:rPr>
                <w:rFonts w:ascii="Times New Roman" w:eastAsia="Times New Roman"/>
                <w:sz w:val="21"/>
                <w:vertAlign w:val="baseline"/>
              </w:rPr>
              <w:t>/l</w:t>
            </w:r>
            <w:r>
              <w:rPr>
                <w:sz w:val="21"/>
                <w:vertAlign w:val="baseline"/>
              </w:rPr>
              <w:t>；</w:t>
            </w:r>
          </w:p>
          <w:p>
            <w:pPr>
              <w:pStyle w:val="TableParagraph"/>
              <w:spacing w:before="69"/>
              <w:rPr>
                <w:rFonts w:ascii="Times New Roman" w:hAnsi="Times New Roman" w:eastAsia="Times New Roman"/>
                <w:sz w:val="21"/>
              </w:rPr>
            </w:pPr>
            <w:r>
              <w:rPr>
                <w:sz w:val="21"/>
              </w:rPr>
              <w:t>（3）外周血原始细胞</w:t>
            </w:r>
            <w:r>
              <w:rPr>
                <w:rFonts w:ascii="Times New Roman" w:hAnsi="Times New Roman" w:eastAsia="Times New Roman"/>
                <w:sz w:val="21"/>
              </w:rPr>
              <w:t>≥1%;</w:t>
            </w:r>
          </w:p>
          <w:p>
            <w:pPr>
              <w:pStyle w:val="TableParagraph"/>
              <w:spacing w:before="66"/>
              <w:rPr>
                <w:sz w:val="21"/>
              </w:rPr>
            </w:pPr>
            <w:r>
              <w:rPr>
                <w:sz w:val="21"/>
              </w:rPr>
              <w:t>（4）血小板计数</w:t>
            </w:r>
            <w:r>
              <w:rPr>
                <w:rFonts w:ascii="Times New Roman" w:eastAsia="Times New Roman"/>
                <w:sz w:val="21"/>
              </w:rPr>
              <w:t>&lt;100x10</w:t>
            </w:r>
            <w:r>
              <w:rPr>
                <w:rFonts w:ascii="Times New Roman" w:eastAsia="Times New Roman"/>
                <w:sz w:val="21"/>
                <w:vertAlign w:val="superscript"/>
              </w:rPr>
              <w:t>9</w:t>
            </w:r>
            <w:r>
              <w:rPr>
                <w:rFonts w:ascii="Times New Roman" w:eastAsia="Times New Roman"/>
                <w:sz w:val="21"/>
                <w:vertAlign w:val="baseline"/>
              </w:rPr>
              <w:t>/</w:t>
            </w:r>
            <w:r>
              <w:rPr>
                <w:rFonts w:ascii="Times New Roman" w:eastAsia="Times New Roman"/>
                <w:sz w:val="21"/>
                <w:vertAlign w:val="baseline"/>
              </w:rPr>
              <w:t>l</w:t>
            </w:r>
            <w:r>
              <w:rPr>
                <w:sz w:val="21"/>
                <w:vertAlign w:val="baseline"/>
              </w:rPr>
              <w:t>；</w:t>
            </w:r>
          </w:p>
          <w:p>
            <w:pPr>
              <w:pStyle w:val="TableParagraph"/>
              <w:spacing w:line="262" w:lineRule="exact" w:before="68"/>
              <w:rPr>
                <w:rFonts w:ascii="黑体" w:eastAsia="黑体" w:hint="eastAsia"/>
                <w:sz w:val="21"/>
              </w:rPr>
            </w:pPr>
            <w:r>
              <w:rPr>
                <w:rFonts w:ascii="黑体" w:eastAsia="黑体" w:hint="eastAsia"/>
                <w:sz w:val="21"/>
              </w:rPr>
              <w:t>恶性肿瘤、中毒、放射线和感染所致的继发性骨髓纤维化除外。</w:t>
            </w:r>
          </w:p>
        </w:tc>
      </w:tr>
    </w:tbl>
    <w:p>
      <w:pPr>
        <w:spacing w:after="0" w:line="262" w:lineRule="exact"/>
        <w:rPr>
          <w:rFonts w:ascii="黑体" w:eastAsia="黑体" w:hint="eastAsia"/>
          <w:sz w:val="21"/>
        </w:rPr>
        <w:sectPr>
          <w:pgSz w:w="11910" w:h="16840"/>
          <w:pgMar w:header="0" w:footer="915" w:top="1480" w:bottom="1100" w:left="1220" w:right="1160"/>
        </w:sectPr>
      </w:pPr>
    </w:p>
    <w:p>
      <w:pPr>
        <w:pStyle w:val="BodyText"/>
        <w:spacing w:before="6"/>
        <w:rPr>
          <w:rFonts w:ascii="Times New Roman"/>
          <w:sz w:val="5"/>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5"/>
        <w:gridCol w:w="7702"/>
      </w:tblGrid>
      <w:tr>
        <w:trPr>
          <w:trHeight w:val="2523" w:hRule="atLeast"/>
        </w:trPr>
        <w:tc>
          <w:tcPr>
            <w:tcW w:w="1665" w:type="dxa"/>
          </w:tcPr>
          <w:p>
            <w:pPr>
              <w:pStyle w:val="TableParagraph"/>
              <w:spacing w:line="211" w:lineRule="exact" w:before="0"/>
              <w:ind w:left="200"/>
              <w:rPr>
                <w:b/>
                <w:sz w:val="21"/>
              </w:rPr>
            </w:pPr>
            <w:r>
              <w:rPr>
                <w:b/>
                <w:sz w:val="21"/>
              </w:rPr>
              <w:t>61. 重症骨髓</w:t>
            </w:r>
          </w:p>
          <w:p>
            <w:pPr>
              <w:pStyle w:val="TableParagraph"/>
              <w:spacing w:line="312" w:lineRule="auto" w:before="85"/>
              <w:ind w:left="200" w:right="117"/>
              <w:rPr>
                <w:b/>
                <w:sz w:val="21"/>
              </w:rPr>
            </w:pPr>
            <w:r>
              <w:rPr>
                <w:b/>
                <w:sz w:val="21"/>
              </w:rPr>
              <w:t>增生异常综合征</w:t>
            </w:r>
          </w:p>
        </w:tc>
        <w:tc>
          <w:tcPr>
            <w:tcW w:w="7702" w:type="dxa"/>
          </w:tcPr>
          <w:p>
            <w:pPr>
              <w:pStyle w:val="TableParagraph"/>
              <w:spacing w:line="211" w:lineRule="exact" w:before="0"/>
              <w:rPr>
                <w:sz w:val="21"/>
              </w:rPr>
            </w:pPr>
            <w:r>
              <w:rPr>
                <w:sz w:val="21"/>
              </w:rPr>
              <w:t>骨髓增生异常综合征是起源于造血干细胞的一组骨髓克隆异常的疾病，表现为无</w:t>
            </w:r>
          </w:p>
          <w:p>
            <w:pPr>
              <w:pStyle w:val="TableParagraph"/>
              <w:spacing w:before="85"/>
              <w:rPr>
                <w:sz w:val="21"/>
              </w:rPr>
            </w:pPr>
            <w:r>
              <w:rPr>
                <w:sz w:val="21"/>
              </w:rPr>
              <w:t>效造血、难治性血细胞减少，有转化为急性髓系白血病的风险。</w:t>
            </w:r>
          </w:p>
          <w:p>
            <w:pPr>
              <w:pStyle w:val="TableParagraph"/>
              <w:spacing w:line="314" w:lineRule="auto" w:before="82"/>
              <w:ind w:right="242"/>
              <w:rPr>
                <w:sz w:val="21"/>
              </w:rPr>
            </w:pPr>
            <w:r>
              <w:rPr>
                <w:sz w:val="21"/>
              </w:rPr>
              <w:t>被保险人根据外周血和骨髓活检被明确诊断为骨髓增生异常综合征，并且符合所有以下条件：</w:t>
            </w:r>
          </w:p>
          <w:p>
            <w:pPr>
              <w:pStyle w:val="TableParagraph"/>
              <w:spacing w:before="17"/>
              <w:rPr>
                <w:sz w:val="21"/>
              </w:rPr>
            </w:pPr>
            <w:r>
              <w:rPr>
                <w:w w:val="100"/>
                <w:sz w:val="21"/>
              </w:rPr>
              <w:t>（</w:t>
            </w:r>
            <w:r>
              <w:rPr>
                <w:rFonts w:ascii="Times New Roman" w:eastAsia="Times New Roman"/>
                <w:w w:val="100"/>
                <w:sz w:val="21"/>
              </w:rPr>
              <w:t>1</w:t>
            </w:r>
            <w:r>
              <w:rPr>
                <w:spacing w:val="-3"/>
                <w:w w:val="100"/>
                <w:sz w:val="21"/>
              </w:rPr>
              <w:t>）</w:t>
            </w:r>
            <w:r>
              <w:rPr>
                <w:w w:val="100"/>
                <w:sz w:val="21"/>
              </w:rPr>
              <w:t>F</w:t>
            </w:r>
            <w:r>
              <w:rPr>
                <w:rFonts w:ascii="Times New Roman" w:eastAsia="Times New Roman"/>
                <w:spacing w:val="-2"/>
                <w:w w:val="100"/>
                <w:sz w:val="21"/>
              </w:rPr>
              <w:t>A</w:t>
            </w:r>
            <w:r>
              <w:rPr>
                <w:rFonts w:ascii="Times New Roman" w:eastAsia="Times New Roman"/>
                <w:w w:val="100"/>
                <w:sz w:val="21"/>
              </w:rPr>
              <w:t>B</w:t>
            </w:r>
            <w:r>
              <w:rPr>
                <w:rFonts w:ascii="Times New Roman" w:eastAsia="Times New Roman"/>
                <w:spacing w:val="0"/>
                <w:sz w:val="21"/>
              </w:rPr>
              <w:t> </w:t>
            </w:r>
            <w:r>
              <w:rPr>
                <w:spacing w:val="-3"/>
                <w:w w:val="100"/>
                <w:sz w:val="21"/>
              </w:rPr>
              <w:t>分类为难治性贫血伴原始细胞增多（</w:t>
            </w:r>
            <w:r>
              <w:rPr>
                <w:rFonts w:ascii="Times New Roman" w:eastAsia="Times New Roman"/>
                <w:spacing w:val="-2"/>
                <w:w w:val="100"/>
                <w:sz w:val="21"/>
              </w:rPr>
              <w:t>R</w:t>
            </w:r>
            <w:r>
              <w:rPr>
                <w:rFonts w:ascii="Times New Roman" w:eastAsia="Times New Roman"/>
                <w:w w:val="100"/>
                <w:sz w:val="21"/>
              </w:rPr>
              <w:t>A</w:t>
            </w:r>
            <w:r>
              <w:rPr>
                <w:rFonts w:ascii="Times New Roman" w:eastAsia="Times New Roman"/>
                <w:spacing w:val="-2"/>
                <w:w w:val="100"/>
                <w:sz w:val="21"/>
              </w:rPr>
              <w:t>E</w:t>
            </w:r>
            <w:r>
              <w:rPr>
                <w:rFonts w:ascii="Times New Roman" w:eastAsia="Times New Roman"/>
                <w:spacing w:val="0"/>
                <w:w w:val="100"/>
                <w:sz w:val="21"/>
              </w:rPr>
              <w:t>B</w:t>
            </w:r>
            <w:r>
              <w:rPr>
                <w:spacing w:val="-108"/>
                <w:w w:val="100"/>
                <w:sz w:val="21"/>
              </w:rPr>
              <w:t>）；</w:t>
            </w:r>
          </w:p>
          <w:p>
            <w:pPr>
              <w:pStyle w:val="TableParagraph"/>
              <w:spacing w:line="295" w:lineRule="auto" w:before="69"/>
              <w:ind w:left="621" w:right="302" w:hanging="527"/>
              <w:rPr>
                <w:sz w:val="21"/>
              </w:rPr>
            </w:pPr>
            <w:r>
              <w:rPr>
                <w:sz w:val="21"/>
              </w:rPr>
              <w:t>（</w:t>
            </w:r>
            <w:r>
              <w:rPr>
                <w:rFonts w:ascii="Times New Roman" w:hAnsi="Times New Roman" w:eastAsia="Times New Roman"/>
                <w:sz w:val="21"/>
              </w:rPr>
              <w:t>2</w:t>
            </w:r>
            <w:r>
              <w:rPr>
                <w:sz w:val="21"/>
              </w:rPr>
              <w:t>）根据</w:t>
            </w:r>
            <w:r>
              <w:rPr>
                <w:rFonts w:ascii="Times New Roman" w:hAnsi="Times New Roman" w:eastAsia="Times New Roman"/>
                <w:sz w:val="21"/>
              </w:rPr>
              <w:t>“</w:t>
            </w:r>
            <w:r>
              <w:rPr>
                <w:sz w:val="21"/>
              </w:rPr>
              <w:t>骨髓增生异常综合征修订国际预后积分系统（</w:t>
            </w:r>
            <w:r>
              <w:rPr>
                <w:rFonts w:ascii="Times New Roman" w:hAnsi="Times New Roman" w:eastAsia="Times New Roman"/>
                <w:sz w:val="21"/>
              </w:rPr>
              <w:t>IPSS-R</w:t>
            </w:r>
            <w:r>
              <w:rPr>
                <w:sz w:val="21"/>
              </w:rPr>
              <w:t>）</w:t>
            </w:r>
            <w:r>
              <w:rPr>
                <w:rFonts w:ascii="Times New Roman" w:hAnsi="Times New Roman" w:eastAsia="Times New Roman"/>
                <w:sz w:val="21"/>
              </w:rPr>
              <w:t>”</w:t>
            </w:r>
            <w:r>
              <w:rPr>
                <w:sz w:val="21"/>
              </w:rPr>
              <w:t>积分</w:t>
            </w:r>
            <w:r>
              <w:rPr>
                <w:rFonts w:ascii="Times New Roman" w:hAnsi="Times New Roman" w:eastAsia="Times New Roman"/>
                <w:sz w:val="21"/>
              </w:rPr>
              <w:t>≥3</w:t>
            </w:r>
            <w:r>
              <w:rPr>
                <w:sz w:val="21"/>
              </w:rPr>
              <w:t>，属于中危及以上组。</w:t>
            </w:r>
          </w:p>
        </w:tc>
      </w:tr>
      <w:tr>
        <w:trPr>
          <w:trHeight w:val="887" w:hRule="atLeast"/>
        </w:trPr>
        <w:tc>
          <w:tcPr>
            <w:tcW w:w="1665" w:type="dxa"/>
          </w:tcPr>
          <w:p>
            <w:pPr>
              <w:pStyle w:val="TableParagraph"/>
              <w:spacing w:line="312" w:lineRule="auto" w:before="96"/>
              <w:ind w:left="200" w:right="92"/>
              <w:rPr>
                <w:b/>
                <w:sz w:val="21"/>
              </w:rPr>
            </w:pPr>
            <w:r>
              <w:rPr>
                <w:b/>
                <w:sz w:val="21"/>
              </w:rPr>
              <w:t>62. 进行性多灶性白质脑病</w:t>
            </w:r>
          </w:p>
        </w:tc>
        <w:tc>
          <w:tcPr>
            <w:tcW w:w="7702" w:type="dxa"/>
          </w:tcPr>
          <w:p>
            <w:pPr>
              <w:pStyle w:val="TableParagraph"/>
              <w:spacing w:before="96"/>
              <w:rPr>
                <w:sz w:val="21"/>
              </w:rPr>
            </w:pPr>
            <w:r>
              <w:rPr>
                <w:sz w:val="21"/>
              </w:rPr>
              <w:t>是一种亚急性脱髓鞘脑病，常常发生于免疫缺陷病人。必须根据脑组织活检确诊。</w:t>
            </w:r>
          </w:p>
        </w:tc>
      </w:tr>
      <w:tr>
        <w:trPr>
          <w:trHeight w:val="1972" w:hRule="atLeast"/>
        </w:trPr>
        <w:tc>
          <w:tcPr>
            <w:tcW w:w="1665" w:type="dxa"/>
          </w:tcPr>
          <w:p>
            <w:pPr>
              <w:pStyle w:val="TableParagraph"/>
              <w:spacing w:line="314" w:lineRule="auto" w:before="95"/>
              <w:ind w:left="200" w:right="92"/>
              <w:rPr>
                <w:b/>
                <w:sz w:val="21"/>
              </w:rPr>
            </w:pPr>
            <w:r>
              <w:rPr>
                <w:b/>
                <w:sz w:val="21"/>
              </w:rPr>
              <w:t>63. 感染性心内膜炎</w:t>
            </w:r>
          </w:p>
        </w:tc>
        <w:tc>
          <w:tcPr>
            <w:tcW w:w="7702" w:type="dxa"/>
          </w:tcPr>
          <w:p>
            <w:pPr>
              <w:pStyle w:val="TableParagraph"/>
              <w:spacing w:line="314" w:lineRule="auto" w:before="95"/>
              <w:ind w:right="303"/>
              <w:rPr>
                <w:sz w:val="21"/>
              </w:rPr>
            </w:pPr>
            <w:r>
              <w:rPr>
                <w:spacing w:val="-8"/>
                <w:sz w:val="21"/>
              </w:rPr>
              <w:t>感染性心内膜炎是指因细菌、真菌和其他微生物制剂感染而产生心瓣膜或心室壁</w:t>
            </w:r>
            <w:r>
              <w:rPr>
                <w:spacing w:val="-5"/>
                <w:sz w:val="21"/>
              </w:rPr>
              <w:t>内膜的炎症，引起心脏瓣膜关闭不全。必须符合下列所有条件：</w:t>
            </w:r>
          </w:p>
          <w:p>
            <w:pPr>
              <w:pStyle w:val="TableParagraph"/>
              <w:spacing w:before="17"/>
              <w:rPr>
                <w:sz w:val="21"/>
              </w:rPr>
            </w:pPr>
            <w:r>
              <w:rPr>
                <w:sz w:val="21"/>
              </w:rPr>
              <w:t>（</w:t>
            </w:r>
            <w:r>
              <w:rPr>
                <w:rFonts w:ascii="Times New Roman" w:eastAsia="Times New Roman"/>
                <w:sz w:val="21"/>
              </w:rPr>
              <w:t>1</w:t>
            </w:r>
            <w:r>
              <w:rPr>
                <w:sz w:val="21"/>
              </w:rPr>
              <w:t>）急性或亚急性感染性心内膜炎临床表现；</w:t>
            </w:r>
          </w:p>
          <w:p>
            <w:pPr>
              <w:pStyle w:val="TableParagraph"/>
              <w:spacing w:before="68"/>
              <w:rPr>
                <w:sz w:val="21"/>
              </w:rPr>
            </w:pPr>
            <w:r>
              <w:rPr>
                <w:sz w:val="21"/>
              </w:rPr>
              <w:t>（</w:t>
            </w:r>
            <w:r>
              <w:rPr>
                <w:rFonts w:ascii="Times New Roman" w:eastAsia="Times New Roman"/>
                <w:sz w:val="21"/>
              </w:rPr>
              <w:t>2</w:t>
            </w:r>
            <w:r>
              <w:rPr>
                <w:sz w:val="21"/>
              </w:rPr>
              <w:t>）血培养病原体阳性；</w:t>
            </w:r>
          </w:p>
          <w:p>
            <w:pPr>
              <w:pStyle w:val="TableParagraph"/>
              <w:spacing w:before="66"/>
              <w:rPr>
                <w:sz w:val="21"/>
              </w:rPr>
            </w:pPr>
            <w:r>
              <w:rPr>
                <w:sz w:val="21"/>
              </w:rPr>
              <w:t>（</w:t>
            </w:r>
            <w:r>
              <w:rPr>
                <w:rFonts w:ascii="Times New Roman" w:eastAsia="Times New Roman"/>
                <w:sz w:val="21"/>
              </w:rPr>
              <w:t>3</w:t>
            </w:r>
            <w:r>
              <w:rPr>
                <w:sz w:val="21"/>
              </w:rPr>
              <w:t>）心功能 </w:t>
            </w:r>
            <w:r>
              <w:rPr>
                <w:rFonts w:ascii="Times New Roman" w:eastAsia="Times New Roman"/>
                <w:sz w:val="21"/>
              </w:rPr>
              <w:t>IV </w:t>
            </w:r>
            <w:r>
              <w:rPr>
                <w:sz w:val="21"/>
              </w:rPr>
              <w:t>级持续 </w:t>
            </w:r>
            <w:r>
              <w:rPr>
                <w:rFonts w:ascii="Times New Roman" w:eastAsia="Times New Roman"/>
                <w:sz w:val="21"/>
              </w:rPr>
              <w:t>180 </w:t>
            </w:r>
            <w:r>
              <w:rPr>
                <w:sz w:val="21"/>
              </w:rPr>
              <w:t>天或接受了心脏瓣膜置换手术。</w:t>
            </w:r>
          </w:p>
        </w:tc>
      </w:tr>
      <w:tr>
        <w:trPr>
          <w:trHeight w:val="2323" w:hRule="atLeast"/>
        </w:trPr>
        <w:tc>
          <w:tcPr>
            <w:tcW w:w="1665" w:type="dxa"/>
          </w:tcPr>
          <w:p>
            <w:pPr>
              <w:pStyle w:val="TableParagraph"/>
              <w:spacing w:line="312" w:lineRule="auto" w:before="88"/>
              <w:ind w:left="200" w:right="92"/>
              <w:rPr>
                <w:b/>
                <w:sz w:val="21"/>
              </w:rPr>
            </w:pPr>
            <w:r>
              <w:rPr>
                <w:b/>
                <w:sz w:val="21"/>
              </w:rPr>
              <w:t>64. 完全性房室传导阻滞</w:t>
            </w:r>
          </w:p>
        </w:tc>
        <w:tc>
          <w:tcPr>
            <w:tcW w:w="7702" w:type="dxa"/>
          </w:tcPr>
          <w:p>
            <w:pPr>
              <w:pStyle w:val="TableParagraph"/>
              <w:spacing w:line="314" w:lineRule="auto" w:before="88"/>
              <w:ind w:right="307"/>
              <w:jc w:val="both"/>
              <w:rPr>
                <w:sz w:val="21"/>
              </w:rPr>
            </w:pPr>
            <w:r>
              <w:rPr>
                <w:sz w:val="21"/>
              </w:rPr>
              <w:t>三度房室传导阻滞又称完全性房室传导阻滞是指心房的激动不能正常地传导到心室，造成心室率过于缓慢，出现心力衰竭和因大脑供血不足导致的晕厥、阿- 斯综合征。必须由专科医生明确诊断并且满足下列所有条件：</w:t>
            </w:r>
          </w:p>
          <w:p>
            <w:pPr>
              <w:pStyle w:val="TableParagraph"/>
              <w:spacing w:before="18"/>
              <w:jc w:val="both"/>
              <w:rPr>
                <w:sz w:val="21"/>
              </w:rPr>
            </w:pPr>
            <w:r>
              <w:rPr>
                <w:sz w:val="21"/>
              </w:rPr>
              <w:t>（</w:t>
            </w:r>
            <w:r>
              <w:rPr>
                <w:rFonts w:ascii="Times New Roman" w:eastAsia="Times New Roman"/>
                <w:sz w:val="21"/>
              </w:rPr>
              <w:t>1</w:t>
            </w:r>
            <w:r>
              <w:rPr>
                <w:sz w:val="21"/>
              </w:rPr>
              <w:t>）心电图表现为室性逸搏心律，心室率持续低于 </w:t>
            </w:r>
            <w:r>
              <w:rPr>
                <w:rFonts w:ascii="Times New Roman" w:eastAsia="Times New Roman"/>
                <w:sz w:val="21"/>
              </w:rPr>
              <w:t>40 </w:t>
            </w:r>
            <w:r>
              <w:rPr>
                <w:sz w:val="21"/>
              </w:rPr>
              <w:t>次</w:t>
            </w:r>
            <w:r>
              <w:rPr>
                <w:rFonts w:ascii="Times New Roman" w:eastAsia="Times New Roman"/>
                <w:sz w:val="21"/>
              </w:rPr>
              <w:t>/</w:t>
            </w:r>
            <w:r>
              <w:rPr>
                <w:sz w:val="21"/>
              </w:rPr>
              <w:t>分；</w:t>
            </w:r>
          </w:p>
          <w:p>
            <w:pPr>
              <w:pStyle w:val="TableParagraph"/>
              <w:spacing w:before="70"/>
              <w:jc w:val="both"/>
              <w:rPr>
                <w:sz w:val="21"/>
              </w:rPr>
            </w:pPr>
            <w:r>
              <w:rPr>
                <w:sz w:val="21"/>
              </w:rPr>
              <w:t>（</w:t>
            </w:r>
            <w:r>
              <w:rPr>
                <w:rFonts w:ascii="Times New Roman" w:eastAsia="Times New Roman"/>
                <w:sz w:val="21"/>
              </w:rPr>
              <w:t>2</w:t>
            </w:r>
            <w:r>
              <w:rPr>
                <w:sz w:val="21"/>
              </w:rPr>
              <w:t>）曾经有晕厥、阿</w:t>
            </w:r>
            <w:r>
              <w:rPr>
                <w:rFonts w:ascii="Times New Roman" w:eastAsia="Times New Roman"/>
                <w:sz w:val="21"/>
              </w:rPr>
              <w:t>-</w:t>
            </w:r>
            <w:r>
              <w:rPr>
                <w:sz w:val="21"/>
              </w:rPr>
              <w:t>斯综合征发作；</w:t>
            </w:r>
          </w:p>
          <w:p>
            <w:pPr>
              <w:pStyle w:val="TableParagraph"/>
              <w:spacing w:before="67"/>
              <w:jc w:val="both"/>
              <w:rPr>
                <w:sz w:val="21"/>
              </w:rPr>
            </w:pPr>
            <w:r>
              <w:rPr>
                <w:sz w:val="21"/>
              </w:rPr>
              <w:t>（</w:t>
            </w:r>
            <w:r>
              <w:rPr>
                <w:rFonts w:ascii="Times New Roman" w:eastAsia="Times New Roman"/>
                <w:sz w:val="21"/>
              </w:rPr>
              <w:t>3</w:t>
            </w:r>
            <w:r>
              <w:rPr>
                <w:sz w:val="21"/>
              </w:rPr>
              <w:t>）已经植入人工永久性心脏起搏器。</w:t>
            </w:r>
          </w:p>
        </w:tc>
      </w:tr>
      <w:tr>
        <w:trPr>
          <w:trHeight w:val="1238" w:hRule="atLeast"/>
        </w:trPr>
        <w:tc>
          <w:tcPr>
            <w:tcW w:w="1665" w:type="dxa"/>
          </w:tcPr>
          <w:p>
            <w:pPr>
              <w:pStyle w:val="TableParagraph"/>
              <w:spacing w:before="88"/>
              <w:ind w:left="200"/>
              <w:rPr>
                <w:b/>
                <w:sz w:val="21"/>
              </w:rPr>
            </w:pPr>
            <w:r>
              <w:rPr>
                <w:b/>
                <w:sz w:val="21"/>
              </w:rPr>
              <w:t>65. 川崎病</w:t>
            </w:r>
          </w:p>
        </w:tc>
        <w:tc>
          <w:tcPr>
            <w:tcW w:w="7702" w:type="dxa"/>
          </w:tcPr>
          <w:p>
            <w:pPr>
              <w:pStyle w:val="TableParagraph"/>
              <w:spacing w:before="88"/>
              <w:rPr>
                <w:sz w:val="21"/>
              </w:rPr>
            </w:pPr>
            <w:r>
              <w:rPr>
                <w:sz w:val="21"/>
              </w:rPr>
              <w:t>川崎病为一种病因不明的系统性血管炎。</w:t>
            </w:r>
          </w:p>
          <w:p>
            <w:pPr>
              <w:pStyle w:val="TableParagraph"/>
              <w:spacing w:line="314" w:lineRule="auto" w:before="83"/>
              <w:ind w:right="316"/>
              <w:rPr>
                <w:rFonts w:ascii="黑体" w:eastAsia="黑体" w:hint="eastAsia"/>
                <w:sz w:val="21"/>
              </w:rPr>
            </w:pPr>
            <w:r>
              <w:rPr>
                <w:rFonts w:ascii="黑体" w:eastAsia="黑体" w:hint="eastAsia"/>
                <w:sz w:val="21"/>
              </w:rPr>
              <w:t>本保单仅对诊断性检查证实川崎病并发冠状动脉瘤或其他心血管异常并且实际接受了手术治疗的情况予以理赔。</w:t>
            </w:r>
          </w:p>
        </w:tc>
      </w:tr>
      <w:tr>
        <w:trPr>
          <w:trHeight w:val="3399" w:hRule="atLeast"/>
        </w:trPr>
        <w:tc>
          <w:tcPr>
            <w:tcW w:w="1665" w:type="dxa"/>
          </w:tcPr>
          <w:p>
            <w:pPr>
              <w:pStyle w:val="TableParagraph"/>
              <w:spacing w:line="312" w:lineRule="auto" w:before="94"/>
              <w:ind w:left="200" w:right="92"/>
              <w:rPr>
                <w:b/>
                <w:sz w:val="21"/>
              </w:rPr>
            </w:pPr>
            <w:r>
              <w:rPr>
                <w:b/>
                <w:sz w:val="21"/>
              </w:rPr>
              <w:t>66. 严重慢性缩窄性心包炎</w:t>
            </w:r>
          </w:p>
        </w:tc>
        <w:tc>
          <w:tcPr>
            <w:tcW w:w="7702" w:type="dxa"/>
          </w:tcPr>
          <w:p>
            <w:pPr>
              <w:pStyle w:val="TableParagraph"/>
              <w:spacing w:line="312" w:lineRule="auto" w:before="94"/>
              <w:ind w:right="197"/>
              <w:rPr>
                <w:sz w:val="21"/>
              </w:rPr>
            </w:pPr>
            <w:r>
              <w:rPr>
                <w:spacing w:val="-10"/>
                <w:sz w:val="21"/>
              </w:rPr>
              <w:t>由于慢性心包炎症导致心包脏层和壁层广泛瘢痕粘连、增厚和钙化，心包腔闭塞， </w:t>
            </w:r>
            <w:r>
              <w:rPr>
                <w:spacing w:val="-5"/>
                <w:sz w:val="21"/>
              </w:rPr>
              <w:t>形成一个纤维瘢痕外壳，使心脏和大血管根部受压，妨碍心脏的扩张。</w:t>
            </w:r>
          </w:p>
          <w:p>
            <w:pPr>
              <w:pStyle w:val="TableParagraph"/>
              <w:spacing w:before="21"/>
              <w:rPr>
                <w:sz w:val="21"/>
              </w:rPr>
            </w:pPr>
            <w:r>
              <w:rPr>
                <w:sz w:val="21"/>
              </w:rPr>
              <w:t>被保险人被明确诊断为慢性缩窄性心包炎，并符合所有以下条件：</w:t>
            </w:r>
          </w:p>
          <w:p>
            <w:pPr>
              <w:pStyle w:val="TableParagraph"/>
              <w:spacing w:before="82"/>
              <w:rPr>
                <w:sz w:val="21"/>
              </w:rPr>
            </w:pPr>
            <w:r>
              <w:rPr>
                <w:sz w:val="21"/>
              </w:rPr>
              <w:t>（1）心功能 IV 级持续 180 天；</w:t>
            </w:r>
          </w:p>
          <w:p>
            <w:pPr>
              <w:pStyle w:val="TableParagraph"/>
              <w:spacing w:before="85"/>
              <w:rPr>
                <w:sz w:val="21"/>
              </w:rPr>
            </w:pPr>
            <w:r>
              <w:rPr>
                <w:sz w:val="21"/>
              </w:rPr>
              <w:t>（2）实际接受了以下任何一种手术路径的心包剥脱或心包切除手术：</w:t>
            </w:r>
          </w:p>
          <w:p>
            <w:pPr>
              <w:pStyle w:val="TableParagraph"/>
              <w:tabs>
                <w:tab w:pos="935" w:val="left" w:leader="none"/>
              </w:tabs>
              <w:spacing w:before="82"/>
              <w:ind w:left="515"/>
              <w:rPr>
                <w:sz w:val="21"/>
              </w:rPr>
            </w:pPr>
            <w:r>
              <w:rPr>
                <w:sz w:val="21"/>
              </w:rPr>
              <w:t>①</w:t>
              <w:tab/>
            </w:r>
            <w:r>
              <w:rPr>
                <w:spacing w:val="-2"/>
                <w:sz w:val="21"/>
              </w:rPr>
              <w:t>胸骨正中切口；</w:t>
            </w:r>
          </w:p>
          <w:p>
            <w:pPr>
              <w:pStyle w:val="TableParagraph"/>
              <w:tabs>
                <w:tab w:pos="935" w:val="left" w:leader="none"/>
              </w:tabs>
              <w:spacing w:before="85"/>
              <w:ind w:left="515"/>
              <w:rPr>
                <w:sz w:val="21"/>
              </w:rPr>
            </w:pPr>
            <w:r>
              <w:rPr>
                <w:sz w:val="21"/>
              </w:rPr>
              <w:t>②</w:t>
              <w:tab/>
            </w:r>
            <w:r>
              <w:rPr>
                <w:spacing w:val="-2"/>
                <w:sz w:val="21"/>
              </w:rPr>
              <w:t>双侧前胸切口；</w:t>
            </w:r>
          </w:p>
          <w:p>
            <w:pPr>
              <w:pStyle w:val="TableParagraph"/>
              <w:tabs>
                <w:tab w:pos="935" w:val="left" w:leader="none"/>
              </w:tabs>
              <w:spacing w:before="83"/>
              <w:ind w:left="515"/>
              <w:rPr>
                <w:sz w:val="21"/>
              </w:rPr>
            </w:pPr>
            <w:r>
              <w:rPr>
                <w:sz w:val="21"/>
              </w:rPr>
              <w:t>③</w:t>
              <w:tab/>
            </w:r>
            <w:r>
              <w:rPr>
                <w:spacing w:val="-3"/>
                <w:sz w:val="21"/>
              </w:rPr>
              <w:t>左前胸肋间切口。</w:t>
            </w:r>
          </w:p>
          <w:p>
            <w:pPr>
              <w:pStyle w:val="TableParagraph"/>
              <w:spacing w:before="85"/>
              <w:rPr>
                <w:rFonts w:ascii="黑体" w:eastAsia="黑体" w:hint="eastAsia"/>
                <w:sz w:val="21"/>
              </w:rPr>
            </w:pPr>
            <w:r>
              <w:rPr>
                <w:rFonts w:ascii="黑体" w:eastAsia="黑体" w:hint="eastAsia"/>
                <w:sz w:val="21"/>
              </w:rPr>
              <w:t>经胸腔镜、胸壁打孔进行的手术，心包粘连松解手术除外。</w:t>
            </w:r>
          </w:p>
        </w:tc>
      </w:tr>
      <w:tr>
        <w:trPr>
          <w:trHeight w:val="1087" w:hRule="atLeast"/>
        </w:trPr>
        <w:tc>
          <w:tcPr>
            <w:tcW w:w="1665" w:type="dxa"/>
          </w:tcPr>
          <w:p>
            <w:pPr>
              <w:pStyle w:val="TableParagraph"/>
              <w:spacing w:before="94"/>
              <w:ind w:left="200"/>
              <w:rPr>
                <w:b/>
                <w:sz w:val="21"/>
              </w:rPr>
            </w:pPr>
            <w:r>
              <w:rPr>
                <w:b/>
                <w:sz w:val="21"/>
              </w:rPr>
              <w:t>67. 1 型糖尿</w:t>
            </w:r>
          </w:p>
          <w:p>
            <w:pPr>
              <w:pStyle w:val="TableParagraph"/>
              <w:spacing w:line="350" w:lineRule="atLeast" w:before="9"/>
              <w:ind w:left="200" w:right="117"/>
              <w:rPr>
                <w:b/>
                <w:sz w:val="21"/>
              </w:rPr>
            </w:pPr>
            <w:r>
              <w:rPr>
                <w:b/>
                <w:sz w:val="21"/>
              </w:rPr>
              <w:t>病—严重并发症</w:t>
            </w:r>
          </w:p>
        </w:tc>
        <w:tc>
          <w:tcPr>
            <w:tcW w:w="7702" w:type="dxa"/>
          </w:tcPr>
          <w:p>
            <w:pPr>
              <w:pStyle w:val="TableParagraph"/>
              <w:spacing w:before="94"/>
              <w:rPr>
                <w:sz w:val="21"/>
              </w:rPr>
            </w:pPr>
            <w:r>
              <w:rPr>
                <w:sz w:val="21"/>
              </w:rPr>
              <w:t>1 型糖尿病的特征为由于胰岛素分泌绝对不足引起严重胰岛素缺乏导致慢性血糖</w:t>
            </w:r>
          </w:p>
          <w:p>
            <w:pPr>
              <w:pStyle w:val="TableParagraph"/>
              <w:spacing w:line="350" w:lineRule="atLeast" w:before="9"/>
              <w:ind w:right="304"/>
              <w:rPr>
                <w:sz w:val="21"/>
              </w:rPr>
            </w:pPr>
            <w:r>
              <w:rPr>
                <w:spacing w:val="-4"/>
                <w:sz w:val="21"/>
              </w:rPr>
              <w:t>升高，需要依赖外源性胰岛素进行机体的葡萄糖代谢和维持生命。被保险人的 </w:t>
            </w:r>
            <w:r>
              <w:rPr>
                <w:sz w:val="21"/>
              </w:rPr>
              <w:t>1 </w:t>
            </w:r>
            <w:r>
              <w:rPr>
                <w:spacing w:val="-10"/>
                <w:sz w:val="21"/>
              </w:rPr>
              <w:t>型糖尿病必须明确诊断，而且有血胰岛素测定及血 </w:t>
            </w:r>
            <w:r>
              <w:rPr>
                <w:sz w:val="21"/>
              </w:rPr>
              <w:t>C</w:t>
            </w:r>
            <w:r>
              <w:rPr>
                <w:spacing w:val="-19"/>
                <w:sz w:val="21"/>
              </w:rPr>
              <w:t> 肽或尿 </w:t>
            </w:r>
            <w:r>
              <w:rPr>
                <w:sz w:val="21"/>
              </w:rPr>
              <w:t>C</w:t>
            </w:r>
            <w:r>
              <w:rPr>
                <w:spacing w:val="-8"/>
                <w:sz w:val="21"/>
              </w:rPr>
              <w:t> 肽测定结果支持诊</w:t>
            </w:r>
          </w:p>
        </w:tc>
      </w:tr>
    </w:tbl>
    <w:p>
      <w:pPr>
        <w:spacing w:after="0" w:line="350" w:lineRule="atLeast"/>
        <w:rPr>
          <w:sz w:val="21"/>
        </w:rPr>
        <w:sectPr>
          <w:pgSz w:w="11910" w:h="16840"/>
          <w:pgMar w:header="0" w:footer="915" w:top="1580" w:bottom="1100" w:left="1220" w:right="11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3"/>
        <w:gridCol w:w="7702"/>
      </w:tblGrid>
      <w:tr>
        <w:trPr>
          <w:trHeight w:val="1080" w:hRule="atLeast"/>
        </w:trPr>
        <w:tc>
          <w:tcPr>
            <w:tcW w:w="1773" w:type="dxa"/>
          </w:tcPr>
          <w:p>
            <w:pPr>
              <w:pStyle w:val="TableParagraph"/>
              <w:spacing w:before="0"/>
              <w:ind w:left="0"/>
              <w:rPr>
                <w:rFonts w:ascii="Times New Roman"/>
                <w:sz w:val="20"/>
              </w:rPr>
            </w:pPr>
          </w:p>
        </w:tc>
        <w:tc>
          <w:tcPr>
            <w:tcW w:w="7702" w:type="dxa"/>
          </w:tcPr>
          <w:p>
            <w:pPr>
              <w:pStyle w:val="TableParagraph"/>
              <w:spacing w:line="204" w:lineRule="exact" w:before="0"/>
              <w:rPr>
                <w:sz w:val="21"/>
              </w:rPr>
            </w:pPr>
            <w:r>
              <w:rPr>
                <w:sz w:val="21"/>
              </w:rPr>
              <w:t>断，并且满足下列全部条件：</w:t>
            </w:r>
          </w:p>
          <w:p>
            <w:pPr>
              <w:pStyle w:val="TableParagraph"/>
              <w:spacing w:before="85"/>
              <w:rPr>
                <w:sz w:val="21"/>
              </w:rPr>
            </w:pPr>
            <w:r>
              <w:rPr>
                <w:sz w:val="21"/>
              </w:rPr>
              <w:t>（1）已经持续性地接受外源性胰岛素注射治疗连续 180 天以上；</w:t>
            </w:r>
          </w:p>
          <w:p>
            <w:pPr>
              <w:pStyle w:val="TableParagraph"/>
              <w:spacing w:before="82"/>
              <w:rPr>
                <w:sz w:val="21"/>
              </w:rPr>
            </w:pPr>
            <w:r>
              <w:rPr>
                <w:sz w:val="21"/>
              </w:rPr>
              <w:t>（2）因坏疽自跖趾关节或以上切除了一趾或多趾。</w:t>
            </w:r>
          </w:p>
        </w:tc>
      </w:tr>
      <w:tr>
        <w:trPr>
          <w:trHeight w:val="894" w:hRule="atLeast"/>
        </w:trPr>
        <w:tc>
          <w:tcPr>
            <w:tcW w:w="1773" w:type="dxa"/>
          </w:tcPr>
          <w:p>
            <w:pPr>
              <w:pStyle w:val="TableParagraph"/>
              <w:spacing w:line="312" w:lineRule="auto" w:before="96"/>
              <w:ind w:left="308" w:right="92"/>
              <w:rPr>
                <w:b/>
                <w:sz w:val="21"/>
              </w:rPr>
            </w:pPr>
            <w:r>
              <w:rPr>
                <w:b/>
                <w:sz w:val="21"/>
              </w:rPr>
              <w:t>68. 意外导致重度面部烧伤</w:t>
            </w:r>
          </w:p>
        </w:tc>
        <w:tc>
          <w:tcPr>
            <w:tcW w:w="7702" w:type="dxa"/>
          </w:tcPr>
          <w:p>
            <w:pPr>
              <w:pStyle w:val="TableParagraph"/>
              <w:spacing w:line="283" w:lineRule="auto"/>
              <w:ind w:right="415"/>
              <w:rPr>
                <w:sz w:val="22"/>
              </w:rPr>
            </w:pPr>
            <w:r>
              <w:rPr>
                <w:spacing w:val="-6"/>
                <w:sz w:val="22"/>
              </w:rPr>
              <w:t>指面部Ⅲ度烧伤且烧伤面积达到面部表面积的 </w:t>
            </w:r>
            <w:r>
              <w:rPr>
                <w:rFonts w:ascii="Arial" w:hAnsi="Arial" w:eastAsia="Arial"/>
                <w:sz w:val="22"/>
              </w:rPr>
              <w:t>2/3 </w:t>
            </w:r>
            <w:r>
              <w:rPr>
                <w:spacing w:val="-8"/>
                <w:sz w:val="22"/>
              </w:rPr>
              <w:t>或全身体表面积的 </w:t>
            </w:r>
            <w:r>
              <w:rPr>
                <w:sz w:val="22"/>
              </w:rPr>
              <w:t>2％</w:t>
            </w:r>
            <w:r>
              <w:rPr>
                <w:spacing w:val="-108"/>
                <w:sz w:val="22"/>
              </w:rPr>
              <w:t>。体</w:t>
            </w:r>
            <w:r>
              <w:rPr>
                <w:spacing w:val="-4"/>
                <w:sz w:val="22"/>
              </w:rPr>
              <w:t>表面积根据《中国新九分法》计算，面部总面积为全身体表面积的 </w:t>
            </w:r>
            <w:r>
              <w:rPr>
                <w:sz w:val="22"/>
              </w:rPr>
              <w:t>3%。</w:t>
            </w:r>
          </w:p>
        </w:tc>
      </w:tr>
      <w:tr>
        <w:trPr>
          <w:trHeight w:val="1249" w:hRule="atLeast"/>
        </w:trPr>
        <w:tc>
          <w:tcPr>
            <w:tcW w:w="1773" w:type="dxa"/>
          </w:tcPr>
          <w:p>
            <w:pPr>
              <w:pStyle w:val="TableParagraph"/>
              <w:spacing w:line="312" w:lineRule="auto" w:before="89"/>
              <w:ind w:left="308" w:right="92"/>
              <w:rPr>
                <w:b/>
                <w:sz w:val="21"/>
              </w:rPr>
            </w:pPr>
            <w:r>
              <w:rPr>
                <w:b/>
                <w:sz w:val="21"/>
              </w:rPr>
              <w:t>69. 丧失独立生活能力</w:t>
            </w:r>
          </w:p>
        </w:tc>
        <w:tc>
          <w:tcPr>
            <w:tcW w:w="7702" w:type="dxa"/>
          </w:tcPr>
          <w:p>
            <w:pPr>
              <w:pStyle w:val="TableParagraph"/>
              <w:spacing w:line="297" w:lineRule="auto" w:before="80"/>
              <w:ind w:right="309"/>
              <w:rPr>
                <w:sz w:val="22"/>
              </w:rPr>
            </w:pPr>
            <w:r>
              <w:rPr>
                <w:sz w:val="22"/>
              </w:rPr>
              <w:t>指由于疾病或外伤导致被保险人永久不可逆的完全丧失独立生活能力，无法独立完成基本日常生活活动中的四项或四项以上。</w:t>
            </w:r>
          </w:p>
          <w:p>
            <w:pPr>
              <w:pStyle w:val="TableParagraph"/>
              <w:spacing w:before="19"/>
              <w:rPr>
                <w:rFonts w:ascii="黑体" w:eastAsia="黑体" w:hint="eastAsia"/>
                <w:sz w:val="22"/>
              </w:rPr>
            </w:pPr>
            <w:r>
              <w:rPr>
                <w:rFonts w:ascii="黑体" w:eastAsia="黑体" w:hint="eastAsia"/>
                <w:sz w:val="22"/>
              </w:rPr>
              <w:t>被保险人理赔时年龄在 6 周岁以上。</w:t>
            </w:r>
          </w:p>
        </w:tc>
      </w:tr>
      <w:tr>
        <w:trPr>
          <w:trHeight w:val="1603" w:hRule="atLeast"/>
        </w:trPr>
        <w:tc>
          <w:tcPr>
            <w:tcW w:w="1773" w:type="dxa"/>
          </w:tcPr>
          <w:p>
            <w:pPr>
              <w:pStyle w:val="TableParagraph"/>
              <w:spacing w:line="312" w:lineRule="auto" w:before="85"/>
              <w:ind w:left="308" w:right="92"/>
              <w:rPr>
                <w:b/>
                <w:sz w:val="21"/>
              </w:rPr>
            </w:pPr>
            <w:r>
              <w:rPr>
                <w:b/>
                <w:sz w:val="21"/>
              </w:rPr>
              <w:t>70. 严重幼年型风湿关节炎</w:t>
            </w:r>
          </w:p>
        </w:tc>
        <w:tc>
          <w:tcPr>
            <w:tcW w:w="7702" w:type="dxa"/>
          </w:tcPr>
          <w:p>
            <w:pPr>
              <w:pStyle w:val="TableParagraph"/>
              <w:spacing w:line="312" w:lineRule="auto" w:before="85"/>
              <w:ind w:right="303"/>
              <w:rPr>
                <w:sz w:val="21"/>
              </w:rPr>
            </w:pPr>
            <w:r>
              <w:rPr>
                <w:spacing w:val="-6"/>
                <w:sz w:val="21"/>
              </w:rPr>
              <w:t>幼年型类风湿关节炎是一种儿童期发病的慢性关节炎，其特点为在高热和系统性</w:t>
            </w:r>
            <w:r>
              <w:rPr>
                <w:spacing w:val="-4"/>
                <w:sz w:val="21"/>
              </w:rPr>
              <w:t>病征出现数月后发生关节炎。</w:t>
            </w:r>
          </w:p>
          <w:p>
            <w:pPr>
              <w:pStyle w:val="TableParagraph"/>
              <w:spacing w:line="312" w:lineRule="auto" w:before="21"/>
              <w:ind w:right="316"/>
              <w:rPr>
                <w:rFonts w:ascii="黑体" w:eastAsia="黑体" w:hint="eastAsia"/>
                <w:sz w:val="21"/>
              </w:rPr>
            </w:pPr>
            <w:r>
              <w:rPr>
                <w:rFonts w:ascii="黑体" w:eastAsia="黑体" w:hint="eastAsia"/>
                <w:sz w:val="21"/>
              </w:rPr>
              <w:t>本保单仅对实际接受了膝关节或髋关节置换手术治疗的严重的幼年型类风湿关节炎予以理赔。</w:t>
            </w:r>
          </w:p>
        </w:tc>
      </w:tr>
      <w:tr>
        <w:trPr>
          <w:trHeight w:val="2323" w:hRule="atLeast"/>
        </w:trPr>
        <w:tc>
          <w:tcPr>
            <w:tcW w:w="1773" w:type="dxa"/>
          </w:tcPr>
          <w:p>
            <w:pPr>
              <w:pStyle w:val="TableParagraph"/>
              <w:spacing w:before="88"/>
              <w:ind w:left="200"/>
              <w:rPr>
                <w:b/>
                <w:sz w:val="21"/>
              </w:rPr>
            </w:pPr>
            <w:r>
              <w:rPr>
                <w:b/>
                <w:sz w:val="21"/>
              </w:rPr>
              <w:t>意外伤害</w:t>
            </w:r>
          </w:p>
        </w:tc>
        <w:tc>
          <w:tcPr>
            <w:tcW w:w="7702" w:type="dxa"/>
          </w:tcPr>
          <w:p>
            <w:pPr>
              <w:pStyle w:val="TableParagraph"/>
              <w:spacing w:line="309" w:lineRule="auto" w:before="88"/>
              <w:ind w:right="302"/>
              <w:rPr>
                <w:sz w:val="21"/>
              </w:rPr>
            </w:pPr>
            <w:r>
              <w:rPr>
                <w:sz w:val="21"/>
              </w:rPr>
              <w:t>指因遭受意外事故并以此为直接且单独原因导致的身体伤害。意外事故指外来</w:t>
            </w:r>
            <w:r>
              <w:rPr>
                <w:spacing w:val="-3"/>
                <w:sz w:val="21"/>
              </w:rPr>
              <w:t>的、非本意的、突然的、剧烈的、非疾病的意外事件。猝死不属于意外伤害。 </w:t>
            </w:r>
            <w:r>
              <w:rPr>
                <w:spacing w:val="-4"/>
                <w:sz w:val="21"/>
              </w:rPr>
              <w:t>猝死是指貌似健康的人因潜在疾病、机能障碍或其他原因在出现症状后 </w:t>
            </w:r>
            <w:r>
              <w:rPr>
                <w:rFonts w:ascii="Times New Roman" w:eastAsia="Times New Roman"/>
                <w:sz w:val="21"/>
              </w:rPr>
              <w:t>24</w:t>
            </w:r>
            <w:r>
              <w:rPr>
                <w:rFonts w:ascii="Times New Roman" w:eastAsia="Times New Roman"/>
                <w:spacing w:val="40"/>
                <w:sz w:val="21"/>
              </w:rPr>
              <w:t> </w:t>
            </w:r>
            <w:r>
              <w:rPr>
                <w:sz w:val="21"/>
              </w:rPr>
              <w:t>小时</w:t>
            </w:r>
            <w:r>
              <w:rPr>
                <w:spacing w:val="-7"/>
                <w:sz w:val="21"/>
              </w:rPr>
              <w:t>内发生的非暴力性突然死亡，属于疾病身故。猝死的认定，如有公安机关、检察</w:t>
            </w:r>
            <w:r>
              <w:rPr>
                <w:spacing w:val="-9"/>
                <w:sz w:val="21"/>
              </w:rPr>
              <w:t>院、法院等司法机关的法律文件、医疗机构的诊断书等，则以上述法律文件、诊</w:t>
            </w:r>
            <w:r>
              <w:rPr>
                <w:spacing w:val="-2"/>
                <w:sz w:val="21"/>
              </w:rPr>
              <w:t>断书等为准。</w:t>
            </w:r>
          </w:p>
        </w:tc>
      </w:tr>
      <w:tr>
        <w:trPr>
          <w:trHeight w:val="1247" w:hRule="atLeast"/>
        </w:trPr>
        <w:tc>
          <w:tcPr>
            <w:tcW w:w="1773" w:type="dxa"/>
          </w:tcPr>
          <w:p>
            <w:pPr>
              <w:pStyle w:val="TableParagraph"/>
              <w:spacing w:line="312" w:lineRule="auto" w:before="89"/>
              <w:ind w:left="200" w:right="92"/>
              <w:rPr>
                <w:b/>
                <w:sz w:val="21"/>
              </w:rPr>
            </w:pPr>
            <w:r>
              <w:rPr>
                <w:b/>
                <w:sz w:val="21"/>
              </w:rPr>
              <w:t>我们认可的医疗机构</w:t>
            </w:r>
          </w:p>
        </w:tc>
        <w:tc>
          <w:tcPr>
            <w:tcW w:w="7702" w:type="dxa"/>
          </w:tcPr>
          <w:p>
            <w:pPr>
              <w:pStyle w:val="TableParagraph"/>
              <w:spacing w:line="314" w:lineRule="auto" w:before="89"/>
              <w:ind w:right="249"/>
              <w:jc w:val="both"/>
              <w:rPr>
                <w:sz w:val="21"/>
              </w:rPr>
            </w:pPr>
            <w:r>
              <w:rPr>
                <w:sz w:val="21"/>
              </w:rPr>
              <w:t>指经中华人民共和国卫生部门正式评定的二级或以上之公立医院，但不包括上述医院的分院、联合病房或联合病床，精神病院，专供康复、休养、戒毒、戒酒、护理、养老等非以直接诊疗病人为目的之医疗机构。</w:t>
            </w:r>
          </w:p>
        </w:tc>
      </w:tr>
      <w:tr>
        <w:trPr>
          <w:trHeight w:val="527" w:hRule="atLeast"/>
        </w:trPr>
        <w:tc>
          <w:tcPr>
            <w:tcW w:w="1773" w:type="dxa"/>
          </w:tcPr>
          <w:p>
            <w:pPr>
              <w:pStyle w:val="TableParagraph"/>
              <w:ind w:left="200"/>
              <w:rPr>
                <w:b/>
                <w:sz w:val="21"/>
              </w:rPr>
            </w:pPr>
            <w:r>
              <w:rPr>
                <w:b/>
                <w:sz w:val="21"/>
              </w:rPr>
              <w:t>首次患有</w:t>
            </w:r>
          </w:p>
        </w:tc>
        <w:tc>
          <w:tcPr>
            <w:tcW w:w="7702" w:type="dxa"/>
          </w:tcPr>
          <w:p>
            <w:pPr>
              <w:pStyle w:val="TableParagraph"/>
              <w:rPr>
                <w:sz w:val="21"/>
              </w:rPr>
            </w:pPr>
            <w:r>
              <w:rPr>
                <w:sz w:val="21"/>
              </w:rPr>
              <w:t>指被保险人自出生后第一次患有本附加合同所列的重大疾病。</w:t>
            </w:r>
          </w:p>
        </w:tc>
      </w:tr>
      <w:tr>
        <w:trPr>
          <w:trHeight w:val="1246" w:hRule="atLeast"/>
        </w:trPr>
        <w:tc>
          <w:tcPr>
            <w:tcW w:w="1773" w:type="dxa"/>
          </w:tcPr>
          <w:p>
            <w:pPr>
              <w:pStyle w:val="TableParagraph"/>
              <w:ind w:left="200"/>
              <w:rPr>
                <w:b/>
                <w:sz w:val="21"/>
              </w:rPr>
            </w:pPr>
            <w:r>
              <w:rPr>
                <w:b/>
                <w:sz w:val="21"/>
              </w:rPr>
              <w:t>毒品</w:t>
            </w:r>
          </w:p>
        </w:tc>
        <w:tc>
          <w:tcPr>
            <w:tcW w:w="7702" w:type="dxa"/>
          </w:tcPr>
          <w:p>
            <w:pPr>
              <w:pStyle w:val="TableParagraph"/>
              <w:spacing w:line="314" w:lineRule="auto"/>
              <w:ind w:right="197"/>
              <w:rPr>
                <w:sz w:val="21"/>
              </w:rPr>
            </w:pPr>
            <w:r>
              <w:rPr>
                <w:spacing w:val="-6"/>
                <w:sz w:val="21"/>
              </w:rPr>
              <w:t>指中华人民共和国刑法规定的鸦片、海洛因、甲基苯丙胺</w:t>
            </w:r>
            <w:r>
              <w:rPr>
                <w:spacing w:val="-3"/>
                <w:sz w:val="21"/>
              </w:rPr>
              <w:t>（</w:t>
            </w:r>
            <w:r>
              <w:rPr>
                <w:spacing w:val="-2"/>
                <w:sz w:val="21"/>
              </w:rPr>
              <w:t>冰毒</w:t>
            </w:r>
            <w:r>
              <w:rPr>
                <w:spacing w:val="-106"/>
                <w:sz w:val="21"/>
              </w:rPr>
              <w:t>）</w:t>
            </w:r>
            <w:r>
              <w:rPr>
                <w:spacing w:val="-6"/>
                <w:sz w:val="21"/>
              </w:rPr>
              <w:t>、吗啡、大麻、可卡因以及国家规定管制的其他能够使人形成瘾癖的麻醉药品和精神药品，但不</w:t>
            </w:r>
            <w:r>
              <w:rPr>
                <w:spacing w:val="-4"/>
                <w:sz w:val="21"/>
              </w:rPr>
              <w:t>包括由医生开具并遵医嘱使用的用于治疗疾病但含有毒品成分的处方药品。</w:t>
            </w:r>
          </w:p>
        </w:tc>
      </w:tr>
      <w:tr>
        <w:trPr>
          <w:trHeight w:val="1247" w:hRule="atLeast"/>
        </w:trPr>
        <w:tc>
          <w:tcPr>
            <w:tcW w:w="1773" w:type="dxa"/>
          </w:tcPr>
          <w:p>
            <w:pPr>
              <w:pStyle w:val="TableParagraph"/>
              <w:spacing w:before="88"/>
              <w:ind w:left="200"/>
              <w:rPr>
                <w:b/>
                <w:sz w:val="21"/>
              </w:rPr>
            </w:pPr>
            <w:r>
              <w:rPr>
                <w:b/>
                <w:sz w:val="21"/>
              </w:rPr>
              <w:t>酒后驾驶</w:t>
            </w:r>
          </w:p>
        </w:tc>
        <w:tc>
          <w:tcPr>
            <w:tcW w:w="7702" w:type="dxa"/>
          </w:tcPr>
          <w:p>
            <w:pPr>
              <w:pStyle w:val="TableParagraph"/>
              <w:spacing w:line="314" w:lineRule="auto" w:before="88"/>
              <w:ind w:right="303"/>
              <w:jc w:val="both"/>
              <w:rPr>
                <w:sz w:val="21"/>
              </w:rPr>
            </w:pPr>
            <w:r>
              <w:rPr>
                <w:spacing w:val="-9"/>
                <w:sz w:val="21"/>
              </w:rPr>
              <w:t>指经检测或者鉴定，发生事故时车辆驾驶人员每百毫升血液中的酒精含量达到或者超过一定的标准，公安机关交通管理部门依据《道路交通安全法》的规定认定</w:t>
            </w:r>
            <w:r>
              <w:rPr>
                <w:spacing w:val="-5"/>
                <w:sz w:val="21"/>
              </w:rPr>
              <w:t>为饮酒后驾驶或者醉酒后驾驶。</w:t>
            </w:r>
          </w:p>
        </w:tc>
      </w:tr>
      <w:tr>
        <w:trPr>
          <w:trHeight w:val="2162" w:hRule="atLeast"/>
        </w:trPr>
        <w:tc>
          <w:tcPr>
            <w:tcW w:w="1773" w:type="dxa"/>
          </w:tcPr>
          <w:p>
            <w:pPr>
              <w:pStyle w:val="TableParagraph"/>
              <w:spacing w:line="312" w:lineRule="auto"/>
              <w:ind w:left="200" w:right="92"/>
              <w:rPr>
                <w:b/>
                <w:sz w:val="21"/>
              </w:rPr>
            </w:pPr>
            <w:r>
              <w:rPr>
                <w:b/>
                <w:sz w:val="21"/>
              </w:rPr>
              <w:t>无合法有效驾驶证驾驶</w:t>
            </w:r>
          </w:p>
        </w:tc>
        <w:tc>
          <w:tcPr>
            <w:tcW w:w="7702" w:type="dxa"/>
          </w:tcPr>
          <w:p>
            <w:pPr>
              <w:pStyle w:val="TableParagraph"/>
              <w:rPr>
                <w:sz w:val="21"/>
              </w:rPr>
            </w:pPr>
            <w:r>
              <w:rPr>
                <w:sz w:val="21"/>
              </w:rPr>
              <w:t>指下列情形之一：</w:t>
            </w:r>
          </w:p>
          <w:p>
            <w:pPr>
              <w:pStyle w:val="TableParagraph"/>
              <w:spacing w:before="82"/>
              <w:rPr>
                <w:sz w:val="21"/>
              </w:rPr>
            </w:pPr>
            <w:r>
              <w:rPr>
                <w:sz w:val="21"/>
              </w:rPr>
              <w:t>（</w:t>
            </w:r>
            <w:r>
              <w:rPr>
                <w:rFonts w:ascii="Times New Roman" w:eastAsia="Times New Roman"/>
                <w:sz w:val="21"/>
              </w:rPr>
              <w:t>1</w:t>
            </w:r>
            <w:r>
              <w:rPr>
                <w:sz w:val="21"/>
              </w:rPr>
              <w:t>）没有取得驾驶资格；</w:t>
            </w:r>
          </w:p>
          <w:p>
            <w:pPr>
              <w:pStyle w:val="TableParagraph"/>
              <w:spacing w:before="69"/>
              <w:rPr>
                <w:sz w:val="21"/>
              </w:rPr>
            </w:pPr>
            <w:r>
              <w:rPr>
                <w:sz w:val="21"/>
              </w:rPr>
              <w:t>（</w:t>
            </w:r>
            <w:r>
              <w:rPr>
                <w:rFonts w:ascii="Times New Roman" w:eastAsia="Times New Roman"/>
                <w:sz w:val="21"/>
              </w:rPr>
              <w:t>2</w:t>
            </w:r>
            <w:r>
              <w:rPr>
                <w:sz w:val="21"/>
              </w:rPr>
              <w:t>）驾驶与驾驶证准驾车型不相符合的车辆；</w:t>
            </w:r>
          </w:p>
          <w:p>
            <w:pPr>
              <w:pStyle w:val="TableParagraph"/>
              <w:spacing w:before="67"/>
              <w:rPr>
                <w:sz w:val="21"/>
              </w:rPr>
            </w:pPr>
            <w:r>
              <w:rPr>
                <w:sz w:val="21"/>
              </w:rPr>
              <w:t>（</w:t>
            </w:r>
            <w:r>
              <w:rPr>
                <w:rFonts w:ascii="Times New Roman" w:eastAsia="Times New Roman"/>
                <w:sz w:val="21"/>
              </w:rPr>
              <w:t>3</w:t>
            </w:r>
            <w:r>
              <w:rPr>
                <w:sz w:val="21"/>
              </w:rPr>
              <w:t>）持审验不合格的驾驶证驾驶；</w:t>
            </w:r>
          </w:p>
          <w:p>
            <w:pPr>
              <w:pStyle w:val="TableParagraph"/>
              <w:spacing w:line="340" w:lineRule="atLeast" w:before="20"/>
              <w:ind w:left="621" w:right="307" w:hanging="527"/>
              <w:rPr>
                <w:sz w:val="21"/>
              </w:rPr>
            </w:pPr>
            <w:r>
              <w:rPr>
                <w:sz w:val="21"/>
              </w:rPr>
              <w:t>（</w:t>
            </w:r>
            <w:r>
              <w:rPr>
                <w:rFonts w:ascii="Times New Roman" w:eastAsia="Times New Roman"/>
                <w:sz w:val="21"/>
              </w:rPr>
              <w:t>4</w:t>
            </w:r>
            <w:r>
              <w:rPr>
                <w:sz w:val="21"/>
              </w:rPr>
              <w:t>）持学习驾驶证学习驾车时，无教练员随车指导，或者不按指定时间、路线学习驾车。</w:t>
            </w:r>
          </w:p>
        </w:tc>
      </w:tr>
    </w:tbl>
    <w:p>
      <w:pPr>
        <w:spacing w:after="0" w:line="340" w:lineRule="atLeast"/>
        <w:rPr>
          <w:sz w:val="21"/>
        </w:rPr>
        <w:sectPr>
          <w:pgSz w:w="11910" w:h="16840"/>
          <w:pgMar w:header="0" w:footer="915" w:top="1480" w:bottom="1100" w:left="1100" w:right="11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3"/>
        <w:gridCol w:w="7702"/>
      </w:tblGrid>
      <w:tr>
        <w:trPr>
          <w:trHeight w:val="1096" w:hRule="atLeast"/>
        </w:trPr>
        <w:tc>
          <w:tcPr>
            <w:tcW w:w="1773" w:type="dxa"/>
          </w:tcPr>
          <w:p>
            <w:pPr>
              <w:pStyle w:val="TableParagraph"/>
              <w:spacing w:line="204" w:lineRule="exact" w:before="0"/>
              <w:ind w:left="200"/>
              <w:rPr>
                <w:b/>
                <w:sz w:val="21"/>
              </w:rPr>
            </w:pPr>
            <w:r>
              <w:rPr>
                <w:b/>
                <w:sz w:val="21"/>
              </w:rPr>
              <w:t>无有效行驶证</w:t>
            </w:r>
          </w:p>
        </w:tc>
        <w:tc>
          <w:tcPr>
            <w:tcW w:w="7702" w:type="dxa"/>
          </w:tcPr>
          <w:p>
            <w:pPr>
              <w:pStyle w:val="TableParagraph"/>
              <w:spacing w:line="204" w:lineRule="exact" w:before="0"/>
              <w:rPr>
                <w:sz w:val="21"/>
              </w:rPr>
            </w:pPr>
            <w:r>
              <w:rPr>
                <w:sz w:val="21"/>
              </w:rPr>
              <w:t>指下列情形之一：</w:t>
            </w:r>
          </w:p>
          <w:p>
            <w:pPr>
              <w:pStyle w:val="TableParagraph"/>
              <w:spacing w:before="85"/>
              <w:rPr>
                <w:sz w:val="21"/>
              </w:rPr>
            </w:pPr>
            <w:r>
              <w:rPr>
                <w:sz w:val="21"/>
              </w:rPr>
              <w:t>（</w:t>
            </w:r>
            <w:r>
              <w:rPr>
                <w:rFonts w:ascii="Times New Roman" w:eastAsia="Times New Roman"/>
                <w:sz w:val="21"/>
              </w:rPr>
              <w:t>1</w:t>
            </w:r>
            <w:r>
              <w:rPr>
                <w:sz w:val="21"/>
              </w:rPr>
              <w:t>）机动车被依法注销登记的；</w:t>
            </w:r>
          </w:p>
          <w:p>
            <w:pPr>
              <w:pStyle w:val="TableParagraph"/>
              <w:spacing w:before="66"/>
              <w:rPr>
                <w:sz w:val="21"/>
              </w:rPr>
            </w:pPr>
            <w:r>
              <w:rPr>
                <w:sz w:val="21"/>
              </w:rPr>
              <w:t>（</w:t>
            </w:r>
            <w:r>
              <w:rPr>
                <w:rFonts w:ascii="Times New Roman" w:eastAsia="Times New Roman"/>
                <w:sz w:val="21"/>
              </w:rPr>
              <w:t>2</w:t>
            </w:r>
            <w:r>
              <w:rPr>
                <w:sz w:val="21"/>
              </w:rPr>
              <w:t>）未依法按时进行或者通过机动车安全技术检验。</w:t>
            </w:r>
          </w:p>
        </w:tc>
      </w:tr>
      <w:tr>
        <w:trPr>
          <w:trHeight w:val="876" w:hRule="atLeast"/>
        </w:trPr>
        <w:tc>
          <w:tcPr>
            <w:tcW w:w="1773" w:type="dxa"/>
          </w:tcPr>
          <w:p>
            <w:pPr>
              <w:pStyle w:val="TableParagraph"/>
              <w:spacing w:before="80"/>
              <w:ind w:left="200"/>
              <w:rPr>
                <w:b/>
                <w:sz w:val="21"/>
              </w:rPr>
            </w:pPr>
            <w:r>
              <w:rPr>
                <w:b/>
                <w:sz w:val="21"/>
              </w:rPr>
              <w:t>机动车</w:t>
            </w:r>
          </w:p>
        </w:tc>
        <w:tc>
          <w:tcPr>
            <w:tcW w:w="7702" w:type="dxa"/>
          </w:tcPr>
          <w:p>
            <w:pPr>
              <w:pStyle w:val="TableParagraph"/>
              <w:spacing w:line="312" w:lineRule="auto" w:before="80"/>
              <w:ind w:right="303"/>
              <w:rPr>
                <w:sz w:val="21"/>
              </w:rPr>
            </w:pPr>
            <w:r>
              <w:rPr>
                <w:spacing w:val="-8"/>
                <w:sz w:val="21"/>
              </w:rPr>
              <w:t>指以动力装置驱动或者牵引，上道路行驶的供人员乘用或者用于运送物品以及进</w:t>
            </w:r>
            <w:r>
              <w:rPr>
                <w:spacing w:val="-5"/>
                <w:sz w:val="21"/>
              </w:rPr>
              <w:t>行工程专项作业的轮式车辆。</w:t>
            </w:r>
          </w:p>
        </w:tc>
      </w:tr>
      <w:tr>
        <w:trPr>
          <w:trHeight w:val="1968" w:hRule="atLeast"/>
        </w:trPr>
        <w:tc>
          <w:tcPr>
            <w:tcW w:w="1773" w:type="dxa"/>
          </w:tcPr>
          <w:p>
            <w:pPr>
              <w:pStyle w:val="TableParagraph"/>
              <w:spacing w:line="312" w:lineRule="auto" w:before="92"/>
              <w:ind w:left="200" w:right="92"/>
              <w:rPr>
                <w:b/>
                <w:sz w:val="21"/>
              </w:rPr>
            </w:pPr>
            <w:r>
              <w:rPr>
                <w:b/>
                <w:sz w:val="21"/>
              </w:rPr>
              <w:t>感染艾滋病病毒或患艾滋病</w:t>
            </w:r>
          </w:p>
        </w:tc>
        <w:tc>
          <w:tcPr>
            <w:tcW w:w="7702" w:type="dxa"/>
          </w:tcPr>
          <w:p>
            <w:pPr>
              <w:pStyle w:val="TableParagraph"/>
              <w:spacing w:line="295" w:lineRule="auto" w:before="92"/>
              <w:ind w:right="302"/>
              <w:jc w:val="both"/>
              <w:rPr>
                <w:sz w:val="21"/>
              </w:rPr>
            </w:pPr>
            <w:r>
              <w:rPr>
                <w:spacing w:val="-7"/>
                <w:sz w:val="21"/>
              </w:rPr>
              <w:t>艾滋病病毒指人类免疫缺陷病毒，英文缩写为 </w:t>
            </w:r>
            <w:r>
              <w:rPr>
                <w:rFonts w:ascii="Times New Roman" w:eastAsia="Times New Roman"/>
                <w:sz w:val="21"/>
              </w:rPr>
              <w:t>HIV</w:t>
            </w:r>
            <w:r>
              <w:rPr>
                <w:spacing w:val="-7"/>
                <w:sz w:val="21"/>
              </w:rPr>
              <w:t>。艾滋病指人类免疫缺陷病毒</w:t>
            </w:r>
            <w:r>
              <w:rPr>
                <w:spacing w:val="-4"/>
                <w:sz w:val="21"/>
              </w:rPr>
              <w:t>引起的获得性免疫缺陷综合征，英文缩写为 </w:t>
            </w:r>
            <w:r>
              <w:rPr>
                <w:rFonts w:ascii="Times New Roman" w:eastAsia="Times New Roman"/>
                <w:sz w:val="21"/>
              </w:rPr>
              <w:t>AIDS</w:t>
            </w:r>
            <w:r>
              <w:rPr>
                <w:sz w:val="21"/>
              </w:rPr>
              <w:t>。</w:t>
            </w:r>
          </w:p>
          <w:p>
            <w:pPr>
              <w:pStyle w:val="TableParagraph"/>
              <w:spacing w:line="314" w:lineRule="auto" w:before="15"/>
              <w:ind w:right="303"/>
              <w:jc w:val="both"/>
              <w:rPr>
                <w:sz w:val="21"/>
              </w:rPr>
            </w:pPr>
            <w:r>
              <w:rPr>
                <w:spacing w:val="-5"/>
                <w:sz w:val="21"/>
              </w:rPr>
              <w:t>在人体血液或其它样本中检测到艾滋病病毒或其抗体呈阳性，没有出现临床症状</w:t>
            </w:r>
            <w:r>
              <w:rPr>
                <w:spacing w:val="-9"/>
                <w:sz w:val="21"/>
              </w:rPr>
              <w:t>或体征的，为感染艾滋病病毒；如果同时出现了明显临床症状或体征的，为患艾滋病。</w:t>
            </w:r>
          </w:p>
        </w:tc>
      </w:tr>
      <w:tr>
        <w:trPr>
          <w:trHeight w:val="887" w:hRule="atLeast"/>
        </w:trPr>
        <w:tc>
          <w:tcPr>
            <w:tcW w:w="1773" w:type="dxa"/>
          </w:tcPr>
          <w:p>
            <w:pPr>
              <w:pStyle w:val="TableParagraph"/>
              <w:spacing w:before="88"/>
              <w:ind w:left="200"/>
              <w:rPr>
                <w:b/>
                <w:sz w:val="21"/>
              </w:rPr>
            </w:pPr>
            <w:r>
              <w:rPr>
                <w:b/>
                <w:sz w:val="21"/>
              </w:rPr>
              <w:t>遗传性疾病</w:t>
            </w:r>
          </w:p>
        </w:tc>
        <w:tc>
          <w:tcPr>
            <w:tcW w:w="7702" w:type="dxa"/>
          </w:tcPr>
          <w:p>
            <w:pPr>
              <w:pStyle w:val="TableParagraph"/>
              <w:spacing w:line="312" w:lineRule="auto" w:before="88"/>
              <w:ind w:right="197"/>
              <w:rPr>
                <w:sz w:val="21"/>
              </w:rPr>
            </w:pPr>
            <w:r>
              <w:rPr>
                <w:spacing w:val="-9"/>
                <w:sz w:val="21"/>
              </w:rPr>
              <w:t>指生殖细胞或受精卵的遗传物质</w:t>
            </w:r>
            <w:r>
              <w:rPr>
                <w:spacing w:val="-3"/>
                <w:sz w:val="21"/>
              </w:rPr>
              <w:t>（染色体和基因</w:t>
            </w:r>
            <w:r>
              <w:rPr>
                <w:spacing w:val="-80"/>
                <w:sz w:val="21"/>
              </w:rPr>
              <w:t>）</w:t>
            </w:r>
            <w:r>
              <w:rPr>
                <w:spacing w:val="-3"/>
                <w:sz w:val="21"/>
              </w:rPr>
              <w:t>发生突变或畸变所引起的疾病， 通常具有由亲代传至后代的垂直传递的特征。</w:t>
            </w:r>
          </w:p>
        </w:tc>
      </w:tr>
      <w:tr>
        <w:trPr>
          <w:trHeight w:val="1246" w:hRule="atLeast"/>
        </w:trPr>
        <w:tc>
          <w:tcPr>
            <w:tcW w:w="1773" w:type="dxa"/>
          </w:tcPr>
          <w:p>
            <w:pPr>
              <w:pStyle w:val="TableParagraph"/>
              <w:spacing w:line="312" w:lineRule="auto" w:before="88"/>
              <w:ind w:left="200" w:right="92"/>
              <w:rPr>
                <w:b/>
                <w:sz w:val="21"/>
              </w:rPr>
            </w:pPr>
            <w:r>
              <w:rPr>
                <w:b/>
                <w:sz w:val="21"/>
              </w:rPr>
              <w:t>先天性畸形、变形或染色体异常</w:t>
            </w:r>
          </w:p>
        </w:tc>
        <w:tc>
          <w:tcPr>
            <w:tcW w:w="7702" w:type="dxa"/>
          </w:tcPr>
          <w:p>
            <w:pPr>
              <w:pStyle w:val="TableParagraph"/>
              <w:spacing w:line="304" w:lineRule="auto" w:before="88"/>
              <w:ind w:right="303"/>
              <w:jc w:val="both"/>
              <w:rPr>
                <w:sz w:val="21"/>
              </w:rPr>
            </w:pPr>
            <w:r>
              <w:rPr>
                <w:spacing w:val="-7"/>
                <w:sz w:val="21"/>
              </w:rPr>
              <w:t>指被保险人出生时就具有的畸形、变形或者染色体异常。先天性畸形、变形和染</w:t>
            </w:r>
            <w:r>
              <w:rPr>
                <w:spacing w:val="-11"/>
                <w:sz w:val="21"/>
              </w:rPr>
              <w:t>色体异常依照世界卫生组织《疾病和有关健康问题的国际统计分类》</w:t>
            </w:r>
            <w:r>
              <w:rPr>
                <w:sz w:val="21"/>
              </w:rPr>
              <w:t>（</w:t>
            </w:r>
            <w:r>
              <w:rPr>
                <w:rFonts w:ascii="Times New Roman" w:eastAsia="Times New Roman"/>
                <w:sz w:val="21"/>
              </w:rPr>
              <w:t>ICD-10</w:t>
            </w:r>
            <w:r>
              <w:rPr>
                <w:sz w:val="21"/>
              </w:rPr>
              <w:t>） 确定。</w:t>
            </w:r>
          </w:p>
        </w:tc>
      </w:tr>
      <w:tr>
        <w:trPr>
          <w:trHeight w:val="888" w:hRule="atLeast"/>
        </w:trPr>
        <w:tc>
          <w:tcPr>
            <w:tcW w:w="1773" w:type="dxa"/>
          </w:tcPr>
          <w:p>
            <w:pPr>
              <w:pStyle w:val="TableParagraph"/>
              <w:ind w:left="200"/>
              <w:rPr>
                <w:b/>
                <w:sz w:val="21"/>
              </w:rPr>
            </w:pPr>
            <w:r>
              <w:rPr>
                <w:b/>
                <w:sz w:val="21"/>
              </w:rPr>
              <w:t>现金价值</w:t>
            </w:r>
          </w:p>
        </w:tc>
        <w:tc>
          <w:tcPr>
            <w:tcW w:w="7702" w:type="dxa"/>
          </w:tcPr>
          <w:p>
            <w:pPr>
              <w:pStyle w:val="TableParagraph"/>
              <w:spacing w:line="314" w:lineRule="auto"/>
              <w:ind w:right="305"/>
              <w:rPr>
                <w:sz w:val="21"/>
              </w:rPr>
            </w:pPr>
            <w:r>
              <w:rPr>
                <w:spacing w:val="-7"/>
                <w:sz w:val="21"/>
              </w:rPr>
              <w:t>指保险单所具有的价值，通常体现为解除合同时，根据精算原理计算的，由本公</w:t>
            </w:r>
            <w:r>
              <w:rPr>
                <w:spacing w:val="-5"/>
                <w:sz w:val="21"/>
              </w:rPr>
              <w:t>司退还的那部分金额。</w:t>
            </w:r>
          </w:p>
        </w:tc>
      </w:tr>
      <w:tr>
        <w:trPr>
          <w:trHeight w:val="886" w:hRule="atLeast"/>
        </w:trPr>
        <w:tc>
          <w:tcPr>
            <w:tcW w:w="1773" w:type="dxa"/>
          </w:tcPr>
          <w:p>
            <w:pPr>
              <w:pStyle w:val="TableParagraph"/>
              <w:ind w:left="200"/>
              <w:rPr>
                <w:b/>
                <w:sz w:val="21"/>
              </w:rPr>
            </w:pPr>
            <w:r>
              <w:rPr>
                <w:b/>
                <w:sz w:val="21"/>
              </w:rPr>
              <w:t>有效身份证件</w:t>
            </w:r>
          </w:p>
        </w:tc>
        <w:tc>
          <w:tcPr>
            <w:tcW w:w="7702" w:type="dxa"/>
          </w:tcPr>
          <w:p>
            <w:pPr>
              <w:pStyle w:val="TableParagraph"/>
              <w:spacing w:line="312" w:lineRule="auto"/>
              <w:ind w:right="242"/>
              <w:rPr>
                <w:sz w:val="21"/>
              </w:rPr>
            </w:pPr>
            <w:r>
              <w:rPr>
                <w:sz w:val="21"/>
              </w:rPr>
              <w:t>指由中华人民共和国政府主管部门规定的能够证明其身份的证件，如：居民身份证、按规定可使用的有效护照、户口簿等证件。</w:t>
            </w:r>
          </w:p>
        </w:tc>
      </w:tr>
      <w:tr>
        <w:trPr>
          <w:trHeight w:val="529" w:hRule="atLeast"/>
        </w:trPr>
        <w:tc>
          <w:tcPr>
            <w:tcW w:w="1773" w:type="dxa"/>
          </w:tcPr>
          <w:p>
            <w:pPr>
              <w:pStyle w:val="TableParagraph"/>
              <w:spacing w:before="88"/>
              <w:ind w:left="200"/>
              <w:rPr>
                <w:b/>
                <w:sz w:val="21"/>
              </w:rPr>
            </w:pPr>
            <w:r>
              <w:rPr>
                <w:b/>
                <w:sz w:val="21"/>
              </w:rPr>
              <w:t>现金价值净额</w:t>
            </w:r>
          </w:p>
        </w:tc>
        <w:tc>
          <w:tcPr>
            <w:tcW w:w="7702" w:type="dxa"/>
          </w:tcPr>
          <w:p>
            <w:pPr>
              <w:pStyle w:val="TableParagraph"/>
              <w:spacing w:before="88"/>
              <w:rPr>
                <w:sz w:val="21"/>
              </w:rPr>
            </w:pPr>
            <w:r>
              <w:rPr>
                <w:sz w:val="21"/>
              </w:rPr>
              <w:t>指现金价值扣除未还清款项及其利息后的余额。</w:t>
            </w:r>
          </w:p>
        </w:tc>
      </w:tr>
      <w:tr>
        <w:trPr>
          <w:trHeight w:val="887" w:hRule="atLeast"/>
        </w:trPr>
        <w:tc>
          <w:tcPr>
            <w:tcW w:w="1773" w:type="dxa"/>
          </w:tcPr>
          <w:p>
            <w:pPr>
              <w:pStyle w:val="TableParagraph"/>
              <w:ind w:left="200"/>
              <w:rPr>
                <w:b/>
                <w:sz w:val="21"/>
              </w:rPr>
            </w:pPr>
            <w:r>
              <w:rPr>
                <w:b/>
                <w:sz w:val="21"/>
              </w:rPr>
              <w:t>周岁</w:t>
            </w:r>
          </w:p>
        </w:tc>
        <w:tc>
          <w:tcPr>
            <w:tcW w:w="7702" w:type="dxa"/>
          </w:tcPr>
          <w:p>
            <w:pPr>
              <w:pStyle w:val="TableParagraph"/>
              <w:spacing w:line="314" w:lineRule="auto"/>
              <w:ind w:right="305"/>
              <w:rPr>
                <w:sz w:val="21"/>
              </w:rPr>
            </w:pPr>
            <w:r>
              <w:rPr>
                <w:spacing w:val="-6"/>
                <w:sz w:val="21"/>
              </w:rPr>
              <w:t>指按有效身份证件中记载的出生日期计算的年龄，自出生之日起为零周岁，每经</w:t>
            </w:r>
            <w:r>
              <w:rPr>
                <w:spacing w:val="-4"/>
                <w:sz w:val="21"/>
              </w:rPr>
              <w:t>过一年增加一岁，不足一年的不计。</w:t>
            </w:r>
          </w:p>
        </w:tc>
      </w:tr>
      <w:tr>
        <w:trPr>
          <w:trHeight w:val="2330" w:hRule="atLeast"/>
        </w:trPr>
        <w:tc>
          <w:tcPr>
            <w:tcW w:w="1773" w:type="dxa"/>
          </w:tcPr>
          <w:p>
            <w:pPr>
              <w:pStyle w:val="TableParagraph"/>
              <w:ind w:left="200"/>
              <w:rPr>
                <w:b/>
                <w:sz w:val="21"/>
              </w:rPr>
            </w:pPr>
            <w:r>
              <w:rPr>
                <w:b/>
                <w:sz w:val="21"/>
              </w:rPr>
              <w:t>专科医生</w:t>
            </w:r>
          </w:p>
        </w:tc>
        <w:tc>
          <w:tcPr>
            <w:tcW w:w="7702" w:type="dxa"/>
          </w:tcPr>
          <w:p>
            <w:pPr>
              <w:pStyle w:val="TableParagraph"/>
              <w:rPr>
                <w:sz w:val="21"/>
              </w:rPr>
            </w:pPr>
            <w:r>
              <w:rPr>
                <w:sz w:val="21"/>
              </w:rPr>
              <w:t>专科医生应当满足以下四项资格条件：</w:t>
            </w:r>
          </w:p>
          <w:p>
            <w:pPr>
              <w:pStyle w:val="TableParagraph"/>
              <w:spacing w:before="82"/>
              <w:rPr>
                <w:sz w:val="21"/>
              </w:rPr>
            </w:pPr>
            <w:r>
              <w:rPr>
                <w:sz w:val="21"/>
              </w:rPr>
              <w:t>（</w:t>
            </w:r>
            <w:r>
              <w:rPr>
                <w:rFonts w:ascii="Times New Roman" w:eastAsia="Times New Roman"/>
                <w:sz w:val="21"/>
              </w:rPr>
              <w:t>1</w:t>
            </w:r>
            <w:r>
              <w:rPr>
                <w:sz w:val="21"/>
              </w:rPr>
              <w:t>）具有有效的中华人民共和国《医师资格证书》；</w:t>
            </w:r>
          </w:p>
          <w:p>
            <w:pPr>
              <w:pStyle w:val="TableParagraph"/>
              <w:spacing w:before="69"/>
              <w:rPr>
                <w:sz w:val="21"/>
              </w:rPr>
            </w:pPr>
            <w:r>
              <w:rPr>
                <w:spacing w:val="-1"/>
                <w:sz w:val="21"/>
              </w:rPr>
              <w:t>（</w:t>
            </w:r>
            <w:r>
              <w:rPr>
                <w:rFonts w:ascii="Times New Roman" w:eastAsia="Times New Roman"/>
                <w:spacing w:val="-1"/>
                <w:sz w:val="21"/>
              </w:rPr>
              <w:t>2</w:t>
            </w:r>
            <w:r>
              <w:rPr>
                <w:spacing w:val="-1"/>
                <w:sz w:val="21"/>
              </w:rPr>
              <w:t>）</w:t>
            </w:r>
            <w:r>
              <w:rPr>
                <w:spacing w:val="-19"/>
                <w:sz w:val="21"/>
              </w:rPr>
              <w:t>具有有效的中华人民共和国《医师执业证书》，并按期到相关部门登记注册；</w:t>
            </w:r>
          </w:p>
          <w:p>
            <w:pPr>
              <w:pStyle w:val="TableParagraph"/>
              <w:spacing w:line="297" w:lineRule="auto" w:before="67"/>
              <w:ind w:left="621" w:right="254" w:hanging="527"/>
              <w:rPr>
                <w:sz w:val="21"/>
              </w:rPr>
            </w:pPr>
            <w:r>
              <w:rPr>
                <w:sz w:val="21"/>
              </w:rPr>
              <w:t>（</w:t>
            </w:r>
            <w:r>
              <w:rPr>
                <w:rFonts w:ascii="Times New Roman" w:eastAsia="Times New Roman"/>
                <w:sz w:val="21"/>
              </w:rPr>
              <w:t>3</w:t>
            </w:r>
            <w:r>
              <w:rPr>
                <w:sz w:val="21"/>
              </w:rPr>
              <w:t>）具有有效的中华人 民共和国主治医师或主治医师以上职称的《医师职称证书》；</w:t>
            </w:r>
          </w:p>
          <w:p>
            <w:pPr>
              <w:pStyle w:val="TableParagraph"/>
              <w:spacing w:before="32"/>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880" w:hRule="atLeast"/>
        </w:trPr>
        <w:tc>
          <w:tcPr>
            <w:tcW w:w="1773" w:type="dxa"/>
          </w:tcPr>
          <w:p>
            <w:pPr>
              <w:pStyle w:val="TableParagraph"/>
              <w:spacing w:line="312" w:lineRule="auto" w:before="80"/>
              <w:ind w:left="200" w:right="92"/>
              <w:rPr>
                <w:b/>
                <w:sz w:val="21"/>
              </w:rPr>
            </w:pPr>
            <w:r>
              <w:rPr>
                <w:b/>
                <w:sz w:val="21"/>
              </w:rPr>
              <w:t>肢体机能完全丧失</w:t>
            </w:r>
          </w:p>
        </w:tc>
        <w:tc>
          <w:tcPr>
            <w:tcW w:w="7702" w:type="dxa"/>
          </w:tcPr>
          <w:p>
            <w:pPr>
              <w:pStyle w:val="TableParagraph"/>
              <w:spacing w:line="312" w:lineRule="auto" w:before="80"/>
              <w:ind w:right="305"/>
              <w:rPr>
                <w:sz w:val="21"/>
              </w:rPr>
            </w:pPr>
            <w:r>
              <w:rPr>
                <w:spacing w:val="-6"/>
                <w:sz w:val="21"/>
              </w:rPr>
              <w:t>指肢体的三大关节中的两大关节僵硬，或不能随意识活动。肢体是指包括肩关节</w:t>
            </w:r>
            <w:r>
              <w:rPr>
                <w:spacing w:val="-4"/>
                <w:sz w:val="21"/>
              </w:rPr>
              <w:t>的整个上肢或包括髋关节的整个下肢。</w:t>
            </w:r>
          </w:p>
        </w:tc>
      </w:tr>
      <w:tr>
        <w:trPr>
          <w:trHeight w:val="1088" w:hRule="atLeast"/>
        </w:trPr>
        <w:tc>
          <w:tcPr>
            <w:tcW w:w="1773" w:type="dxa"/>
          </w:tcPr>
          <w:p>
            <w:pPr>
              <w:pStyle w:val="TableParagraph"/>
              <w:spacing w:line="312" w:lineRule="auto" w:before="88"/>
              <w:ind w:left="200" w:right="92"/>
              <w:rPr>
                <w:b/>
                <w:sz w:val="21"/>
              </w:rPr>
            </w:pPr>
            <w:r>
              <w:rPr>
                <w:b/>
                <w:sz w:val="21"/>
              </w:rPr>
              <w:t>语言能力或咀嚼吞咽能力完全丧</w:t>
            </w:r>
          </w:p>
          <w:p>
            <w:pPr>
              <w:pStyle w:val="TableParagraph"/>
              <w:spacing w:line="262" w:lineRule="exact" w:before="21"/>
              <w:ind w:left="200"/>
              <w:rPr>
                <w:b/>
                <w:sz w:val="21"/>
              </w:rPr>
            </w:pPr>
            <w:r>
              <w:rPr>
                <w:b/>
                <w:w w:val="100"/>
                <w:sz w:val="21"/>
              </w:rPr>
              <w:t>失</w:t>
            </w:r>
          </w:p>
        </w:tc>
        <w:tc>
          <w:tcPr>
            <w:tcW w:w="7702" w:type="dxa"/>
          </w:tcPr>
          <w:p>
            <w:pPr>
              <w:pStyle w:val="TableParagraph"/>
              <w:spacing w:line="312" w:lineRule="auto" w:before="88"/>
              <w:ind w:right="306"/>
              <w:rPr>
                <w:sz w:val="21"/>
              </w:rPr>
            </w:pPr>
            <w:r>
              <w:rPr>
                <w:spacing w:val="-6"/>
                <w:sz w:val="21"/>
              </w:rPr>
              <w:t>语言能力完全丧失，指无法发出四种语音</w:t>
            </w:r>
            <w:r>
              <w:rPr>
                <w:sz w:val="21"/>
              </w:rPr>
              <w:t>（</w:t>
            </w:r>
            <w:r>
              <w:rPr>
                <w:spacing w:val="-7"/>
                <w:sz w:val="21"/>
              </w:rPr>
              <w:t>包括口唇音、齿舌音、口盖音和喉头音）</w:t>
            </w:r>
            <w:r>
              <w:rPr>
                <w:spacing w:val="-3"/>
                <w:sz w:val="21"/>
              </w:rPr>
              <w:t>中的任何三种、或声带全部切除，或因大脑语言中枢受伤害而患失语症。</w:t>
            </w:r>
          </w:p>
          <w:p>
            <w:pPr>
              <w:pStyle w:val="TableParagraph"/>
              <w:spacing w:line="262" w:lineRule="exact" w:before="21"/>
              <w:rPr>
                <w:sz w:val="21"/>
              </w:rPr>
            </w:pPr>
            <w:r>
              <w:rPr>
                <w:sz w:val="21"/>
              </w:rPr>
              <w:t>咀嚼吞咽能力完全丧失，指因牙齿以外的原因导致器质障碍或机能障碍，以致不</w:t>
            </w:r>
          </w:p>
        </w:tc>
      </w:tr>
    </w:tbl>
    <w:p>
      <w:pPr>
        <w:spacing w:after="0" w:line="262" w:lineRule="exact"/>
        <w:rPr>
          <w:sz w:val="21"/>
        </w:rPr>
        <w:sectPr>
          <w:pgSz w:w="11910" w:h="16840"/>
          <w:pgMar w:header="0" w:footer="915" w:top="1480" w:bottom="1100" w:left="1100" w:right="11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3"/>
        <w:gridCol w:w="7595"/>
      </w:tblGrid>
      <w:tr>
        <w:trPr>
          <w:trHeight w:val="370" w:hRule="atLeast"/>
        </w:trPr>
        <w:tc>
          <w:tcPr>
            <w:tcW w:w="1773" w:type="dxa"/>
          </w:tcPr>
          <w:p>
            <w:pPr>
              <w:pStyle w:val="TableParagraph"/>
              <w:spacing w:before="0"/>
              <w:ind w:left="0"/>
              <w:rPr>
                <w:rFonts w:ascii="Times New Roman"/>
                <w:sz w:val="20"/>
              </w:rPr>
            </w:pPr>
          </w:p>
        </w:tc>
        <w:tc>
          <w:tcPr>
            <w:tcW w:w="7595" w:type="dxa"/>
          </w:tcPr>
          <w:p>
            <w:pPr>
              <w:pStyle w:val="TableParagraph"/>
              <w:spacing w:line="204" w:lineRule="exact" w:before="0"/>
              <w:rPr>
                <w:sz w:val="21"/>
              </w:rPr>
            </w:pPr>
            <w:r>
              <w:rPr>
                <w:sz w:val="21"/>
              </w:rPr>
              <w:t>能作咀嚼吞咽运动，除流质食物外不能摄取或吞咽的状态。</w:t>
            </w:r>
          </w:p>
        </w:tc>
      </w:tr>
      <w:tr>
        <w:trPr>
          <w:trHeight w:val="2686" w:hRule="atLeast"/>
        </w:trPr>
        <w:tc>
          <w:tcPr>
            <w:tcW w:w="1773" w:type="dxa"/>
          </w:tcPr>
          <w:p>
            <w:pPr>
              <w:pStyle w:val="TableParagraph"/>
              <w:spacing w:line="312" w:lineRule="auto" w:before="89"/>
              <w:ind w:left="200" w:right="92"/>
              <w:rPr>
                <w:b/>
                <w:sz w:val="21"/>
              </w:rPr>
            </w:pPr>
            <w:r>
              <w:rPr>
                <w:b/>
                <w:sz w:val="21"/>
              </w:rPr>
              <w:t>六项基本日常生活活动</w:t>
            </w:r>
          </w:p>
        </w:tc>
        <w:tc>
          <w:tcPr>
            <w:tcW w:w="7595" w:type="dxa"/>
          </w:tcPr>
          <w:p>
            <w:pPr>
              <w:pStyle w:val="TableParagraph"/>
              <w:spacing w:before="89"/>
              <w:rPr>
                <w:sz w:val="21"/>
              </w:rPr>
            </w:pPr>
            <w:r>
              <w:rPr>
                <w:sz w:val="21"/>
              </w:rPr>
              <w:t>六项基本日常生活活动是指：</w:t>
            </w:r>
          </w:p>
          <w:p>
            <w:pPr>
              <w:pStyle w:val="TableParagraph"/>
              <w:spacing w:before="83"/>
              <w:rPr>
                <w:sz w:val="21"/>
              </w:rPr>
            </w:pPr>
            <w:r>
              <w:rPr>
                <w:sz w:val="21"/>
              </w:rPr>
              <w:t>（</w:t>
            </w:r>
            <w:r>
              <w:rPr>
                <w:rFonts w:ascii="Times New Roman" w:eastAsia="Times New Roman"/>
                <w:sz w:val="21"/>
              </w:rPr>
              <w:t>1</w:t>
            </w:r>
            <w:r>
              <w:rPr>
                <w:sz w:val="21"/>
              </w:rPr>
              <w:t>）穿衣：自己能够穿衣及脱衣；</w:t>
            </w:r>
          </w:p>
          <w:p>
            <w:pPr>
              <w:pStyle w:val="TableParagraph"/>
              <w:spacing w:before="69"/>
              <w:rPr>
                <w:sz w:val="21"/>
              </w:rPr>
            </w:pPr>
            <w:r>
              <w:rPr>
                <w:sz w:val="21"/>
              </w:rPr>
              <w:t>（</w:t>
            </w:r>
            <w:r>
              <w:rPr>
                <w:rFonts w:ascii="Times New Roman" w:eastAsia="Times New Roman"/>
                <w:sz w:val="21"/>
              </w:rPr>
              <w:t>2</w:t>
            </w:r>
            <w:r>
              <w:rPr>
                <w:sz w:val="21"/>
              </w:rPr>
              <w:t>）移动：自己从一个房间到另一个房间；</w:t>
            </w:r>
          </w:p>
          <w:p>
            <w:pPr>
              <w:pStyle w:val="TableParagraph"/>
              <w:spacing w:before="66"/>
              <w:rPr>
                <w:sz w:val="21"/>
              </w:rPr>
            </w:pPr>
            <w:r>
              <w:rPr>
                <w:sz w:val="21"/>
              </w:rPr>
              <w:t>（</w:t>
            </w:r>
            <w:r>
              <w:rPr>
                <w:rFonts w:ascii="Times New Roman" w:eastAsia="Times New Roman"/>
                <w:sz w:val="21"/>
              </w:rPr>
              <w:t>3</w:t>
            </w:r>
            <w:r>
              <w:rPr>
                <w:sz w:val="21"/>
              </w:rPr>
              <w:t>）行动：自己上下床 或上下轮椅；</w:t>
            </w:r>
          </w:p>
          <w:p>
            <w:pPr>
              <w:pStyle w:val="TableParagraph"/>
              <w:spacing w:before="69"/>
              <w:rPr>
                <w:sz w:val="21"/>
              </w:rPr>
            </w:pPr>
            <w:r>
              <w:rPr>
                <w:sz w:val="21"/>
              </w:rPr>
              <w:t>（</w:t>
            </w:r>
            <w:r>
              <w:rPr>
                <w:rFonts w:ascii="Times New Roman" w:eastAsia="Times New Roman"/>
                <w:sz w:val="21"/>
              </w:rPr>
              <w:t>4</w:t>
            </w:r>
            <w:r>
              <w:rPr>
                <w:sz w:val="21"/>
              </w:rPr>
              <w:t>）如厕：自己控制进行大小便；</w:t>
            </w:r>
          </w:p>
          <w:p>
            <w:pPr>
              <w:pStyle w:val="TableParagraph"/>
              <w:spacing w:before="67"/>
              <w:rPr>
                <w:sz w:val="21"/>
              </w:rPr>
            </w:pPr>
            <w:r>
              <w:rPr>
                <w:sz w:val="21"/>
              </w:rPr>
              <w:t>（</w:t>
            </w:r>
            <w:r>
              <w:rPr>
                <w:rFonts w:ascii="Times New Roman" w:eastAsia="Times New Roman"/>
                <w:sz w:val="21"/>
              </w:rPr>
              <w:t>5</w:t>
            </w:r>
            <w:r>
              <w:rPr>
                <w:sz w:val="21"/>
              </w:rPr>
              <w:t>）进食：自己从已准备好的碗或碟中取食物放入口中；</w:t>
            </w:r>
          </w:p>
          <w:p>
            <w:pPr>
              <w:pStyle w:val="TableParagraph"/>
              <w:spacing w:before="69"/>
              <w:rPr>
                <w:sz w:val="21"/>
              </w:rPr>
            </w:pPr>
            <w:r>
              <w:rPr>
                <w:sz w:val="21"/>
              </w:rPr>
              <w:t>（</w:t>
            </w:r>
            <w:r>
              <w:rPr>
                <w:rFonts w:ascii="Times New Roman" w:eastAsia="Times New Roman"/>
                <w:sz w:val="21"/>
              </w:rPr>
              <w:t>6</w:t>
            </w:r>
            <w:r>
              <w:rPr>
                <w:sz w:val="21"/>
              </w:rPr>
              <w:t>）洗澡：自己进行淋浴或盆浴。</w:t>
            </w:r>
          </w:p>
        </w:tc>
      </w:tr>
      <w:tr>
        <w:trPr>
          <w:trHeight w:val="724" w:hRule="atLeast"/>
        </w:trPr>
        <w:tc>
          <w:tcPr>
            <w:tcW w:w="1773" w:type="dxa"/>
          </w:tcPr>
          <w:p>
            <w:pPr>
              <w:pStyle w:val="TableParagraph"/>
              <w:spacing w:before="83"/>
              <w:ind w:left="200"/>
              <w:rPr>
                <w:b/>
                <w:sz w:val="21"/>
              </w:rPr>
            </w:pPr>
            <w:r>
              <w:rPr>
                <w:b/>
                <w:sz w:val="21"/>
              </w:rPr>
              <w:t>永久不可逆</w:t>
            </w:r>
          </w:p>
        </w:tc>
        <w:tc>
          <w:tcPr>
            <w:tcW w:w="7595" w:type="dxa"/>
          </w:tcPr>
          <w:p>
            <w:pPr>
              <w:pStyle w:val="TableParagraph"/>
              <w:spacing w:line="340" w:lineRule="atLeast" w:before="33"/>
              <w:ind w:right="197"/>
              <w:rPr>
                <w:sz w:val="21"/>
              </w:rPr>
            </w:pPr>
            <w:r>
              <w:rPr>
                <w:spacing w:val="-7"/>
                <w:sz w:val="21"/>
              </w:rPr>
              <w:t>指自疾病确诊或意外伤害发生之日起，经过积极治疗 </w:t>
            </w:r>
            <w:r>
              <w:rPr>
                <w:rFonts w:ascii="Times New Roman" w:eastAsia="Times New Roman"/>
                <w:sz w:val="21"/>
              </w:rPr>
              <w:t>180 </w:t>
            </w:r>
            <w:r>
              <w:rPr>
                <w:spacing w:val="-7"/>
                <w:sz w:val="21"/>
              </w:rPr>
              <w:t>天后，仍无法通过现有</w:t>
            </w:r>
            <w:r>
              <w:rPr>
                <w:spacing w:val="-5"/>
                <w:sz w:val="21"/>
              </w:rPr>
              <w:t>医疗手段恢复。</w:t>
            </w:r>
          </w:p>
        </w:tc>
      </w:tr>
    </w:tbl>
    <w:sectPr>
      <w:pgSz w:w="11910" w:h="16840"/>
      <w:pgMar w:header="0" w:footer="915" w:top="1480" w:bottom="1100" w:left="110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宋体">
    <w:altName w:val="宋体"/>
    <w:charset w:val="86"/>
    <w:family w:val="auto"/>
    <w:pitch w:val="variable"/>
  </w:font>
  <w:font w:name="Calibri">
    <w:altName w:val="Calibr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12"/>
      </w:rPr>
    </w:pPr>
    <w:r>
      <w:rPr/>
      <w:pict>
        <v:shapetype id="_x0000_t202" o:spt="202" coordsize="21600,21600" path="m,l,21600r21600,l21600,xe">
          <v:stroke joinstyle="miter"/>
          <v:path gradientshapeok="t" o:connecttype="rect"/>
        </v:shapetype>
        <v:shape style="position:absolute;margin-left:291.109985pt;margin-top:781.179993pt;width:13.15pt;height:12pt;mso-position-horizontal-relative:page;mso-position-vertical-relative:page;z-index:-331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805" w:hanging="269"/>
        <w:jc w:val="left"/>
      </w:pPr>
      <w:rPr>
        <w:rFonts w:hint="default" w:ascii="宋体" w:hAnsi="宋体" w:eastAsia="宋体" w:cs="宋体"/>
        <w:w w:val="100"/>
        <w:sz w:val="21"/>
        <w:szCs w:val="21"/>
      </w:rPr>
    </w:lvl>
    <w:lvl w:ilvl="1">
      <w:start w:val="0"/>
      <w:numFmt w:val="bullet"/>
      <w:lvlText w:val="•"/>
      <w:lvlJc w:val="left"/>
      <w:pPr>
        <w:ind w:left="1646" w:hanging="269"/>
      </w:pPr>
      <w:rPr>
        <w:rFonts w:hint="default"/>
      </w:rPr>
    </w:lvl>
    <w:lvl w:ilvl="2">
      <w:start w:val="0"/>
      <w:numFmt w:val="bullet"/>
      <w:lvlText w:val="•"/>
      <w:lvlJc w:val="left"/>
      <w:pPr>
        <w:ind w:left="2493" w:hanging="269"/>
      </w:pPr>
      <w:rPr>
        <w:rFonts w:hint="default"/>
      </w:rPr>
    </w:lvl>
    <w:lvl w:ilvl="3">
      <w:start w:val="0"/>
      <w:numFmt w:val="bullet"/>
      <w:lvlText w:val="•"/>
      <w:lvlJc w:val="left"/>
      <w:pPr>
        <w:ind w:left="3339" w:hanging="269"/>
      </w:pPr>
      <w:rPr>
        <w:rFonts w:hint="default"/>
      </w:rPr>
    </w:lvl>
    <w:lvl w:ilvl="4">
      <w:start w:val="0"/>
      <w:numFmt w:val="bullet"/>
      <w:lvlText w:val="•"/>
      <w:lvlJc w:val="left"/>
      <w:pPr>
        <w:ind w:left="4186" w:hanging="269"/>
      </w:pPr>
      <w:rPr>
        <w:rFonts w:hint="default"/>
      </w:rPr>
    </w:lvl>
    <w:lvl w:ilvl="5">
      <w:start w:val="0"/>
      <w:numFmt w:val="bullet"/>
      <w:lvlText w:val="•"/>
      <w:lvlJc w:val="left"/>
      <w:pPr>
        <w:ind w:left="5033" w:hanging="269"/>
      </w:pPr>
      <w:rPr>
        <w:rFonts w:hint="default"/>
      </w:rPr>
    </w:lvl>
    <w:lvl w:ilvl="6">
      <w:start w:val="0"/>
      <w:numFmt w:val="bullet"/>
      <w:lvlText w:val="•"/>
      <w:lvlJc w:val="left"/>
      <w:pPr>
        <w:ind w:left="5879" w:hanging="269"/>
      </w:pPr>
      <w:rPr>
        <w:rFonts w:hint="default"/>
      </w:rPr>
    </w:lvl>
    <w:lvl w:ilvl="7">
      <w:start w:val="0"/>
      <w:numFmt w:val="bullet"/>
      <w:lvlText w:val="•"/>
      <w:lvlJc w:val="left"/>
      <w:pPr>
        <w:ind w:left="6726" w:hanging="269"/>
      </w:pPr>
      <w:rPr>
        <w:rFonts w:hint="default"/>
      </w:rPr>
    </w:lvl>
    <w:lvl w:ilvl="8">
      <w:start w:val="0"/>
      <w:numFmt w:val="bullet"/>
      <w:lvlText w:val="•"/>
      <w:lvlJc w:val="left"/>
      <w:pPr>
        <w:ind w:left="7573" w:hanging="269"/>
      </w:pPr>
      <w:rPr>
        <w:rFonts w:hint="default"/>
      </w:rPr>
    </w:lvl>
  </w:abstractNum>
  <w:abstractNum w:abstractNumId="4">
    <w:multiLevelType w:val="hybridMultilevel"/>
    <w:lvl w:ilvl="0">
      <w:start w:val="1"/>
      <w:numFmt w:val="decimal"/>
      <w:lvlText w:val="%1."/>
      <w:lvlJc w:val="left"/>
      <w:pPr>
        <w:ind w:left="805" w:hanging="269"/>
        <w:jc w:val="left"/>
      </w:pPr>
      <w:rPr>
        <w:rFonts w:hint="default" w:ascii="宋体" w:hAnsi="宋体" w:eastAsia="宋体" w:cs="宋体"/>
        <w:w w:val="100"/>
        <w:sz w:val="21"/>
        <w:szCs w:val="21"/>
      </w:rPr>
    </w:lvl>
    <w:lvl w:ilvl="1">
      <w:start w:val="0"/>
      <w:numFmt w:val="bullet"/>
      <w:lvlText w:val="•"/>
      <w:lvlJc w:val="left"/>
      <w:pPr>
        <w:ind w:left="1656" w:hanging="269"/>
      </w:pPr>
      <w:rPr>
        <w:rFonts w:hint="default"/>
      </w:rPr>
    </w:lvl>
    <w:lvl w:ilvl="2">
      <w:start w:val="0"/>
      <w:numFmt w:val="bullet"/>
      <w:lvlText w:val="•"/>
      <w:lvlJc w:val="left"/>
      <w:pPr>
        <w:ind w:left="2513" w:hanging="269"/>
      </w:pPr>
      <w:rPr>
        <w:rFonts w:hint="default"/>
      </w:rPr>
    </w:lvl>
    <w:lvl w:ilvl="3">
      <w:start w:val="0"/>
      <w:numFmt w:val="bullet"/>
      <w:lvlText w:val="•"/>
      <w:lvlJc w:val="left"/>
      <w:pPr>
        <w:ind w:left="3369" w:hanging="269"/>
      </w:pPr>
      <w:rPr>
        <w:rFonts w:hint="default"/>
      </w:rPr>
    </w:lvl>
    <w:lvl w:ilvl="4">
      <w:start w:val="0"/>
      <w:numFmt w:val="bullet"/>
      <w:lvlText w:val="•"/>
      <w:lvlJc w:val="left"/>
      <w:pPr>
        <w:ind w:left="4226" w:hanging="269"/>
      </w:pPr>
      <w:rPr>
        <w:rFonts w:hint="default"/>
      </w:rPr>
    </w:lvl>
    <w:lvl w:ilvl="5">
      <w:start w:val="0"/>
      <w:numFmt w:val="bullet"/>
      <w:lvlText w:val="•"/>
      <w:lvlJc w:val="left"/>
      <w:pPr>
        <w:ind w:left="5083" w:hanging="269"/>
      </w:pPr>
      <w:rPr>
        <w:rFonts w:hint="default"/>
      </w:rPr>
    </w:lvl>
    <w:lvl w:ilvl="6">
      <w:start w:val="0"/>
      <w:numFmt w:val="bullet"/>
      <w:lvlText w:val="•"/>
      <w:lvlJc w:val="left"/>
      <w:pPr>
        <w:ind w:left="5939" w:hanging="269"/>
      </w:pPr>
      <w:rPr>
        <w:rFonts w:hint="default"/>
      </w:rPr>
    </w:lvl>
    <w:lvl w:ilvl="7">
      <w:start w:val="0"/>
      <w:numFmt w:val="bullet"/>
      <w:lvlText w:val="•"/>
      <w:lvlJc w:val="left"/>
      <w:pPr>
        <w:ind w:left="6796" w:hanging="269"/>
      </w:pPr>
      <w:rPr>
        <w:rFonts w:hint="default"/>
      </w:rPr>
    </w:lvl>
    <w:lvl w:ilvl="8">
      <w:start w:val="0"/>
      <w:numFmt w:val="bullet"/>
      <w:lvlText w:val="•"/>
      <w:lvlJc w:val="left"/>
      <w:pPr>
        <w:ind w:left="7653" w:hanging="269"/>
      </w:pPr>
      <w:rPr>
        <w:rFonts w:hint="default"/>
      </w:rPr>
    </w:lvl>
  </w:abstractNum>
  <w:abstractNum w:abstractNumId="3">
    <w:multiLevelType w:val="hybridMultilevel"/>
    <w:lvl w:ilvl="0">
      <w:start w:val="1"/>
      <w:numFmt w:val="decimal"/>
      <w:lvlText w:val="%1."/>
      <w:lvlJc w:val="left"/>
      <w:pPr>
        <w:ind w:left="536" w:hanging="269"/>
        <w:jc w:val="left"/>
      </w:pPr>
      <w:rPr>
        <w:rFonts w:hint="default" w:ascii="宋体" w:hAnsi="宋体" w:eastAsia="宋体" w:cs="宋体"/>
        <w:w w:val="100"/>
        <w:sz w:val="21"/>
        <w:szCs w:val="21"/>
      </w:rPr>
    </w:lvl>
    <w:lvl w:ilvl="1">
      <w:start w:val="0"/>
      <w:numFmt w:val="bullet"/>
      <w:lvlText w:val="•"/>
      <w:lvlJc w:val="left"/>
      <w:pPr>
        <w:ind w:left="1412" w:hanging="269"/>
      </w:pPr>
      <w:rPr>
        <w:rFonts w:hint="default"/>
      </w:rPr>
    </w:lvl>
    <w:lvl w:ilvl="2">
      <w:start w:val="0"/>
      <w:numFmt w:val="bullet"/>
      <w:lvlText w:val="•"/>
      <w:lvlJc w:val="left"/>
      <w:pPr>
        <w:ind w:left="2285" w:hanging="269"/>
      </w:pPr>
      <w:rPr>
        <w:rFonts w:hint="default"/>
      </w:rPr>
    </w:lvl>
    <w:lvl w:ilvl="3">
      <w:start w:val="0"/>
      <w:numFmt w:val="bullet"/>
      <w:lvlText w:val="•"/>
      <w:lvlJc w:val="left"/>
      <w:pPr>
        <w:ind w:left="3157" w:hanging="269"/>
      </w:pPr>
      <w:rPr>
        <w:rFonts w:hint="default"/>
      </w:rPr>
    </w:lvl>
    <w:lvl w:ilvl="4">
      <w:start w:val="0"/>
      <w:numFmt w:val="bullet"/>
      <w:lvlText w:val="•"/>
      <w:lvlJc w:val="left"/>
      <w:pPr>
        <w:ind w:left="4030" w:hanging="269"/>
      </w:pPr>
      <w:rPr>
        <w:rFonts w:hint="default"/>
      </w:rPr>
    </w:lvl>
    <w:lvl w:ilvl="5">
      <w:start w:val="0"/>
      <w:numFmt w:val="bullet"/>
      <w:lvlText w:val="•"/>
      <w:lvlJc w:val="left"/>
      <w:pPr>
        <w:ind w:left="4903" w:hanging="269"/>
      </w:pPr>
      <w:rPr>
        <w:rFonts w:hint="default"/>
      </w:rPr>
    </w:lvl>
    <w:lvl w:ilvl="6">
      <w:start w:val="0"/>
      <w:numFmt w:val="bullet"/>
      <w:lvlText w:val="•"/>
      <w:lvlJc w:val="left"/>
      <w:pPr>
        <w:ind w:left="5775" w:hanging="269"/>
      </w:pPr>
      <w:rPr>
        <w:rFonts w:hint="default"/>
      </w:rPr>
    </w:lvl>
    <w:lvl w:ilvl="7">
      <w:start w:val="0"/>
      <w:numFmt w:val="bullet"/>
      <w:lvlText w:val="•"/>
      <w:lvlJc w:val="left"/>
      <w:pPr>
        <w:ind w:left="6648" w:hanging="269"/>
      </w:pPr>
      <w:rPr>
        <w:rFonts w:hint="default"/>
      </w:rPr>
    </w:lvl>
    <w:lvl w:ilvl="8">
      <w:start w:val="0"/>
      <w:numFmt w:val="bullet"/>
      <w:lvlText w:val="•"/>
      <w:lvlJc w:val="left"/>
      <w:pPr>
        <w:ind w:left="7521" w:hanging="269"/>
      </w:pPr>
      <w:rPr>
        <w:rFonts w:hint="default"/>
      </w:rPr>
    </w:lvl>
  </w:abstractNum>
  <w:abstractNum w:abstractNumId="2">
    <w:multiLevelType w:val="hybridMultilevel"/>
    <w:lvl w:ilvl="0">
      <w:start w:val="1"/>
      <w:numFmt w:val="decimal"/>
      <w:lvlText w:val="%1."/>
      <w:lvlJc w:val="left"/>
      <w:pPr>
        <w:ind w:left="536" w:hanging="269"/>
        <w:jc w:val="left"/>
      </w:pPr>
      <w:rPr>
        <w:rFonts w:hint="default" w:ascii="宋体" w:hAnsi="宋体" w:eastAsia="宋体" w:cs="宋体"/>
        <w:w w:val="100"/>
        <w:sz w:val="21"/>
        <w:szCs w:val="21"/>
      </w:rPr>
    </w:lvl>
    <w:lvl w:ilvl="1">
      <w:start w:val="0"/>
      <w:numFmt w:val="bullet"/>
      <w:lvlText w:val="•"/>
      <w:lvlJc w:val="left"/>
      <w:pPr>
        <w:ind w:left="1412" w:hanging="269"/>
      </w:pPr>
      <w:rPr>
        <w:rFonts w:hint="default"/>
      </w:rPr>
    </w:lvl>
    <w:lvl w:ilvl="2">
      <w:start w:val="0"/>
      <w:numFmt w:val="bullet"/>
      <w:lvlText w:val="•"/>
      <w:lvlJc w:val="left"/>
      <w:pPr>
        <w:ind w:left="2285" w:hanging="269"/>
      </w:pPr>
      <w:rPr>
        <w:rFonts w:hint="default"/>
      </w:rPr>
    </w:lvl>
    <w:lvl w:ilvl="3">
      <w:start w:val="0"/>
      <w:numFmt w:val="bullet"/>
      <w:lvlText w:val="•"/>
      <w:lvlJc w:val="left"/>
      <w:pPr>
        <w:ind w:left="3157" w:hanging="269"/>
      </w:pPr>
      <w:rPr>
        <w:rFonts w:hint="default"/>
      </w:rPr>
    </w:lvl>
    <w:lvl w:ilvl="4">
      <w:start w:val="0"/>
      <w:numFmt w:val="bullet"/>
      <w:lvlText w:val="•"/>
      <w:lvlJc w:val="left"/>
      <w:pPr>
        <w:ind w:left="4030" w:hanging="269"/>
      </w:pPr>
      <w:rPr>
        <w:rFonts w:hint="default"/>
      </w:rPr>
    </w:lvl>
    <w:lvl w:ilvl="5">
      <w:start w:val="0"/>
      <w:numFmt w:val="bullet"/>
      <w:lvlText w:val="•"/>
      <w:lvlJc w:val="left"/>
      <w:pPr>
        <w:ind w:left="4903" w:hanging="269"/>
      </w:pPr>
      <w:rPr>
        <w:rFonts w:hint="default"/>
      </w:rPr>
    </w:lvl>
    <w:lvl w:ilvl="6">
      <w:start w:val="0"/>
      <w:numFmt w:val="bullet"/>
      <w:lvlText w:val="•"/>
      <w:lvlJc w:val="left"/>
      <w:pPr>
        <w:ind w:left="5775" w:hanging="269"/>
      </w:pPr>
      <w:rPr>
        <w:rFonts w:hint="default"/>
      </w:rPr>
    </w:lvl>
    <w:lvl w:ilvl="7">
      <w:start w:val="0"/>
      <w:numFmt w:val="bullet"/>
      <w:lvlText w:val="•"/>
      <w:lvlJc w:val="left"/>
      <w:pPr>
        <w:ind w:left="6648" w:hanging="269"/>
      </w:pPr>
      <w:rPr>
        <w:rFonts w:hint="default"/>
      </w:rPr>
    </w:lvl>
    <w:lvl w:ilvl="8">
      <w:start w:val="0"/>
      <w:numFmt w:val="bullet"/>
      <w:lvlText w:val="•"/>
      <w:lvlJc w:val="left"/>
      <w:pPr>
        <w:ind w:left="7521" w:hanging="269"/>
      </w:pPr>
      <w:rPr>
        <w:rFonts w:hint="default"/>
      </w:rPr>
    </w:lvl>
  </w:abstractNum>
  <w:abstractNum w:abstractNumId="1">
    <w:multiLevelType w:val="hybridMultilevel"/>
    <w:lvl w:ilvl="0">
      <w:start w:val="1"/>
      <w:numFmt w:val="decimal"/>
      <w:lvlText w:val="%1."/>
      <w:lvlJc w:val="left"/>
      <w:pPr>
        <w:ind w:left="805" w:hanging="269"/>
        <w:jc w:val="left"/>
      </w:pPr>
      <w:rPr>
        <w:rFonts w:hint="default" w:ascii="黑体" w:hAnsi="黑体" w:eastAsia="黑体" w:cs="黑体"/>
        <w:w w:val="100"/>
        <w:sz w:val="21"/>
        <w:szCs w:val="21"/>
      </w:rPr>
    </w:lvl>
    <w:lvl w:ilvl="1">
      <w:start w:val="0"/>
      <w:numFmt w:val="bullet"/>
      <w:lvlText w:val="•"/>
      <w:lvlJc w:val="left"/>
      <w:pPr>
        <w:ind w:left="1646" w:hanging="269"/>
      </w:pPr>
      <w:rPr>
        <w:rFonts w:hint="default"/>
      </w:rPr>
    </w:lvl>
    <w:lvl w:ilvl="2">
      <w:start w:val="0"/>
      <w:numFmt w:val="bullet"/>
      <w:lvlText w:val="•"/>
      <w:lvlJc w:val="left"/>
      <w:pPr>
        <w:ind w:left="2493" w:hanging="269"/>
      </w:pPr>
      <w:rPr>
        <w:rFonts w:hint="default"/>
      </w:rPr>
    </w:lvl>
    <w:lvl w:ilvl="3">
      <w:start w:val="0"/>
      <w:numFmt w:val="bullet"/>
      <w:lvlText w:val="•"/>
      <w:lvlJc w:val="left"/>
      <w:pPr>
        <w:ind w:left="3339" w:hanging="269"/>
      </w:pPr>
      <w:rPr>
        <w:rFonts w:hint="default"/>
      </w:rPr>
    </w:lvl>
    <w:lvl w:ilvl="4">
      <w:start w:val="0"/>
      <w:numFmt w:val="bullet"/>
      <w:lvlText w:val="•"/>
      <w:lvlJc w:val="left"/>
      <w:pPr>
        <w:ind w:left="4186" w:hanging="269"/>
      </w:pPr>
      <w:rPr>
        <w:rFonts w:hint="default"/>
      </w:rPr>
    </w:lvl>
    <w:lvl w:ilvl="5">
      <w:start w:val="0"/>
      <w:numFmt w:val="bullet"/>
      <w:lvlText w:val="•"/>
      <w:lvlJc w:val="left"/>
      <w:pPr>
        <w:ind w:left="5033" w:hanging="269"/>
      </w:pPr>
      <w:rPr>
        <w:rFonts w:hint="default"/>
      </w:rPr>
    </w:lvl>
    <w:lvl w:ilvl="6">
      <w:start w:val="0"/>
      <w:numFmt w:val="bullet"/>
      <w:lvlText w:val="•"/>
      <w:lvlJc w:val="left"/>
      <w:pPr>
        <w:ind w:left="5879" w:hanging="269"/>
      </w:pPr>
      <w:rPr>
        <w:rFonts w:hint="default"/>
      </w:rPr>
    </w:lvl>
    <w:lvl w:ilvl="7">
      <w:start w:val="0"/>
      <w:numFmt w:val="bullet"/>
      <w:lvlText w:val="•"/>
      <w:lvlJc w:val="left"/>
      <w:pPr>
        <w:ind w:left="6726" w:hanging="269"/>
      </w:pPr>
      <w:rPr>
        <w:rFonts w:hint="default"/>
      </w:rPr>
    </w:lvl>
    <w:lvl w:ilvl="8">
      <w:start w:val="0"/>
      <w:numFmt w:val="bullet"/>
      <w:lvlText w:val="•"/>
      <w:lvlJc w:val="left"/>
      <w:pPr>
        <w:ind w:left="7573" w:hanging="269"/>
      </w:pPr>
      <w:rPr>
        <w:rFonts w:hint="default"/>
      </w:rPr>
    </w:lvl>
  </w:abstractNum>
  <w:abstractNum w:abstractNumId="0">
    <w:multiLevelType w:val="hybridMultilevel"/>
    <w:lvl w:ilvl="0">
      <w:start w:val="1"/>
      <w:numFmt w:val="decimal"/>
      <w:lvlText w:val="%1."/>
      <w:lvlJc w:val="left"/>
      <w:pPr>
        <w:ind w:left="802" w:hanging="269"/>
        <w:jc w:val="left"/>
      </w:pPr>
      <w:rPr>
        <w:rFonts w:hint="default" w:ascii="黑体" w:hAnsi="黑体" w:eastAsia="黑体" w:cs="黑体"/>
        <w:w w:val="100"/>
        <w:sz w:val="21"/>
        <w:szCs w:val="21"/>
      </w:rPr>
    </w:lvl>
    <w:lvl w:ilvl="1">
      <w:start w:val="0"/>
      <w:numFmt w:val="bullet"/>
      <w:lvlText w:val="•"/>
      <w:lvlJc w:val="left"/>
      <w:pPr>
        <w:ind w:left="1646" w:hanging="269"/>
      </w:pPr>
      <w:rPr>
        <w:rFonts w:hint="default"/>
      </w:rPr>
    </w:lvl>
    <w:lvl w:ilvl="2">
      <w:start w:val="0"/>
      <w:numFmt w:val="bullet"/>
      <w:lvlText w:val="•"/>
      <w:lvlJc w:val="left"/>
      <w:pPr>
        <w:ind w:left="2493" w:hanging="269"/>
      </w:pPr>
      <w:rPr>
        <w:rFonts w:hint="default"/>
      </w:rPr>
    </w:lvl>
    <w:lvl w:ilvl="3">
      <w:start w:val="0"/>
      <w:numFmt w:val="bullet"/>
      <w:lvlText w:val="•"/>
      <w:lvlJc w:val="left"/>
      <w:pPr>
        <w:ind w:left="3339" w:hanging="269"/>
      </w:pPr>
      <w:rPr>
        <w:rFonts w:hint="default"/>
      </w:rPr>
    </w:lvl>
    <w:lvl w:ilvl="4">
      <w:start w:val="0"/>
      <w:numFmt w:val="bullet"/>
      <w:lvlText w:val="•"/>
      <w:lvlJc w:val="left"/>
      <w:pPr>
        <w:ind w:left="4186" w:hanging="269"/>
      </w:pPr>
      <w:rPr>
        <w:rFonts w:hint="default"/>
      </w:rPr>
    </w:lvl>
    <w:lvl w:ilvl="5">
      <w:start w:val="0"/>
      <w:numFmt w:val="bullet"/>
      <w:lvlText w:val="•"/>
      <w:lvlJc w:val="left"/>
      <w:pPr>
        <w:ind w:left="5033" w:hanging="269"/>
      </w:pPr>
      <w:rPr>
        <w:rFonts w:hint="default"/>
      </w:rPr>
    </w:lvl>
    <w:lvl w:ilvl="6">
      <w:start w:val="0"/>
      <w:numFmt w:val="bullet"/>
      <w:lvlText w:val="•"/>
      <w:lvlJc w:val="left"/>
      <w:pPr>
        <w:ind w:left="5879" w:hanging="269"/>
      </w:pPr>
      <w:rPr>
        <w:rFonts w:hint="default"/>
      </w:rPr>
    </w:lvl>
    <w:lvl w:ilvl="7">
      <w:start w:val="0"/>
      <w:numFmt w:val="bullet"/>
      <w:lvlText w:val="•"/>
      <w:lvlJc w:val="left"/>
      <w:pPr>
        <w:ind w:left="6726" w:hanging="269"/>
      </w:pPr>
      <w:rPr>
        <w:rFonts w:hint="default"/>
      </w:rPr>
    </w:lvl>
    <w:lvl w:ilvl="8">
      <w:start w:val="0"/>
      <w:numFmt w:val="bullet"/>
      <w:lvlText w:val="•"/>
      <w:lvlJc w:val="left"/>
      <w:pPr>
        <w:ind w:left="7573" w:hanging="269"/>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44"/>
      <w:ind w:left="116"/>
    </w:pPr>
    <w:rPr>
      <w:rFonts w:ascii="宋体" w:hAnsi="宋体" w:eastAsia="宋体" w:cs="宋体"/>
      <w:b/>
      <w:bCs/>
      <w:sz w:val="20"/>
      <w:szCs w:val="20"/>
    </w:rPr>
  </w:style>
  <w:style w:styleId="TOC2" w:type="paragraph">
    <w:name w:val="TOC 2"/>
    <w:basedOn w:val="Normal"/>
    <w:uiPriority w:val="1"/>
    <w:qFormat/>
    <w:pPr>
      <w:spacing w:before="24"/>
      <w:ind w:left="327"/>
    </w:pPr>
    <w:rPr>
      <w:rFonts w:ascii="宋体" w:hAnsi="宋体" w:eastAsia="宋体" w:cs="宋体"/>
      <w:sz w:val="20"/>
      <w:szCs w:val="20"/>
    </w:rPr>
  </w:style>
  <w:style w:styleId="BodyText" w:type="paragraph">
    <w:name w:val="Body Text"/>
    <w:basedOn w:val="Normal"/>
    <w:uiPriority w:val="1"/>
    <w:qFormat/>
    <w:pPr>
      <w:spacing w:before="82"/>
    </w:pPr>
    <w:rPr>
      <w:rFonts w:ascii="宋体" w:hAnsi="宋体" w:eastAsia="宋体" w:cs="宋体"/>
      <w:sz w:val="21"/>
      <w:szCs w:val="21"/>
    </w:rPr>
  </w:style>
  <w:style w:styleId="Heading1" w:type="paragraph">
    <w:name w:val="Heading 1"/>
    <w:basedOn w:val="Normal"/>
    <w:uiPriority w:val="1"/>
    <w:qFormat/>
    <w:pPr>
      <w:ind w:left="2737"/>
      <w:outlineLvl w:val="1"/>
    </w:pPr>
    <w:rPr>
      <w:rFonts w:ascii="宋体" w:hAnsi="宋体" w:eastAsia="宋体" w:cs="宋体"/>
      <w:b/>
      <w:bCs/>
      <w:sz w:val="28"/>
      <w:szCs w:val="28"/>
    </w:rPr>
  </w:style>
  <w:style w:styleId="Heading2" w:type="paragraph">
    <w:name w:val="Heading 2"/>
    <w:basedOn w:val="Normal"/>
    <w:uiPriority w:val="1"/>
    <w:qFormat/>
    <w:pPr>
      <w:ind w:left="116"/>
      <w:outlineLvl w:val="2"/>
    </w:pPr>
    <w:rPr>
      <w:rFonts w:ascii="宋体" w:hAnsi="宋体" w:eastAsia="宋体" w:cs="宋体"/>
      <w:b/>
      <w:bCs/>
      <w:sz w:val="21"/>
      <w:szCs w:val="21"/>
    </w:rPr>
  </w:style>
  <w:style w:styleId="ListParagraph" w:type="paragraph">
    <w:name w:val="List Paragraph"/>
    <w:basedOn w:val="Normal"/>
    <w:uiPriority w:val="1"/>
    <w:qFormat/>
    <w:pPr>
      <w:spacing w:before="85"/>
      <w:ind w:left="536"/>
    </w:pPr>
    <w:rPr>
      <w:rFonts w:ascii="宋体" w:hAnsi="宋体" w:eastAsia="宋体" w:cs="宋体"/>
    </w:rPr>
  </w:style>
  <w:style w:styleId="TableParagraph" w:type="paragraph">
    <w:name w:val="Table Paragraph"/>
    <w:basedOn w:val="Normal"/>
    <w:uiPriority w:val="1"/>
    <w:qFormat/>
    <w:pPr>
      <w:spacing w:before="87"/>
      <w:ind w:left="9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马文婕</dc:creator>
  <dcterms:created xsi:type="dcterms:W3CDTF">2018-10-20T00:45:23Z</dcterms:created>
  <dcterms:modified xsi:type="dcterms:W3CDTF">2018-10-20T00:45:23Z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2017-01-22T00:00:00Z</vt:filetime>
  </property>
  <property fmtid="{D5CDD505-2E9C-101B-9397-08002B2CF9AE}" pid="3" name="Creator">
    <vt:lpwstr>Microsoft® Office Word 2007</vt:lpwstr>
  </property>
  <property fmtid="{D5CDD505-2E9C-101B-9397-08002B2CF9AE}" pid="4" name="LastSaved">
    <vt:filetime>2018-10-19T00:00:00Z</vt:filetime>
  </property>
</Properties>
</file>