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4" w:lineRule="exact" w:before="0"/>
        <w:ind w:left="7073"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5829300</wp:posOffset>
            </wp:positionH>
            <wp:positionV relativeFrom="paragraph">
              <wp:posOffset>224790</wp:posOffset>
            </wp:positionV>
            <wp:extent cx="719691" cy="58635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691" cy="586358"/>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0"/>
        <w:ind w:left="7267" w:right="314" w:firstLine="0"/>
        <w:jc w:val="center"/>
        <w:rPr>
          <w:sz w:val="20"/>
        </w:rPr>
      </w:pPr>
      <w:r>
        <w:rPr>
          <w:w w:val="95"/>
          <w:sz w:val="20"/>
        </w:rPr>
        <w:t>中新大东方[2011] </w:t>
      </w:r>
      <w:r>
        <w:rPr>
          <w:sz w:val="20"/>
        </w:rPr>
        <w:t>疾病保险 034 号</w:t>
      </w:r>
    </w:p>
    <w:p>
      <w:pPr>
        <w:pStyle w:val="BodyText"/>
        <w:rPr>
          <w:sz w:val="20"/>
        </w:rPr>
      </w:pPr>
    </w:p>
    <w:p>
      <w:pPr>
        <w:pStyle w:val="BodyText"/>
        <w:rPr>
          <w:sz w:val="20"/>
        </w:rPr>
      </w:pPr>
    </w:p>
    <w:p>
      <w:pPr>
        <w:pStyle w:val="BodyText"/>
        <w:rPr>
          <w:sz w:val="20"/>
        </w:rPr>
      </w:pPr>
    </w:p>
    <w:p>
      <w:pPr>
        <w:spacing w:before="143"/>
        <w:ind w:left="307" w:right="924" w:firstLine="0"/>
        <w:jc w:val="center"/>
        <w:rPr>
          <w:rFonts w:ascii="Microsoft JhengHei UI" w:eastAsia="Microsoft JhengHei UI" w:hint="eastAsia"/>
          <w:b/>
          <w:sz w:val="30"/>
        </w:rPr>
      </w:pPr>
      <w:r>
        <w:rPr>
          <w:rFonts w:ascii="Microsoft JhengHei UI" w:eastAsia="Microsoft JhengHei UI" w:hint="eastAsia"/>
          <w:b/>
          <w:sz w:val="30"/>
        </w:rPr>
        <w:t>中新大东方附加终身提前给付重大疾病保险合同条款</w:t>
      </w:r>
    </w:p>
    <w:p>
      <w:pPr>
        <w:pStyle w:val="BodyText"/>
        <w:spacing w:before="223"/>
        <w:ind w:left="2083"/>
      </w:pPr>
      <w:r>
        <w:rPr/>
        <w:t>感谢您选择了我们 </w:t>
      </w:r>
      <w:r>
        <w:rPr>
          <w:rFonts w:ascii="Microsoft JhengHei UI" w:eastAsia="Microsoft JhengHei UI" w:hint="eastAsia"/>
          <w:b/>
        </w:rPr>
        <w:t>- </w:t>
      </w:r>
      <w:r>
        <w:rPr/>
        <w:t>中新大东方人寿保险有限公司</w:t>
      </w:r>
    </w:p>
    <w:p>
      <w:pPr>
        <w:pStyle w:val="BodyText"/>
        <w:rPr>
          <w:sz w:val="26"/>
        </w:rPr>
      </w:pPr>
    </w:p>
    <w:p>
      <w:pPr>
        <w:pStyle w:val="BodyText"/>
        <w:spacing w:before="10"/>
        <w:rPr>
          <w:sz w:val="36"/>
        </w:rPr>
      </w:pPr>
    </w:p>
    <w:p>
      <w:pPr>
        <w:pStyle w:val="Heading1"/>
        <w:spacing w:line="240" w:lineRule="auto"/>
        <w:ind w:right="927"/>
      </w:pPr>
      <w:r>
        <w:rPr/>
        <w:t>阅  读  指  引</w:t>
      </w:r>
    </w:p>
    <w:p>
      <w:pPr>
        <w:pStyle w:val="BodyText"/>
        <w:spacing w:before="208"/>
        <w:ind w:left="307" w:right="1062"/>
        <w:jc w:val="center"/>
      </w:pPr>
      <w:r>
        <w:rPr>
          <w:w w:val="95"/>
        </w:rPr>
        <w:t>本阅读指引旨在提示您本条款中的重要事项，对本条款内容的解释以相应合同条款为准。</w:t>
      </w:r>
    </w:p>
    <w:p>
      <w:pPr>
        <w:pStyle w:val="Heading2"/>
        <w:spacing w:before="142"/>
        <w:ind w:left="435" w:firstLine="0"/>
      </w:pPr>
      <w:r>
        <w:rPr>
          <w:w w:val="95"/>
        </w:rPr>
        <w:t>您的权益</w:t>
      </w:r>
    </w:p>
    <w:p>
      <w:pPr>
        <w:pStyle w:val="BodyText"/>
        <w:spacing w:before="15"/>
        <w:rPr>
          <w:rFonts w:ascii="Microsoft JhengHei UI"/>
          <w:b/>
          <w:sz w:val="14"/>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spacing w:val="-1"/>
          <w:w w:val="99"/>
          <w:sz w:val="21"/>
        </w:rPr>
        <w:t>被保险人享有我们提供的保障</w:t>
      </w:r>
      <w:r>
        <w:rPr>
          <w:spacing w:val="-1"/>
          <w:w w:val="58"/>
          <w:sz w:val="21"/>
        </w:rPr>
        <w:t>(</w:t>
      </w:r>
      <w:r>
        <w:rPr>
          <w:w w:val="93"/>
          <w:sz w:val="21"/>
        </w:rPr>
        <w:t>4</w:t>
      </w:r>
      <w:r>
        <w:rPr>
          <w:spacing w:val="-1"/>
          <w:w w:val="43"/>
          <w:sz w:val="21"/>
        </w:rPr>
        <w:t>.</w:t>
      </w:r>
      <w:r>
        <w:rPr>
          <w:w w:val="93"/>
          <w:sz w:val="21"/>
        </w:rPr>
        <w:t>3</w:t>
      </w:r>
      <w:r>
        <w:rPr>
          <w:w w:val="58"/>
          <w:sz w:val="21"/>
        </w:rPr>
        <w:t>)</w:t>
      </w:r>
    </w:p>
    <w:p>
      <w:pPr>
        <w:pStyle w:val="Heading2"/>
        <w:spacing w:before="204"/>
        <w:ind w:left="435" w:firstLine="0"/>
      </w:pPr>
      <w:r>
        <w:rPr>
          <w:w w:val="95"/>
        </w:rPr>
        <w:t>注意事项</w:t>
      </w:r>
    </w:p>
    <w:p>
      <w:pPr>
        <w:pStyle w:val="ListParagraph"/>
        <w:numPr>
          <w:ilvl w:val="0"/>
          <w:numId w:val="1"/>
        </w:numPr>
        <w:tabs>
          <w:tab w:pos="855" w:val="left" w:leader="none"/>
          <w:tab w:pos="856" w:val="left" w:leader="none"/>
        </w:tabs>
        <w:spacing w:line="240" w:lineRule="auto" w:before="197" w:after="0"/>
        <w:ind w:left="855" w:right="0" w:hanging="420"/>
        <w:jc w:val="left"/>
        <w:rPr>
          <w:rFonts w:ascii="Microsoft JhengHei UI" w:eastAsia="Microsoft JhengHei UI" w:hint="eastAsia"/>
          <w:b/>
          <w:sz w:val="21"/>
        </w:rPr>
      </w:pPr>
      <w:r>
        <w:rPr>
          <w:rFonts w:ascii="Microsoft JhengHei UI" w:eastAsia="Microsoft JhengHei UI" w:hint="eastAsia"/>
          <w:b/>
          <w:w w:val="95"/>
          <w:sz w:val="21"/>
        </w:rPr>
        <w:t>责任免除条款中列明了我们在某些情况下不承担的保险责任(4.4)</w:t>
      </w:r>
    </w:p>
    <w:p>
      <w:pPr>
        <w:pStyle w:val="BodyText"/>
        <w:spacing w:before="9"/>
        <w:rPr>
          <w:rFonts w:ascii="Microsoft JhengHei UI"/>
          <w:b/>
          <w:sz w:val="19"/>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spacing w:val="-1"/>
          <w:w w:val="99"/>
          <w:sz w:val="21"/>
        </w:rPr>
        <w:t>在保险期间内我们可能会调整保险费率</w:t>
      </w:r>
      <w:r>
        <w:rPr>
          <w:spacing w:val="-1"/>
          <w:w w:val="58"/>
          <w:sz w:val="21"/>
        </w:rPr>
        <w:t>(</w:t>
      </w:r>
      <w:r>
        <w:rPr>
          <w:w w:val="93"/>
          <w:sz w:val="21"/>
        </w:rPr>
        <w:t>5</w:t>
      </w:r>
      <w:r>
        <w:rPr>
          <w:spacing w:val="-1"/>
          <w:w w:val="43"/>
          <w:sz w:val="21"/>
        </w:rPr>
        <w:t>.</w:t>
      </w:r>
      <w:r>
        <w:rPr>
          <w:w w:val="93"/>
          <w:sz w:val="21"/>
        </w:rPr>
        <w:t>2</w:t>
      </w:r>
      <w:r>
        <w:rPr>
          <w:w w:val="58"/>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spacing w:val="-6"/>
          <w:w w:val="99"/>
          <w:sz w:val="21"/>
        </w:rPr>
        <w:t>在主险合同有效期间，本附加险合同不得单独申请退保。</w:t>
      </w:r>
      <w:r>
        <w:rPr>
          <w:spacing w:val="1"/>
          <w:w w:val="99"/>
          <w:sz w:val="21"/>
        </w:rPr>
        <w:t>（</w:t>
      </w:r>
      <w:r>
        <w:rPr>
          <w:w w:val="93"/>
          <w:sz w:val="21"/>
        </w:rPr>
        <w:t>7</w:t>
      </w:r>
      <w:r>
        <w:rPr>
          <w:spacing w:val="-1"/>
          <w:w w:val="43"/>
          <w:sz w:val="21"/>
        </w:rPr>
        <w:t>.</w:t>
      </w:r>
      <w:r>
        <w:rPr>
          <w:w w:val="93"/>
          <w:sz w:val="21"/>
        </w:rPr>
        <w:t>3</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5"/>
          <w:sz w:val="21"/>
        </w:rPr>
        <w:t>您有如实告知的义务(9)</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5"/>
          <w:sz w:val="21"/>
        </w:rPr>
        <w:t>我们对一些重要术语作了显著标记，并进行了解释(10)</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spacing w:val="-1"/>
          <w:w w:val="99"/>
          <w:sz w:val="21"/>
        </w:rPr>
        <w:t>请仔细阅读本条款中关于重大疾病的释义</w:t>
      </w:r>
      <w:r>
        <w:rPr>
          <w:spacing w:val="-1"/>
          <w:w w:val="58"/>
          <w:sz w:val="21"/>
        </w:rPr>
        <w:t>(</w:t>
      </w:r>
      <w:r>
        <w:rPr>
          <w:w w:val="93"/>
          <w:sz w:val="21"/>
        </w:rPr>
        <w:t>10</w:t>
      </w:r>
      <w:r>
        <w:rPr>
          <w:spacing w:val="-1"/>
          <w:w w:val="43"/>
          <w:sz w:val="21"/>
        </w:rPr>
        <w:t>.</w:t>
      </w:r>
      <w:r>
        <w:rPr>
          <w:w w:val="93"/>
          <w:sz w:val="21"/>
        </w:rPr>
        <w:t>3</w:t>
      </w:r>
      <w:r>
        <w:rPr>
          <w:w w:val="58"/>
          <w:sz w:val="21"/>
        </w:rPr>
        <w:t>)</w:t>
      </w:r>
    </w:p>
    <w:p>
      <w:pPr>
        <w:spacing w:after="0" w:line="240" w:lineRule="auto"/>
        <w:jc w:val="left"/>
        <w:rPr>
          <w:sz w:val="21"/>
        </w:rPr>
        <w:sectPr>
          <w:footerReference w:type="default" r:id="rId5"/>
          <w:type w:val="continuous"/>
          <w:pgSz w:w="11910" w:h="16840"/>
          <w:pgMar w:footer="1047" w:top="720" w:bottom="1240" w:left="1680" w:right="1040"/>
        </w:sectPr>
      </w:pPr>
    </w:p>
    <w:p>
      <w:pPr>
        <w:pStyle w:val="Heading1"/>
        <w:ind w:left="4069" w:right="3740"/>
      </w:pPr>
      <w:r>
        <w:rPr/>
        <w:t>目  录</w:t>
      </w:r>
    </w:p>
    <w:p>
      <w:pPr>
        <w:spacing w:after="0"/>
        <w:sectPr>
          <w:footerReference w:type="default" r:id="rId7"/>
          <w:pgSz w:w="11910" w:h="16840"/>
          <w:pgMar w:footer="1307" w:header="0" w:top="1460" w:bottom="1698" w:left="1680" w:right="1680"/>
          <w:pgNumType w:start="1"/>
        </w:sectPr>
      </w:pPr>
    </w:p>
    <w:sdt>
      <w:sdtPr>
        <w:docPartObj>
          <w:docPartGallery w:val="Table of Contents"/>
          <w:docPartUnique/>
        </w:docPartObj>
      </w:sdtPr>
      <w:sdtEndPr/>
      <w:sdtContent>
        <w:p>
          <w:pPr>
            <w:pStyle w:val="TOC1"/>
            <w:numPr>
              <w:ilvl w:val="0"/>
              <w:numId w:val="2"/>
            </w:numPr>
            <w:tabs>
              <w:tab w:pos="539" w:val="left" w:leader="none"/>
              <w:tab w:pos="540" w:val="left" w:leader="none"/>
              <w:tab w:pos="8415" w:val="right" w:leader="dot"/>
            </w:tabs>
            <w:spacing w:line="240" w:lineRule="auto" w:before="130" w:after="0"/>
            <w:ind w:left="540" w:right="0" w:hanging="420"/>
            <w:jc w:val="left"/>
            <w:rPr>
              <w:rFonts w:ascii="Times New Roman" w:eastAsia="Times New Roman"/>
            </w:rPr>
          </w:pPr>
          <w:hyperlink w:history="true" w:anchor="_TOC_250071">
            <w:r>
              <w:rPr/>
              <w:t>合同订立</w:t>
              <w:tab/>
            </w:r>
            <w:r>
              <w:rPr>
                <w:rFonts w:ascii="Times New Roman" w:eastAsia="Times New Roman"/>
              </w:rPr>
              <w:t>3</w:t>
            </w:r>
          </w:hyperlink>
        </w:p>
        <w:p>
          <w:pPr>
            <w:pStyle w:val="TOC1"/>
            <w:numPr>
              <w:ilvl w:val="0"/>
              <w:numId w:val="2"/>
            </w:numPr>
            <w:tabs>
              <w:tab w:pos="539" w:val="left" w:leader="none"/>
              <w:tab w:pos="540" w:val="left" w:leader="none"/>
              <w:tab w:pos="8415" w:val="right" w:leader="dot"/>
            </w:tabs>
            <w:spacing w:line="240" w:lineRule="auto" w:before="21" w:after="0"/>
            <w:ind w:left="540" w:right="0" w:hanging="420"/>
            <w:jc w:val="left"/>
            <w:rPr>
              <w:rFonts w:ascii="Times New Roman" w:eastAsia="Times New Roman"/>
            </w:rPr>
          </w:pPr>
          <w:hyperlink w:history="true" w:anchor="_TOC_250070">
            <w:r>
              <w:rPr/>
              <w:t>投保年龄</w:t>
              <w:tab/>
            </w:r>
            <w:r>
              <w:rPr>
                <w:rFonts w:ascii="Times New Roman" w:eastAsia="Times New Roman"/>
              </w:rPr>
              <w:t>3</w:t>
            </w:r>
          </w:hyperlink>
        </w:p>
        <w:p>
          <w:pPr>
            <w:pStyle w:val="TOC1"/>
            <w:numPr>
              <w:ilvl w:val="0"/>
              <w:numId w:val="2"/>
            </w:numPr>
            <w:tabs>
              <w:tab w:pos="539" w:val="left" w:leader="none"/>
              <w:tab w:pos="540" w:val="left" w:leader="none"/>
              <w:tab w:pos="8415" w:val="right" w:leader="dot"/>
            </w:tabs>
            <w:spacing w:line="240" w:lineRule="auto" w:before="21" w:after="0"/>
            <w:ind w:left="540" w:right="0" w:hanging="420"/>
            <w:jc w:val="left"/>
            <w:rPr>
              <w:rFonts w:ascii="Times New Roman" w:eastAsia="Times New Roman"/>
            </w:rPr>
          </w:pPr>
          <w:hyperlink w:history="true" w:anchor="_TOC_250069">
            <w:r>
              <w:rPr/>
              <w:t>合同生效</w:t>
              <w:tab/>
            </w:r>
            <w:r>
              <w:rPr>
                <w:rFonts w:ascii="Times New Roman" w:eastAsia="Times New Roman"/>
              </w:rPr>
              <w:t>3</w:t>
            </w:r>
          </w:hyperlink>
        </w:p>
        <w:p>
          <w:pPr>
            <w:pStyle w:val="TOC1"/>
            <w:numPr>
              <w:ilvl w:val="0"/>
              <w:numId w:val="2"/>
            </w:numPr>
            <w:tabs>
              <w:tab w:pos="539" w:val="left" w:leader="none"/>
              <w:tab w:pos="540" w:val="left" w:leader="none"/>
              <w:tab w:pos="8415" w:val="right" w:leader="dot"/>
            </w:tabs>
            <w:spacing w:line="240" w:lineRule="auto" w:before="21" w:after="0"/>
            <w:ind w:left="540" w:right="0" w:hanging="420"/>
            <w:jc w:val="left"/>
            <w:rPr>
              <w:rFonts w:ascii="Times New Roman" w:eastAsia="Times New Roman"/>
            </w:rPr>
          </w:pPr>
          <w:hyperlink w:history="true" w:anchor="_TOC_250068">
            <w:r>
              <w:rPr/>
              <w:t>保险责任</w:t>
              <w:tab/>
            </w:r>
            <w:r>
              <w:rPr>
                <w:rFonts w:ascii="Times New Roman" w:eastAsia="Times New Roman"/>
              </w:rPr>
              <w:t>3</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67">
            <w:r>
              <w:rPr/>
              <w:t>保险责任的开始</w:t>
              <w:tab/>
            </w:r>
            <w:r>
              <w:rPr>
                <w:rFonts w:ascii="Times New Roman" w:eastAsia="Times New Roman"/>
              </w:rPr>
              <w:t>3</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66">
            <w:r>
              <w:rPr/>
              <w:t>保险期间</w:t>
              <w:tab/>
            </w:r>
            <w:r>
              <w:rPr>
                <w:rFonts w:ascii="Times New Roman" w:eastAsia="Times New Roman"/>
              </w:rPr>
              <w:t>4</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65">
            <w:r>
              <w:rPr/>
              <w:t>我们承担的保险责任</w:t>
              <w:tab/>
            </w:r>
            <w:r>
              <w:rPr>
                <w:rFonts w:ascii="Times New Roman" w:eastAsia="Times New Roman"/>
              </w:rPr>
              <w:t>4</w:t>
            </w:r>
          </w:hyperlink>
        </w:p>
        <w:p>
          <w:pPr>
            <w:pStyle w:val="TOC3"/>
            <w:numPr>
              <w:ilvl w:val="2"/>
              <w:numId w:val="2"/>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64">
            <w:r>
              <w:rPr/>
              <w:t>重大疾病保险金</w:t>
              <w:tab/>
            </w:r>
            <w:r>
              <w:rPr>
                <w:rFonts w:ascii="Times New Roman" w:eastAsia="Times New Roman"/>
              </w:rPr>
              <w:t>4</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63">
            <w:r>
              <w:rPr/>
              <w:t>责任免除</w:t>
              <w:tab/>
            </w:r>
            <w:r>
              <w:rPr>
                <w:rFonts w:ascii="Times New Roman" w:eastAsia="Times New Roman"/>
              </w:rPr>
              <w:t>4</w:t>
            </w:r>
          </w:hyperlink>
        </w:p>
        <w:p>
          <w:pPr>
            <w:pStyle w:val="TOC1"/>
            <w:numPr>
              <w:ilvl w:val="0"/>
              <w:numId w:val="2"/>
            </w:numPr>
            <w:tabs>
              <w:tab w:pos="539" w:val="left" w:leader="none"/>
              <w:tab w:pos="540" w:val="left" w:leader="none"/>
              <w:tab w:pos="8415" w:val="right" w:leader="dot"/>
            </w:tabs>
            <w:spacing w:line="240" w:lineRule="auto" w:before="21" w:after="0"/>
            <w:ind w:left="540" w:right="0" w:hanging="420"/>
            <w:jc w:val="left"/>
            <w:rPr>
              <w:rFonts w:ascii="Times New Roman" w:eastAsia="Times New Roman"/>
            </w:rPr>
          </w:pPr>
          <w:hyperlink w:history="true" w:anchor="_TOC_250062">
            <w:r>
              <w:rPr/>
              <w:t>风险保险费的收取</w:t>
              <w:tab/>
            </w:r>
            <w:r>
              <w:rPr>
                <w:rFonts w:ascii="Times New Roman" w:eastAsia="Times New Roman"/>
              </w:rPr>
              <w:t>5</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61">
            <w:r>
              <w:rPr/>
              <w:t>风险保险费</w:t>
              <w:tab/>
            </w:r>
            <w:r>
              <w:rPr>
                <w:rFonts w:ascii="Times New Roman" w:eastAsia="Times New Roman"/>
              </w:rPr>
              <w:t>5</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60">
            <w:r>
              <w:rPr/>
              <w:t>风险保险费的调整</w:t>
              <w:tab/>
            </w:r>
            <w:r>
              <w:rPr>
                <w:rFonts w:ascii="Times New Roman" w:eastAsia="Times New Roman"/>
              </w:rPr>
              <w:t>5</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59">
            <w:r>
              <w:rPr/>
              <w:t>宽限期</w:t>
              <w:tab/>
            </w:r>
            <w:r>
              <w:rPr>
                <w:rFonts w:ascii="Times New Roman" w:eastAsia="Times New Roman"/>
              </w:rPr>
              <w:t>5</w:t>
            </w:r>
          </w:hyperlink>
        </w:p>
        <w:p>
          <w:pPr>
            <w:pStyle w:val="TOC1"/>
            <w:numPr>
              <w:ilvl w:val="0"/>
              <w:numId w:val="2"/>
            </w:numPr>
            <w:tabs>
              <w:tab w:pos="539" w:val="left" w:leader="none"/>
              <w:tab w:pos="540" w:val="left" w:leader="none"/>
              <w:tab w:pos="8415" w:val="right" w:leader="dot"/>
            </w:tabs>
            <w:spacing w:line="240" w:lineRule="auto" w:before="21" w:after="0"/>
            <w:ind w:left="540" w:right="0" w:hanging="420"/>
            <w:jc w:val="left"/>
            <w:rPr>
              <w:rFonts w:ascii="Times New Roman" w:eastAsia="Times New Roman"/>
            </w:rPr>
          </w:pPr>
          <w:hyperlink w:history="true" w:anchor="_TOC_250058">
            <w:r>
              <w:rPr/>
              <w:t>保险金的领取</w:t>
              <w:tab/>
            </w:r>
            <w:r>
              <w:rPr>
                <w:rFonts w:ascii="Times New Roman" w:eastAsia="Times New Roman"/>
              </w:rPr>
              <w:t>6</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57">
            <w:r>
              <w:rPr/>
              <w:t>重大疾病保险金受益人</w:t>
              <w:tab/>
            </w:r>
            <w:r>
              <w:rPr>
                <w:rFonts w:ascii="Times New Roman" w:eastAsia="Times New Roman"/>
              </w:rPr>
              <w:t>6</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56">
            <w:r>
              <w:rPr/>
              <w:t>重大疾病保险金的申请</w:t>
              <w:tab/>
            </w:r>
            <w:r>
              <w:rPr>
                <w:rFonts w:ascii="Times New Roman" w:eastAsia="Times New Roman"/>
              </w:rPr>
              <w:t>6</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55">
            <w:r>
              <w:rPr/>
              <w:t>保险金的给付</w:t>
              <w:tab/>
            </w:r>
            <w:r>
              <w:rPr>
                <w:rFonts w:ascii="Times New Roman" w:eastAsia="Times New Roman"/>
              </w:rPr>
              <w:t>6</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54">
            <w:r>
              <w:rPr/>
              <w:t>保险金诉讼时效</w:t>
              <w:tab/>
            </w:r>
            <w:r>
              <w:rPr>
                <w:rFonts w:ascii="Times New Roman" w:eastAsia="Times New Roman"/>
              </w:rPr>
              <w:t>6</w:t>
            </w:r>
          </w:hyperlink>
        </w:p>
        <w:p>
          <w:pPr>
            <w:pStyle w:val="TOC1"/>
            <w:numPr>
              <w:ilvl w:val="0"/>
              <w:numId w:val="2"/>
            </w:numPr>
            <w:tabs>
              <w:tab w:pos="539" w:val="left" w:leader="none"/>
              <w:tab w:pos="540" w:val="left" w:leader="none"/>
              <w:tab w:pos="8415" w:val="right" w:leader="dot"/>
            </w:tabs>
            <w:spacing w:line="240" w:lineRule="auto" w:before="21" w:after="0"/>
            <w:ind w:left="540" w:right="0" w:hanging="420"/>
            <w:jc w:val="left"/>
            <w:rPr>
              <w:rFonts w:ascii="Times New Roman" w:eastAsia="Times New Roman"/>
            </w:rPr>
          </w:pPr>
          <w:hyperlink w:history="true" w:anchor="_TOC_250053">
            <w:r>
              <w:rPr/>
              <w:t>合同效力的变动</w:t>
              <w:tab/>
            </w:r>
            <w:r>
              <w:rPr>
                <w:rFonts w:ascii="Times New Roman" w:eastAsia="Times New Roman"/>
              </w:rPr>
              <w:t>6</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52">
            <w:r>
              <w:rPr/>
              <w:t>合同效力的中止</w:t>
              <w:tab/>
            </w:r>
            <w:r>
              <w:rPr>
                <w:rFonts w:ascii="Times New Roman" w:eastAsia="Times New Roman"/>
              </w:rPr>
              <w:t>6</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51">
            <w:r>
              <w:rPr/>
              <w:t>合同效力的恢复</w:t>
              <w:tab/>
            </w:r>
            <w:r>
              <w:rPr>
                <w:rFonts w:ascii="Times New Roman" w:eastAsia="Times New Roman"/>
              </w:rPr>
              <w:t>7</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50">
            <w:r>
              <w:rPr/>
              <w:t>合同的解除</w:t>
            </w:r>
            <w:r>
              <w:rPr>
                <w:rFonts w:ascii="Times New Roman" w:eastAsia="Times New Roman"/>
              </w:rPr>
              <w:t>----</w:t>
            </w:r>
            <w:r>
              <w:rPr/>
              <w:t>退保</w:t>
              <w:tab/>
            </w:r>
            <w:r>
              <w:rPr>
                <w:rFonts w:ascii="Times New Roman" w:eastAsia="Times New Roman"/>
              </w:rPr>
              <w:t>7</w:t>
            </w:r>
          </w:hyperlink>
        </w:p>
        <w:p>
          <w:pPr>
            <w:pStyle w:val="TOC3"/>
            <w:numPr>
              <w:ilvl w:val="2"/>
              <w:numId w:val="2"/>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49">
            <w:r>
              <w:rPr/>
              <w:t>犹豫期</w:t>
              <w:tab/>
            </w:r>
            <w:r>
              <w:rPr>
                <w:rFonts w:ascii="Times New Roman" w:eastAsia="Times New Roman"/>
              </w:rPr>
              <w:t>7</w:t>
            </w:r>
          </w:hyperlink>
        </w:p>
        <w:p>
          <w:pPr>
            <w:pStyle w:val="TOC3"/>
            <w:numPr>
              <w:ilvl w:val="2"/>
              <w:numId w:val="2"/>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48">
            <w:r>
              <w:rPr/>
              <w:t>犹豫期之后申请退保</w:t>
              <w:tab/>
            </w:r>
            <w:r>
              <w:rPr>
                <w:rFonts w:ascii="Times New Roman" w:eastAsia="Times New Roman"/>
              </w:rPr>
              <w:t>7</w:t>
            </w:r>
          </w:hyperlink>
        </w:p>
        <w:p>
          <w:pPr>
            <w:pStyle w:val="TOC3"/>
            <w:numPr>
              <w:ilvl w:val="2"/>
              <w:numId w:val="2"/>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47">
            <w:r>
              <w:rPr/>
              <w:t>退保申请</w:t>
              <w:tab/>
            </w:r>
            <w:r>
              <w:rPr>
                <w:rFonts w:ascii="Times New Roman" w:eastAsia="Times New Roman"/>
              </w:rPr>
              <w:t>7</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46">
            <w:r>
              <w:rPr/>
              <w:t>合同的终止</w:t>
              <w:tab/>
            </w:r>
            <w:r>
              <w:rPr>
                <w:rFonts w:ascii="Times New Roman" w:eastAsia="Times New Roman"/>
              </w:rPr>
              <w:t>8</w:t>
            </w:r>
          </w:hyperlink>
        </w:p>
        <w:p>
          <w:pPr>
            <w:pStyle w:val="TOC1"/>
            <w:numPr>
              <w:ilvl w:val="0"/>
              <w:numId w:val="2"/>
            </w:numPr>
            <w:tabs>
              <w:tab w:pos="539" w:val="left" w:leader="none"/>
              <w:tab w:pos="540" w:val="left" w:leader="none"/>
              <w:tab w:pos="8415" w:val="right" w:leader="dot"/>
            </w:tabs>
            <w:spacing w:line="240" w:lineRule="auto" w:before="21" w:after="0"/>
            <w:ind w:left="540" w:right="0" w:hanging="420"/>
            <w:jc w:val="left"/>
            <w:rPr>
              <w:rFonts w:ascii="Times New Roman" w:eastAsia="Times New Roman"/>
            </w:rPr>
          </w:pPr>
          <w:hyperlink w:history="true" w:anchor="_TOC_250045">
            <w:r>
              <w:rPr/>
              <w:t>被保险人年龄确定错误处理</w:t>
              <w:tab/>
            </w:r>
            <w:r>
              <w:rPr>
                <w:rFonts w:ascii="Times New Roman" w:eastAsia="Times New Roman"/>
              </w:rPr>
              <w:t>8</w:t>
            </w:r>
          </w:hyperlink>
        </w:p>
        <w:p>
          <w:pPr>
            <w:pStyle w:val="TOC1"/>
            <w:numPr>
              <w:ilvl w:val="0"/>
              <w:numId w:val="2"/>
            </w:numPr>
            <w:tabs>
              <w:tab w:pos="539" w:val="left" w:leader="none"/>
              <w:tab w:pos="540" w:val="left" w:leader="none"/>
              <w:tab w:pos="8415" w:val="right" w:leader="dot"/>
            </w:tabs>
            <w:spacing w:line="240" w:lineRule="auto" w:before="21" w:after="0"/>
            <w:ind w:left="540" w:right="0" w:hanging="420"/>
            <w:jc w:val="left"/>
            <w:rPr>
              <w:rFonts w:ascii="Times New Roman" w:eastAsia="Times New Roman"/>
            </w:rPr>
          </w:pPr>
          <w:hyperlink w:history="true" w:anchor="_TOC_250044">
            <w:r>
              <w:rPr/>
              <w:t>适用主险条款</w:t>
              <w:tab/>
            </w:r>
            <w:r>
              <w:rPr>
                <w:rFonts w:ascii="Times New Roman" w:eastAsia="Times New Roman"/>
              </w:rPr>
              <w:t>8</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43">
            <w:r>
              <w:rPr/>
              <w:t>释义</w:t>
              <w:tab/>
            </w:r>
            <w:r>
              <w:rPr>
                <w:rFonts w:ascii="Times New Roman" w:eastAsia="Times New Roman"/>
              </w:rPr>
              <w:t>9</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42">
            <w:r>
              <w:rPr/>
              <w:t>周岁</w:t>
              <w:tab/>
            </w:r>
            <w:r>
              <w:rPr>
                <w:rFonts w:ascii="Times New Roman" w:eastAsia="Times New Roman"/>
              </w:rPr>
              <w:t>9</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41">
            <w:r>
              <w:rPr/>
              <w:t>医院</w:t>
              <w:tab/>
            </w:r>
            <w:r>
              <w:rPr>
                <w:rFonts w:ascii="Times New Roman" w:eastAsia="Times New Roman"/>
              </w:rPr>
              <w:t>9</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40">
            <w:r>
              <w:rPr>
                <w:rFonts w:ascii="Times New Roman" w:eastAsia="Times New Roman"/>
              </w:rPr>
              <w:t>30</w:t>
            </w:r>
            <w:r>
              <w:rPr>
                <w:rFonts w:ascii="Times New Roman" w:eastAsia="Times New Roman"/>
                <w:spacing w:val="-2"/>
              </w:rPr>
              <w:t> </w:t>
            </w:r>
            <w:r>
              <w:rPr/>
              <w:t>种重大疾病</w:t>
              <w:tab/>
            </w:r>
            <w:r>
              <w:rPr>
                <w:rFonts w:ascii="Times New Roman" w:eastAsia="Times New Roman"/>
              </w:rPr>
              <w:t>9</w:t>
            </w:r>
          </w:hyperlink>
        </w:p>
        <w:p>
          <w:pPr>
            <w:pStyle w:val="TOC3"/>
            <w:numPr>
              <w:ilvl w:val="2"/>
              <w:numId w:val="2"/>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39">
            <w:r>
              <w:rPr/>
              <w:t>恶性肿瘤</w:t>
              <w:tab/>
            </w:r>
            <w:r>
              <w:rPr>
                <w:rFonts w:ascii="Times New Roman" w:eastAsia="Times New Roman"/>
              </w:rPr>
              <w:t>9</w:t>
            </w:r>
          </w:hyperlink>
        </w:p>
        <w:p>
          <w:pPr>
            <w:pStyle w:val="TOC3"/>
            <w:numPr>
              <w:ilvl w:val="2"/>
              <w:numId w:val="2"/>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38">
            <w:r>
              <w:rPr/>
              <w:t>急性心肌梗塞</w:t>
              <w:tab/>
            </w:r>
            <w:r>
              <w:rPr>
                <w:rFonts w:ascii="Times New Roman" w:eastAsia="Times New Roman"/>
              </w:rPr>
              <w:t>10</w:t>
            </w:r>
          </w:hyperlink>
        </w:p>
        <w:p>
          <w:pPr>
            <w:pStyle w:val="TOC3"/>
            <w:numPr>
              <w:ilvl w:val="2"/>
              <w:numId w:val="2"/>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37">
            <w:r>
              <w:rPr/>
              <w:t>脑中风后遗症</w:t>
              <w:tab/>
            </w:r>
            <w:r>
              <w:rPr>
                <w:rFonts w:ascii="Times New Roman" w:eastAsia="Times New Roman"/>
              </w:rPr>
              <w:t>10</w:t>
            </w:r>
          </w:hyperlink>
        </w:p>
        <w:p>
          <w:pPr>
            <w:pStyle w:val="TOC3"/>
            <w:numPr>
              <w:ilvl w:val="2"/>
              <w:numId w:val="2"/>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36">
            <w:r>
              <w:rPr/>
              <w:t>重大器官移植术或造血干细胞移植术</w:t>
              <w:tab/>
            </w:r>
            <w:r>
              <w:rPr>
                <w:rFonts w:ascii="Times New Roman" w:eastAsia="Times New Roman"/>
              </w:rPr>
              <w:t>10</w:t>
            </w:r>
          </w:hyperlink>
        </w:p>
        <w:p>
          <w:pPr>
            <w:pStyle w:val="TOC3"/>
            <w:numPr>
              <w:ilvl w:val="2"/>
              <w:numId w:val="2"/>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35">
            <w:r>
              <w:rPr/>
              <w:t>冠状动脉搭桥术（或称冠状动脉旁路移植术）</w:t>
              <w:tab/>
            </w:r>
            <w:r>
              <w:rPr>
                <w:rFonts w:ascii="Times New Roman" w:eastAsia="Times New Roman"/>
              </w:rPr>
              <w:t>10</w:t>
            </w:r>
          </w:hyperlink>
        </w:p>
        <w:p>
          <w:pPr>
            <w:pStyle w:val="TOC3"/>
            <w:numPr>
              <w:ilvl w:val="2"/>
              <w:numId w:val="2"/>
            </w:numPr>
            <w:tabs>
              <w:tab w:pos="1799" w:val="left" w:leader="none"/>
              <w:tab w:pos="1800" w:val="left" w:leader="none"/>
              <w:tab w:pos="8420" w:val="right" w:leader="dot"/>
            </w:tabs>
            <w:spacing w:line="240" w:lineRule="auto" w:before="21" w:after="0"/>
            <w:ind w:left="1800" w:right="0" w:hanging="840"/>
            <w:jc w:val="left"/>
            <w:rPr>
              <w:rFonts w:ascii="Times New Roman" w:eastAsia="Times New Roman"/>
            </w:rPr>
          </w:pPr>
          <w:hyperlink w:history="true" w:anchor="_TOC_250034">
            <w:r>
              <w:rPr/>
              <w:t>终末期肾病（或称慢性肾功能衰竭尿毒症期）</w:t>
              <w:tab/>
            </w:r>
            <w:r>
              <w:rPr>
                <w:rFonts w:ascii="Times New Roman" w:eastAsia="Times New Roman"/>
              </w:rPr>
              <w:t>11</w:t>
            </w:r>
          </w:hyperlink>
        </w:p>
        <w:p>
          <w:pPr>
            <w:pStyle w:val="TOC3"/>
            <w:numPr>
              <w:ilvl w:val="2"/>
              <w:numId w:val="2"/>
            </w:numPr>
            <w:tabs>
              <w:tab w:pos="1799" w:val="left" w:leader="none"/>
              <w:tab w:pos="1800" w:val="left" w:leader="none"/>
              <w:tab w:pos="8420" w:val="right" w:leader="dot"/>
            </w:tabs>
            <w:spacing w:line="240" w:lineRule="auto" w:before="21" w:after="0"/>
            <w:ind w:left="1800" w:right="0" w:hanging="840"/>
            <w:jc w:val="left"/>
            <w:rPr>
              <w:rFonts w:ascii="Times New Roman" w:eastAsia="Times New Roman"/>
            </w:rPr>
          </w:pPr>
          <w:hyperlink w:history="true" w:anchor="_TOC_250033">
            <w:r>
              <w:rPr/>
              <w:t>多个肢体缺失</w:t>
              <w:tab/>
            </w:r>
            <w:r>
              <w:rPr>
                <w:rFonts w:ascii="Times New Roman" w:eastAsia="Times New Roman"/>
              </w:rPr>
              <w:t>11</w:t>
            </w:r>
          </w:hyperlink>
        </w:p>
        <w:p>
          <w:pPr>
            <w:pStyle w:val="TOC3"/>
            <w:numPr>
              <w:ilvl w:val="2"/>
              <w:numId w:val="2"/>
            </w:numPr>
            <w:tabs>
              <w:tab w:pos="1799" w:val="left" w:leader="none"/>
              <w:tab w:pos="1800" w:val="left" w:leader="none"/>
              <w:tab w:pos="8420" w:val="right" w:leader="dot"/>
            </w:tabs>
            <w:spacing w:line="240" w:lineRule="auto" w:before="21" w:after="0"/>
            <w:ind w:left="1800" w:right="0" w:hanging="840"/>
            <w:jc w:val="left"/>
            <w:rPr>
              <w:rFonts w:ascii="Times New Roman" w:eastAsia="Times New Roman"/>
            </w:rPr>
          </w:pPr>
          <w:hyperlink w:history="true" w:anchor="_TOC_250032">
            <w:r>
              <w:rPr/>
              <w:t>急性或亚急性重症肝炎</w:t>
              <w:tab/>
            </w:r>
            <w:r>
              <w:rPr>
                <w:rFonts w:ascii="Times New Roman" w:eastAsia="Times New Roman"/>
              </w:rPr>
              <w:t>11</w:t>
            </w:r>
          </w:hyperlink>
        </w:p>
        <w:p>
          <w:pPr>
            <w:pStyle w:val="TOC3"/>
            <w:numPr>
              <w:ilvl w:val="2"/>
              <w:numId w:val="2"/>
            </w:numPr>
            <w:tabs>
              <w:tab w:pos="1799" w:val="left" w:leader="none"/>
              <w:tab w:pos="1800" w:val="left" w:leader="none"/>
              <w:tab w:pos="8420" w:val="right" w:leader="dot"/>
            </w:tabs>
            <w:spacing w:line="240" w:lineRule="auto" w:before="21" w:after="0"/>
            <w:ind w:left="1800" w:right="0" w:hanging="840"/>
            <w:jc w:val="left"/>
            <w:rPr>
              <w:rFonts w:ascii="Times New Roman" w:eastAsia="Times New Roman"/>
            </w:rPr>
          </w:pPr>
          <w:hyperlink w:history="true" w:anchor="_TOC_250031">
            <w:r>
              <w:rPr/>
              <w:t>良性脑肿瘤</w:t>
              <w:tab/>
            </w:r>
            <w:r>
              <w:rPr>
                <w:rFonts w:ascii="Times New Roman" w:eastAsia="Times New Roman"/>
              </w:rPr>
              <w:t>11</w:t>
            </w:r>
          </w:hyperlink>
        </w:p>
        <w:p>
          <w:pPr>
            <w:pStyle w:val="TOC3"/>
            <w:numPr>
              <w:ilvl w:val="2"/>
              <w:numId w:val="2"/>
            </w:numPr>
            <w:tabs>
              <w:tab w:pos="1799" w:val="left" w:leader="none"/>
              <w:tab w:pos="1800" w:val="left" w:leader="none"/>
              <w:tab w:pos="8420" w:val="right" w:leader="dot"/>
            </w:tabs>
            <w:spacing w:line="240" w:lineRule="auto" w:before="21" w:after="20"/>
            <w:ind w:left="1800" w:right="0" w:hanging="840"/>
            <w:jc w:val="left"/>
            <w:rPr>
              <w:rFonts w:ascii="Times New Roman" w:eastAsia="Times New Roman"/>
            </w:rPr>
          </w:pPr>
          <w:hyperlink w:history="true" w:anchor="_TOC_250030">
            <w:r>
              <w:rPr/>
              <w:t>慢性肝功能衰竭失代偿期</w:t>
              <w:tab/>
            </w:r>
            <w:r>
              <w:rPr>
                <w:rFonts w:ascii="Times New Roman" w:eastAsia="Times New Roman"/>
              </w:rPr>
              <w:t>11</w:t>
            </w:r>
          </w:hyperlink>
        </w:p>
        <w:p>
          <w:pPr>
            <w:pStyle w:val="TOC3"/>
            <w:numPr>
              <w:ilvl w:val="2"/>
              <w:numId w:val="2"/>
            </w:numPr>
            <w:tabs>
              <w:tab w:pos="1799" w:val="left" w:leader="none"/>
              <w:tab w:pos="1800" w:val="left" w:leader="none"/>
              <w:tab w:pos="8415" w:val="right" w:leader="dot"/>
            </w:tabs>
            <w:spacing w:line="240" w:lineRule="auto" w:before="35" w:after="0"/>
            <w:ind w:left="1800" w:right="0" w:hanging="840"/>
            <w:jc w:val="left"/>
            <w:rPr>
              <w:rFonts w:ascii="Times New Roman" w:eastAsia="Times New Roman"/>
            </w:rPr>
          </w:pPr>
          <w:hyperlink w:history="true" w:anchor="_TOC_250029">
            <w:r>
              <w:rPr/>
              <w:t>脑炎后遗症或脑膜炎后遗症</w:t>
              <w:tab/>
            </w:r>
            <w:r>
              <w:rPr>
                <w:rFonts w:ascii="Times New Roman" w:eastAsia="Times New Roman"/>
              </w:rPr>
              <w:t>12</w:t>
            </w:r>
          </w:hyperlink>
        </w:p>
        <w:p>
          <w:pPr>
            <w:pStyle w:val="TOC3"/>
            <w:numPr>
              <w:ilvl w:val="2"/>
              <w:numId w:val="2"/>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28">
            <w:r>
              <w:rPr/>
              <w:t>深度昏迷</w:t>
              <w:tab/>
            </w:r>
            <w:r>
              <w:rPr>
                <w:rFonts w:ascii="Times New Roman" w:eastAsia="Times New Roman"/>
              </w:rPr>
              <w:t>12</w:t>
            </w:r>
          </w:hyperlink>
        </w:p>
        <w:p>
          <w:pPr>
            <w:pStyle w:val="TOC3"/>
            <w:numPr>
              <w:ilvl w:val="2"/>
              <w:numId w:val="2"/>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27">
            <w:r>
              <w:rPr/>
              <w:t>双耳失聪</w:t>
              <w:tab/>
            </w:r>
            <w:r>
              <w:rPr>
                <w:rFonts w:ascii="Times New Roman" w:eastAsia="Times New Roman"/>
              </w:rPr>
              <w:t>12</w:t>
            </w:r>
          </w:hyperlink>
        </w:p>
        <w:p>
          <w:pPr>
            <w:pStyle w:val="TOC3"/>
            <w:numPr>
              <w:ilvl w:val="2"/>
              <w:numId w:val="2"/>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26">
            <w:r>
              <w:rPr/>
              <w:t>双目失明</w:t>
              <w:tab/>
            </w:r>
            <w:r>
              <w:rPr>
                <w:rFonts w:ascii="Times New Roman" w:eastAsia="Times New Roman"/>
              </w:rPr>
              <w:t>12</w:t>
            </w:r>
          </w:hyperlink>
        </w:p>
        <w:p>
          <w:pPr>
            <w:pStyle w:val="TOC3"/>
            <w:tabs>
              <w:tab w:pos="1799" w:val="left" w:leader="none"/>
              <w:tab w:pos="8415" w:val="right" w:leader="dot"/>
            </w:tabs>
            <w:ind w:left="960" w:firstLine="0"/>
            <w:rPr>
              <w:rFonts w:ascii="Times New Roman" w:eastAsia="Times New Roman"/>
            </w:rPr>
          </w:pPr>
          <w:hyperlink w:history="true" w:anchor="_TOC_250025">
            <w:r>
              <w:rPr>
                <w:w w:val="93"/>
              </w:rPr>
              <w:t>10</w:t>
            </w:r>
            <w:r>
              <w:rPr>
                <w:spacing w:val="-1"/>
                <w:w w:val="43"/>
              </w:rPr>
              <w:t>.</w:t>
            </w:r>
            <w:r>
              <w:rPr>
                <w:w w:val="93"/>
              </w:rPr>
              <w:t>3</w:t>
            </w:r>
            <w:r>
              <w:rPr>
                <w:spacing w:val="-1"/>
                <w:w w:val="43"/>
              </w:rPr>
              <w:t>.</w:t>
            </w:r>
            <w:r>
              <w:rPr>
                <w:w w:val="93"/>
              </w:rPr>
              <w:t>15</w:t>
            </w:r>
            <w:r>
              <w:rPr>
                <w:w w:val="43"/>
              </w:rPr>
              <w:t>.</w:t>
            </w:r>
            <w:r>
              <w:rPr/>
              <w:tab/>
            </w:r>
            <w:r>
              <w:rPr>
                <w:spacing w:val="1"/>
                <w:w w:val="99"/>
              </w:rPr>
              <w:t>瘫</w:t>
            </w:r>
            <w:r>
              <w:rPr>
                <w:w w:val="99"/>
              </w:rPr>
              <w:t>痪</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3</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24">
            <w:r>
              <w:rPr/>
              <w:t>心脏瓣膜手术</w:t>
              <w:tab/>
            </w:r>
            <w:r>
              <w:rPr>
                <w:rFonts w:ascii="Times New Roman" w:eastAsia="Times New Roman"/>
              </w:rPr>
              <w:t>13</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23">
            <w:r>
              <w:rPr/>
              <w:t>严重阿尔茨海默病</w:t>
              <w:tab/>
            </w:r>
            <w:r>
              <w:rPr>
                <w:rFonts w:ascii="Times New Roman" w:eastAsia="Times New Roman"/>
              </w:rPr>
              <w:t>13</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22">
            <w:r>
              <w:rPr/>
              <w:t>严重脑损伤</w:t>
              <w:tab/>
            </w:r>
            <w:r>
              <w:rPr>
                <w:rFonts w:ascii="Times New Roman" w:eastAsia="Times New Roman"/>
              </w:rPr>
              <w:t>13</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21">
            <w:r>
              <w:rPr/>
              <w:t>严重帕金森病</w:t>
              <w:tab/>
            </w:r>
            <w:r>
              <w:rPr>
                <w:rFonts w:ascii="Times New Roman" w:eastAsia="Times New Roman"/>
              </w:rPr>
              <w:t>13</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20">
            <w:r>
              <w:rPr/>
              <w:t>严重</w:t>
            </w:r>
            <w:r>
              <w:rPr>
                <w:spacing w:val="-54"/>
              </w:rPr>
              <w:t> </w:t>
            </w:r>
            <w:r>
              <w:rPr/>
              <w:t>III</w:t>
            </w:r>
            <w:r>
              <w:rPr>
                <w:spacing w:val="-53"/>
              </w:rPr>
              <w:t> </w:t>
            </w:r>
            <w:r>
              <w:rPr/>
              <w:t>度烧伤</w:t>
              <w:tab/>
            </w:r>
            <w:r>
              <w:rPr>
                <w:rFonts w:ascii="Times New Roman" w:eastAsia="Times New Roman"/>
              </w:rPr>
              <w:t>14</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19">
            <w:r>
              <w:rPr/>
              <w:t>严重原发性肺动脉高压</w:t>
              <w:tab/>
            </w:r>
            <w:r>
              <w:rPr>
                <w:rFonts w:ascii="Times New Roman" w:eastAsia="Times New Roman"/>
              </w:rPr>
              <w:t>14</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18">
            <w:r>
              <w:rPr/>
              <w:t>严重运动神经元病</w:t>
              <w:tab/>
            </w:r>
            <w:r>
              <w:rPr>
                <w:rFonts w:ascii="Times New Roman" w:eastAsia="Times New Roman"/>
              </w:rPr>
              <w:t>14</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17">
            <w:r>
              <w:rPr/>
              <w:t>语言能力丧失</w:t>
              <w:tab/>
            </w:r>
            <w:r>
              <w:rPr>
                <w:rFonts w:ascii="Times New Roman" w:eastAsia="Times New Roman"/>
              </w:rPr>
              <w:t>14</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16">
            <w:r>
              <w:rPr/>
              <w:t>重型再生障碍性贫血</w:t>
              <w:tab/>
            </w:r>
            <w:r>
              <w:rPr>
                <w:rFonts w:ascii="Times New Roman" w:eastAsia="Times New Roman"/>
              </w:rPr>
              <w:t>14</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15">
            <w:r>
              <w:rPr/>
              <w:t>主动脉手术</w:t>
              <w:tab/>
            </w:r>
            <w:r>
              <w:rPr>
                <w:rFonts w:ascii="Times New Roman" w:eastAsia="Times New Roman"/>
              </w:rPr>
              <w:t>15</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14">
            <w:r>
              <w:rPr/>
              <w:t>系统性红斑狼疮</w:t>
            </w:r>
            <w:r>
              <w:rPr>
                <w:spacing w:val="-5"/>
              </w:rPr>
              <w:t> </w:t>
            </w:r>
            <w:r>
              <w:rPr/>
              <w:t>－</w:t>
            </w:r>
            <w:r>
              <w:rPr>
                <w:spacing w:val="-2"/>
              </w:rPr>
              <w:t> </w:t>
            </w:r>
            <w:r>
              <w:rPr/>
              <w:t>III</w:t>
            </w:r>
            <w:r>
              <w:rPr>
                <w:spacing w:val="-57"/>
              </w:rPr>
              <w:t> </w:t>
            </w:r>
            <w:r>
              <w:rPr/>
              <w:t>型或以上狼疮性肾炎</w:t>
              <w:tab/>
            </w:r>
            <w:r>
              <w:rPr>
                <w:rFonts w:ascii="Times New Roman" w:eastAsia="Times New Roman"/>
              </w:rPr>
              <w:t>15</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13">
            <w:r>
              <w:rPr>
                <w:spacing w:val="1"/>
                <w:w w:val="99"/>
              </w:rPr>
              <w:t>经</w:t>
            </w:r>
            <w:r>
              <w:rPr>
                <w:w w:val="99"/>
              </w:rPr>
              <w:t>输</w:t>
            </w:r>
            <w:r>
              <w:rPr>
                <w:spacing w:val="1"/>
                <w:w w:val="99"/>
              </w:rPr>
              <w:t>血</w:t>
            </w:r>
            <w:r>
              <w:rPr>
                <w:w w:val="99"/>
              </w:rPr>
              <w:t>导</w:t>
            </w:r>
            <w:r>
              <w:rPr>
                <w:spacing w:val="1"/>
                <w:w w:val="99"/>
              </w:rPr>
              <w:t>致</w:t>
            </w:r>
            <w:r>
              <w:rPr>
                <w:w w:val="99"/>
              </w:rPr>
              <w:t>的</w:t>
            </w:r>
            <w:r>
              <w:rPr>
                <w:spacing w:val="1"/>
                <w:w w:val="99"/>
              </w:rPr>
              <w:t>人</w:t>
            </w:r>
            <w:r>
              <w:rPr>
                <w:w w:val="99"/>
              </w:rPr>
              <w:t>类</w:t>
            </w:r>
            <w:r>
              <w:rPr>
                <w:spacing w:val="1"/>
                <w:w w:val="99"/>
              </w:rPr>
              <w:t>免</w:t>
            </w:r>
            <w:r>
              <w:rPr>
                <w:w w:val="99"/>
              </w:rPr>
              <w:t>疫</w:t>
            </w:r>
            <w:r>
              <w:rPr>
                <w:spacing w:val="1"/>
                <w:w w:val="99"/>
              </w:rPr>
              <w:t>缺</w:t>
            </w:r>
            <w:r>
              <w:rPr>
                <w:w w:val="99"/>
              </w:rPr>
              <w:t>陷</w:t>
            </w:r>
            <w:r>
              <w:rPr>
                <w:spacing w:val="1"/>
                <w:w w:val="99"/>
              </w:rPr>
              <w:t>病</w:t>
            </w:r>
            <w:r>
              <w:rPr>
                <w:w w:val="99"/>
              </w:rPr>
              <w:t>毒</w:t>
            </w:r>
            <w:r>
              <w:rPr>
                <w:spacing w:val="1"/>
                <w:w w:val="99"/>
              </w:rPr>
              <w:t>（</w:t>
            </w:r>
            <w:r>
              <w:rPr>
                <w:spacing w:val="-1"/>
                <w:w w:val="151"/>
              </w:rPr>
              <w:t>H</w:t>
            </w:r>
            <w:r>
              <w:rPr>
                <w:w w:val="70"/>
              </w:rPr>
              <w:t>I</w:t>
            </w:r>
            <w:r>
              <w:rPr>
                <w:w w:val="134"/>
              </w:rPr>
              <w:t>V</w:t>
            </w:r>
            <w:r>
              <w:rPr>
                <w:spacing w:val="1"/>
                <w:w w:val="99"/>
              </w:rPr>
              <w:t>）</w:t>
            </w:r>
            <w:r>
              <w:rPr>
                <w:w w:val="99"/>
              </w:rPr>
              <w:t>感染</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5</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12">
            <w:r>
              <w:rPr/>
              <w:t>严重多发性硬化</w:t>
              <w:tab/>
            </w:r>
            <w:r>
              <w:rPr>
                <w:rFonts w:ascii="Times New Roman" w:eastAsia="Times New Roman"/>
              </w:rPr>
              <w:t>16</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11">
            <w:r>
              <w:rPr/>
              <w:t>严重类风湿性关节炎</w:t>
              <w:tab/>
            </w:r>
            <w:r>
              <w:rPr>
                <w:rFonts w:ascii="Times New Roman" w:eastAsia="Times New Roman"/>
              </w:rPr>
              <w:t>16</w:t>
            </w:r>
          </w:hyperlink>
        </w:p>
        <w:p>
          <w:pPr>
            <w:pStyle w:val="TOC3"/>
            <w:numPr>
              <w:ilvl w:val="2"/>
              <w:numId w:val="3"/>
            </w:numPr>
            <w:tabs>
              <w:tab w:pos="1799" w:val="left" w:leader="none"/>
              <w:tab w:pos="1800" w:val="left" w:leader="none"/>
              <w:tab w:pos="8415" w:val="right" w:leader="dot"/>
            </w:tabs>
            <w:spacing w:line="240" w:lineRule="auto" w:before="21" w:after="0"/>
            <w:ind w:left="1800" w:right="0" w:hanging="840"/>
            <w:jc w:val="left"/>
            <w:rPr>
              <w:rFonts w:ascii="Times New Roman" w:eastAsia="Times New Roman"/>
            </w:rPr>
          </w:pPr>
          <w:hyperlink w:history="true" w:anchor="_TOC_250010">
            <w:r>
              <w:rPr/>
              <w:t>慢性呼吸功能衰竭</w:t>
              <w:tab/>
            </w:r>
            <w:r>
              <w:rPr>
                <w:rFonts w:ascii="Times New Roman" w:eastAsia="Times New Roman"/>
              </w:rPr>
              <w:t>16</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9">
            <w:r>
              <w:rPr/>
              <w:t>本条款约定确诊日</w:t>
              <w:tab/>
            </w:r>
            <w:r>
              <w:rPr>
                <w:rFonts w:ascii="Times New Roman" w:eastAsia="Times New Roman"/>
              </w:rPr>
              <w:t>17</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8">
            <w:r>
              <w:rPr/>
              <w:t>无合法有效驾驶证驾驶</w:t>
              <w:tab/>
            </w:r>
            <w:r>
              <w:rPr>
                <w:rFonts w:ascii="Times New Roman" w:eastAsia="Times New Roman"/>
              </w:rPr>
              <w:t>17</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7">
            <w:r>
              <w:rPr/>
              <w:t>艾滋病</w:t>
              <w:tab/>
            </w:r>
            <w:r>
              <w:rPr>
                <w:rFonts w:ascii="Times New Roman" w:eastAsia="Times New Roman"/>
              </w:rPr>
              <w:t>17</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6">
            <w:r>
              <w:rPr/>
              <w:t>艾滋病病毒</w:t>
              <w:tab/>
            </w:r>
            <w:r>
              <w:rPr>
                <w:rFonts w:ascii="Times New Roman" w:eastAsia="Times New Roman"/>
              </w:rPr>
              <w:t>17</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5">
            <w:r>
              <w:rPr/>
              <w:t>危险保额</w:t>
              <w:tab/>
            </w:r>
            <w:r>
              <w:rPr>
                <w:rFonts w:ascii="Times New Roman" w:eastAsia="Times New Roman"/>
              </w:rPr>
              <w:t>17</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4">
            <w:r>
              <w:rPr/>
              <w:t>肢体机能完全丧失</w:t>
              <w:tab/>
            </w:r>
            <w:r>
              <w:rPr>
                <w:rFonts w:ascii="Times New Roman" w:eastAsia="Times New Roman"/>
              </w:rPr>
              <w:t>17</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3">
            <w:r>
              <w:rPr/>
              <w:t>语言能力或咀嚼吞咽能力完全丧失</w:t>
              <w:tab/>
            </w:r>
            <w:r>
              <w:rPr>
                <w:rFonts w:ascii="Times New Roman" w:eastAsia="Times New Roman"/>
              </w:rPr>
              <w:t>18</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2">
            <w:r>
              <w:rPr/>
              <w:t>六项基本日常生活活动</w:t>
              <w:tab/>
            </w:r>
            <w:r>
              <w:rPr>
                <w:rFonts w:ascii="Times New Roman" w:eastAsia="Times New Roman"/>
              </w:rPr>
              <w:t>18</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1">
            <w:r>
              <w:rPr/>
              <w:t>永久不可逆</w:t>
              <w:tab/>
            </w:r>
            <w:r>
              <w:rPr>
                <w:rFonts w:ascii="Times New Roman" w:eastAsia="Times New Roman"/>
              </w:rPr>
              <w:t>18</w:t>
            </w:r>
          </w:hyperlink>
        </w:p>
        <w:p>
          <w:pPr>
            <w:pStyle w:val="TOC2"/>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0">
            <w:r>
              <w:rPr/>
              <w:t>专科医生</w:t>
              <w:tab/>
            </w:r>
            <w:r>
              <w:rPr>
                <w:rFonts w:ascii="Times New Roman" w:eastAsia="Times New Roman"/>
              </w:rPr>
              <w:t>18</w:t>
            </w:r>
          </w:hyperlink>
        </w:p>
      </w:sdtContent>
    </w:sdt>
    <w:p>
      <w:pPr>
        <w:spacing w:after="0" w:line="240" w:lineRule="auto"/>
        <w:jc w:val="left"/>
        <w:rPr>
          <w:rFonts w:ascii="Times New Roman" w:eastAsia="Times New Roman"/>
        </w:rPr>
        <w:sectPr>
          <w:type w:val="continuous"/>
          <w:pgSz w:w="11910" w:h="16840"/>
          <w:pgMar w:top="1380" w:bottom="1698" w:left="1680" w:right="1680"/>
        </w:sectPr>
      </w:pPr>
    </w:p>
    <w:p>
      <w:pPr>
        <w:spacing w:line="429" w:lineRule="exact" w:before="0"/>
        <w:ind w:left="1330" w:right="0" w:firstLine="0"/>
        <w:jc w:val="left"/>
        <w:rPr>
          <w:rFonts w:ascii="Microsoft JhengHei UI" w:eastAsia="Microsoft JhengHei UI" w:hint="eastAsia"/>
          <w:b/>
          <w:sz w:val="28"/>
        </w:rPr>
      </w:pPr>
      <w:bookmarkStart w:name="合同订立" w:id="1"/>
      <w:bookmarkEnd w:id="1"/>
      <w:r>
        <w:rPr/>
      </w:r>
      <w:bookmarkStart w:name="投保年龄" w:id="2"/>
      <w:bookmarkEnd w:id="2"/>
      <w:r>
        <w:rPr/>
      </w:r>
      <w:bookmarkStart w:name="合同生效" w:id="3"/>
      <w:bookmarkEnd w:id="3"/>
      <w:r>
        <w:rPr/>
      </w:r>
      <w:bookmarkStart w:name="保险责任" w:id="4"/>
      <w:bookmarkEnd w:id="4"/>
      <w:r>
        <w:rPr/>
      </w:r>
      <w:bookmarkStart w:name="保险责任的开始" w:id="5"/>
      <w:bookmarkEnd w:id="5"/>
      <w:r>
        <w:rPr/>
      </w:r>
      <w:r>
        <w:rPr>
          <w:rFonts w:ascii="Microsoft JhengHei UI" w:eastAsia="Microsoft JhengHei UI" w:hint="eastAsia"/>
          <w:b/>
          <w:sz w:val="28"/>
        </w:rPr>
        <w:t>中新大东方附加终身提前给付重大疾病保险条款</w:t>
      </w:r>
    </w:p>
    <w:p>
      <w:pPr>
        <w:pStyle w:val="BodyText"/>
        <w:spacing w:before="206"/>
        <w:ind w:left="1428"/>
      </w:pPr>
      <w:r>
        <w:rPr>
          <w:w w:val="95"/>
        </w:rPr>
        <w:t>（中新大东方[2011]48 号 呈报中国保险监督管理委员会备案）</w:t>
      </w:r>
    </w:p>
    <w:p>
      <w:pPr>
        <w:pStyle w:val="BodyText"/>
        <w:spacing w:before="192"/>
        <w:ind w:left="120"/>
      </w:pPr>
      <w:r>
        <w:rPr>
          <w:spacing w:val="-21"/>
          <w:w w:val="99"/>
        </w:rPr>
        <w:t>在本条款中，“您”指投保人，“我们”、“本公司”均指中新大东方人寿保险有限公司。</w:t>
      </w:r>
    </w:p>
    <w:p>
      <w:pPr>
        <w:pStyle w:val="BodyText"/>
        <w:spacing w:line="408" w:lineRule="auto" w:before="192"/>
        <w:ind w:left="120" w:right="224"/>
      </w:pPr>
      <w:r>
        <w:rPr/>
        <w:t>“中新大东方附加终身提前给付重大疾病保险合同” 在以下条款中简称为 “本附加险合</w:t>
      </w:r>
      <w:r>
        <w:rPr>
          <w:w w:val="95"/>
        </w:rPr>
        <w:t>同”。</w:t>
      </w:r>
    </w:p>
    <w:p>
      <w:pPr>
        <w:pStyle w:val="BodyText"/>
        <w:spacing w:before="4"/>
        <w:rPr>
          <w:sz w:val="36"/>
        </w:rPr>
      </w:pPr>
    </w:p>
    <w:p>
      <w:pPr>
        <w:pStyle w:val="Heading2"/>
        <w:numPr>
          <w:ilvl w:val="0"/>
          <w:numId w:val="4"/>
        </w:numPr>
        <w:tabs>
          <w:tab w:pos="558" w:val="left" w:leader="none"/>
          <w:tab w:pos="559" w:val="left" w:leader="none"/>
        </w:tabs>
        <w:spacing w:line="240" w:lineRule="auto" w:before="0" w:after="0"/>
        <w:ind w:left="558" w:right="0" w:hanging="432"/>
        <w:jc w:val="left"/>
      </w:pPr>
      <w:bookmarkStart w:name="_TOC_250071" w:id="6"/>
      <w:bookmarkEnd w:id="6"/>
      <w:r>
        <w:rPr>
          <w:w w:val="95"/>
        </w:rPr>
        <w:t>合同订立</w:t>
      </w:r>
    </w:p>
    <w:p>
      <w:pPr>
        <w:pStyle w:val="BodyText"/>
        <w:spacing w:before="8"/>
        <w:rPr>
          <w:rFonts w:ascii="Microsoft JhengHei UI"/>
          <w:b/>
          <w:sz w:val="38"/>
        </w:rPr>
      </w:pPr>
    </w:p>
    <w:p>
      <w:pPr>
        <w:pStyle w:val="BodyText"/>
        <w:spacing w:line="408" w:lineRule="auto"/>
        <w:ind w:left="120" w:right="114"/>
      </w:pPr>
      <w:r>
        <w:rPr>
          <w:spacing w:val="-4"/>
          <w:w w:val="95"/>
        </w:rPr>
        <w:t>本附加险合同由主保险合同</w:t>
      </w:r>
      <w:r>
        <w:rPr>
          <w:w w:val="95"/>
        </w:rPr>
        <w:t>（</w:t>
      </w:r>
      <w:r>
        <w:rPr>
          <w:spacing w:val="-10"/>
          <w:w w:val="95"/>
        </w:rPr>
        <w:t>以下简称“主险合同”</w:t>
      </w:r>
      <w:r>
        <w:rPr>
          <w:spacing w:val="-40"/>
          <w:w w:val="95"/>
        </w:rPr>
        <w:t>）</w:t>
      </w:r>
      <w:r>
        <w:rPr>
          <w:spacing w:val="-5"/>
          <w:w w:val="95"/>
        </w:rPr>
        <w:t>投保人提出申请，经我们同意而订立。   本附加险只可附加于中新大东方终身寿险(万能型，B1款)。</w:t>
      </w:r>
    </w:p>
    <w:p>
      <w:pPr>
        <w:pStyle w:val="BodyText"/>
        <w:spacing w:before="4"/>
        <w:rPr>
          <w:sz w:val="36"/>
        </w:rPr>
      </w:pPr>
    </w:p>
    <w:p>
      <w:pPr>
        <w:pStyle w:val="Heading2"/>
        <w:numPr>
          <w:ilvl w:val="0"/>
          <w:numId w:val="4"/>
        </w:numPr>
        <w:tabs>
          <w:tab w:pos="559" w:val="left" w:leader="none"/>
        </w:tabs>
        <w:spacing w:line="240" w:lineRule="auto" w:before="0" w:after="0"/>
        <w:ind w:left="558" w:right="0" w:hanging="432"/>
        <w:jc w:val="both"/>
      </w:pPr>
      <w:bookmarkStart w:name="_TOC_250070" w:id="7"/>
      <w:bookmarkEnd w:id="7"/>
      <w:r>
        <w:rPr>
          <w:w w:val="95"/>
        </w:rPr>
        <w:t>投保年龄</w:t>
      </w:r>
    </w:p>
    <w:p>
      <w:pPr>
        <w:pStyle w:val="BodyText"/>
        <w:spacing w:before="6"/>
        <w:rPr>
          <w:rFonts w:ascii="Microsoft JhengHei UI"/>
          <w:b/>
          <w:sz w:val="35"/>
        </w:rPr>
      </w:pPr>
    </w:p>
    <w:p>
      <w:pPr>
        <w:pStyle w:val="BodyText"/>
        <w:spacing w:before="1"/>
        <w:ind w:left="120"/>
        <w:jc w:val="both"/>
      </w:pPr>
      <w:r>
        <w:rPr>
          <w:spacing w:val="-3"/>
          <w:w w:val="99"/>
        </w:rPr>
        <w:t>被保险人的投保年龄以</w:t>
      </w:r>
      <w:r>
        <w:rPr>
          <w:rFonts w:ascii="Microsoft JhengHei UI" w:eastAsia="Microsoft JhengHei UI" w:hint="eastAsia"/>
          <w:b/>
          <w:spacing w:val="-48"/>
          <w:w w:val="99"/>
        </w:rPr>
        <w:t>周</w:t>
      </w:r>
      <w:r>
        <w:rPr>
          <w:spacing w:val="-267"/>
          <w:w w:val="99"/>
          <w:position w:val="1"/>
        </w:rPr>
        <w:t>岁</w:t>
      </w:r>
      <w:r>
        <w:rPr>
          <w:spacing w:val="-264"/>
          <w:w w:val="99"/>
        </w:rPr>
        <w:t>岁岁</w:t>
      </w:r>
      <w:r>
        <w:rPr>
          <w:spacing w:val="-51"/>
          <w:w w:val="99"/>
        </w:rPr>
        <w:t>岁</w:t>
      </w:r>
      <w:r>
        <w:rPr>
          <w:spacing w:val="0"/>
          <w:w w:val="58"/>
        </w:rPr>
        <w:t>(</w:t>
      </w:r>
      <w:r>
        <w:rPr>
          <w:w w:val="99"/>
        </w:rPr>
        <w:t>见释义</w:t>
      </w:r>
      <w:r>
        <w:rPr>
          <w:w w:val="93"/>
        </w:rPr>
        <w:t>10</w:t>
      </w:r>
      <w:r>
        <w:rPr>
          <w:spacing w:val="-1"/>
          <w:w w:val="43"/>
        </w:rPr>
        <w:t>.</w:t>
      </w:r>
      <w:r>
        <w:rPr>
          <w:w w:val="93"/>
        </w:rPr>
        <w:t>1</w:t>
      </w:r>
      <w:r>
        <w:rPr>
          <w:spacing w:val="0"/>
          <w:w w:val="58"/>
        </w:rPr>
        <w:t>)</w:t>
      </w:r>
      <w:r>
        <w:rPr>
          <w:w w:val="99"/>
        </w:rPr>
        <w:t>计算。</w:t>
      </w:r>
    </w:p>
    <w:p>
      <w:pPr>
        <w:pStyle w:val="BodyText"/>
        <w:spacing w:before="169"/>
        <w:ind w:left="120"/>
        <w:jc w:val="both"/>
      </w:pPr>
      <w:r>
        <w:rPr>
          <w:w w:val="95"/>
        </w:rPr>
        <w:t>本附加险合同接受的被保险人投保年龄范围为：出生且出院满30天至60周岁。</w:t>
      </w:r>
    </w:p>
    <w:p>
      <w:pPr>
        <w:pStyle w:val="BodyText"/>
        <w:rPr>
          <w:sz w:val="26"/>
        </w:rPr>
      </w:pPr>
    </w:p>
    <w:p>
      <w:pPr>
        <w:pStyle w:val="BodyText"/>
        <w:spacing w:before="7"/>
      </w:pPr>
    </w:p>
    <w:p>
      <w:pPr>
        <w:pStyle w:val="Heading2"/>
        <w:numPr>
          <w:ilvl w:val="0"/>
          <w:numId w:val="4"/>
        </w:numPr>
        <w:tabs>
          <w:tab w:pos="559" w:val="left" w:leader="none"/>
        </w:tabs>
        <w:spacing w:line="240" w:lineRule="auto" w:before="0" w:after="0"/>
        <w:ind w:left="558" w:right="0" w:hanging="432"/>
        <w:jc w:val="both"/>
      </w:pPr>
      <w:bookmarkStart w:name="_TOC_250069" w:id="8"/>
      <w:bookmarkEnd w:id="8"/>
      <w:r>
        <w:rPr>
          <w:w w:val="95"/>
        </w:rPr>
        <w:t>合同生效</w:t>
      </w:r>
    </w:p>
    <w:p>
      <w:pPr>
        <w:pStyle w:val="BodyText"/>
        <w:spacing w:before="10"/>
        <w:rPr>
          <w:rFonts w:ascii="Microsoft JhengHei UI"/>
          <w:b/>
          <w:sz w:val="38"/>
        </w:rPr>
      </w:pPr>
    </w:p>
    <w:p>
      <w:pPr>
        <w:pStyle w:val="BodyText"/>
        <w:ind w:left="120"/>
        <w:jc w:val="both"/>
      </w:pPr>
      <w:r>
        <w:rPr>
          <w:w w:val="95"/>
        </w:rPr>
        <w:t>本附加险合同与主险合同同时投保，本附加险合同的生效日与主险合同相同。</w:t>
      </w:r>
    </w:p>
    <w:p>
      <w:pPr>
        <w:pStyle w:val="BodyText"/>
        <w:rPr>
          <w:sz w:val="26"/>
        </w:rPr>
      </w:pPr>
    </w:p>
    <w:p>
      <w:pPr>
        <w:pStyle w:val="BodyText"/>
        <w:spacing w:before="7"/>
      </w:pPr>
    </w:p>
    <w:p>
      <w:pPr>
        <w:pStyle w:val="Heading2"/>
        <w:numPr>
          <w:ilvl w:val="0"/>
          <w:numId w:val="4"/>
        </w:numPr>
        <w:tabs>
          <w:tab w:pos="559" w:val="left" w:leader="none"/>
        </w:tabs>
        <w:spacing w:line="240" w:lineRule="auto" w:before="1" w:after="0"/>
        <w:ind w:left="558" w:right="0" w:hanging="432"/>
        <w:jc w:val="both"/>
      </w:pPr>
      <w:bookmarkStart w:name="_TOC_250068" w:id="9"/>
      <w:bookmarkEnd w:id="9"/>
      <w:r>
        <w:rPr>
          <w:w w:val="95"/>
        </w:rPr>
        <w:t>保险责任</w:t>
      </w:r>
    </w:p>
    <w:p>
      <w:pPr>
        <w:pStyle w:val="BodyText"/>
        <w:spacing w:before="8"/>
        <w:rPr>
          <w:rFonts w:ascii="Microsoft JhengHei UI"/>
          <w:b/>
          <w:sz w:val="37"/>
        </w:rPr>
      </w:pPr>
    </w:p>
    <w:p>
      <w:pPr>
        <w:pStyle w:val="Heading2"/>
        <w:numPr>
          <w:ilvl w:val="1"/>
          <w:numId w:val="4"/>
        </w:numPr>
        <w:tabs>
          <w:tab w:pos="703" w:val="left" w:leader="none"/>
        </w:tabs>
        <w:spacing w:line="240" w:lineRule="auto" w:before="0" w:after="0"/>
        <w:ind w:left="702" w:right="0" w:hanging="576"/>
        <w:jc w:val="both"/>
      </w:pPr>
      <w:bookmarkStart w:name="_TOC_250067" w:id="10"/>
      <w:bookmarkEnd w:id="10"/>
      <w:r>
        <w:rPr>
          <w:w w:val="95"/>
        </w:rPr>
        <w:t>保险责任的开始</w:t>
      </w:r>
    </w:p>
    <w:p>
      <w:pPr>
        <w:pStyle w:val="BodyText"/>
        <w:spacing w:before="15"/>
        <w:rPr>
          <w:rFonts w:ascii="Microsoft JhengHei UI"/>
          <w:b/>
          <w:sz w:val="24"/>
        </w:rPr>
      </w:pPr>
    </w:p>
    <w:p>
      <w:pPr>
        <w:pStyle w:val="BodyText"/>
        <w:spacing w:line="338" w:lineRule="auto"/>
        <w:ind w:left="120" w:right="212"/>
        <w:jc w:val="both"/>
      </w:pPr>
      <w:r>
        <w:rPr>
          <w:spacing w:val="-5"/>
        </w:rPr>
        <w:t>等待期： 从本附加险合同生效日起 </w:t>
      </w:r>
      <w:r>
        <w:rPr/>
        <w:t>90</w:t>
      </w:r>
      <w:r>
        <w:rPr>
          <w:spacing w:val="-13"/>
        </w:rPr>
        <w:t> 天内或最后复效日起 </w:t>
      </w:r>
      <w:r>
        <w:rPr/>
        <w:t>90</w:t>
      </w:r>
      <w:r>
        <w:rPr>
          <w:spacing w:val="-10"/>
        </w:rPr>
        <w:t> 天内，被保险人经</w:t>
      </w:r>
      <w:r>
        <w:rPr>
          <w:rFonts w:ascii="Microsoft JhengHei UI" w:eastAsia="Microsoft JhengHei UI" w:hint="eastAsia"/>
          <w:b/>
          <w:spacing w:val="-48"/>
        </w:rPr>
        <w:t>医</w:t>
      </w:r>
      <w:r>
        <w:rPr>
          <w:spacing w:val="-209"/>
          <w:position w:val="1"/>
        </w:rPr>
        <w:t>院</w:t>
      </w:r>
      <w:r>
        <w:rPr>
          <w:spacing w:val="-160"/>
        </w:rPr>
        <w:t>院院院</w:t>
      </w:r>
      <w:r>
        <w:rPr>
          <w:spacing w:val="-42"/>
        </w:rPr>
        <w:t>（</w:t>
      </w:r>
      <w:r>
        <w:rPr/>
        <w:t>见</w:t>
      </w:r>
      <w:r>
        <w:rPr>
          <w:w w:val="99"/>
        </w:rPr>
        <w:t>释义</w:t>
      </w:r>
      <w:r>
        <w:rPr/>
        <w:t> </w:t>
      </w:r>
      <w:r>
        <w:rPr>
          <w:w w:val="93"/>
        </w:rPr>
        <w:t>10</w:t>
      </w:r>
      <w:r>
        <w:rPr>
          <w:spacing w:val="-1"/>
          <w:w w:val="43"/>
        </w:rPr>
        <w:t>.</w:t>
      </w:r>
      <w:r>
        <w:rPr>
          <w:spacing w:val="1"/>
          <w:w w:val="93"/>
        </w:rPr>
        <w:t>2</w:t>
      </w:r>
      <w:r>
        <w:rPr>
          <w:spacing w:val="1"/>
          <w:w w:val="99"/>
        </w:rPr>
        <w:t>）</w:t>
      </w:r>
      <w:r>
        <w:rPr>
          <w:spacing w:val="0"/>
          <w:w w:val="99"/>
        </w:rPr>
        <w:t>诊断初次发生本附加险合同所界定的</w:t>
      </w:r>
      <w:r>
        <w:rPr>
          <w:spacing w:val="-53"/>
        </w:rPr>
        <w:t> </w:t>
      </w:r>
      <w:r>
        <w:rPr>
          <w:rFonts w:ascii="Microsoft JhengHei UI" w:eastAsia="Microsoft JhengHei UI" w:hint="eastAsia"/>
          <w:b/>
          <w:spacing w:val="-50"/>
          <w:w w:val="78"/>
        </w:rPr>
        <w:t>3</w:t>
      </w:r>
      <w:r>
        <w:rPr>
          <w:spacing w:val="-156"/>
          <w:w w:val="93"/>
          <w:position w:val="1"/>
        </w:rPr>
        <w:t>0</w:t>
      </w:r>
      <w:r>
        <w:rPr>
          <w:spacing w:val="-152"/>
          <w:w w:val="93"/>
        </w:rPr>
        <w:t>0</w:t>
      </w:r>
      <w:r>
        <w:rPr>
          <w:spacing w:val="-154"/>
          <w:w w:val="93"/>
        </w:rPr>
        <w:t>0</w:t>
      </w:r>
      <w:r>
        <w:rPr>
          <w:spacing w:val="-9"/>
          <w:w w:val="93"/>
        </w:rPr>
        <w:t>0</w:t>
      </w:r>
      <w:r>
        <w:rPr>
          <w:spacing w:val="-267"/>
          <w:w w:val="99"/>
          <w:position w:val="1"/>
        </w:rPr>
        <w:t>种</w:t>
      </w:r>
      <w:r>
        <w:rPr>
          <w:spacing w:val="-264"/>
          <w:w w:val="99"/>
        </w:rPr>
        <w:t>种种</w:t>
      </w:r>
      <w:r>
        <w:rPr>
          <w:spacing w:val="-60"/>
          <w:w w:val="99"/>
        </w:rPr>
        <w:t>种</w:t>
      </w:r>
      <w:r>
        <w:rPr>
          <w:spacing w:val="-267"/>
          <w:w w:val="99"/>
          <w:position w:val="1"/>
        </w:rPr>
        <w:t>重</w:t>
      </w:r>
      <w:r>
        <w:rPr>
          <w:spacing w:val="-264"/>
          <w:w w:val="99"/>
        </w:rPr>
        <w:t>重重</w:t>
      </w:r>
      <w:r>
        <w:rPr>
          <w:spacing w:val="-164"/>
          <w:w w:val="99"/>
        </w:rPr>
        <w:t>重大</w:t>
      </w:r>
      <w:r>
        <w:rPr>
          <w:spacing w:val="-263"/>
          <w:w w:val="99"/>
          <w:position w:val="1"/>
        </w:rPr>
        <w:t>大</w:t>
      </w:r>
      <w:r>
        <w:rPr>
          <w:spacing w:val="-163"/>
          <w:w w:val="99"/>
        </w:rPr>
        <w:t>大大</w:t>
      </w:r>
      <w:r>
        <w:rPr>
          <w:spacing w:val="-267"/>
          <w:w w:val="99"/>
          <w:position w:val="1"/>
        </w:rPr>
        <w:t>疾</w:t>
      </w:r>
      <w:r>
        <w:rPr>
          <w:spacing w:val="-264"/>
          <w:w w:val="99"/>
        </w:rPr>
        <w:t>疾疾</w:t>
      </w:r>
      <w:r>
        <w:rPr>
          <w:spacing w:val="-60"/>
          <w:w w:val="99"/>
        </w:rPr>
        <w:t>疾</w:t>
      </w:r>
      <w:r>
        <w:rPr>
          <w:spacing w:val="-267"/>
          <w:w w:val="99"/>
          <w:position w:val="1"/>
        </w:rPr>
        <w:t>病</w:t>
      </w:r>
      <w:r>
        <w:rPr>
          <w:spacing w:val="-264"/>
          <w:w w:val="99"/>
        </w:rPr>
        <w:t>病病</w:t>
      </w:r>
      <w:r>
        <w:rPr>
          <w:spacing w:val="-62"/>
          <w:w w:val="99"/>
        </w:rPr>
        <w:t>病</w:t>
      </w:r>
      <w:r>
        <w:rPr>
          <w:spacing w:val="-42"/>
          <w:w w:val="99"/>
        </w:rPr>
        <w:t>（</w:t>
      </w:r>
      <w:r>
        <w:rPr>
          <w:w w:val="99"/>
        </w:rPr>
        <w:t>见释义</w:t>
      </w:r>
      <w:r>
        <w:rPr/>
        <w:t> </w:t>
      </w:r>
      <w:r>
        <w:rPr>
          <w:w w:val="93"/>
        </w:rPr>
        <w:t>10</w:t>
      </w:r>
      <w:r>
        <w:rPr>
          <w:spacing w:val="-1"/>
          <w:w w:val="43"/>
        </w:rPr>
        <w:t>.</w:t>
      </w:r>
      <w:r>
        <w:rPr>
          <w:spacing w:val="-9"/>
          <w:w w:val="93"/>
        </w:rPr>
        <w:t>3</w:t>
      </w:r>
      <w:r>
        <w:rPr>
          <w:spacing w:val="-42"/>
          <w:w w:val="99"/>
        </w:rPr>
        <w:t>）</w:t>
      </w:r>
      <w:r>
        <w:rPr>
          <w:w w:val="99"/>
        </w:rPr>
        <w:t>中的任何一</w:t>
      </w:r>
      <w:r>
        <w:rPr>
          <w:spacing w:val="1"/>
          <w:w w:val="99"/>
        </w:rPr>
        <w:t>    </w:t>
      </w:r>
      <w:r>
        <w:rPr>
          <w:spacing w:val="-5"/>
        </w:rPr>
        <w:t>种，我们不承担保险责任，这 </w:t>
      </w:r>
      <w:r>
        <w:rPr/>
        <w:t>90</w:t>
      </w:r>
      <w:r>
        <w:rPr>
          <w:spacing w:val="-10"/>
        </w:rPr>
        <w:t> 天为等待期。</w:t>
      </w:r>
    </w:p>
    <w:p>
      <w:pPr>
        <w:pStyle w:val="BodyText"/>
        <w:spacing w:before="107"/>
        <w:ind w:left="120"/>
        <w:jc w:val="both"/>
      </w:pPr>
      <w:r>
        <w:rPr>
          <w:w w:val="95"/>
        </w:rPr>
        <w:t>我们承担的保险责任自本附加险合同约定的等待期后开始。</w:t>
      </w:r>
    </w:p>
    <w:p>
      <w:pPr>
        <w:spacing w:after="0"/>
        <w:jc w:val="both"/>
        <w:sectPr>
          <w:pgSz w:w="11910" w:h="16840"/>
          <w:pgMar w:header="0" w:footer="1307" w:top="1460" w:bottom="1500" w:left="1680" w:right="1580"/>
        </w:sectPr>
      </w:pPr>
    </w:p>
    <w:p>
      <w:pPr>
        <w:pStyle w:val="Heading2"/>
        <w:numPr>
          <w:ilvl w:val="1"/>
          <w:numId w:val="4"/>
        </w:numPr>
        <w:tabs>
          <w:tab w:pos="703" w:val="left" w:leader="none"/>
        </w:tabs>
        <w:spacing w:line="347" w:lineRule="exact" w:before="0" w:after="0"/>
        <w:ind w:left="702" w:right="0" w:hanging="576"/>
        <w:jc w:val="both"/>
      </w:pPr>
      <w:bookmarkStart w:name="_TOC_250066" w:id="11"/>
      <w:bookmarkStart w:name="保险期间" w:id="12"/>
      <w:r>
        <w:rPr>
          <w:b w:val="0"/>
        </w:rPr>
      </w:r>
      <w:bookmarkStart w:name="我们承担的保险责任" w:id="13"/>
      <w:bookmarkEnd w:id="13"/>
      <w:r>
        <w:rPr>
          <w:b w:val="0"/>
        </w:rPr>
      </w:r>
      <w:bookmarkStart w:name="重大疾病保险金" w:id="14"/>
      <w:bookmarkEnd w:id="14"/>
      <w:r>
        <w:rPr>
          <w:b w:val="0"/>
        </w:rPr>
      </w:r>
      <w:bookmarkStart w:name="责任免除" w:id="15"/>
      <w:bookmarkEnd w:id="15"/>
      <w:r>
        <w:rPr>
          <w:b w:val="0"/>
        </w:rPr>
      </w:r>
      <w:bookmarkStart w:name="责任免除" w:id="16"/>
      <w:bookmarkEnd w:id="11"/>
      <w:r>
        <w:rPr>
          <w:w w:val="95"/>
        </w:rPr>
        <w:t>保险期间</w:t>
      </w:r>
    </w:p>
    <w:p>
      <w:pPr>
        <w:pStyle w:val="BodyText"/>
        <w:spacing w:before="13"/>
        <w:rPr>
          <w:rFonts w:ascii="Microsoft JhengHei UI"/>
          <w:b/>
          <w:sz w:val="27"/>
        </w:rPr>
      </w:pPr>
    </w:p>
    <w:p>
      <w:pPr>
        <w:pStyle w:val="BodyText"/>
        <w:ind w:left="120"/>
        <w:jc w:val="both"/>
      </w:pPr>
      <w:r>
        <w:rPr>
          <w:w w:val="95"/>
        </w:rPr>
        <w:t>本附加险合同的保险期间为被保险人终身。</w:t>
      </w:r>
    </w:p>
    <w:p>
      <w:pPr>
        <w:pStyle w:val="BodyText"/>
        <w:spacing w:before="5"/>
        <w:rPr>
          <w:sz w:val="33"/>
        </w:rPr>
      </w:pPr>
    </w:p>
    <w:p>
      <w:pPr>
        <w:pStyle w:val="Heading2"/>
        <w:numPr>
          <w:ilvl w:val="1"/>
          <w:numId w:val="4"/>
        </w:numPr>
        <w:tabs>
          <w:tab w:pos="703" w:val="left" w:leader="none"/>
        </w:tabs>
        <w:spacing w:line="240" w:lineRule="auto" w:before="1" w:after="0"/>
        <w:ind w:left="702" w:right="0" w:hanging="576"/>
        <w:jc w:val="both"/>
      </w:pPr>
      <w:bookmarkStart w:name="_TOC_250065" w:id="17"/>
      <w:bookmarkEnd w:id="17"/>
      <w:r>
        <w:rPr>
          <w:w w:val="95"/>
        </w:rPr>
        <w:t>我们承担的保险责任</w:t>
      </w:r>
    </w:p>
    <w:p>
      <w:pPr>
        <w:pStyle w:val="BodyText"/>
        <w:spacing w:before="15"/>
        <w:rPr>
          <w:rFonts w:ascii="Microsoft JhengHei UI"/>
          <w:b/>
          <w:sz w:val="26"/>
        </w:rPr>
      </w:pPr>
    </w:p>
    <w:p>
      <w:pPr>
        <w:pStyle w:val="Heading2"/>
        <w:numPr>
          <w:ilvl w:val="2"/>
          <w:numId w:val="4"/>
        </w:numPr>
        <w:tabs>
          <w:tab w:pos="847" w:val="left" w:leader="none"/>
        </w:tabs>
        <w:spacing w:line="240" w:lineRule="auto" w:before="1" w:after="0"/>
        <w:ind w:left="846" w:right="0" w:hanging="720"/>
        <w:jc w:val="both"/>
      </w:pPr>
      <w:bookmarkStart w:name="_TOC_250064" w:id="18"/>
      <w:bookmarkEnd w:id="18"/>
      <w:r>
        <w:rPr>
          <w:w w:val="95"/>
        </w:rPr>
        <w:t>重大疾病保险金</w:t>
      </w:r>
    </w:p>
    <w:p>
      <w:pPr>
        <w:pStyle w:val="BodyText"/>
        <w:rPr>
          <w:rFonts w:ascii="Microsoft JhengHei UI"/>
          <w:b/>
          <w:sz w:val="20"/>
        </w:rPr>
      </w:pPr>
    </w:p>
    <w:p>
      <w:pPr>
        <w:pStyle w:val="BodyText"/>
        <w:spacing w:line="468" w:lineRule="exact"/>
        <w:ind w:left="120" w:right="110" w:firstLine="52"/>
        <w:jc w:val="both"/>
      </w:pPr>
      <w:r>
        <w:rPr/>
        <w:t>在等待期后本附加险合同的责任有效期内：被保险人经医院确诊初次发生本附加险合同所</w:t>
      </w:r>
      <w:r>
        <w:rPr>
          <w:spacing w:val="0"/>
          <w:w w:val="99"/>
        </w:rPr>
        <w:t>界定的</w:t>
      </w:r>
      <w:r>
        <w:rPr>
          <w:spacing w:val="-50"/>
        </w:rPr>
        <w:t> </w:t>
      </w:r>
      <w:r>
        <w:rPr>
          <w:w w:val="93"/>
        </w:rPr>
        <w:t>30</w:t>
      </w:r>
      <w:r>
        <w:rPr>
          <w:spacing w:val="-52"/>
        </w:rPr>
        <w:t> </w:t>
      </w:r>
      <w:r>
        <w:rPr>
          <w:w w:val="99"/>
        </w:rPr>
        <w:t>种重大疾病中的任何一种，从</w:t>
      </w:r>
      <w:r>
        <w:rPr>
          <w:rFonts w:ascii="Microsoft JhengHei UI" w:eastAsia="Microsoft JhengHei UI" w:hint="eastAsia"/>
          <w:b/>
          <w:spacing w:val="-48"/>
          <w:w w:val="99"/>
        </w:rPr>
        <w:t>本</w:t>
      </w:r>
      <w:r>
        <w:rPr>
          <w:spacing w:val="-267"/>
          <w:w w:val="99"/>
          <w:position w:val="1"/>
        </w:rPr>
        <w:t>条</w:t>
      </w:r>
      <w:r>
        <w:rPr>
          <w:spacing w:val="-264"/>
          <w:w w:val="99"/>
        </w:rPr>
        <w:t>条条</w:t>
      </w:r>
      <w:r>
        <w:rPr>
          <w:spacing w:val="-62"/>
          <w:w w:val="99"/>
        </w:rPr>
        <w:t>条</w:t>
      </w:r>
      <w:r>
        <w:rPr>
          <w:spacing w:val="-267"/>
          <w:w w:val="99"/>
          <w:position w:val="1"/>
        </w:rPr>
        <w:t>款</w:t>
      </w:r>
      <w:r>
        <w:rPr>
          <w:spacing w:val="-264"/>
          <w:w w:val="99"/>
        </w:rPr>
        <w:t>款款</w:t>
      </w:r>
      <w:r>
        <w:rPr>
          <w:spacing w:val="-62"/>
          <w:w w:val="99"/>
        </w:rPr>
        <w:t>款</w:t>
      </w:r>
      <w:r>
        <w:rPr>
          <w:spacing w:val="-267"/>
          <w:w w:val="99"/>
          <w:position w:val="1"/>
        </w:rPr>
        <w:t>约</w:t>
      </w:r>
      <w:r>
        <w:rPr>
          <w:spacing w:val="-264"/>
          <w:w w:val="99"/>
        </w:rPr>
        <w:t>约约</w:t>
      </w:r>
      <w:r>
        <w:rPr>
          <w:spacing w:val="-165"/>
          <w:w w:val="99"/>
        </w:rPr>
        <w:t>约定</w:t>
      </w:r>
      <w:r>
        <w:rPr>
          <w:spacing w:val="-263"/>
          <w:w w:val="99"/>
          <w:position w:val="1"/>
        </w:rPr>
        <w:t>定</w:t>
      </w:r>
      <w:r>
        <w:rPr>
          <w:spacing w:val="-164"/>
          <w:w w:val="99"/>
        </w:rPr>
        <w:t>定定</w:t>
      </w:r>
      <w:r>
        <w:rPr>
          <w:spacing w:val="-267"/>
          <w:w w:val="99"/>
          <w:position w:val="1"/>
        </w:rPr>
        <w:t>确</w:t>
      </w:r>
      <w:r>
        <w:rPr>
          <w:spacing w:val="-264"/>
          <w:w w:val="99"/>
        </w:rPr>
        <w:t>确确</w:t>
      </w:r>
      <w:r>
        <w:rPr>
          <w:spacing w:val="-62"/>
          <w:w w:val="99"/>
        </w:rPr>
        <w:t>确</w:t>
      </w:r>
      <w:r>
        <w:rPr>
          <w:spacing w:val="-267"/>
          <w:w w:val="99"/>
          <w:position w:val="1"/>
        </w:rPr>
        <w:t>诊</w:t>
      </w:r>
      <w:r>
        <w:rPr>
          <w:spacing w:val="-264"/>
          <w:w w:val="99"/>
        </w:rPr>
        <w:t>诊诊</w:t>
      </w:r>
      <w:r>
        <w:rPr>
          <w:spacing w:val="-62"/>
          <w:w w:val="99"/>
        </w:rPr>
        <w:t>诊</w:t>
      </w:r>
      <w:r>
        <w:rPr>
          <w:spacing w:val="-267"/>
          <w:w w:val="99"/>
          <w:position w:val="1"/>
        </w:rPr>
        <w:t>日</w:t>
      </w:r>
      <w:r>
        <w:rPr>
          <w:spacing w:val="-264"/>
          <w:w w:val="99"/>
        </w:rPr>
        <w:t>日日</w:t>
      </w:r>
      <w:r>
        <w:rPr>
          <w:spacing w:val="-39"/>
          <w:w w:val="99"/>
        </w:rPr>
        <w:t>日</w:t>
      </w:r>
      <w:r>
        <w:rPr>
          <w:spacing w:val="1"/>
          <w:w w:val="99"/>
        </w:rPr>
        <w:t>（</w:t>
      </w:r>
      <w:r>
        <w:rPr>
          <w:spacing w:val="0"/>
          <w:w w:val="99"/>
        </w:rPr>
        <w:t>见释义</w:t>
      </w:r>
      <w:r>
        <w:rPr>
          <w:spacing w:val="-50"/>
        </w:rPr>
        <w:t> </w:t>
      </w:r>
      <w:r>
        <w:rPr>
          <w:w w:val="93"/>
        </w:rPr>
        <w:t>10</w:t>
      </w:r>
      <w:r>
        <w:rPr>
          <w:spacing w:val="1"/>
          <w:w w:val="43"/>
        </w:rPr>
        <w:t>.</w:t>
      </w:r>
      <w:r>
        <w:rPr>
          <w:w w:val="93"/>
        </w:rPr>
        <w:t>4</w:t>
      </w:r>
      <w:r>
        <w:rPr>
          <w:spacing w:val="1"/>
          <w:w w:val="99"/>
        </w:rPr>
        <w:t>）</w:t>
      </w:r>
      <w:r>
        <w:rPr>
          <w:spacing w:val="0"/>
          <w:w w:val="99"/>
        </w:rPr>
        <w:t>起我们将本附加</w:t>
      </w:r>
      <w:r>
        <w:rPr>
          <w:spacing w:val="1"/>
          <w:w w:val="99"/>
        </w:rPr>
        <w:t>   </w:t>
      </w:r>
      <w:r>
        <w:rPr>
          <w:spacing w:val="-3"/>
        </w:rPr>
        <w:t>险所附主险合同身故保险金作为重大疾病保险金提前一次性给付予被保险人，同时本附加险</w:t>
      </w:r>
      <w:r>
        <w:rPr>
          <w:spacing w:val="-3"/>
          <w:w w:val="95"/>
        </w:rPr>
        <w:t>合同与所附主险合同终止。</w:t>
      </w:r>
    </w:p>
    <w:p>
      <w:pPr>
        <w:pStyle w:val="BodyText"/>
        <w:spacing w:before="6"/>
        <w:rPr>
          <w:sz w:val="28"/>
        </w:rPr>
      </w:pPr>
    </w:p>
    <w:p>
      <w:pPr>
        <w:pStyle w:val="Heading2"/>
        <w:numPr>
          <w:ilvl w:val="1"/>
          <w:numId w:val="5"/>
        </w:numPr>
        <w:tabs>
          <w:tab w:pos="702" w:val="left" w:leader="none"/>
          <w:tab w:pos="703" w:val="left" w:leader="none"/>
        </w:tabs>
        <w:spacing w:line="240" w:lineRule="auto" w:before="1" w:after="0"/>
        <w:ind w:left="702" w:right="0" w:hanging="576"/>
        <w:jc w:val="left"/>
      </w:pPr>
      <w:bookmarkStart w:name="_TOC_250063" w:id="19"/>
      <w:bookmarkEnd w:id="19"/>
      <w:r>
        <w:rPr>
          <w:w w:val="95"/>
        </w:rPr>
        <w:t>责任免除</w:t>
      </w:r>
    </w:p>
    <w:p>
      <w:pPr>
        <w:pStyle w:val="BodyText"/>
        <w:spacing w:before="15"/>
        <w:rPr>
          <w:rFonts w:ascii="Microsoft JhengHei UI"/>
          <w:b/>
          <w:sz w:val="22"/>
        </w:rPr>
      </w:pPr>
    </w:p>
    <w:p>
      <w:pPr>
        <w:pStyle w:val="BodyText"/>
        <w:spacing w:line="400" w:lineRule="auto"/>
        <w:ind w:left="120" w:right="119"/>
      </w:pPr>
      <w:r>
        <w:rPr>
          <w:spacing w:val="-4"/>
          <w:w w:val="95"/>
        </w:rPr>
        <w:t>因下列情形之一导致被保险人发生本附加险合同所指的重大疾病，本公司不承担保险金给付   责任：</w:t>
      </w:r>
    </w:p>
    <w:p>
      <w:pPr>
        <w:pStyle w:val="Heading2"/>
        <w:numPr>
          <w:ilvl w:val="2"/>
          <w:numId w:val="5"/>
        </w:numPr>
        <w:tabs>
          <w:tab w:pos="966" w:val="left" w:leader="none"/>
          <w:tab w:pos="967" w:val="left" w:leader="none"/>
        </w:tabs>
        <w:spacing w:line="342" w:lineRule="exact" w:before="0" w:after="0"/>
        <w:ind w:left="966" w:right="0" w:hanging="420"/>
        <w:jc w:val="left"/>
      </w:pPr>
      <w:r>
        <w:rPr>
          <w:w w:val="95"/>
        </w:rPr>
        <w:t>投保人对被保险人的故意杀害、故意伤害；</w:t>
      </w:r>
    </w:p>
    <w:p>
      <w:pPr>
        <w:pStyle w:val="ListParagraph"/>
        <w:numPr>
          <w:ilvl w:val="2"/>
          <w:numId w:val="5"/>
        </w:numPr>
        <w:tabs>
          <w:tab w:pos="966" w:val="left" w:leader="none"/>
          <w:tab w:pos="967" w:val="left" w:leader="none"/>
        </w:tabs>
        <w:spacing w:line="240" w:lineRule="auto" w:before="107" w:after="0"/>
        <w:ind w:left="966" w:right="0" w:hanging="420"/>
        <w:jc w:val="left"/>
        <w:rPr>
          <w:rFonts w:ascii="Microsoft JhengHei UI" w:eastAsia="Microsoft JhengHei UI" w:hint="eastAsia"/>
          <w:b/>
          <w:sz w:val="21"/>
        </w:rPr>
      </w:pPr>
      <w:r>
        <w:rPr>
          <w:rFonts w:ascii="Microsoft JhengHei UI" w:eastAsia="Microsoft JhengHei UI" w:hint="eastAsia"/>
          <w:b/>
          <w:w w:val="95"/>
          <w:sz w:val="21"/>
        </w:rPr>
        <w:t>被保险人故意自伤、故意犯罪或抗拒依法采取的刑事强制措施；</w:t>
      </w:r>
    </w:p>
    <w:p>
      <w:pPr>
        <w:pStyle w:val="ListParagraph"/>
        <w:numPr>
          <w:ilvl w:val="2"/>
          <w:numId w:val="5"/>
        </w:numPr>
        <w:tabs>
          <w:tab w:pos="966" w:val="left" w:leader="none"/>
          <w:tab w:pos="967" w:val="left" w:leader="none"/>
        </w:tabs>
        <w:spacing w:line="240" w:lineRule="auto" w:before="109" w:after="0"/>
        <w:ind w:left="966" w:right="0" w:hanging="420"/>
        <w:jc w:val="left"/>
        <w:rPr>
          <w:rFonts w:ascii="Microsoft JhengHei UI" w:eastAsia="Microsoft JhengHei UI" w:hint="eastAsia"/>
          <w:b/>
          <w:sz w:val="21"/>
        </w:rPr>
      </w:pPr>
      <w:r>
        <w:rPr>
          <w:rFonts w:ascii="Microsoft JhengHei UI" w:eastAsia="Microsoft JhengHei UI" w:hint="eastAsia"/>
          <w:b/>
          <w:w w:val="95"/>
          <w:sz w:val="21"/>
        </w:rPr>
        <w:t>被保险人服用、吸食或注射毒品；</w:t>
      </w:r>
    </w:p>
    <w:p>
      <w:pPr>
        <w:pStyle w:val="ListParagraph"/>
        <w:numPr>
          <w:ilvl w:val="2"/>
          <w:numId w:val="5"/>
        </w:numPr>
        <w:tabs>
          <w:tab w:pos="966" w:val="left" w:leader="none"/>
          <w:tab w:pos="967" w:val="left" w:leader="none"/>
        </w:tabs>
        <w:spacing w:line="314" w:lineRule="auto" w:before="109" w:after="0"/>
        <w:ind w:left="966" w:right="120" w:hanging="420"/>
        <w:jc w:val="left"/>
        <w:rPr>
          <w:rFonts w:ascii="Microsoft JhengHei UI" w:eastAsia="Microsoft JhengHei UI" w:hint="eastAsia"/>
          <w:b/>
          <w:sz w:val="21"/>
        </w:rPr>
      </w:pPr>
      <w:r>
        <w:rPr>
          <w:rFonts w:ascii="Microsoft JhengHei UI" w:eastAsia="Microsoft JhengHei UI" w:hint="eastAsia"/>
          <w:b/>
          <w:spacing w:val="-9"/>
          <w:w w:val="95"/>
          <w:sz w:val="21"/>
        </w:rPr>
        <w:t>被保险人酒后驾驶、无</w:t>
      </w:r>
      <w:r>
        <w:rPr>
          <w:spacing w:val="-105"/>
          <w:w w:val="95"/>
          <w:position w:val="1"/>
          <w:sz w:val="21"/>
        </w:rPr>
        <w:t>合法</w:t>
      </w:r>
      <w:r>
        <w:rPr>
          <w:spacing w:val="-81"/>
          <w:w w:val="95"/>
          <w:sz w:val="21"/>
        </w:rPr>
        <w:t>合法合法合法</w:t>
      </w:r>
      <w:r>
        <w:rPr>
          <w:spacing w:val="-105"/>
          <w:w w:val="95"/>
          <w:position w:val="1"/>
          <w:sz w:val="21"/>
        </w:rPr>
        <w:t>有效</w:t>
      </w:r>
      <w:r>
        <w:rPr>
          <w:spacing w:val="-81"/>
          <w:w w:val="95"/>
          <w:sz w:val="21"/>
        </w:rPr>
        <w:t>有效有效有效</w:t>
      </w:r>
      <w:r>
        <w:rPr>
          <w:spacing w:val="-105"/>
          <w:w w:val="95"/>
          <w:position w:val="1"/>
          <w:sz w:val="21"/>
        </w:rPr>
        <w:t>驾驶</w:t>
      </w:r>
      <w:r>
        <w:rPr>
          <w:spacing w:val="-81"/>
          <w:w w:val="95"/>
          <w:sz w:val="21"/>
        </w:rPr>
        <w:t>驾驶驾驶驾驶</w:t>
      </w:r>
      <w:r>
        <w:rPr>
          <w:spacing w:val="-105"/>
          <w:w w:val="95"/>
          <w:position w:val="1"/>
          <w:sz w:val="21"/>
        </w:rPr>
        <w:t>证驾</w:t>
      </w:r>
      <w:r>
        <w:rPr>
          <w:spacing w:val="-81"/>
          <w:w w:val="95"/>
          <w:sz w:val="21"/>
        </w:rPr>
        <w:t>证驾证驾证驾</w:t>
      </w:r>
      <w:r>
        <w:rPr>
          <w:spacing w:val="-209"/>
          <w:w w:val="95"/>
          <w:position w:val="1"/>
          <w:sz w:val="21"/>
        </w:rPr>
        <w:t>驶</w:t>
      </w:r>
      <w:r>
        <w:rPr>
          <w:spacing w:val="-209"/>
          <w:w w:val="95"/>
          <w:sz w:val="21"/>
        </w:rPr>
        <w:t>驶驶</w:t>
      </w:r>
      <w:r>
        <w:rPr>
          <w:spacing w:val="-41"/>
          <w:w w:val="95"/>
          <w:sz w:val="21"/>
        </w:rPr>
        <w:t>驶</w:t>
      </w:r>
      <w:r>
        <w:rPr>
          <w:spacing w:val="-46"/>
          <w:w w:val="95"/>
          <w:position w:val="1"/>
          <w:sz w:val="21"/>
        </w:rPr>
        <w:t>(</w:t>
      </w:r>
      <w:r>
        <w:rPr>
          <w:spacing w:val="-46"/>
          <w:w w:val="95"/>
          <w:sz w:val="21"/>
        </w:rPr>
        <w:t>(((</w:t>
      </w:r>
      <w:r>
        <w:rPr>
          <w:spacing w:val="-209"/>
          <w:w w:val="95"/>
          <w:position w:val="1"/>
          <w:sz w:val="21"/>
        </w:rPr>
        <w:t>见</w:t>
      </w:r>
      <w:r>
        <w:rPr>
          <w:spacing w:val="-206"/>
          <w:w w:val="95"/>
          <w:sz w:val="21"/>
        </w:rPr>
        <w:t>见见</w:t>
      </w:r>
      <w:r>
        <w:rPr>
          <w:spacing w:val="-4"/>
          <w:w w:val="95"/>
          <w:sz w:val="21"/>
        </w:rPr>
        <w:t>见</w:t>
      </w:r>
      <w:r>
        <w:rPr>
          <w:spacing w:val="-105"/>
          <w:w w:val="95"/>
          <w:position w:val="1"/>
          <w:sz w:val="21"/>
        </w:rPr>
        <w:t>释义</w:t>
      </w:r>
      <w:r>
        <w:rPr>
          <w:spacing w:val="-70"/>
          <w:w w:val="95"/>
          <w:sz w:val="21"/>
        </w:rPr>
        <w:t>释义释义释义</w:t>
      </w:r>
      <w:r>
        <w:rPr>
          <w:spacing w:val="-124"/>
          <w:w w:val="93"/>
          <w:position w:val="1"/>
          <w:sz w:val="21"/>
        </w:rPr>
        <w:t>1</w:t>
      </w:r>
      <w:r>
        <w:rPr>
          <w:spacing w:val="-120"/>
          <w:w w:val="93"/>
          <w:sz w:val="21"/>
        </w:rPr>
        <w:t>1</w:t>
      </w:r>
      <w:r>
        <w:rPr>
          <w:spacing w:val="-123"/>
          <w:w w:val="93"/>
          <w:sz w:val="21"/>
        </w:rPr>
        <w:t>1</w:t>
      </w:r>
      <w:r>
        <w:rPr>
          <w:spacing w:val="-30"/>
          <w:w w:val="93"/>
          <w:sz w:val="21"/>
        </w:rPr>
        <w:t>1</w:t>
      </w:r>
      <w:r>
        <w:rPr>
          <w:spacing w:val="-124"/>
          <w:w w:val="93"/>
          <w:position w:val="1"/>
          <w:sz w:val="21"/>
        </w:rPr>
        <w:t>0</w:t>
      </w:r>
      <w:r>
        <w:rPr>
          <w:spacing w:val="-120"/>
          <w:w w:val="93"/>
          <w:sz w:val="21"/>
        </w:rPr>
        <w:t>0</w:t>
      </w:r>
      <w:r>
        <w:rPr>
          <w:spacing w:val="-123"/>
          <w:w w:val="93"/>
          <w:sz w:val="21"/>
        </w:rPr>
        <w:t>0</w:t>
      </w:r>
      <w:r>
        <w:rPr>
          <w:spacing w:val="-32"/>
          <w:w w:val="93"/>
          <w:sz w:val="21"/>
        </w:rPr>
        <w:t>0</w:t>
      </w:r>
      <w:r>
        <w:rPr>
          <w:spacing w:val="-72"/>
          <w:w w:val="43"/>
          <w:position w:val="1"/>
          <w:sz w:val="21"/>
        </w:rPr>
        <w:t>.</w:t>
      </w:r>
      <w:r>
        <w:rPr>
          <w:spacing w:val="-56"/>
          <w:w w:val="43"/>
          <w:sz w:val="21"/>
        </w:rPr>
        <w:t>...</w:t>
      </w:r>
      <w:r>
        <w:rPr>
          <w:spacing w:val="-124"/>
          <w:w w:val="93"/>
          <w:position w:val="1"/>
          <w:sz w:val="21"/>
        </w:rPr>
        <w:t>5</w:t>
      </w:r>
      <w:r>
        <w:rPr>
          <w:spacing w:val="-120"/>
          <w:w w:val="93"/>
          <w:sz w:val="21"/>
        </w:rPr>
        <w:t>5</w:t>
      </w:r>
      <w:r>
        <w:rPr>
          <w:spacing w:val="-123"/>
          <w:w w:val="93"/>
          <w:sz w:val="21"/>
        </w:rPr>
        <w:t>5</w:t>
      </w:r>
      <w:r>
        <w:rPr>
          <w:spacing w:val="-32"/>
          <w:w w:val="93"/>
          <w:sz w:val="21"/>
        </w:rPr>
        <w:t>5</w:t>
      </w:r>
      <w:r>
        <w:rPr>
          <w:spacing w:val="-87"/>
          <w:w w:val="58"/>
          <w:position w:val="1"/>
          <w:sz w:val="21"/>
        </w:rPr>
        <w:t>)</w:t>
      </w:r>
      <w:r>
        <w:rPr>
          <w:spacing w:val="-67"/>
          <w:w w:val="58"/>
          <w:sz w:val="21"/>
        </w:rPr>
        <w:t>)))</w:t>
      </w:r>
      <w:r>
        <w:rPr>
          <w:spacing w:val="-235"/>
          <w:w w:val="99"/>
          <w:position w:val="1"/>
          <w:sz w:val="21"/>
        </w:rPr>
        <w:t>，</w:t>
      </w:r>
      <w:r>
        <w:rPr>
          <w:spacing w:val="-232"/>
          <w:w w:val="99"/>
          <w:sz w:val="21"/>
        </w:rPr>
        <w:t>，，</w:t>
      </w:r>
      <w:r>
        <w:rPr>
          <w:spacing w:val="-38"/>
          <w:w w:val="99"/>
          <w:sz w:val="21"/>
        </w:rPr>
        <w:t>，</w:t>
      </w:r>
      <w:r>
        <w:rPr>
          <w:spacing w:val="-209"/>
          <w:w w:val="99"/>
          <w:position w:val="1"/>
          <w:sz w:val="21"/>
        </w:rPr>
        <w:t>及</w:t>
      </w:r>
      <w:r>
        <w:rPr>
          <w:spacing w:val="-206"/>
          <w:w w:val="99"/>
          <w:sz w:val="21"/>
        </w:rPr>
        <w:t>及及</w:t>
      </w:r>
      <w:r>
        <w:rPr>
          <w:spacing w:val="-4"/>
          <w:w w:val="99"/>
          <w:sz w:val="21"/>
        </w:rPr>
        <w:t>及</w:t>
      </w:r>
      <w:r>
        <w:rPr>
          <w:w w:val="99"/>
          <w:position w:val="1"/>
          <w:sz w:val="21"/>
        </w:rPr>
        <w:t>驾</w:t>
      </w:r>
      <w:r>
        <w:rPr>
          <w:spacing w:val="-418"/>
          <w:w w:val="99"/>
          <w:position w:val="1"/>
          <w:sz w:val="21"/>
        </w:rPr>
        <w:t>驶</w:t>
      </w:r>
      <w:r>
        <w:rPr>
          <w:w w:val="99"/>
          <w:sz w:val="21"/>
        </w:rPr>
        <w:t>驾</w:t>
      </w:r>
      <w:r>
        <w:rPr>
          <w:spacing w:val="-414"/>
          <w:w w:val="99"/>
          <w:sz w:val="21"/>
        </w:rPr>
        <w:t>驶</w:t>
      </w:r>
      <w:r>
        <w:rPr>
          <w:w w:val="99"/>
          <w:sz w:val="21"/>
        </w:rPr>
        <w:t>驾</w:t>
      </w:r>
      <w:r>
        <w:rPr>
          <w:spacing w:val="-416"/>
          <w:w w:val="99"/>
          <w:sz w:val="21"/>
        </w:rPr>
        <w:t>驶</w:t>
      </w:r>
      <w:r>
        <w:rPr>
          <w:spacing w:val="-2"/>
          <w:w w:val="99"/>
          <w:sz w:val="21"/>
        </w:rPr>
        <w:t>驾驶</w:t>
      </w:r>
      <w:r>
        <w:rPr>
          <w:w w:val="99"/>
          <w:position w:val="1"/>
          <w:sz w:val="21"/>
        </w:rPr>
        <w:t>无</w:t>
      </w:r>
      <w:r>
        <w:rPr>
          <w:spacing w:val="-418"/>
          <w:w w:val="99"/>
          <w:position w:val="1"/>
          <w:sz w:val="21"/>
        </w:rPr>
        <w:t>有</w:t>
      </w:r>
      <w:r>
        <w:rPr>
          <w:w w:val="99"/>
          <w:sz w:val="21"/>
        </w:rPr>
        <w:t>无</w:t>
      </w:r>
      <w:r>
        <w:rPr>
          <w:spacing w:val="-414"/>
          <w:w w:val="99"/>
          <w:sz w:val="21"/>
        </w:rPr>
        <w:t>有</w:t>
      </w:r>
      <w:r>
        <w:rPr>
          <w:w w:val="99"/>
          <w:sz w:val="21"/>
        </w:rPr>
        <w:t>无</w:t>
      </w:r>
      <w:r>
        <w:rPr>
          <w:spacing w:val="-416"/>
          <w:w w:val="99"/>
          <w:sz w:val="21"/>
        </w:rPr>
        <w:t>有</w:t>
      </w:r>
      <w:r>
        <w:rPr>
          <w:spacing w:val="-2"/>
          <w:w w:val="99"/>
          <w:sz w:val="21"/>
        </w:rPr>
        <w:t>无有</w:t>
      </w:r>
      <w:r>
        <w:rPr>
          <w:w w:val="99"/>
          <w:position w:val="1"/>
          <w:sz w:val="21"/>
        </w:rPr>
        <w:t>效</w:t>
      </w:r>
      <w:r>
        <w:rPr>
          <w:spacing w:val="-418"/>
          <w:w w:val="99"/>
          <w:position w:val="1"/>
          <w:sz w:val="21"/>
        </w:rPr>
        <w:t>行</w:t>
      </w:r>
      <w:r>
        <w:rPr>
          <w:w w:val="99"/>
          <w:sz w:val="21"/>
        </w:rPr>
        <w:t>效</w:t>
      </w:r>
      <w:r>
        <w:rPr>
          <w:spacing w:val="-414"/>
          <w:w w:val="99"/>
          <w:sz w:val="21"/>
        </w:rPr>
        <w:t>行</w:t>
      </w:r>
      <w:r>
        <w:rPr>
          <w:w w:val="99"/>
          <w:sz w:val="21"/>
        </w:rPr>
        <w:t>效</w:t>
      </w:r>
      <w:r>
        <w:rPr>
          <w:spacing w:val="-416"/>
          <w:w w:val="99"/>
          <w:sz w:val="21"/>
        </w:rPr>
        <w:t>行</w:t>
      </w:r>
      <w:r>
        <w:rPr>
          <w:spacing w:val="-2"/>
          <w:w w:val="99"/>
          <w:sz w:val="21"/>
        </w:rPr>
        <w:t>效行</w:t>
      </w:r>
      <w:r>
        <w:rPr>
          <w:w w:val="99"/>
          <w:position w:val="1"/>
          <w:sz w:val="21"/>
        </w:rPr>
        <w:t>驶</w:t>
      </w:r>
      <w:r>
        <w:rPr>
          <w:spacing w:val="-418"/>
          <w:w w:val="99"/>
          <w:position w:val="1"/>
          <w:sz w:val="21"/>
        </w:rPr>
        <w:t>证</w:t>
      </w:r>
      <w:r>
        <w:rPr>
          <w:w w:val="99"/>
          <w:sz w:val="21"/>
        </w:rPr>
        <w:t>驶</w:t>
      </w:r>
      <w:r>
        <w:rPr>
          <w:spacing w:val="-414"/>
          <w:w w:val="99"/>
          <w:sz w:val="21"/>
        </w:rPr>
        <w:t>证</w:t>
      </w:r>
      <w:r>
        <w:rPr>
          <w:w w:val="99"/>
          <w:sz w:val="21"/>
        </w:rPr>
        <w:t>驶</w:t>
      </w:r>
      <w:r>
        <w:rPr>
          <w:spacing w:val="-416"/>
          <w:w w:val="99"/>
          <w:sz w:val="21"/>
        </w:rPr>
        <w:t>证</w:t>
      </w:r>
      <w:r>
        <w:rPr>
          <w:spacing w:val="-2"/>
          <w:w w:val="99"/>
          <w:sz w:val="21"/>
        </w:rPr>
        <w:t>驶证</w:t>
      </w:r>
      <w:r>
        <w:rPr>
          <w:spacing w:val="-209"/>
          <w:w w:val="99"/>
          <w:position w:val="1"/>
          <w:sz w:val="21"/>
        </w:rPr>
        <w:t>的</w:t>
      </w:r>
      <w:r>
        <w:rPr>
          <w:spacing w:val="-206"/>
          <w:w w:val="99"/>
          <w:sz w:val="21"/>
        </w:rPr>
        <w:t>的的</w:t>
      </w:r>
      <w:r>
        <w:rPr>
          <w:w w:val="99"/>
          <w:sz w:val="21"/>
        </w:rPr>
        <w:t>的</w:t>
      </w:r>
      <w:r>
        <w:rPr>
          <w:rFonts w:ascii="Microsoft JhengHei UI" w:eastAsia="Microsoft JhengHei UI" w:hint="eastAsia"/>
          <w:b/>
          <w:w w:val="99"/>
          <w:sz w:val="21"/>
        </w:rPr>
        <w:t>机动车；</w:t>
      </w:r>
    </w:p>
    <w:p>
      <w:pPr>
        <w:pStyle w:val="ListParagraph"/>
        <w:numPr>
          <w:ilvl w:val="2"/>
          <w:numId w:val="5"/>
        </w:numPr>
        <w:tabs>
          <w:tab w:pos="966" w:val="left" w:leader="none"/>
          <w:tab w:pos="967" w:val="left" w:leader="none"/>
        </w:tabs>
        <w:spacing w:line="240" w:lineRule="auto" w:before="26" w:after="0"/>
        <w:ind w:left="966" w:right="0" w:hanging="420"/>
        <w:jc w:val="left"/>
        <w:rPr>
          <w:sz w:val="21"/>
        </w:rPr>
      </w:pPr>
      <w:r>
        <w:rPr>
          <w:rFonts w:ascii="Microsoft JhengHei UI" w:eastAsia="Microsoft JhengHei UI" w:hint="eastAsia"/>
          <w:b/>
          <w:spacing w:val="-13"/>
          <w:w w:val="99"/>
          <w:sz w:val="21"/>
        </w:rPr>
        <w:t>被保险人患艾</w:t>
      </w:r>
      <w:r>
        <w:rPr>
          <w:w w:val="99"/>
          <w:position w:val="1"/>
          <w:sz w:val="21"/>
        </w:rPr>
        <w:t>滋</w:t>
      </w:r>
      <w:r>
        <w:rPr>
          <w:spacing w:val="-476"/>
          <w:w w:val="99"/>
          <w:position w:val="1"/>
          <w:sz w:val="21"/>
        </w:rPr>
        <w:t>病</w:t>
      </w:r>
      <w:r>
        <w:rPr>
          <w:w w:val="99"/>
          <w:sz w:val="21"/>
        </w:rPr>
        <w:t>滋</w:t>
      </w:r>
      <w:r>
        <w:rPr>
          <w:spacing w:val="-471"/>
          <w:w w:val="99"/>
          <w:sz w:val="21"/>
        </w:rPr>
        <w:t>病</w:t>
      </w:r>
      <w:r>
        <w:rPr>
          <w:w w:val="99"/>
          <w:sz w:val="21"/>
        </w:rPr>
        <w:t>滋</w:t>
      </w:r>
      <w:r>
        <w:rPr>
          <w:spacing w:val="-474"/>
          <w:w w:val="99"/>
          <w:sz w:val="21"/>
        </w:rPr>
        <w:t>病</w:t>
      </w:r>
      <w:r>
        <w:rPr>
          <w:spacing w:val="-24"/>
          <w:w w:val="99"/>
          <w:sz w:val="21"/>
        </w:rPr>
        <w:t>滋病</w:t>
      </w:r>
      <w:r>
        <w:rPr>
          <w:spacing w:val="-61"/>
          <w:w w:val="58"/>
          <w:position w:val="1"/>
          <w:sz w:val="21"/>
        </w:rPr>
        <w:t>(</w:t>
      </w:r>
      <w:r>
        <w:rPr>
          <w:spacing w:val="-41"/>
          <w:w w:val="58"/>
          <w:sz w:val="21"/>
        </w:rPr>
        <w:t>(((</w:t>
      </w:r>
      <w:r>
        <w:rPr>
          <w:spacing w:val="-209"/>
          <w:w w:val="99"/>
          <w:position w:val="1"/>
          <w:sz w:val="21"/>
        </w:rPr>
        <w:t>见</w:t>
      </w:r>
      <w:r>
        <w:rPr>
          <w:spacing w:val="-206"/>
          <w:w w:val="99"/>
          <w:sz w:val="21"/>
        </w:rPr>
        <w:t>见见</w:t>
      </w:r>
      <w:r>
        <w:rPr>
          <w:spacing w:val="-4"/>
          <w:w w:val="99"/>
          <w:sz w:val="21"/>
        </w:rPr>
        <w:t>见</w:t>
      </w:r>
      <w:r>
        <w:rPr>
          <w:w w:val="99"/>
          <w:position w:val="1"/>
          <w:sz w:val="21"/>
        </w:rPr>
        <w:t>释</w:t>
      </w:r>
      <w:r>
        <w:rPr>
          <w:spacing w:val="-418"/>
          <w:w w:val="99"/>
          <w:position w:val="1"/>
          <w:sz w:val="21"/>
        </w:rPr>
        <w:t>义</w:t>
      </w:r>
      <w:r>
        <w:rPr>
          <w:w w:val="99"/>
          <w:sz w:val="21"/>
        </w:rPr>
        <w:t>释</w:t>
      </w:r>
      <w:r>
        <w:rPr>
          <w:spacing w:val="-414"/>
          <w:w w:val="99"/>
          <w:sz w:val="21"/>
        </w:rPr>
        <w:t>义</w:t>
      </w:r>
      <w:r>
        <w:rPr>
          <w:w w:val="99"/>
          <w:sz w:val="21"/>
        </w:rPr>
        <w:t>释</w:t>
      </w:r>
      <w:r>
        <w:rPr>
          <w:spacing w:val="-416"/>
          <w:w w:val="99"/>
          <w:sz w:val="21"/>
        </w:rPr>
        <w:t>义</w:t>
      </w:r>
      <w:r>
        <w:rPr>
          <w:w w:val="99"/>
          <w:sz w:val="21"/>
        </w:rPr>
        <w:t>释义</w:t>
      </w:r>
      <w:r>
        <w:rPr>
          <w:spacing w:val="-54"/>
          <w:sz w:val="21"/>
        </w:rPr>
        <w:t> </w:t>
      </w:r>
      <w:r>
        <w:rPr>
          <w:spacing w:val="-98"/>
          <w:w w:val="93"/>
          <w:position w:val="1"/>
          <w:sz w:val="21"/>
        </w:rPr>
        <w:t>1</w:t>
      </w:r>
      <w:r>
        <w:rPr>
          <w:spacing w:val="-94"/>
          <w:w w:val="93"/>
          <w:sz w:val="21"/>
        </w:rPr>
        <w:t>1</w:t>
      </w:r>
      <w:r>
        <w:rPr>
          <w:spacing w:val="-97"/>
          <w:w w:val="93"/>
          <w:sz w:val="21"/>
        </w:rPr>
        <w:t>1</w:t>
      </w:r>
      <w:r>
        <w:rPr>
          <w:spacing w:val="-4"/>
          <w:w w:val="93"/>
          <w:sz w:val="21"/>
        </w:rPr>
        <w:t>1</w:t>
      </w:r>
      <w:r>
        <w:rPr>
          <w:spacing w:val="-98"/>
          <w:w w:val="93"/>
          <w:position w:val="1"/>
          <w:sz w:val="21"/>
        </w:rPr>
        <w:t>0</w:t>
      </w:r>
      <w:r>
        <w:rPr>
          <w:spacing w:val="-94"/>
          <w:w w:val="93"/>
          <w:sz w:val="21"/>
        </w:rPr>
        <w:t>0</w:t>
      </w:r>
      <w:r>
        <w:rPr>
          <w:spacing w:val="-97"/>
          <w:w w:val="93"/>
          <w:sz w:val="21"/>
        </w:rPr>
        <w:t>0</w:t>
      </w:r>
      <w:r>
        <w:rPr>
          <w:spacing w:val="-6"/>
          <w:w w:val="93"/>
          <w:sz w:val="21"/>
        </w:rPr>
        <w:t>0</w:t>
      </w:r>
      <w:r>
        <w:rPr>
          <w:spacing w:val="-46"/>
          <w:w w:val="43"/>
          <w:position w:val="1"/>
          <w:sz w:val="21"/>
        </w:rPr>
        <w:t>.</w:t>
      </w:r>
      <w:r>
        <w:rPr>
          <w:spacing w:val="-30"/>
          <w:w w:val="43"/>
          <w:sz w:val="21"/>
        </w:rPr>
        <w:t>...</w:t>
      </w:r>
      <w:r>
        <w:rPr>
          <w:spacing w:val="-98"/>
          <w:w w:val="93"/>
          <w:position w:val="1"/>
          <w:sz w:val="21"/>
        </w:rPr>
        <w:t>6</w:t>
      </w:r>
      <w:r>
        <w:rPr>
          <w:spacing w:val="-94"/>
          <w:w w:val="93"/>
          <w:sz w:val="21"/>
        </w:rPr>
        <w:t>6</w:t>
      </w:r>
      <w:r>
        <w:rPr>
          <w:spacing w:val="-97"/>
          <w:w w:val="93"/>
          <w:sz w:val="21"/>
        </w:rPr>
        <w:t>6</w:t>
      </w:r>
      <w:r>
        <w:rPr>
          <w:spacing w:val="-6"/>
          <w:w w:val="93"/>
          <w:sz w:val="21"/>
        </w:rPr>
        <w:t>6</w:t>
      </w:r>
      <w:r>
        <w:rPr>
          <w:spacing w:val="-61"/>
          <w:w w:val="58"/>
          <w:position w:val="1"/>
          <w:sz w:val="21"/>
        </w:rPr>
        <w:t>)</w:t>
      </w:r>
      <w:r>
        <w:rPr>
          <w:spacing w:val="-42"/>
          <w:w w:val="58"/>
          <w:sz w:val="21"/>
        </w:rPr>
        <w:t>)))</w:t>
      </w:r>
      <w:r>
        <w:rPr>
          <w:spacing w:val="-209"/>
          <w:w w:val="99"/>
          <w:position w:val="1"/>
          <w:sz w:val="21"/>
        </w:rPr>
        <w:t>或</w:t>
      </w:r>
      <w:r>
        <w:rPr>
          <w:spacing w:val="-206"/>
          <w:w w:val="99"/>
          <w:sz w:val="21"/>
        </w:rPr>
        <w:t>或或</w:t>
      </w:r>
      <w:r>
        <w:rPr>
          <w:spacing w:val="-4"/>
          <w:w w:val="99"/>
          <w:sz w:val="21"/>
        </w:rPr>
        <w:t>或</w:t>
      </w:r>
      <w:r>
        <w:rPr>
          <w:w w:val="99"/>
          <w:position w:val="1"/>
          <w:sz w:val="21"/>
        </w:rPr>
        <w:t>感</w:t>
      </w:r>
      <w:r>
        <w:rPr>
          <w:spacing w:val="-418"/>
          <w:w w:val="99"/>
          <w:position w:val="1"/>
          <w:sz w:val="21"/>
        </w:rPr>
        <w:t>染</w:t>
      </w:r>
      <w:r>
        <w:rPr>
          <w:w w:val="99"/>
          <w:sz w:val="21"/>
        </w:rPr>
        <w:t>感</w:t>
      </w:r>
      <w:r>
        <w:rPr>
          <w:spacing w:val="-414"/>
          <w:w w:val="99"/>
          <w:sz w:val="21"/>
        </w:rPr>
        <w:t>染</w:t>
      </w:r>
      <w:r>
        <w:rPr>
          <w:w w:val="99"/>
          <w:sz w:val="21"/>
        </w:rPr>
        <w:t>感</w:t>
      </w:r>
      <w:r>
        <w:rPr>
          <w:spacing w:val="-416"/>
          <w:w w:val="99"/>
          <w:sz w:val="21"/>
        </w:rPr>
        <w:t>染</w:t>
      </w:r>
      <w:r>
        <w:rPr>
          <w:spacing w:val="-8"/>
          <w:w w:val="99"/>
          <w:sz w:val="21"/>
        </w:rPr>
        <w:t>感染</w:t>
      </w:r>
      <w:r>
        <w:rPr>
          <w:spacing w:val="-267"/>
          <w:w w:val="99"/>
          <w:position w:val="1"/>
          <w:sz w:val="21"/>
        </w:rPr>
        <w:t>艾</w:t>
      </w:r>
      <w:r>
        <w:rPr>
          <w:spacing w:val="-264"/>
          <w:w w:val="99"/>
          <w:sz w:val="21"/>
        </w:rPr>
        <w:t>艾艾</w:t>
      </w:r>
      <w:r>
        <w:rPr>
          <w:spacing w:val="-62"/>
          <w:w w:val="99"/>
          <w:sz w:val="21"/>
        </w:rPr>
        <w:t>艾</w:t>
      </w:r>
      <w:r>
        <w:rPr>
          <w:w w:val="99"/>
          <w:position w:val="1"/>
          <w:sz w:val="21"/>
        </w:rPr>
        <w:t>滋</w:t>
      </w:r>
      <w:r>
        <w:rPr>
          <w:spacing w:val="-476"/>
          <w:w w:val="99"/>
          <w:position w:val="1"/>
          <w:sz w:val="21"/>
        </w:rPr>
        <w:t>病</w:t>
      </w:r>
      <w:r>
        <w:rPr>
          <w:w w:val="99"/>
          <w:sz w:val="21"/>
        </w:rPr>
        <w:t>滋</w:t>
      </w:r>
      <w:r>
        <w:rPr>
          <w:spacing w:val="-471"/>
          <w:w w:val="99"/>
          <w:sz w:val="21"/>
        </w:rPr>
        <w:t>病</w:t>
      </w:r>
      <w:r>
        <w:rPr>
          <w:w w:val="99"/>
          <w:sz w:val="21"/>
        </w:rPr>
        <w:t>滋</w:t>
      </w:r>
      <w:r>
        <w:rPr>
          <w:spacing w:val="-474"/>
          <w:w w:val="99"/>
          <w:sz w:val="21"/>
        </w:rPr>
        <w:t>病</w:t>
      </w:r>
      <w:r>
        <w:rPr>
          <w:spacing w:val="-31"/>
          <w:w w:val="99"/>
          <w:sz w:val="21"/>
        </w:rPr>
        <w:t>滋病</w:t>
      </w:r>
      <w:r>
        <w:rPr>
          <w:w w:val="99"/>
          <w:position w:val="1"/>
          <w:sz w:val="21"/>
        </w:rPr>
        <w:t>病</w:t>
      </w:r>
      <w:r>
        <w:rPr>
          <w:spacing w:val="-476"/>
          <w:w w:val="99"/>
          <w:position w:val="1"/>
          <w:sz w:val="21"/>
        </w:rPr>
        <w:t>毒</w:t>
      </w:r>
      <w:r>
        <w:rPr>
          <w:w w:val="99"/>
          <w:sz w:val="21"/>
        </w:rPr>
        <w:t>病</w:t>
      </w:r>
      <w:r>
        <w:rPr>
          <w:spacing w:val="-471"/>
          <w:w w:val="99"/>
          <w:sz w:val="21"/>
        </w:rPr>
        <w:t>毒</w:t>
      </w:r>
      <w:r>
        <w:rPr>
          <w:w w:val="99"/>
          <w:sz w:val="21"/>
        </w:rPr>
        <w:t>病</w:t>
      </w:r>
      <w:r>
        <w:rPr>
          <w:spacing w:val="-474"/>
          <w:w w:val="99"/>
          <w:sz w:val="21"/>
        </w:rPr>
        <w:t>毒</w:t>
      </w:r>
      <w:r>
        <w:rPr>
          <w:spacing w:val="-23"/>
          <w:w w:val="99"/>
          <w:sz w:val="21"/>
        </w:rPr>
        <w:t>病毒</w:t>
      </w:r>
      <w:r>
        <w:rPr>
          <w:spacing w:val="-61"/>
          <w:w w:val="58"/>
          <w:position w:val="1"/>
          <w:sz w:val="21"/>
        </w:rPr>
        <w:t>(</w:t>
      </w:r>
      <w:r>
        <w:rPr>
          <w:spacing w:val="-41"/>
          <w:w w:val="58"/>
          <w:sz w:val="21"/>
        </w:rPr>
        <w:t>(((</w:t>
      </w:r>
      <w:r>
        <w:rPr>
          <w:spacing w:val="-209"/>
          <w:w w:val="99"/>
          <w:position w:val="1"/>
          <w:sz w:val="21"/>
        </w:rPr>
        <w:t>见</w:t>
      </w:r>
      <w:r>
        <w:rPr>
          <w:spacing w:val="-206"/>
          <w:w w:val="99"/>
          <w:sz w:val="21"/>
        </w:rPr>
        <w:t>见见</w:t>
      </w:r>
      <w:r>
        <w:rPr>
          <w:spacing w:val="-16"/>
          <w:w w:val="99"/>
          <w:sz w:val="21"/>
        </w:rPr>
        <w:t>见</w:t>
      </w:r>
      <w:r>
        <w:rPr>
          <w:w w:val="99"/>
          <w:position w:val="1"/>
          <w:sz w:val="21"/>
        </w:rPr>
        <w:t>释</w:t>
      </w:r>
      <w:r>
        <w:rPr>
          <w:spacing w:val="-418"/>
          <w:w w:val="99"/>
          <w:position w:val="1"/>
          <w:sz w:val="21"/>
        </w:rPr>
        <w:t>义</w:t>
      </w:r>
      <w:r>
        <w:rPr>
          <w:w w:val="99"/>
          <w:sz w:val="21"/>
        </w:rPr>
        <w:t>释</w:t>
      </w:r>
      <w:r>
        <w:rPr>
          <w:spacing w:val="-414"/>
          <w:w w:val="99"/>
          <w:sz w:val="21"/>
        </w:rPr>
        <w:t>义</w:t>
      </w:r>
      <w:r>
        <w:rPr>
          <w:w w:val="99"/>
          <w:sz w:val="21"/>
        </w:rPr>
        <w:t>释</w:t>
      </w:r>
      <w:r>
        <w:rPr>
          <w:spacing w:val="-416"/>
          <w:w w:val="99"/>
          <w:sz w:val="21"/>
        </w:rPr>
        <w:t>义</w:t>
      </w:r>
      <w:r>
        <w:rPr>
          <w:w w:val="99"/>
          <w:sz w:val="21"/>
        </w:rPr>
        <w:t>释义</w:t>
      </w:r>
      <w:r>
        <w:rPr>
          <w:spacing w:val="-57"/>
          <w:sz w:val="21"/>
        </w:rPr>
        <w:t> </w:t>
      </w:r>
      <w:r>
        <w:rPr>
          <w:spacing w:val="-98"/>
          <w:w w:val="93"/>
          <w:position w:val="1"/>
          <w:sz w:val="21"/>
        </w:rPr>
        <w:t>1</w:t>
      </w:r>
      <w:r>
        <w:rPr>
          <w:spacing w:val="-94"/>
          <w:w w:val="93"/>
          <w:sz w:val="21"/>
        </w:rPr>
        <w:t>1</w:t>
      </w:r>
      <w:r>
        <w:rPr>
          <w:spacing w:val="-97"/>
          <w:w w:val="93"/>
          <w:sz w:val="21"/>
        </w:rPr>
        <w:t>1</w:t>
      </w:r>
      <w:r>
        <w:rPr>
          <w:spacing w:val="-4"/>
          <w:w w:val="93"/>
          <w:sz w:val="21"/>
        </w:rPr>
        <w:t>1</w:t>
      </w:r>
      <w:r>
        <w:rPr>
          <w:spacing w:val="-98"/>
          <w:w w:val="93"/>
          <w:position w:val="1"/>
          <w:sz w:val="21"/>
        </w:rPr>
        <w:t>0</w:t>
      </w:r>
      <w:r>
        <w:rPr>
          <w:spacing w:val="-94"/>
          <w:w w:val="93"/>
          <w:sz w:val="21"/>
        </w:rPr>
        <w:t>0</w:t>
      </w:r>
      <w:r>
        <w:rPr>
          <w:spacing w:val="-97"/>
          <w:w w:val="93"/>
          <w:sz w:val="21"/>
        </w:rPr>
        <w:t>0</w:t>
      </w:r>
      <w:r>
        <w:rPr>
          <w:spacing w:val="-6"/>
          <w:w w:val="93"/>
          <w:sz w:val="21"/>
        </w:rPr>
        <w:t>0</w:t>
      </w:r>
      <w:r>
        <w:rPr>
          <w:spacing w:val="-46"/>
          <w:w w:val="43"/>
          <w:position w:val="1"/>
          <w:sz w:val="21"/>
        </w:rPr>
        <w:t>.</w:t>
      </w:r>
      <w:r>
        <w:rPr>
          <w:spacing w:val="-30"/>
          <w:w w:val="43"/>
          <w:sz w:val="21"/>
        </w:rPr>
        <w:t>...</w:t>
      </w:r>
      <w:r>
        <w:rPr>
          <w:spacing w:val="-98"/>
          <w:w w:val="93"/>
          <w:position w:val="1"/>
          <w:sz w:val="21"/>
        </w:rPr>
        <w:t>7</w:t>
      </w:r>
      <w:r>
        <w:rPr>
          <w:spacing w:val="-94"/>
          <w:w w:val="93"/>
          <w:sz w:val="21"/>
        </w:rPr>
        <w:t>7</w:t>
      </w:r>
      <w:r>
        <w:rPr>
          <w:spacing w:val="-97"/>
          <w:w w:val="93"/>
          <w:sz w:val="21"/>
        </w:rPr>
        <w:t>7</w:t>
      </w:r>
      <w:r>
        <w:rPr>
          <w:spacing w:val="-6"/>
          <w:w w:val="93"/>
          <w:sz w:val="21"/>
        </w:rPr>
        <w:t>7</w:t>
      </w:r>
      <w:r>
        <w:rPr>
          <w:spacing w:val="-61"/>
          <w:w w:val="58"/>
          <w:position w:val="1"/>
          <w:sz w:val="21"/>
        </w:rPr>
        <w:t>)</w:t>
      </w:r>
      <w:r>
        <w:rPr>
          <w:spacing w:val="-41"/>
          <w:w w:val="58"/>
          <w:sz w:val="21"/>
        </w:rPr>
        <w:t>)))</w:t>
      </w:r>
      <w:r>
        <w:rPr>
          <w:spacing w:val="-209"/>
          <w:w w:val="99"/>
          <w:position w:val="1"/>
          <w:sz w:val="21"/>
        </w:rPr>
        <w:t>；</w:t>
      </w:r>
      <w:r>
        <w:rPr>
          <w:spacing w:val="-206"/>
          <w:w w:val="99"/>
          <w:sz w:val="21"/>
        </w:rPr>
        <w:t>；；</w:t>
      </w:r>
      <w:r>
        <w:rPr>
          <w:w w:val="99"/>
          <w:sz w:val="21"/>
        </w:rPr>
        <w:t>；</w:t>
      </w:r>
    </w:p>
    <w:p>
      <w:pPr>
        <w:pStyle w:val="Heading2"/>
        <w:numPr>
          <w:ilvl w:val="2"/>
          <w:numId w:val="5"/>
        </w:numPr>
        <w:tabs>
          <w:tab w:pos="966" w:val="left" w:leader="none"/>
          <w:tab w:pos="967" w:val="left" w:leader="none"/>
        </w:tabs>
        <w:spacing w:line="240" w:lineRule="auto" w:before="106" w:after="0"/>
        <w:ind w:left="966" w:right="0" w:hanging="420"/>
        <w:jc w:val="left"/>
      </w:pPr>
      <w:r>
        <w:rPr>
          <w:w w:val="95"/>
        </w:rPr>
        <w:t>战争、军事冲突、暴乱或武装叛乱；</w:t>
      </w:r>
    </w:p>
    <w:p>
      <w:pPr>
        <w:pStyle w:val="ListParagraph"/>
        <w:numPr>
          <w:ilvl w:val="2"/>
          <w:numId w:val="5"/>
        </w:numPr>
        <w:tabs>
          <w:tab w:pos="966" w:val="left" w:leader="none"/>
          <w:tab w:pos="967" w:val="left" w:leader="none"/>
        </w:tabs>
        <w:spacing w:line="240" w:lineRule="auto" w:before="109" w:after="0"/>
        <w:ind w:left="966" w:right="0" w:hanging="420"/>
        <w:jc w:val="left"/>
        <w:rPr>
          <w:rFonts w:ascii="Microsoft JhengHei UI" w:eastAsia="Microsoft JhengHei UI" w:hint="eastAsia"/>
          <w:b/>
          <w:sz w:val="21"/>
        </w:rPr>
      </w:pPr>
      <w:r>
        <w:rPr>
          <w:rFonts w:ascii="Microsoft JhengHei UI" w:eastAsia="Microsoft JhengHei UI" w:hint="eastAsia"/>
          <w:b/>
          <w:w w:val="95"/>
          <w:sz w:val="21"/>
        </w:rPr>
        <w:t>核爆炸、核辐射或核污染；</w:t>
      </w:r>
    </w:p>
    <w:p>
      <w:pPr>
        <w:pStyle w:val="ListParagraph"/>
        <w:numPr>
          <w:ilvl w:val="2"/>
          <w:numId w:val="5"/>
        </w:numPr>
        <w:tabs>
          <w:tab w:pos="966" w:val="left" w:leader="none"/>
          <w:tab w:pos="967" w:val="left" w:leader="none"/>
        </w:tabs>
        <w:spacing w:line="240" w:lineRule="auto" w:before="109" w:after="0"/>
        <w:ind w:left="966" w:right="0" w:hanging="420"/>
        <w:jc w:val="left"/>
        <w:rPr>
          <w:rFonts w:ascii="Microsoft JhengHei UI" w:eastAsia="Microsoft JhengHei UI" w:hint="eastAsia"/>
          <w:b/>
          <w:sz w:val="21"/>
        </w:rPr>
      </w:pPr>
      <w:r>
        <w:rPr>
          <w:rFonts w:ascii="Microsoft JhengHei UI" w:eastAsia="Microsoft JhengHei UI" w:hint="eastAsia"/>
          <w:b/>
          <w:w w:val="95"/>
          <w:sz w:val="21"/>
        </w:rPr>
        <w:t>遗传性疾病、先天性畸形、变形或染色体异常。</w:t>
      </w:r>
    </w:p>
    <w:p>
      <w:pPr>
        <w:pStyle w:val="BodyText"/>
        <w:spacing w:before="157"/>
        <w:ind w:left="120"/>
        <w:jc w:val="both"/>
      </w:pPr>
      <w:r>
        <w:rPr>
          <w:w w:val="95"/>
        </w:rPr>
        <w:t>如果因上述情形导致被保险人发生本附加险合同所指的重大疾病，本附加险合同终止。</w:t>
      </w:r>
    </w:p>
    <w:p>
      <w:pPr>
        <w:spacing w:after="0"/>
        <w:jc w:val="both"/>
        <w:sectPr>
          <w:pgSz w:w="11910" w:h="16840"/>
          <w:pgMar w:header="0" w:footer="1307" w:top="1460" w:bottom="1500" w:left="1680" w:right="1680"/>
        </w:sectPr>
      </w:pPr>
    </w:p>
    <w:p>
      <w:pPr>
        <w:pStyle w:val="Heading2"/>
        <w:numPr>
          <w:ilvl w:val="0"/>
          <w:numId w:val="6"/>
        </w:numPr>
        <w:tabs>
          <w:tab w:pos="558" w:val="left" w:leader="none"/>
          <w:tab w:pos="559" w:val="left" w:leader="none"/>
        </w:tabs>
        <w:spacing w:line="240" w:lineRule="auto" w:before="3" w:after="0"/>
        <w:ind w:left="558" w:right="0" w:hanging="432"/>
        <w:jc w:val="left"/>
      </w:pPr>
      <w:bookmarkStart w:name="_TOC_250062" w:id="20"/>
      <w:bookmarkStart w:name="风险保险费的收取" w:id="21"/>
      <w:r>
        <w:rPr>
          <w:b w:val="0"/>
        </w:rPr>
      </w:r>
      <w:bookmarkStart w:name="风险保险费" w:id="22"/>
      <w:bookmarkEnd w:id="22"/>
      <w:r>
        <w:rPr>
          <w:b w:val="0"/>
        </w:rPr>
      </w:r>
      <w:bookmarkStart w:name="风险保险费的调整" w:id="23"/>
      <w:bookmarkEnd w:id="23"/>
      <w:r>
        <w:rPr>
          <w:b w:val="0"/>
        </w:rPr>
      </w:r>
      <w:bookmarkStart w:name="宽限期" w:id="24"/>
      <w:bookmarkEnd w:id="24"/>
      <w:r>
        <w:rPr>
          <w:b w:val="0"/>
        </w:rPr>
      </w:r>
      <w:bookmarkStart w:name="宽限期" w:id="25"/>
      <w:bookmarkEnd w:id="20"/>
      <w:r>
        <w:rPr>
          <w:w w:val="95"/>
        </w:rPr>
        <w:t>风险保险费的收取</w:t>
      </w:r>
    </w:p>
    <w:p>
      <w:pPr>
        <w:pStyle w:val="BodyText"/>
        <w:spacing w:before="7"/>
        <w:rPr>
          <w:rFonts w:ascii="Microsoft JhengHei UI"/>
          <w:b/>
          <w:sz w:val="37"/>
        </w:rPr>
      </w:pPr>
    </w:p>
    <w:p>
      <w:pPr>
        <w:pStyle w:val="Heading2"/>
        <w:numPr>
          <w:ilvl w:val="1"/>
          <w:numId w:val="6"/>
        </w:numPr>
        <w:tabs>
          <w:tab w:pos="702" w:val="left" w:leader="none"/>
          <w:tab w:pos="703" w:val="left" w:leader="none"/>
        </w:tabs>
        <w:spacing w:line="240" w:lineRule="auto" w:before="1" w:after="0"/>
        <w:ind w:left="702" w:right="0" w:hanging="576"/>
        <w:jc w:val="left"/>
      </w:pPr>
      <w:bookmarkStart w:name="_TOC_250061" w:id="26"/>
      <w:bookmarkEnd w:id="26"/>
      <w:r>
        <w:rPr>
          <w:w w:val="95"/>
        </w:rPr>
        <w:t>风险保险费</w:t>
      </w:r>
    </w:p>
    <w:p>
      <w:pPr>
        <w:pStyle w:val="BodyText"/>
        <w:spacing w:before="3"/>
        <w:rPr>
          <w:rFonts w:ascii="Microsoft JhengHei UI"/>
          <w:b/>
          <w:sz w:val="20"/>
        </w:rPr>
      </w:pPr>
    </w:p>
    <w:p>
      <w:pPr>
        <w:pStyle w:val="BodyText"/>
        <w:spacing w:line="468" w:lineRule="exact"/>
        <w:ind w:left="120" w:right="149" w:firstLine="52"/>
        <w:jc w:val="both"/>
      </w:pPr>
      <w:r>
        <w:rPr/>
        <w:t>我们对本附加险合同承担的保险责任收取相应的风险保险费，本附加险合同的风险保险费</w:t>
      </w:r>
      <w:r>
        <w:rPr>
          <w:spacing w:val="-4"/>
        </w:rPr>
        <w:t>必须随主险合同的风险保险费一起收取。每日的风险保费为年风险保险费的 </w:t>
      </w:r>
      <w:r>
        <w:rPr/>
        <w:t>1/365</w:t>
      </w:r>
      <w:r>
        <w:rPr>
          <w:spacing w:val="-3"/>
        </w:rPr>
        <w:t>。本附加</w:t>
      </w:r>
      <w:r>
        <w:rPr>
          <w:spacing w:val="-7"/>
          <w:w w:val="99"/>
        </w:rPr>
        <w:t>险合同年风险保险费根据被保险人的年龄、性别、风险程度及</w:t>
      </w:r>
      <w:r>
        <w:rPr>
          <w:rFonts w:ascii="Microsoft JhengHei UI" w:eastAsia="Microsoft JhengHei UI" w:hint="eastAsia"/>
          <w:b/>
          <w:spacing w:val="-48"/>
          <w:w w:val="99"/>
        </w:rPr>
        <w:t>危</w:t>
      </w:r>
      <w:r>
        <w:rPr>
          <w:spacing w:val="-267"/>
          <w:w w:val="99"/>
          <w:position w:val="1"/>
        </w:rPr>
        <w:t>险</w:t>
      </w:r>
      <w:r>
        <w:rPr>
          <w:spacing w:val="-264"/>
          <w:w w:val="99"/>
        </w:rPr>
        <w:t>险险</w:t>
      </w:r>
      <w:r>
        <w:rPr>
          <w:spacing w:val="-62"/>
          <w:w w:val="99"/>
        </w:rPr>
        <w:t>险</w:t>
      </w:r>
      <w:r>
        <w:rPr>
          <w:spacing w:val="-267"/>
          <w:w w:val="99"/>
          <w:position w:val="1"/>
        </w:rPr>
        <w:t>保</w:t>
      </w:r>
      <w:r>
        <w:rPr>
          <w:spacing w:val="-264"/>
          <w:w w:val="99"/>
        </w:rPr>
        <w:t>保保</w:t>
      </w:r>
      <w:r>
        <w:rPr>
          <w:spacing w:val="-62"/>
          <w:w w:val="99"/>
        </w:rPr>
        <w:t>保</w:t>
      </w:r>
      <w:r>
        <w:rPr>
          <w:spacing w:val="-267"/>
          <w:w w:val="99"/>
          <w:position w:val="1"/>
        </w:rPr>
        <w:t>额</w:t>
      </w:r>
      <w:r>
        <w:rPr>
          <w:spacing w:val="-264"/>
          <w:w w:val="99"/>
        </w:rPr>
        <w:t>额额</w:t>
      </w:r>
      <w:r>
        <w:rPr>
          <w:spacing w:val="-91"/>
          <w:w w:val="99"/>
        </w:rPr>
        <w:t>额</w:t>
      </w:r>
      <w:r>
        <w:rPr>
          <w:spacing w:val="1"/>
          <w:w w:val="99"/>
        </w:rPr>
        <w:t>（</w:t>
      </w:r>
      <w:r>
        <w:rPr>
          <w:w w:val="99"/>
        </w:rPr>
        <w:t>见释义</w:t>
      </w:r>
      <w:r>
        <w:rPr>
          <w:spacing w:val="-53"/>
        </w:rPr>
        <w:t> </w:t>
      </w:r>
      <w:r>
        <w:rPr>
          <w:w w:val="93"/>
        </w:rPr>
        <w:t>10</w:t>
      </w:r>
      <w:r>
        <w:rPr>
          <w:spacing w:val="-1"/>
          <w:w w:val="43"/>
        </w:rPr>
        <w:t>.</w:t>
      </w:r>
      <w:r>
        <w:rPr>
          <w:spacing w:val="1"/>
          <w:w w:val="93"/>
        </w:rPr>
        <w:t>8</w:t>
      </w:r>
      <w:r>
        <w:rPr>
          <w:spacing w:val="-44"/>
          <w:w w:val="99"/>
        </w:rPr>
        <w:t>）</w:t>
      </w:r>
      <w:r>
        <w:rPr>
          <w:w w:val="99"/>
        </w:rPr>
        <w:t>决定</w:t>
      </w:r>
      <w:r>
        <w:rPr>
          <w:w w:val="49"/>
        </w:rPr>
        <w:t>。</w:t>
      </w:r>
      <w:r>
        <w:rPr>
          <w:w w:val="99"/>
        </w:rPr>
        <w:t> </w:t>
      </w:r>
      <w:r>
        <w:rPr>
          <w:spacing w:val="-6"/>
        </w:rPr>
        <w:t>每千元危险保额的年风险保险费见附表。如果根据被保险人的风险程度需要增加年风险保险</w:t>
      </w:r>
      <w:r>
        <w:rPr>
          <w:spacing w:val="-6"/>
          <w:w w:val="95"/>
        </w:rPr>
        <w:t>费的，将会在保单上批注。</w:t>
      </w:r>
    </w:p>
    <w:p>
      <w:pPr>
        <w:pStyle w:val="BodyText"/>
        <w:spacing w:line="408" w:lineRule="auto" w:before="129"/>
        <w:ind w:left="120" w:right="157"/>
        <w:jc w:val="both"/>
      </w:pPr>
      <w:r>
        <w:rPr>
          <w:spacing w:val="-8"/>
          <w:w w:val="95"/>
        </w:rPr>
        <w:t>在每月结算日零时，我们按照该月的实际天数收取本附加险的风险保险费。如果有欠交的保   </w:t>
      </w:r>
      <w:r>
        <w:rPr>
          <w:spacing w:val="-11"/>
        </w:rPr>
        <w:t>险费，我们也同时收取。我们每月收取风险保险费后，主险合同的账户价值按收取的风险保</w:t>
      </w:r>
      <w:r>
        <w:rPr>
          <w:spacing w:val="-11"/>
          <w:w w:val="95"/>
        </w:rPr>
        <w:t>险费等额减少。</w:t>
      </w:r>
    </w:p>
    <w:p>
      <w:pPr>
        <w:pStyle w:val="BodyText"/>
        <w:rPr>
          <w:sz w:val="22"/>
        </w:rPr>
      </w:pPr>
    </w:p>
    <w:p>
      <w:pPr>
        <w:pStyle w:val="Heading2"/>
        <w:numPr>
          <w:ilvl w:val="1"/>
          <w:numId w:val="6"/>
        </w:numPr>
        <w:tabs>
          <w:tab w:pos="702" w:val="left" w:leader="none"/>
          <w:tab w:pos="703" w:val="left" w:leader="none"/>
        </w:tabs>
        <w:spacing w:line="240" w:lineRule="auto" w:before="0" w:after="0"/>
        <w:ind w:left="702" w:right="0" w:hanging="576"/>
        <w:jc w:val="left"/>
      </w:pPr>
      <w:bookmarkStart w:name="_TOC_250060" w:id="27"/>
      <w:bookmarkEnd w:id="27"/>
      <w:r>
        <w:rPr>
          <w:w w:val="95"/>
        </w:rPr>
        <w:t>风险保险费的调整</w:t>
      </w:r>
    </w:p>
    <w:p>
      <w:pPr>
        <w:pStyle w:val="BodyText"/>
        <w:spacing w:before="14"/>
        <w:rPr>
          <w:rFonts w:ascii="Microsoft JhengHei UI"/>
          <w:b/>
          <w:sz w:val="27"/>
        </w:rPr>
      </w:pPr>
    </w:p>
    <w:p>
      <w:pPr>
        <w:pStyle w:val="BodyText"/>
        <w:spacing w:line="408" w:lineRule="auto" w:before="1"/>
        <w:ind w:left="120" w:right="159"/>
      </w:pPr>
      <w:r>
        <w:rPr>
          <w:spacing w:val="-4"/>
          <w:w w:val="95"/>
        </w:rPr>
        <w:t>我们保留于每个保单周年日审核调整本附加险风险保险费的权利。调整风险保险费率是对所   </w:t>
      </w:r>
      <w:r>
        <w:rPr>
          <w:spacing w:val="-4"/>
        </w:rPr>
        <w:t>有被保险人或同一投保年龄的所有被保险人适用的保险费率进行调整。我们调整保险费率</w:t>
      </w:r>
      <w:r>
        <w:rPr>
          <w:spacing w:val="-4"/>
          <w:w w:val="95"/>
        </w:rPr>
        <w:t>后，您应交纳的续期保险费将按调整后的保险费率计算。</w:t>
      </w:r>
    </w:p>
    <w:p>
      <w:pPr>
        <w:pStyle w:val="BodyText"/>
        <w:spacing w:before="3"/>
        <w:rPr>
          <w:sz w:val="22"/>
        </w:rPr>
      </w:pPr>
    </w:p>
    <w:p>
      <w:pPr>
        <w:pStyle w:val="Heading2"/>
        <w:numPr>
          <w:ilvl w:val="1"/>
          <w:numId w:val="6"/>
        </w:numPr>
        <w:tabs>
          <w:tab w:pos="702" w:val="left" w:leader="none"/>
          <w:tab w:pos="703" w:val="left" w:leader="none"/>
        </w:tabs>
        <w:spacing w:line="240" w:lineRule="auto" w:before="0" w:after="0"/>
        <w:ind w:left="702" w:right="0" w:hanging="576"/>
        <w:jc w:val="left"/>
      </w:pPr>
      <w:bookmarkStart w:name="_TOC_250059" w:id="28"/>
      <w:bookmarkEnd w:id="28"/>
      <w:r>
        <w:rPr>
          <w:w w:val="95"/>
        </w:rPr>
        <w:t>宽限期</w:t>
      </w:r>
    </w:p>
    <w:p>
      <w:pPr>
        <w:pStyle w:val="BodyText"/>
        <w:spacing w:before="13"/>
        <w:rPr>
          <w:rFonts w:ascii="Microsoft JhengHei UI"/>
          <w:b/>
          <w:sz w:val="27"/>
        </w:rPr>
      </w:pPr>
    </w:p>
    <w:p>
      <w:pPr>
        <w:pStyle w:val="BodyText"/>
        <w:ind w:left="120"/>
      </w:pPr>
      <w:r>
        <w:rPr>
          <w:w w:val="95"/>
        </w:rPr>
        <w:t>附加了本附加险合同后，主险合同及本附加险合同的宽限期按照以下约定确定：</w:t>
      </w:r>
    </w:p>
    <w:p>
      <w:pPr>
        <w:pStyle w:val="BodyText"/>
        <w:spacing w:line="408" w:lineRule="auto" w:before="193"/>
        <w:ind w:left="120" w:right="102"/>
        <w:jc w:val="both"/>
      </w:pPr>
      <w:r>
        <w:rPr>
          <w:spacing w:val="-4"/>
          <w:w w:val="95"/>
        </w:rPr>
        <w:t>在主险合同有效期内，在每月结算日零时如果主险合同的保单价值不足以支付主险合同及其   </w:t>
      </w:r>
      <w:r>
        <w:rPr>
          <w:spacing w:val="-5"/>
        </w:rPr>
        <w:t>附加险合同的风险保险费，则自该结算日的次日起 </w:t>
      </w:r>
      <w:r>
        <w:rPr/>
        <w:t>60</w:t>
      </w:r>
      <w:r>
        <w:rPr>
          <w:spacing w:val="-7"/>
        </w:rPr>
        <w:t> 天为主险合同及本附加险合同的宽限</w:t>
      </w:r>
      <w:r>
        <w:rPr>
          <w:spacing w:val="-7"/>
          <w:w w:val="95"/>
        </w:rPr>
        <w:t>期。</w:t>
      </w:r>
    </w:p>
    <w:p>
      <w:pPr>
        <w:pStyle w:val="BodyText"/>
        <w:spacing w:line="408" w:lineRule="auto" w:before="46"/>
        <w:ind w:left="120" w:right="157"/>
      </w:pPr>
      <w:r>
        <w:rPr>
          <w:spacing w:val="-9"/>
          <w:w w:val="95"/>
        </w:rPr>
        <w:t>宽限期内，您的附加保险合同继续有效，如发生保险事故，我们仍根据本合同给付您相应的   保险金，但须先扣除宽限期内您欠缴的风险保险费。</w:t>
      </w:r>
    </w:p>
    <w:p>
      <w:pPr>
        <w:pStyle w:val="BodyText"/>
        <w:spacing w:before="46"/>
        <w:ind w:left="120"/>
        <w:jc w:val="both"/>
      </w:pPr>
      <w:r>
        <w:rPr>
          <w:w w:val="95"/>
        </w:rPr>
        <w:t>您在宽限期内支付风险保险费的，我们于收取风险保险费的同时扣取欠交的风险保险费。</w:t>
      </w:r>
    </w:p>
    <w:p>
      <w:pPr>
        <w:spacing w:after="0"/>
        <w:jc w:val="both"/>
        <w:sectPr>
          <w:pgSz w:w="11910" w:h="16840"/>
          <w:pgMar w:header="0" w:footer="1307" w:top="1560" w:bottom="1500" w:left="1680" w:right="1640"/>
        </w:sectPr>
      </w:pPr>
    </w:p>
    <w:p>
      <w:pPr>
        <w:pStyle w:val="Heading2"/>
        <w:numPr>
          <w:ilvl w:val="0"/>
          <w:numId w:val="6"/>
        </w:numPr>
        <w:tabs>
          <w:tab w:pos="559" w:val="left" w:leader="none"/>
        </w:tabs>
        <w:spacing w:line="240" w:lineRule="auto" w:before="3" w:after="0"/>
        <w:ind w:left="558" w:right="0" w:hanging="432"/>
        <w:jc w:val="both"/>
      </w:pPr>
      <w:bookmarkStart w:name="_TOC_250058" w:id="29"/>
      <w:bookmarkStart w:name="保险金的领取" w:id="30"/>
      <w:r>
        <w:rPr>
          <w:b w:val="0"/>
        </w:rPr>
      </w:r>
      <w:bookmarkStart w:name="重大疾病保险金受益人" w:id="31"/>
      <w:bookmarkEnd w:id="31"/>
      <w:r>
        <w:rPr>
          <w:b w:val="0"/>
        </w:rPr>
      </w:r>
      <w:bookmarkStart w:name="重大疾病保险金的申请" w:id="32"/>
      <w:bookmarkEnd w:id="32"/>
      <w:r>
        <w:rPr>
          <w:b w:val="0"/>
        </w:rPr>
      </w:r>
      <w:bookmarkStart w:name="保险金的给付" w:id="33"/>
      <w:bookmarkEnd w:id="33"/>
      <w:r>
        <w:rPr>
          <w:b w:val="0"/>
        </w:rPr>
      </w:r>
      <w:bookmarkStart w:name="保险金诉讼时效" w:id="34"/>
      <w:bookmarkEnd w:id="34"/>
      <w:r>
        <w:rPr>
          <w:b w:val="0"/>
        </w:rPr>
      </w:r>
      <w:bookmarkStart w:name="合同效力的变动" w:id="35"/>
      <w:bookmarkEnd w:id="35"/>
      <w:r>
        <w:rPr>
          <w:b w:val="0"/>
        </w:rPr>
      </w:r>
      <w:bookmarkStart w:name="合同效力的中止" w:id="36"/>
      <w:bookmarkEnd w:id="36"/>
      <w:r>
        <w:rPr>
          <w:b w:val="0"/>
        </w:rPr>
      </w:r>
      <w:bookmarkStart w:name="合同效力的中止" w:id="37"/>
      <w:bookmarkEnd w:id="29"/>
      <w:r>
        <w:rPr>
          <w:w w:val="95"/>
        </w:rPr>
        <w:t>保险金的领取</w:t>
      </w:r>
    </w:p>
    <w:p>
      <w:pPr>
        <w:pStyle w:val="BodyText"/>
        <w:spacing w:before="7"/>
        <w:rPr>
          <w:rFonts w:ascii="Microsoft JhengHei UI"/>
          <w:b/>
          <w:sz w:val="37"/>
        </w:rPr>
      </w:pPr>
    </w:p>
    <w:p>
      <w:pPr>
        <w:pStyle w:val="Heading2"/>
        <w:numPr>
          <w:ilvl w:val="1"/>
          <w:numId w:val="6"/>
        </w:numPr>
        <w:tabs>
          <w:tab w:pos="703" w:val="left" w:leader="none"/>
        </w:tabs>
        <w:spacing w:line="240" w:lineRule="auto" w:before="1" w:after="0"/>
        <w:ind w:left="702" w:right="0" w:hanging="576"/>
        <w:jc w:val="both"/>
      </w:pPr>
      <w:bookmarkStart w:name="_TOC_250057" w:id="38"/>
      <w:bookmarkEnd w:id="38"/>
      <w:r>
        <w:rPr>
          <w:w w:val="95"/>
        </w:rPr>
        <w:t>重大疾病保险金受益人</w:t>
      </w:r>
    </w:p>
    <w:p>
      <w:pPr>
        <w:pStyle w:val="BodyText"/>
        <w:spacing w:before="15"/>
        <w:rPr>
          <w:rFonts w:ascii="Microsoft JhengHei UI"/>
          <w:b/>
          <w:sz w:val="27"/>
        </w:rPr>
      </w:pPr>
    </w:p>
    <w:p>
      <w:pPr>
        <w:pStyle w:val="BodyText"/>
        <w:spacing w:before="1"/>
        <w:ind w:left="120"/>
        <w:jc w:val="both"/>
      </w:pPr>
      <w:r>
        <w:rPr>
          <w:w w:val="95"/>
        </w:rPr>
        <w:t>重大疾病保险金的受益人为被保险人本人，您或者被保险人可以依法指定受益人。</w:t>
      </w:r>
    </w:p>
    <w:p>
      <w:pPr>
        <w:pStyle w:val="BodyText"/>
        <w:spacing w:before="3"/>
        <w:rPr>
          <w:sz w:val="33"/>
        </w:rPr>
      </w:pPr>
    </w:p>
    <w:p>
      <w:pPr>
        <w:pStyle w:val="Heading2"/>
        <w:numPr>
          <w:ilvl w:val="1"/>
          <w:numId w:val="6"/>
        </w:numPr>
        <w:tabs>
          <w:tab w:pos="703" w:val="left" w:leader="none"/>
        </w:tabs>
        <w:spacing w:line="240" w:lineRule="auto" w:before="1" w:after="0"/>
        <w:ind w:left="702" w:right="0" w:hanging="576"/>
        <w:jc w:val="both"/>
      </w:pPr>
      <w:bookmarkStart w:name="_TOC_250056" w:id="39"/>
      <w:bookmarkEnd w:id="39"/>
      <w:r>
        <w:rPr>
          <w:w w:val="95"/>
        </w:rPr>
        <w:t>重大疾病保险金的申请</w:t>
      </w:r>
    </w:p>
    <w:p>
      <w:pPr>
        <w:pStyle w:val="BodyText"/>
        <w:spacing w:before="15"/>
        <w:rPr>
          <w:rFonts w:ascii="Microsoft JhengHei UI"/>
          <w:b/>
          <w:sz w:val="27"/>
        </w:rPr>
      </w:pPr>
    </w:p>
    <w:p>
      <w:pPr>
        <w:pStyle w:val="BodyText"/>
        <w:spacing w:before="1"/>
        <w:ind w:left="120"/>
        <w:jc w:val="both"/>
      </w:pPr>
      <w:r>
        <w:rPr>
          <w:w w:val="95"/>
        </w:rPr>
        <w:t>重大疾病保险金受益人凭下列证明、资料申请重大疾病保险金：</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保险合同原件；</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理赔申请书；</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被保险人户籍证明或身份证明；</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重疾诊断证明书（病理报告）；</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其他能够确认保险事故性质、原因的证明材料；</w:t>
      </w:r>
    </w:p>
    <w:p>
      <w:pPr>
        <w:pStyle w:val="BodyText"/>
        <w:spacing w:before="193"/>
        <w:ind w:left="120"/>
        <w:jc w:val="both"/>
      </w:pPr>
      <w:r>
        <w:rPr>
          <w:w w:val="95"/>
        </w:rPr>
        <w:t>若委托他人办理，须提供委托人亲笔签名的授权委托书及受托人身份证明文件原件。</w:t>
      </w:r>
    </w:p>
    <w:p>
      <w:pPr>
        <w:pStyle w:val="BodyText"/>
        <w:spacing w:before="3"/>
        <w:rPr>
          <w:sz w:val="33"/>
        </w:rPr>
      </w:pPr>
    </w:p>
    <w:p>
      <w:pPr>
        <w:pStyle w:val="Heading2"/>
        <w:numPr>
          <w:ilvl w:val="1"/>
          <w:numId w:val="6"/>
        </w:numPr>
        <w:tabs>
          <w:tab w:pos="703" w:val="left" w:leader="none"/>
        </w:tabs>
        <w:spacing w:line="240" w:lineRule="auto" w:before="1" w:after="0"/>
        <w:ind w:left="702" w:right="0" w:hanging="576"/>
        <w:jc w:val="both"/>
      </w:pPr>
      <w:bookmarkStart w:name="_TOC_250055" w:id="40"/>
      <w:bookmarkEnd w:id="40"/>
      <w:r>
        <w:rPr>
          <w:w w:val="95"/>
        </w:rPr>
        <w:t>保险金的给付</w:t>
      </w:r>
    </w:p>
    <w:p>
      <w:pPr>
        <w:pStyle w:val="BodyText"/>
        <w:spacing w:before="15"/>
        <w:rPr>
          <w:rFonts w:ascii="Microsoft JhengHei UI"/>
          <w:b/>
          <w:sz w:val="27"/>
        </w:rPr>
      </w:pPr>
    </w:p>
    <w:p>
      <w:pPr>
        <w:pStyle w:val="BodyText"/>
        <w:spacing w:line="408" w:lineRule="auto"/>
        <w:ind w:left="120" w:right="197"/>
        <w:jc w:val="both"/>
      </w:pPr>
      <w:r>
        <w:rPr>
          <w:spacing w:val="-4"/>
        </w:rPr>
        <w:t>我们在收到申请人的保险金给付申请书及上述所有相关证明和资料后，对确定属于保险责任</w:t>
      </w:r>
      <w:r>
        <w:rPr>
          <w:spacing w:val="-9"/>
          <w:w w:val="95"/>
        </w:rPr>
        <w:t>的事故，在与申请人达成有关给付保险金数额的协议后十日内，履行给付保险金责任。对不   属于保险责任的事故，我们不予给付保险金。</w:t>
      </w:r>
    </w:p>
    <w:p>
      <w:pPr>
        <w:pStyle w:val="BodyText"/>
        <w:spacing w:before="2"/>
        <w:rPr>
          <w:sz w:val="22"/>
        </w:rPr>
      </w:pPr>
    </w:p>
    <w:p>
      <w:pPr>
        <w:pStyle w:val="Heading2"/>
        <w:numPr>
          <w:ilvl w:val="1"/>
          <w:numId w:val="6"/>
        </w:numPr>
        <w:tabs>
          <w:tab w:pos="703" w:val="left" w:leader="none"/>
        </w:tabs>
        <w:spacing w:line="240" w:lineRule="auto" w:before="0" w:after="0"/>
        <w:ind w:left="702" w:right="0" w:hanging="576"/>
        <w:jc w:val="both"/>
      </w:pPr>
      <w:bookmarkStart w:name="_TOC_250054" w:id="41"/>
      <w:bookmarkEnd w:id="41"/>
      <w:r>
        <w:rPr>
          <w:w w:val="95"/>
        </w:rPr>
        <w:t>保险金诉讼时效</w:t>
      </w:r>
    </w:p>
    <w:p>
      <w:pPr>
        <w:pStyle w:val="BodyText"/>
        <w:spacing w:before="12"/>
        <w:rPr>
          <w:rFonts w:ascii="Microsoft JhengHei UI"/>
          <w:b/>
          <w:sz w:val="27"/>
        </w:rPr>
      </w:pPr>
    </w:p>
    <w:p>
      <w:pPr>
        <w:pStyle w:val="BodyText"/>
        <w:spacing w:before="1"/>
        <w:ind w:left="120"/>
        <w:jc w:val="both"/>
      </w:pPr>
      <w:r>
        <w:rPr>
          <w:w w:val="95"/>
        </w:rPr>
        <w:t>权利人请求给付保险金的诉讼时效为二年，自其知道或者应当知道保险事故发生之日起算。</w:t>
      </w:r>
    </w:p>
    <w:p>
      <w:pPr>
        <w:pStyle w:val="BodyText"/>
        <w:rPr>
          <w:sz w:val="26"/>
        </w:rPr>
      </w:pPr>
    </w:p>
    <w:p>
      <w:pPr>
        <w:pStyle w:val="BodyText"/>
        <w:spacing w:before="7"/>
      </w:pPr>
    </w:p>
    <w:p>
      <w:pPr>
        <w:pStyle w:val="Heading2"/>
        <w:numPr>
          <w:ilvl w:val="0"/>
          <w:numId w:val="6"/>
        </w:numPr>
        <w:tabs>
          <w:tab w:pos="559" w:val="left" w:leader="none"/>
        </w:tabs>
        <w:spacing w:line="240" w:lineRule="auto" w:before="1" w:after="0"/>
        <w:ind w:left="558" w:right="0" w:hanging="432"/>
        <w:jc w:val="both"/>
      </w:pPr>
      <w:bookmarkStart w:name="_TOC_250053" w:id="42"/>
      <w:bookmarkEnd w:id="42"/>
      <w:r>
        <w:rPr>
          <w:w w:val="95"/>
        </w:rPr>
        <w:t>合同效力的变动</w:t>
      </w:r>
    </w:p>
    <w:p>
      <w:pPr>
        <w:pStyle w:val="BodyText"/>
        <w:spacing w:before="10"/>
        <w:rPr>
          <w:rFonts w:ascii="Microsoft JhengHei UI"/>
          <w:b/>
          <w:sz w:val="37"/>
        </w:rPr>
      </w:pPr>
    </w:p>
    <w:p>
      <w:pPr>
        <w:pStyle w:val="Heading2"/>
        <w:numPr>
          <w:ilvl w:val="1"/>
          <w:numId w:val="6"/>
        </w:numPr>
        <w:tabs>
          <w:tab w:pos="703" w:val="left" w:leader="none"/>
        </w:tabs>
        <w:spacing w:line="240" w:lineRule="auto" w:before="0" w:after="0"/>
        <w:ind w:left="702" w:right="0" w:hanging="576"/>
        <w:jc w:val="both"/>
      </w:pPr>
      <w:bookmarkStart w:name="_TOC_250052" w:id="43"/>
      <w:bookmarkEnd w:id="43"/>
      <w:r>
        <w:rPr>
          <w:w w:val="95"/>
        </w:rPr>
        <w:t>合同效力的中止</w:t>
      </w:r>
    </w:p>
    <w:p>
      <w:pPr>
        <w:pStyle w:val="BodyText"/>
        <w:spacing w:before="12"/>
        <w:rPr>
          <w:rFonts w:ascii="Microsoft JhengHei UI"/>
          <w:b/>
          <w:sz w:val="27"/>
        </w:rPr>
      </w:pPr>
    </w:p>
    <w:p>
      <w:pPr>
        <w:pStyle w:val="BodyText"/>
        <w:ind w:left="120"/>
        <w:jc w:val="both"/>
      </w:pPr>
      <w:r>
        <w:rPr>
          <w:w w:val="95"/>
        </w:rPr>
        <w:t>在主险合同效力中止时，本附加险合同效力中止。</w:t>
      </w:r>
    </w:p>
    <w:p>
      <w:pPr>
        <w:pStyle w:val="BodyText"/>
        <w:spacing w:before="192"/>
        <w:ind w:left="120"/>
        <w:jc w:val="both"/>
      </w:pPr>
      <w:r>
        <w:rPr>
          <w:w w:val="95"/>
        </w:rPr>
        <w:t>在本附加险合同效力中止期间，我们不承担保险责任。</w:t>
      </w:r>
    </w:p>
    <w:p>
      <w:pPr>
        <w:spacing w:after="0"/>
        <w:jc w:val="both"/>
        <w:sectPr>
          <w:pgSz w:w="11910" w:h="16840"/>
          <w:pgMar w:header="0" w:footer="1307" w:top="1560" w:bottom="1500" w:left="1680" w:right="1600"/>
        </w:sectPr>
      </w:pPr>
    </w:p>
    <w:p>
      <w:pPr>
        <w:pStyle w:val="Heading2"/>
        <w:numPr>
          <w:ilvl w:val="1"/>
          <w:numId w:val="6"/>
        </w:numPr>
        <w:tabs>
          <w:tab w:pos="702" w:val="left" w:leader="none"/>
          <w:tab w:pos="703" w:val="left" w:leader="none"/>
        </w:tabs>
        <w:spacing w:line="347" w:lineRule="exact" w:before="0" w:after="0"/>
        <w:ind w:left="702" w:right="0" w:hanging="576"/>
        <w:jc w:val="left"/>
      </w:pPr>
      <w:bookmarkStart w:name="_TOC_250051" w:id="44"/>
      <w:bookmarkStart w:name="合同效力的恢复" w:id="45"/>
      <w:r>
        <w:rPr>
          <w:b w:val="0"/>
        </w:rPr>
      </w:r>
      <w:bookmarkStart w:name="合同的解除----退保" w:id="46"/>
      <w:bookmarkEnd w:id="46"/>
      <w:r>
        <w:rPr>
          <w:b w:val="0"/>
        </w:rPr>
      </w:r>
      <w:bookmarkStart w:name="犹豫期" w:id="47"/>
      <w:bookmarkEnd w:id="47"/>
      <w:r>
        <w:rPr>
          <w:b w:val="0"/>
        </w:rPr>
      </w:r>
      <w:bookmarkStart w:name="犹豫期之后申请退保" w:id="48"/>
      <w:bookmarkEnd w:id="48"/>
      <w:r>
        <w:rPr>
          <w:b w:val="0"/>
        </w:rPr>
      </w:r>
      <w:bookmarkStart w:name="退保申请" w:id="49"/>
      <w:bookmarkEnd w:id="49"/>
      <w:r>
        <w:rPr>
          <w:b w:val="0"/>
        </w:rPr>
      </w:r>
      <w:bookmarkStart w:name="退保申请" w:id="50"/>
      <w:bookmarkEnd w:id="44"/>
      <w:r>
        <w:rPr>
          <w:w w:val="95"/>
        </w:rPr>
        <w:t>合同效力的恢复</w:t>
      </w:r>
    </w:p>
    <w:p>
      <w:pPr>
        <w:pStyle w:val="BodyText"/>
        <w:spacing w:before="13"/>
        <w:rPr>
          <w:rFonts w:ascii="Microsoft JhengHei UI"/>
          <w:b/>
          <w:sz w:val="27"/>
        </w:rPr>
      </w:pPr>
    </w:p>
    <w:p>
      <w:pPr>
        <w:pStyle w:val="BodyText"/>
        <w:spacing w:line="408" w:lineRule="auto"/>
        <w:ind w:left="120" w:right="117"/>
        <w:jc w:val="both"/>
      </w:pPr>
      <w:r>
        <w:rPr>
          <w:spacing w:val="-3"/>
        </w:rPr>
        <w:t>本附加险合同效力中止后二年内，您可以申请复效。申请复效时，您应填写复效申请书，并</w:t>
      </w:r>
      <w:r>
        <w:rPr>
          <w:spacing w:val="-6"/>
          <w:w w:val="95"/>
        </w:rPr>
        <w:t>按我们的规定提供被保险人健康声明书或我们指定的医院出具的体检报告书，自本附加险合   </w:t>
      </w:r>
      <w:r>
        <w:rPr>
          <w:spacing w:val="-11"/>
          <w:w w:val="95"/>
        </w:rPr>
        <w:t>同效力中止之日起二年内，如果您未提出复效申请或复效申请未经过我们审核同意，本附加   险合同自效力中止二年期限届满次日零时起效力终止。</w:t>
      </w:r>
    </w:p>
    <w:p>
      <w:pPr>
        <w:pStyle w:val="BodyText"/>
        <w:spacing w:before="46"/>
        <w:ind w:left="120"/>
      </w:pPr>
      <w:r>
        <w:rPr>
          <w:w w:val="95"/>
        </w:rPr>
        <w:t>在主险合同中止期间，本附加险合同不得单独申请复效。</w:t>
      </w:r>
    </w:p>
    <w:p>
      <w:pPr>
        <w:pStyle w:val="BodyText"/>
        <w:spacing w:before="6"/>
        <w:rPr>
          <w:sz w:val="33"/>
        </w:rPr>
      </w:pPr>
    </w:p>
    <w:p>
      <w:pPr>
        <w:pStyle w:val="Heading2"/>
        <w:numPr>
          <w:ilvl w:val="1"/>
          <w:numId w:val="6"/>
        </w:numPr>
        <w:tabs>
          <w:tab w:pos="702" w:val="left" w:leader="none"/>
          <w:tab w:pos="703" w:val="left" w:leader="none"/>
        </w:tabs>
        <w:spacing w:line="240" w:lineRule="auto" w:before="0" w:after="0"/>
        <w:ind w:left="702" w:right="0" w:hanging="576"/>
        <w:jc w:val="left"/>
      </w:pPr>
      <w:bookmarkStart w:name="_TOC_250050" w:id="51"/>
      <w:bookmarkEnd w:id="51"/>
      <w:r>
        <w:rPr>
          <w:w w:val="90"/>
        </w:rPr>
        <w:t>合同的解除----退保</w:t>
      </w:r>
    </w:p>
    <w:p>
      <w:pPr>
        <w:pStyle w:val="BodyText"/>
        <w:spacing w:before="12"/>
        <w:rPr>
          <w:rFonts w:ascii="Microsoft JhengHei UI"/>
          <w:b/>
          <w:sz w:val="27"/>
        </w:rPr>
      </w:pPr>
    </w:p>
    <w:p>
      <w:pPr>
        <w:pStyle w:val="BodyText"/>
        <w:spacing w:line="408" w:lineRule="auto" w:before="1"/>
        <w:ind w:left="120" w:right="119"/>
      </w:pPr>
      <w:r>
        <w:rPr>
          <w:spacing w:val="-7"/>
          <w:w w:val="95"/>
        </w:rPr>
        <w:t>在主险合同有效期间，本附加险合同不得单独申请退保。本附加险合同与主险合同必须同时   申请退保。</w:t>
      </w:r>
    </w:p>
    <w:p>
      <w:pPr>
        <w:pStyle w:val="BodyText"/>
        <w:spacing w:before="3"/>
        <w:rPr>
          <w:sz w:val="22"/>
        </w:rPr>
      </w:pPr>
    </w:p>
    <w:p>
      <w:pPr>
        <w:pStyle w:val="Heading2"/>
        <w:numPr>
          <w:ilvl w:val="2"/>
          <w:numId w:val="6"/>
        </w:numPr>
        <w:tabs>
          <w:tab w:pos="846" w:val="left" w:leader="none"/>
          <w:tab w:pos="847" w:val="left" w:leader="none"/>
        </w:tabs>
        <w:spacing w:line="240" w:lineRule="auto" w:before="0" w:after="0"/>
        <w:ind w:left="846" w:right="0" w:hanging="720"/>
        <w:jc w:val="left"/>
      </w:pPr>
      <w:bookmarkStart w:name="_TOC_250049" w:id="52"/>
      <w:bookmarkEnd w:id="52"/>
      <w:r>
        <w:rPr>
          <w:w w:val="95"/>
        </w:rPr>
        <w:t>犹豫期</w:t>
      </w:r>
    </w:p>
    <w:p>
      <w:pPr>
        <w:pStyle w:val="BodyText"/>
        <w:spacing w:before="13"/>
        <w:rPr>
          <w:rFonts w:ascii="Microsoft JhengHei UI"/>
          <w:b/>
          <w:sz w:val="27"/>
        </w:rPr>
      </w:pPr>
    </w:p>
    <w:p>
      <w:pPr>
        <w:pStyle w:val="BodyText"/>
        <w:spacing w:line="408" w:lineRule="auto"/>
        <w:ind w:left="120" w:right="119"/>
        <w:jc w:val="both"/>
      </w:pPr>
      <w:r>
        <w:rPr>
          <w:w w:val="95"/>
        </w:rPr>
        <w:t>自您签收到本附加险合同次日起，我们给予您10</w:t>
      </w:r>
      <w:r>
        <w:rPr>
          <w:spacing w:val="-5"/>
          <w:w w:val="95"/>
        </w:rPr>
        <w:t>天的犹豫期，以便您在此期间浏览合同。如   </w:t>
      </w:r>
      <w:r>
        <w:rPr>
          <w:spacing w:val="-6"/>
        </w:rPr>
        <w:t>果您确定本附加险合同与您的需求不相符，可向我们申请退保。 本附加险合同自我们收到</w:t>
      </w:r>
      <w:r>
        <w:rPr>
          <w:spacing w:val="-11"/>
          <w:w w:val="95"/>
        </w:rPr>
        <w:t>您的退保申请次日零时起解除，我们自始不承担保险责任，并无息退还给您就本附加险合同   所收的全部风险保险费。</w:t>
      </w:r>
    </w:p>
    <w:p>
      <w:pPr>
        <w:pStyle w:val="BodyText"/>
        <w:spacing w:before="3"/>
        <w:rPr>
          <w:sz w:val="22"/>
        </w:rPr>
      </w:pPr>
    </w:p>
    <w:p>
      <w:pPr>
        <w:pStyle w:val="Heading2"/>
        <w:numPr>
          <w:ilvl w:val="2"/>
          <w:numId w:val="6"/>
        </w:numPr>
        <w:tabs>
          <w:tab w:pos="952" w:val="left" w:leader="none"/>
        </w:tabs>
        <w:spacing w:line="240" w:lineRule="auto" w:before="0" w:after="0"/>
        <w:ind w:left="951" w:right="0" w:hanging="825"/>
        <w:jc w:val="both"/>
      </w:pPr>
      <w:bookmarkStart w:name="_TOC_250048" w:id="53"/>
      <w:bookmarkEnd w:id="53"/>
      <w:r>
        <w:rPr>
          <w:w w:val="95"/>
        </w:rPr>
        <w:t>犹豫期之后申请退保</w:t>
      </w:r>
    </w:p>
    <w:p>
      <w:pPr>
        <w:pStyle w:val="BodyText"/>
        <w:spacing w:before="15"/>
        <w:rPr>
          <w:rFonts w:ascii="Microsoft JhengHei UI"/>
          <w:b/>
          <w:sz w:val="27"/>
        </w:rPr>
      </w:pPr>
    </w:p>
    <w:p>
      <w:pPr>
        <w:pStyle w:val="BodyText"/>
        <w:ind w:left="120"/>
        <w:jc w:val="both"/>
      </w:pPr>
      <w:r>
        <w:rPr>
          <w:w w:val="95"/>
        </w:rPr>
        <w:t>如果您在犹豫期之后申请退保，本附加险合同自收到您的退保申请次日零时起终止。</w:t>
      </w:r>
    </w:p>
    <w:p>
      <w:pPr>
        <w:pStyle w:val="BodyText"/>
        <w:spacing w:before="3"/>
        <w:rPr>
          <w:sz w:val="33"/>
        </w:rPr>
      </w:pPr>
    </w:p>
    <w:p>
      <w:pPr>
        <w:pStyle w:val="Heading2"/>
        <w:numPr>
          <w:ilvl w:val="2"/>
          <w:numId w:val="6"/>
        </w:numPr>
        <w:tabs>
          <w:tab w:pos="952" w:val="left" w:leader="none"/>
        </w:tabs>
        <w:spacing w:line="240" w:lineRule="auto" w:before="0" w:after="0"/>
        <w:ind w:left="951" w:right="0" w:hanging="825"/>
        <w:jc w:val="both"/>
      </w:pPr>
      <w:bookmarkStart w:name="_TOC_250047" w:id="54"/>
      <w:bookmarkEnd w:id="54"/>
      <w:r>
        <w:rPr>
          <w:w w:val="95"/>
        </w:rPr>
        <w:t>退保申请</w:t>
      </w:r>
    </w:p>
    <w:p>
      <w:pPr>
        <w:pStyle w:val="BodyText"/>
        <w:spacing w:before="15"/>
        <w:rPr>
          <w:rFonts w:ascii="Microsoft JhengHei UI"/>
          <w:b/>
          <w:sz w:val="27"/>
        </w:rPr>
      </w:pPr>
    </w:p>
    <w:p>
      <w:pPr>
        <w:pStyle w:val="BodyText"/>
        <w:ind w:left="120"/>
        <w:jc w:val="both"/>
      </w:pPr>
      <w:r>
        <w:rPr>
          <w:w w:val="95"/>
        </w:rPr>
        <w:t>申请退保需要提供的证明、资料如下：</w:t>
      </w:r>
    </w:p>
    <w:p>
      <w:pPr>
        <w:pStyle w:val="BodyText"/>
        <w:spacing w:before="192"/>
        <w:ind w:left="328"/>
      </w:pPr>
      <w:r>
        <w:rPr>
          <w:w w:val="93"/>
        </w:rPr>
        <w:t>1</w:t>
      </w:r>
      <w:r>
        <w:rPr>
          <w:spacing w:val="-1"/>
          <w:w w:val="43"/>
        </w:rPr>
        <w:t>.</w:t>
      </w:r>
      <w:r>
        <w:rPr>
          <w:w w:val="99"/>
        </w:rPr>
        <w:t>保全业务申请书；</w:t>
      </w:r>
    </w:p>
    <w:p>
      <w:pPr>
        <w:pStyle w:val="BodyText"/>
        <w:spacing w:before="192"/>
        <w:ind w:left="328"/>
      </w:pPr>
      <w:r>
        <w:rPr>
          <w:w w:val="93"/>
        </w:rPr>
        <w:t>2</w:t>
      </w:r>
      <w:r>
        <w:rPr>
          <w:spacing w:val="-1"/>
          <w:w w:val="43"/>
        </w:rPr>
        <w:t>.</w:t>
      </w:r>
      <w:r>
        <w:rPr>
          <w:w w:val="99"/>
        </w:rPr>
        <w:t>投保人的身份证明文件原件；</w:t>
      </w:r>
    </w:p>
    <w:p>
      <w:pPr>
        <w:pStyle w:val="BodyText"/>
        <w:spacing w:before="192"/>
        <w:ind w:left="328"/>
      </w:pPr>
      <w:r>
        <w:rPr>
          <w:w w:val="93"/>
        </w:rPr>
        <w:t>3</w:t>
      </w:r>
      <w:r>
        <w:rPr>
          <w:spacing w:val="-1"/>
          <w:w w:val="43"/>
        </w:rPr>
        <w:t>.</w:t>
      </w:r>
      <w:r>
        <w:rPr>
          <w:w w:val="99"/>
        </w:rPr>
        <w:t>保险单原件；</w:t>
      </w:r>
    </w:p>
    <w:p>
      <w:pPr>
        <w:pStyle w:val="BodyText"/>
        <w:spacing w:before="192"/>
        <w:ind w:left="120"/>
        <w:jc w:val="both"/>
      </w:pPr>
      <w:r>
        <w:rPr>
          <w:w w:val="95"/>
        </w:rPr>
        <w:t>若委托他人办理，须提供委托人亲笔签名的授权委托书及受托人身份证明文件原件。</w:t>
      </w:r>
    </w:p>
    <w:p>
      <w:pPr>
        <w:spacing w:after="0"/>
        <w:jc w:val="both"/>
        <w:sectPr>
          <w:pgSz w:w="11910" w:h="16840"/>
          <w:pgMar w:header="0" w:footer="1307" w:top="1460" w:bottom="1500" w:left="1680" w:right="1680"/>
        </w:sectPr>
      </w:pPr>
    </w:p>
    <w:p>
      <w:pPr>
        <w:pStyle w:val="Heading2"/>
        <w:numPr>
          <w:ilvl w:val="1"/>
          <w:numId w:val="6"/>
        </w:numPr>
        <w:tabs>
          <w:tab w:pos="703" w:val="left" w:leader="none"/>
        </w:tabs>
        <w:spacing w:line="347" w:lineRule="exact" w:before="0" w:after="0"/>
        <w:ind w:left="702" w:right="0" w:hanging="576"/>
        <w:jc w:val="both"/>
      </w:pPr>
      <w:bookmarkStart w:name="_TOC_250046" w:id="55"/>
      <w:bookmarkStart w:name="合同的终止" w:id="56"/>
      <w:r>
        <w:rPr>
          <w:b w:val="0"/>
        </w:rPr>
      </w:r>
      <w:bookmarkStart w:name="被保险人年龄确定错误处理" w:id="57"/>
      <w:bookmarkEnd w:id="57"/>
      <w:r>
        <w:rPr>
          <w:b w:val="0"/>
        </w:rPr>
      </w:r>
      <w:bookmarkStart w:name="适用主险条款" w:id="58"/>
      <w:bookmarkEnd w:id="58"/>
      <w:r>
        <w:rPr>
          <w:b w:val="0"/>
        </w:rPr>
      </w:r>
      <w:bookmarkStart w:name="适用主险条款" w:id="59"/>
      <w:bookmarkEnd w:id="55"/>
      <w:r>
        <w:rPr>
          <w:w w:val="95"/>
        </w:rPr>
        <w:t>合同的终止</w:t>
      </w:r>
    </w:p>
    <w:p>
      <w:pPr>
        <w:pStyle w:val="BodyText"/>
        <w:spacing w:before="13"/>
        <w:rPr>
          <w:rFonts w:ascii="Microsoft JhengHei UI"/>
          <w:b/>
          <w:sz w:val="27"/>
        </w:rPr>
      </w:pPr>
    </w:p>
    <w:p>
      <w:pPr>
        <w:pStyle w:val="BodyText"/>
        <w:ind w:left="120"/>
        <w:jc w:val="both"/>
      </w:pPr>
      <w:r>
        <w:rPr>
          <w:w w:val="95"/>
        </w:rPr>
        <w:t>本附加险合同将于下述情况之一出现自动终止：</w:t>
      </w:r>
    </w:p>
    <w:p>
      <w:pPr>
        <w:pStyle w:val="ListParagraph"/>
        <w:numPr>
          <w:ilvl w:val="0"/>
          <w:numId w:val="8"/>
        </w:numPr>
        <w:tabs>
          <w:tab w:pos="959" w:val="left" w:leader="none"/>
          <w:tab w:pos="960" w:val="left" w:leader="none"/>
        </w:tabs>
        <w:spacing w:line="240" w:lineRule="auto" w:before="193" w:after="0"/>
        <w:ind w:left="960" w:right="0" w:hanging="420"/>
        <w:jc w:val="left"/>
        <w:rPr>
          <w:sz w:val="21"/>
        </w:rPr>
      </w:pPr>
      <w:r>
        <w:rPr>
          <w:w w:val="95"/>
          <w:sz w:val="21"/>
        </w:rPr>
        <w:t>主险合同效力终止；</w:t>
      </w:r>
    </w:p>
    <w:p>
      <w:pPr>
        <w:pStyle w:val="ListParagraph"/>
        <w:numPr>
          <w:ilvl w:val="0"/>
          <w:numId w:val="8"/>
        </w:numPr>
        <w:tabs>
          <w:tab w:pos="959" w:val="left" w:leader="none"/>
          <w:tab w:pos="960" w:val="left" w:leader="none"/>
        </w:tabs>
        <w:spacing w:line="240" w:lineRule="auto" w:before="193" w:after="0"/>
        <w:ind w:left="960" w:right="0" w:hanging="420"/>
        <w:jc w:val="left"/>
        <w:rPr>
          <w:sz w:val="21"/>
        </w:rPr>
      </w:pPr>
      <w:r>
        <w:rPr>
          <w:w w:val="95"/>
          <w:sz w:val="21"/>
        </w:rPr>
        <w:t>因本附加险合同其他条款所列合同终止情况出现而终止。</w:t>
      </w:r>
    </w:p>
    <w:p>
      <w:pPr>
        <w:pStyle w:val="BodyText"/>
        <w:rPr>
          <w:sz w:val="26"/>
        </w:rPr>
      </w:pPr>
    </w:p>
    <w:p>
      <w:pPr>
        <w:pStyle w:val="BodyText"/>
        <w:spacing w:before="7"/>
      </w:pPr>
    </w:p>
    <w:p>
      <w:pPr>
        <w:pStyle w:val="Heading2"/>
        <w:numPr>
          <w:ilvl w:val="0"/>
          <w:numId w:val="6"/>
        </w:numPr>
        <w:tabs>
          <w:tab w:pos="559" w:val="left" w:leader="none"/>
        </w:tabs>
        <w:spacing w:line="240" w:lineRule="auto" w:before="0" w:after="0"/>
        <w:ind w:left="558" w:right="0" w:hanging="432"/>
        <w:jc w:val="both"/>
      </w:pPr>
      <w:bookmarkStart w:name="_TOC_250045" w:id="60"/>
      <w:bookmarkEnd w:id="60"/>
      <w:r>
        <w:rPr>
          <w:w w:val="95"/>
        </w:rPr>
        <w:t>被保险人年龄确定错误处理</w:t>
      </w:r>
    </w:p>
    <w:p>
      <w:pPr>
        <w:pStyle w:val="BodyText"/>
        <w:spacing w:before="7"/>
        <w:rPr>
          <w:rFonts w:ascii="Microsoft JhengHei UI"/>
          <w:b/>
          <w:sz w:val="38"/>
        </w:rPr>
      </w:pPr>
    </w:p>
    <w:p>
      <w:pPr>
        <w:pStyle w:val="BodyText"/>
        <w:spacing w:line="408" w:lineRule="auto"/>
        <w:ind w:left="120" w:right="119"/>
      </w:pPr>
      <w:r>
        <w:rPr>
          <w:spacing w:val="-6"/>
          <w:w w:val="95"/>
        </w:rPr>
        <w:t>被保险人的投保年龄，以法定证件登记的周岁年龄为准。您在申请投保时，应按被保险人的   周岁年龄填写。若您申报的被保险人年龄不真实，则按照下列规定处理：</w:t>
      </w:r>
    </w:p>
    <w:p>
      <w:pPr>
        <w:pStyle w:val="BodyText"/>
        <w:spacing w:before="45"/>
        <w:ind w:left="120"/>
      </w:pPr>
      <w:r>
        <w:rPr>
          <w:w w:val="95"/>
        </w:rPr>
        <w:t>（1）我们有权更正并根据被保险人的真实年龄收取以后各月的风险保险费。</w:t>
      </w:r>
    </w:p>
    <w:p>
      <w:pPr>
        <w:pStyle w:val="BodyText"/>
        <w:spacing w:line="408" w:lineRule="auto" w:before="192"/>
        <w:ind w:left="120" w:right="119"/>
        <w:jc w:val="both"/>
      </w:pPr>
      <w:r>
        <w:rPr/>
        <w:t>（2）若我们已收取的风险保险费低于应收取的风险保险费，则我们有权要求您补交差额的</w:t>
      </w:r>
      <w:r>
        <w:rPr>
          <w:spacing w:val="-9"/>
        </w:rPr>
        <w:t>风险保险费。若被保险人已发生保险事故，我们将根据被保险人真实年龄，按实际累计已交</w:t>
      </w:r>
      <w:r>
        <w:rPr>
          <w:spacing w:val="-9"/>
          <w:w w:val="95"/>
        </w:rPr>
        <w:t>风险保险费与累计应交风险保险费的比例计算实际已交的风险保险费所对应的危险保额。</w:t>
      </w:r>
    </w:p>
    <w:p>
      <w:pPr>
        <w:pStyle w:val="BodyText"/>
        <w:spacing w:line="408" w:lineRule="auto" w:before="45"/>
        <w:ind w:left="120" w:right="136"/>
      </w:pPr>
      <w:r>
        <w:rPr>
          <w:w w:val="95"/>
        </w:rPr>
        <w:t>（3）若我们已收取的风险保险费高于应收取的风险保险费，则所有多收取的风险保险费将   无息退还并进入您的个人账户，而所购买的危险保额维持不变。</w:t>
      </w:r>
    </w:p>
    <w:p>
      <w:pPr>
        <w:pStyle w:val="BodyText"/>
        <w:spacing w:line="408" w:lineRule="auto" w:before="45"/>
        <w:ind w:left="120" w:right="121"/>
      </w:pPr>
      <w:r>
        <w:rPr/>
        <w:t>（4）若被保险人真实年龄不符合本合同约定年龄限制的，我们可以解除合同，但是自本合</w:t>
      </w:r>
      <w:r>
        <w:rPr>
          <w:w w:val="95"/>
        </w:rPr>
        <w:t>同成立之日起超过2年的除外。本合同成立超过2年的，我们将则参照本条第（1）、（2）、</w:t>
      </w:r>
    </w:p>
    <w:p>
      <w:pPr>
        <w:pStyle w:val="BodyText"/>
        <w:spacing w:before="45"/>
        <w:ind w:left="120"/>
        <w:jc w:val="both"/>
      </w:pPr>
      <w:r>
        <w:rPr>
          <w:w w:val="95"/>
        </w:rPr>
        <w:t>（3）款处理。</w:t>
      </w:r>
    </w:p>
    <w:p>
      <w:pPr>
        <w:pStyle w:val="BodyText"/>
        <w:rPr>
          <w:sz w:val="26"/>
        </w:rPr>
      </w:pPr>
    </w:p>
    <w:p>
      <w:pPr>
        <w:pStyle w:val="BodyText"/>
        <w:rPr>
          <w:sz w:val="26"/>
        </w:rPr>
      </w:pPr>
    </w:p>
    <w:p>
      <w:pPr>
        <w:pStyle w:val="BodyText"/>
        <w:spacing w:before="4"/>
        <w:rPr>
          <w:sz w:val="31"/>
        </w:rPr>
      </w:pPr>
    </w:p>
    <w:p>
      <w:pPr>
        <w:pStyle w:val="Heading2"/>
        <w:numPr>
          <w:ilvl w:val="0"/>
          <w:numId w:val="6"/>
        </w:numPr>
        <w:tabs>
          <w:tab w:pos="559" w:val="left" w:leader="none"/>
        </w:tabs>
        <w:spacing w:line="240" w:lineRule="auto" w:before="0" w:after="0"/>
        <w:ind w:left="558" w:right="0" w:hanging="432"/>
        <w:jc w:val="both"/>
      </w:pPr>
      <w:bookmarkStart w:name="_TOC_250044" w:id="61"/>
      <w:bookmarkEnd w:id="61"/>
      <w:r>
        <w:rPr>
          <w:w w:val="95"/>
        </w:rPr>
        <w:t>适用主险条款</w:t>
      </w:r>
    </w:p>
    <w:p>
      <w:pPr>
        <w:pStyle w:val="BodyText"/>
        <w:spacing w:before="10"/>
        <w:rPr>
          <w:rFonts w:ascii="Microsoft JhengHei UI"/>
          <w:b/>
          <w:sz w:val="38"/>
        </w:rPr>
      </w:pPr>
    </w:p>
    <w:p>
      <w:pPr>
        <w:pStyle w:val="BodyText"/>
        <w:ind w:left="120"/>
        <w:jc w:val="both"/>
      </w:pPr>
      <w:r>
        <w:rPr>
          <w:w w:val="95"/>
        </w:rPr>
        <w:t>下列各项条款，适用主险合同条款：</w:t>
      </w:r>
    </w:p>
    <w:p>
      <w:pPr>
        <w:pStyle w:val="ListParagraph"/>
        <w:numPr>
          <w:ilvl w:val="0"/>
          <w:numId w:val="9"/>
        </w:numPr>
        <w:tabs>
          <w:tab w:pos="959" w:val="left" w:leader="none"/>
          <w:tab w:pos="960" w:val="left" w:leader="none"/>
        </w:tabs>
        <w:spacing w:line="240" w:lineRule="auto" w:before="193" w:after="0"/>
        <w:ind w:left="960" w:right="0" w:hanging="420"/>
        <w:jc w:val="left"/>
        <w:rPr>
          <w:sz w:val="21"/>
        </w:rPr>
      </w:pPr>
      <w:r>
        <w:rPr>
          <w:w w:val="95"/>
          <w:sz w:val="21"/>
        </w:rPr>
        <w:t>如实告知；</w:t>
      </w:r>
    </w:p>
    <w:p>
      <w:pPr>
        <w:pStyle w:val="ListParagraph"/>
        <w:numPr>
          <w:ilvl w:val="0"/>
          <w:numId w:val="9"/>
        </w:numPr>
        <w:tabs>
          <w:tab w:pos="959" w:val="left" w:leader="none"/>
          <w:tab w:pos="960" w:val="left" w:leader="none"/>
        </w:tabs>
        <w:spacing w:line="240" w:lineRule="auto" w:before="193" w:after="0"/>
        <w:ind w:left="960" w:right="0" w:hanging="420"/>
        <w:jc w:val="left"/>
        <w:rPr>
          <w:sz w:val="21"/>
        </w:rPr>
      </w:pPr>
      <w:r>
        <w:rPr>
          <w:w w:val="95"/>
          <w:sz w:val="21"/>
        </w:rPr>
        <w:t>合同的变更；</w:t>
      </w:r>
    </w:p>
    <w:p>
      <w:pPr>
        <w:pStyle w:val="ListParagraph"/>
        <w:numPr>
          <w:ilvl w:val="0"/>
          <w:numId w:val="9"/>
        </w:numPr>
        <w:tabs>
          <w:tab w:pos="959" w:val="left" w:leader="none"/>
          <w:tab w:pos="960" w:val="left" w:leader="none"/>
        </w:tabs>
        <w:spacing w:line="240" w:lineRule="auto" w:before="193" w:after="0"/>
        <w:ind w:left="960" w:right="0" w:hanging="420"/>
        <w:jc w:val="left"/>
        <w:rPr>
          <w:sz w:val="21"/>
        </w:rPr>
      </w:pPr>
      <w:r>
        <w:rPr>
          <w:w w:val="95"/>
          <w:sz w:val="21"/>
        </w:rPr>
        <w:t>争议处理</w:t>
      </w:r>
      <w:r>
        <w:rPr>
          <w:w w:val="75"/>
          <w:sz w:val="21"/>
        </w:rPr>
        <w:t>;</w:t>
      </w:r>
    </w:p>
    <w:p>
      <w:pPr>
        <w:pStyle w:val="ListParagraph"/>
        <w:numPr>
          <w:ilvl w:val="0"/>
          <w:numId w:val="9"/>
        </w:numPr>
        <w:tabs>
          <w:tab w:pos="959" w:val="left" w:leader="none"/>
          <w:tab w:pos="960" w:val="left" w:leader="none"/>
        </w:tabs>
        <w:spacing w:line="240" w:lineRule="auto" w:before="193" w:after="0"/>
        <w:ind w:left="960" w:right="0" w:hanging="420"/>
        <w:jc w:val="left"/>
        <w:rPr>
          <w:sz w:val="21"/>
        </w:rPr>
      </w:pPr>
      <w:r>
        <w:rPr>
          <w:w w:val="95"/>
          <w:sz w:val="21"/>
        </w:rPr>
        <w:t>保险事故的通知。</w:t>
      </w:r>
    </w:p>
    <w:p>
      <w:pPr>
        <w:spacing w:after="0" w:line="240" w:lineRule="auto"/>
        <w:jc w:val="left"/>
        <w:rPr>
          <w:sz w:val="21"/>
        </w:rPr>
        <w:sectPr>
          <w:pgSz w:w="11910" w:h="16840"/>
          <w:pgMar w:header="0" w:footer="1307" w:top="1460" w:bottom="1500" w:left="1680" w:right="1680"/>
        </w:sectPr>
      </w:pPr>
    </w:p>
    <w:p>
      <w:pPr>
        <w:pStyle w:val="Heading2"/>
        <w:numPr>
          <w:ilvl w:val="0"/>
          <w:numId w:val="6"/>
        </w:numPr>
        <w:tabs>
          <w:tab w:pos="559" w:val="left" w:leader="none"/>
        </w:tabs>
        <w:spacing w:line="240" w:lineRule="auto" w:before="3" w:after="0"/>
        <w:ind w:left="558" w:right="0" w:hanging="432"/>
        <w:jc w:val="left"/>
      </w:pPr>
      <w:bookmarkStart w:name="_TOC_250043" w:id="62"/>
      <w:bookmarkStart w:name="释义" w:id="63"/>
      <w:r>
        <w:rPr>
          <w:b w:val="0"/>
        </w:rPr>
      </w:r>
      <w:bookmarkStart w:name="周岁" w:id="64"/>
      <w:bookmarkEnd w:id="64"/>
      <w:r>
        <w:rPr>
          <w:b w:val="0"/>
        </w:rPr>
      </w:r>
      <w:bookmarkStart w:name="医院" w:id="65"/>
      <w:bookmarkEnd w:id="65"/>
      <w:r>
        <w:rPr>
          <w:b w:val="0"/>
        </w:rPr>
      </w:r>
      <w:bookmarkStart w:name="30种重大疾病" w:id="66"/>
      <w:bookmarkEnd w:id="66"/>
      <w:r>
        <w:rPr>
          <w:b w:val="0"/>
        </w:rPr>
      </w:r>
      <w:bookmarkStart w:name="恶性肿瘤" w:id="67"/>
      <w:bookmarkEnd w:id="67"/>
      <w:r>
        <w:rPr>
          <w:b w:val="0"/>
        </w:rPr>
      </w:r>
      <w:bookmarkStart w:name="恶性肿瘤" w:id="68"/>
      <w:bookmarkEnd w:id="62"/>
      <w:r>
        <w:rPr>
          <w:w w:val="95"/>
        </w:rPr>
        <w:t>释义</w:t>
      </w:r>
    </w:p>
    <w:p>
      <w:pPr>
        <w:pStyle w:val="BodyText"/>
        <w:spacing w:before="7"/>
        <w:rPr>
          <w:rFonts w:ascii="Microsoft JhengHei UI"/>
          <w:b/>
          <w:sz w:val="37"/>
        </w:rPr>
      </w:pPr>
    </w:p>
    <w:p>
      <w:pPr>
        <w:pStyle w:val="Heading2"/>
        <w:numPr>
          <w:ilvl w:val="1"/>
          <w:numId w:val="6"/>
        </w:numPr>
        <w:tabs>
          <w:tab w:pos="703" w:val="left" w:leader="none"/>
        </w:tabs>
        <w:spacing w:line="240" w:lineRule="auto" w:before="1" w:after="0"/>
        <w:ind w:left="702" w:right="0" w:hanging="576"/>
        <w:jc w:val="left"/>
      </w:pPr>
      <w:bookmarkStart w:name="_TOC_250042" w:id="69"/>
      <w:bookmarkEnd w:id="69"/>
      <w:r>
        <w:rPr>
          <w:w w:val="95"/>
        </w:rPr>
        <w:t>周岁</w:t>
      </w:r>
    </w:p>
    <w:p>
      <w:pPr>
        <w:pStyle w:val="BodyText"/>
        <w:spacing w:before="15"/>
        <w:rPr>
          <w:rFonts w:ascii="Microsoft JhengHei UI"/>
          <w:b/>
          <w:sz w:val="27"/>
        </w:rPr>
      </w:pPr>
    </w:p>
    <w:p>
      <w:pPr>
        <w:pStyle w:val="BodyText"/>
        <w:spacing w:line="408" w:lineRule="auto" w:before="1"/>
        <w:ind w:left="120" w:right="60"/>
      </w:pPr>
      <w:r>
        <w:rPr/>
        <w:t>指以法定身份证明文件中记载的出生日期为基础</w:t>
      </w:r>
      <w:r>
        <w:rPr>
          <w:w w:val="75"/>
        </w:rPr>
        <w:t>, </w:t>
      </w:r>
      <w:r>
        <w:rPr/>
        <w:t>按照公历的年、月、日，从周岁生日的第</w:t>
      </w:r>
      <w:r>
        <w:rPr>
          <w:w w:val="95"/>
        </w:rPr>
        <w:t>二天起计算的年龄。</w:t>
      </w:r>
    </w:p>
    <w:p>
      <w:pPr>
        <w:pStyle w:val="BodyText"/>
        <w:rPr>
          <w:sz w:val="22"/>
        </w:rPr>
      </w:pPr>
    </w:p>
    <w:p>
      <w:pPr>
        <w:pStyle w:val="Heading2"/>
        <w:numPr>
          <w:ilvl w:val="1"/>
          <w:numId w:val="6"/>
        </w:numPr>
        <w:tabs>
          <w:tab w:pos="703" w:val="left" w:leader="none"/>
        </w:tabs>
        <w:spacing w:line="240" w:lineRule="auto" w:before="1" w:after="0"/>
        <w:ind w:left="702" w:right="0" w:hanging="576"/>
        <w:jc w:val="left"/>
      </w:pPr>
      <w:bookmarkStart w:name="_TOC_250041" w:id="70"/>
      <w:bookmarkEnd w:id="70"/>
      <w:r>
        <w:rPr>
          <w:w w:val="95"/>
        </w:rPr>
        <w:t>医院</w:t>
      </w:r>
    </w:p>
    <w:p>
      <w:pPr>
        <w:pStyle w:val="BodyText"/>
        <w:spacing w:before="15"/>
        <w:rPr>
          <w:rFonts w:ascii="Microsoft JhengHei UI"/>
          <w:b/>
          <w:sz w:val="27"/>
        </w:rPr>
      </w:pPr>
    </w:p>
    <w:p>
      <w:pPr>
        <w:pStyle w:val="BodyText"/>
        <w:spacing w:before="1"/>
        <w:ind w:left="120"/>
      </w:pPr>
      <w:r>
        <w:rPr>
          <w:w w:val="95"/>
        </w:rPr>
        <w:t>指国家卫生机构认可的公立二级甲等（含）以上的医院。</w:t>
      </w:r>
    </w:p>
    <w:p>
      <w:pPr>
        <w:pStyle w:val="BodyText"/>
        <w:spacing w:before="6"/>
        <w:rPr>
          <w:sz w:val="33"/>
        </w:rPr>
      </w:pPr>
    </w:p>
    <w:p>
      <w:pPr>
        <w:pStyle w:val="Heading2"/>
        <w:numPr>
          <w:ilvl w:val="1"/>
          <w:numId w:val="6"/>
        </w:numPr>
        <w:tabs>
          <w:tab w:pos="703" w:val="left" w:leader="none"/>
        </w:tabs>
        <w:spacing w:line="240" w:lineRule="auto" w:before="0" w:after="0"/>
        <w:ind w:left="702" w:right="0" w:hanging="576"/>
        <w:jc w:val="left"/>
      </w:pPr>
      <w:bookmarkStart w:name="_TOC_250040" w:id="71"/>
      <w:bookmarkEnd w:id="71"/>
      <w:r>
        <w:rPr>
          <w:w w:val="95"/>
        </w:rPr>
        <w:t>30 种重大疾病</w:t>
      </w:r>
    </w:p>
    <w:p>
      <w:pPr>
        <w:pStyle w:val="BodyText"/>
        <w:spacing w:before="13"/>
        <w:rPr>
          <w:rFonts w:ascii="Microsoft JhengHei UI"/>
          <w:b/>
          <w:sz w:val="27"/>
        </w:rPr>
      </w:pPr>
    </w:p>
    <w:p>
      <w:pPr>
        <w:pStyle w:val="BodyText"/>
        <w:spacing w:line="408" w:lineRule="auto"/>
        <w:ind w:left="120" w:right="117"/>
        <w:jc w:val="both"/>
      </w:pPr>
      <w:r>
        <w:rPr>
          <w:w w:val="95"/>
        </w:rPr>
        <w:t>本产品提供30</w:t>
      </w:r>
      <w:r>
        <w:rPr>
          <w:spacing w:val="-7"/>
          <w:w w:val="95"/>
        </w:rPr>
        <w:t>种重大疾病保障。其中恶性肿瘤、急性心肌梗塞、脑中风后遗症、冠状动脉搭   </w:t>
      </w:r>
      <w:r>
        <w:rPr>
          <w:spacing w:val="-10"/>
          <w:w w:val="95"/>
        </w:rPr>
        <w:t>桥术(或称冠状动脉旁路移植术)、重大器官移植术或造血干细胞移植术、终末期肾病(或称慢 性肾功能衰竭尿毒症期)6种重大疾病为《中国保险行业协会重大疾病使用规范》规定重大疾  病保险产品必须包含的疾病种类。系统性红斑狼疮(</w:t>
      </w:r>
      <w:r>
        <w:rPr>
          <w:w w:val="95"/>
        </w:rPr>
        <w:t>III</w:t>
      </w:r>
      <w:r>
        <w:rPr>
          <w:spacing w:val="-1"/>
          <w:w w:val="95"/>
        </w:rPr>
        <w:t>型或以上狼疮性肾炎)、经输血导致的</w:t>
      </w:r>
      <w:r>
        <w:rPr>
          <w:spacing w:val="1"/>
          <w:w w:val="99"/>
        </w:rPr>
        <w:t>人</w:t>
      </w:r>
      <w:r>
        <w:rPr>
          <w:spacing w:val="-2"/>
          <w:w w:val="99"/>
        </w:rPr>
        <w:t>类免疫缺陷病毒</w:t>
      </w:r>
      <w:r>
        <w:rPr>
          <w:w w:val="99"/>
        </w:rPr>
        <w:t>（</w:t>
      </w:r>
      <w:r>
        <w:rPr>
          <w:spacing w:val="-1"/>
          <w:w w:val="151"/>
        </w:rPr>
        <w:t>H</w:t>
      </w:r>
      <w:r>
        <w:rPr>
          <w:w w:val="70"/>
        </w:rPr>
        <w:t>I</w:t>
      </w:r>
      <w:r>
        <w:rPr>
          <w:spacing w:val="1"/>
          <w:w w:val="134"/>
        </w:rPr>
        <w:t>V</w:t>
      </w:r>
      <w:r>
        <w:rPr>
          <w:spacing w:val="-10"/>
          <w:w w:val="99"/>
        </w:rPr>
        <w:t>）</w:t>
      </w:r>
      <w:r>
        <w:rPr>
          <w:spacing w:val="-4"/>
          <w:w w:val="99"/>
        </w:rPr>
        <w:t>感染、严重多发性硬化、严重类风湿性关节炎、慢性呼吸功能衰</w:t>
      </w:r>
      <w:r>
        <w:rPr/>
        <w:t>竭5种重大疾病为我司根据产品设计需求选用。其余19种重大疾病保险为本公司根据中国保</w:t>
      </w:r>
      <w:r>
        <w:rPr>
          <w:w w:val="95"/>
        </w:rPr>
        <w:t>险</w:t>
      </w:r>
      <w:r>
        <w:rPr>
          <w:spacing w:val="-1"/>
          <w:w w:val="95"/>
        </w:rPr>
        <w:t>行业协会重大疾病使用规范选择使用。</w:t>
      </w:r>
    </w:p>
    <w:p>
      <w:pPr>
        <w:pStyle w:val="BodyText"/>
        <w:rPr>
          <w:sz w:val="26"/>
        </w:rPr>
      </w:pPr>
    </w:p>
    <w:p>
      <w:pPr>
        <w:pStyle w:val="BodyText"/>
        <w:spacing w:line="408" w:lineRule="auto" w:before="174"/>
        <w:ind w:left="120" w:right="117"/>
      </w:pPr>
      <w:r>
        <w:rPr>
          <w:spacing w:val="-7"/>
          <w:w w:val="95"/>
        </w:rPr>
        <w:t>本附加合同所保障的重大疾病，是指被保险人在主险合同有效且等待期后本附加合同的责任   </w:t>
      </w:r>
      <w:r>
        <w:rPr>
          <w:spacing w:val="-7"/>
        </w:rPr>
        <w:t>有效期间内经专科医生明确诊断初次患下列疾病或初次达到下列疾病状态或在医院初次接</w:t>
      </w:r>
      <w:r>
        <w:rPr>
          <w:spacing w:val="-7"/>
          <w:w w:val="95"/>
        </w:rPr>
        <w:t>受下列手术：</w:t>
      </w:r>
    </w:p>
    <w:p>
      <w:pPr>
        <w:pStyle w:val="BodyText"/>
        <w:rPr>
          <w:sz w:val="26"/>
        </w:rPr>
      </w:pPr>
    </w:p>
    <w:p>
      <w:pPr>
        <w:pStyle w:val="BodyText"/>
        <w:spacing w:before="1"/>
        <w:rPr>
          <w:sz w:val="20"/>
        </w:rPr>
      </w:pPr>
    </w:p>
    <w:p>
      <w:pPr>
        <w:pStyle w:val="Heading2"/>
        <w:numPr>
          <w:ilvl w:val="2"/>
          <w:numId w:val="6"/>
        </w:numPr>
        <w:tabs>
          <w:tab w:pos="847" w:val="left" w:leader="none"/>
        </w:tabs>
        <w:spacing w:line="240" w:lineRule="auto" w:before="0" w:after="0"/>
        <w:ind w:left="846" w:right="0" w:hanging="720"/>
        <w:jc w:val="left"/>
      </w:pPr>
      <w:bookmarkStart w:name="_TOC_250039" w:id="72"/>
      <w:bookmarkEnd w:id="72"/>
      <w:r>
        <w:rPr>
          <w:w w:val="95"/>
        </w:rPr>
        <w:t>恶性肿瘤</w:t>
      </w:r>
    </w:p>
    <w:p>
      <w:pPr>
        <w:pStyle w:val="BodyText"/>
        <w:spacing w:before="13"/>
        <w:rPr>
          <w:rFonts w:ascii="Microsoft JhengHei UI"/>
          <w:b/>
          <w:sz w:val="27"/>
        </w:rPr>
      </w:pPr>
    </w:p>
    <w:p>
      <w:pPr>
        <w:pStyle w:val="BodyText"/>
        <w:spacing w:line="408" w:lineRule="auto"/>
        <w:ind w:left="120" w:right="117"/>
        <w:jc w:val="both"/>
      </w:pPr>
      <w:r>
        <w:rPr>
          <w:spacing w:val="-4"/>
          <w:w w:val="95"/>
        </w:rPr>
        <w:t>指恶性细胞不受控制的进行性增长和扩散，浸润和破坏周围正常组织，可以经血管、淋巴管   </w:t>
      </w:r>
      <w:r>
        <w:rPr>
          <w:spacing w:val="-9"/>
        </w:rPr>
        <w:t>和体腔扩散转移到身体其它部位的疾病。经病理学检查结果明确诊断，临床诊断属于世界卫</w:t>
      </w:r>
      <w:r>
        <w:rPr>
          <w:spacing w:val="-6"/>
          <w:w w:val="99"/>
        </w:rPr>
        <w:t>生组织《疾病和有关健康问题的国际统计分类》</w:t>
      </w:r>
      <w:r>
        <w:rPr>
          <w:w w:val="99"/>
        </w:rPr>
        <w:t>（</w:t>
      </w:r>
      <w:r>
        <w:rPr>
          <w:w w:val="70"/>
        </w:rPr>
        <w:t>I</w:t>
      </w:r>
      <w:r>
        <w:rPr>
          <w:spacing w:val="-1"/>
          <w:w w:val="126"/>
        </w:rPr>
        <w:t>C</w:t>
      </w:r>
      <w:r>
        <w:rPr>
          <w:spacing w:val="1"/>
          <w:w w:val="153"/>
        </w:rPr>
        <w:t>D</w:t>
      </w:r>
      <w:r>
        <w:rPr>
          <w:spacing w:val="-1"/>
          <w:w w:val="62"/>
        </w:rPr>
        <w:t>-</w:t>
      </w:r>
      <w:r>
        <w:rPr>
          <w:w w:val="93"/>
        </w:rPr>
        <w:t>1</w:t>
      </w:r>
      <w:r>
        <w:rPr>
          <w:spacing w:val="1"/>
          <w:w w:val="93"/>
        </w:rPr>
        <w:t>0</w:t>
      </w:r>
      <w:r>
        <w:rPr>
          <w:spacing w:val="1"/>
          <w:w w:val="99"/>
        </w:rPr>
        <w:t>）</w:t>
      </w:r>
      <w:r>
        <w:rPr>
          <w:w w:val="99"/>
        </w:rPr>
        <w:t>的恶性肿瘤范畴。</w:t>
      </w:r>
    </w:p>
    <w:p>
      <w:pPr>
        <w:pStyle w:val="BodyText"/>
        <w:spacing w:before="46"/>
        <w:ind w:left="120"/>
      </w:pPr>
      <w:r>
        <w:rPr>
          <w:w w:val="95"/>
        </w:rPr>
        <w:t>下列疾病不在保障范围内：</w:t>
      </w:r>
    </w:p>
    <w:p>
      <w:pPr>
        <w:spacing w:after="0"/>
        <w:sectPr>
          <w:pgSz w:w="11910" w:h="16840"/>
          <w:pgMar w:header="0" w:footer="1307" w:top="1560" w:bottom="1500" w:left="1680" w:right="1680"/>
        </w:sectPr>
      </w:pPr>
    </w:p>
    <w:p>
      <w:pPr>
        <w:pStyle w:val="BodyText"/>
        <w:spacing w:before="35"/>
        <w:ind w:left="120"/>
      </w:pPr>
      <w:bookmarkStart w:name="急性心肌梗塞" w:id="73"/>
      <w:bookmarkEnd w:id="73"/>
      <w:r>
        <w:rPr/>
      </w:r>
      <w:bookmarkStart w:name="脑中风后遗症" w:id="74"/>
      <w:bookmarkEnd w:id="74"/>
      <w:r>
        <w:rPr/>
      </w:r>
      <w:bookmarkStart w:name="重大器官移植术或造血干细胞移植术" w:id="75"/>
      <w:bookmarkEnd w:id="75"/>
      <w:r>
        <w:rPr/>
      </w:r>
      <w:bookmarkStart w:name="冠状动脉搭桥术（或称冠状动脉旁路移植术）" w:id="76"/>
      <w:bookmarkEnd w:id="76"/>
      <w:r>
        <w:rPr/>
      </w:r>
      <w:r>
        <w:rPr>
          <w:w w:val="95"/>
        </w:rPr>
        <w:t>（1）原位癌；</w:t>
      </w:r>
    </w:p>
    <w:p>
      <w:pPr>
        <w:pStyle w:val="BodyText"/>
        <w:spacing w:before="37"/>
        <w:ind w:left="120"/>
      </w:pPr>
      <w:r>
        <w:rPr>
          <w:w w:val="99"/>
        </w:rPr>
        <w:t>（</w:t>
      </w:r>
      <w:r>
        <w:rPr>
          <w:w w:val="93"/>
        </w:rPr>
        <w:t>2</w:t>
      </w:r>
      <w:r>
        <w:rPr>
          <w:spacing w:val="1"/>
          <w:w w:val="99"/>
        </w:rPr>
        <w:t>）</w:t>
      </w:r>
      <w:r>
        <w:rPr>
          <w:w w:val="99"/>
        </w:rPr>
        <w:t>相当于</w:t>
      </w:r>
      <w:r>
        <w:rPr>
          <w:spacing w:val="-53"/>
        </w:rPr>
        <w:t> </w:t>
      </w:r>
      <w:r>
        <w:rPr>
          <w:spacing w:val="0"/>
          <w:w w:val="122"/>
        </w:rPr>
        <w:t>B</w:t>
      </w:r>
      <w:r>
        <w:rPr>
          <w:w w:val="45"/>
        </w:rPr>
        <w:t>i</w:t>
      </w:r>
      <w:r>
        <w:rPr>
          <w:spacing w:val="-1"/>
          <w:w w:val="101"/>
        </w:rPr>
        <w:t>n</w:t>
      </w:r>
      <w:r>
        <w:rPr>
          <w:spacing w:val="0"/>
          <w:w w:val="82"/>
        </w:rPr>
        <w:t>e</w:t>
      </w:r>
      <w:r>
        <w:rPr>
          <w:w w:val="58"/>
        </w:rPr>
        <w:t>t</w:t>
      </w:r>
      <w:r>
        <w:rPr>
          <w:spacing w:val="-51"/>
        </w:rPr>
        <w:t> </w:t>
      </w:r>
      <w:r>
        <w:rPr>
          <w:w w:val="99"/>
        </w:rPr>
        <w:t>分期方案</w:t>
      </w:r>
      <w:r>
        <w:rPr>
          <w:spacing w:val="-53"/>
        </w:rPr>
        <w:t> </w:t>
      </w:r>
      <w:r>
        <w:rPr>
          <w:w w:val="134"/>
        </w:rPr>
        <w:t>A</w:t>
      </w:r>
      <w:r>
        <w:rPr>
          <w:spacing w:val="-55"/>
        </w:rPr>
        <w:t> </w:t>
      </w:r>
      <w:r>
        <w:rPr>
          <w:w w:val="99"/>
        </w:rPr>
        <w:t>期程度的慢性淋巴细胞白血病；</w:t>
      </w:r>
    </w:p>
    <w:p>
      <w:pPr>
        <w:pStyle w:val="BodyText"/>
        <w:spacing w:before="42"/>
        <w:ind w:left="120"/>
      </w:pPr>
      <w:r>
        <w:rPr>
          <w:w w:val="99"/>
        </w:rPr>
        <w:t>（</w:t>
      </w:r>
      <w:r>
        <w:rPr>
          <w:w w:val="93"/>
        </w:rPr>
        <w:t>3</w:t>
      </w:r>
      <w:r>
        <w:rPr>
          <w:spacing w:val="1"/>
          <w:w w:val="99"/>
        </w:rPr>
        <w:t>）</w:t>
      </w:r>
      <w:r>
        <w:rPr>
          <w:w w:val="99"/>
        </w:rPr>
        <w:t>相当于</w:t>
      </w:r>
      <w:r>
        <w:rPr>
          <w:spacing w:val="-53"/>
        </w:rPr>
        <w:t> </w:t>
      </w:r>
      <w:r>
        <w:rPr>
          <w:w w:val="134"/>
        </w:rPr>
        <w:t>A</w:t>
      </w:r>
      <w:r>
        <w:rPr>
          <w:spacing w:val="-1"/>
          <w:w w:val="101"/>
        </w:rPr>
        <w:t>n</w:t>
      </w:r>
      <w:r>
        <w:rPr>
          <w:w w:val="101"/>
        </w:rPr>
        <w:t>n</w:t>
      </w:r>
      <w:r>
        <w:rPr>
          <w:spacing w:val="-51"/>
        </w:rPr>
        <w:t> </w:t>
      </w:r>
      <w:r>
        <w:rPr>
          <w:w w:val="134"/>
        </w:rPr>
        <w:t>A</w:t>
      </w:r>
      <w:r>
        <w:rPr>
          <w:w w:val="66"/>
        </w:rPr>
        <w:t>r</w:t>
      </w:r>
      <w:r>
        <w:rPr>
          <w:spacing w:val="-1"/>
          <w:w w:val="101"/>
        </w:rPr>
        <w:t>b</w:t>
      </w:r>
      <w:r>
        <w:rPr>
          <w:spacing w:val="0"/>
          <w:w w:val="101"/>
        </w:rPr>
        <w:t>o</w:t>
      </w:r>
      <w:r>
        <w:rPr>
          <w:w w:val="66"/>
        </w:rPr>
        <w:t>r</w:t>
      </w:r>
      <w:r>
        <w:rPr>
          <w:spacing w:val="-50"/>
        </w:rPr>
        <w:t> </w:t>
      </w:r>
      <w:r>
        <w:rPr>
          <w:w w:val="99"/>
        </w:rPr>
        <w:t>分期方案</w:t>
      </w:r>
      <w:r>
        <w:rPr>
          <w:spacing w:val="-53"/>
        </w:rPr>
        <w:t> </w:t>
      </w:r>
      <w:r>
        <w:rPr>
          <w:w w:val="70"/>
        </w:rPr>
        <w:t>I</w:t>
      </w:r>
      <w:r>
        <w:rPr>
          <w:spacing w:val="-52"/>
        </w:rPr>
        <w:t> </w:t>
      </w:r>
      <w:r>
        <w:rPr>
          <w:w w:val="99"/>
        </w:rPr>
        <w:t>期程度的何杰金氏病；</w:t>
      </w:r>
    </w:p>
    <w:p>
      <w:pPr>
        <w:pStyle w:val="BodyText"/>
        <w:spacing w:before="20"/>
        <w:ind w:left="120"/>
      </w:pPr>
      <w:r>
        <w:rPr>
          <w:w w:val="99"/>
        </w:rPr>
        <w:t>（</w:t>
      </w:r>
      <w:r>
        <w:rPr>
          <w:w w:val="93"/>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spacing w:line="308" w:lineRule="exact" w:before="44"/>
        <w:ind w:left="120" w:right="0" w:firstLine="0"/>
        <w:jc w:val="left"/>
        <w:rPr>
          <w:sz w:val="21"/>
        </w:rPr>
      </w:pPr>
      <w:r>
        <w:rPr>
          <w:w w:val="99"/>
          <w:sz w:val="21"/>
        </w:rPr>
        <w:t>（</w:t>
      </w:r>
      <w:r>
        <w:rPr>
          <w:w w:val="93"/>
          <w:sz w:val="21"/>
        </w:rPr>
        <w:t>5</w:t>
      </w:r>
      <w:r>
        <w:rPr>
          <w:spacing w:val="12"/>
          <w:w w:val="99"/>
          <w:sz w:val="21"/>
        </w:rPr>
        <w:t>）</w:t>
      </w:r>
      <w:r>
        <w:rPr>
          <w:rFonts w:ascii="Times New Roman" w:eastAsia="Times New Roman"/>
          <w:i/>
          <w:spacing w:val="-57"/>
          <w:w w:val="98"/>
          <w:sz w:val="24"/>
        </w:rPr>
        <w:t>TN</w:t>
      </w:r>
      <w:r>
        <w:rPr>
          <w:rFonts w:ascii="Times New Roman" w:eastAsia="Times New Roman"/>
          <w:i/>
          <w:w w:val="98"/>
          <w:sz w:val="24"/>
        </w:rPr>
        <w:t>M</w:t>
      </w:r>
      <w:r>
        <w:rPr>
          <w:rFonts w:ascii="Times New Roman" w:eastAsia="Times New Roman"/>
          <w:i/>
          <w:spacing w:val="-15"/>
          <w:sz w:val="24"/>
        </w:rPr>
        <w:t> </w:t>
      </w:r>
      <w:r>
        <w:rPr>
          <w:spacing w:val="2"/>
          <w:w w:val="99"/>
          <w:sz w:val="21"/>
        </w:rPr>
        <w:t>分期为</w:t>
      </w:r>
      <w:r>
        <w:rPr>
          <w:rFonts w:ascii="Times New Roman" w:eastAsia="Times New Roman"/>
          <w:i/>
          <w:spacing w:val="-74"/>
          <w:w w:val="99"/>
          <w:sz w:val="24"/>
        </w:rPr>
        <w:t>T</w:t>
      </w:r>
      <w:r>
        <w:rPr>
          <w:rFonts w:ascii="Times New Roman" w:eastAsia="Times New Roman"/>
          <w:w w:val="99"/>
          <w:position w:val="-5"/>
          <w:sz w:val="14"/>
        </w:rPr>
        <w:t>1</w:t>
      </w:r>
      <w:r>
        <w:rPr>
          <w:rFonts w:ascii="Times New Roman" w:eastAsia="Times New Roman"/>
          <w:i/>
          <w:spacing w:val="-33"/>
          <w:w w:val="99"/>
          <w:sz w:val="24"/>
        </w:rPr>
        <w:t>N</w:t>
      </w:r>
      <w:r>
        <w:rPr>
          <w:rFonts w:ascii="Times New Roman" w:eastAsia="Times New Roman"/>
          <w:spacing w:val="2"/>
          <w:w w:val="99"/>
          <w:position w:val="-5"/>
          <w:sz w:val="14"/>
        </w:rPr>
        <w:t>0</w:t>
      </w:r>
      <w:r>
        <w:rPr>
          <w:rFonts w:ascii="Times New Roman" w:eastAsia="Times New Roman"/>
          <w:i/>
          <w:spacing w:val="-23"/>
          <w:w w:val="99"/>
          <w:sz w:val="24"/>
        </w:rPr>
        <w:t>M</w:t>
      </w:r>
      <w:r>
        <w:rPr>
          <w:rFonts w:ascii="Times New Roman" w:eastAsia="Times New Roman"/>
          <w:w w:val="99"/>
          <w:position w:val="-5"/>
          <w:sz w:val="14"/>
        </w:rPr>
        <w:t>0</w:t>
      </w:r>
      <w:r>
        <w:rPr>
          <w:rFonts w:ascii="Times New Roman" w:eastAsia="Times New Roman"/>
          <w:spacing w:val="5"/>
          <w:position w:val="-5"/>
          <w:sz w:val="14"/>
        </w:rPr>
        <w:t> </w:t>
      </w:r>
      <w:r>
        <w:rPr>
          <w:w w:val="99"/>
          <w:sz w:val="21"/>
        </w:rPr>
        <w:t>期或更轻分期的前列腺癌；</w:t>
      </w:r>
    </w:p>
    <w:p>
      <w:pPr>
        <w:pStyle w:val="BodyText"/>
        <w:spacing w:line="247" w:lineRule="exact"/>
        <w:ind w:left="120"/>
      </w:pPr>
      <w:r>
        <w:rPr>
          <w:w w:val="95"/>
        </w:rPr>
        <w:t>（6）感染艾滋病病毒或患艾滋病期间所患恶性肿瘤。</w:t>
      </w:r>
    </w:p>
    <w:p>
      <w:pPr>
        <w:pStyle w:val="BodyText"/>
        <w:spacing w:before="5"/>
        <w:rPr>
          <w:sz w:val="27"/>
        </w:rPr>
      </w:pPr>
    </w:p>
    <w:p>
      <w:pPr>
        <w:pStyle w:val="Heading2"/>
        <w:numPr>
          <w:ilvl w:val="2"/>
          <w:numId w:val="6"/>
        </w:numPr>
        <w:tabs>
          <w:tab w:pos="847" w:val="left" w:leader="none"/>
        </w:tabs>
        <w:spacing w:line="240" w:lineRule="auto" w:before="0" w:after="0"/>
        <w:ind w:left="846" w:right="0" w:hanging="720"/>
        <w:jc w:val="left"/>
      </w:pPr>
      <w:bookmarkStart w:name="_TOC_250038" w:id="77"/>
      <w:bookmarkEnd w:id="77"/>
      <w:r>
        <w:rPr>
          <w:w w:val="95"/>
        </w:rPr>
        <w:t>急性心肌梗塞</w:t>
      </w:r>
    </w:p>
    <w:p>
      <w:pPr>
        <w:pStyle w:val="BodyText"/>
        <w:spacing w:before="12"/>
        <w:rPr>
          <w:rFonts w:ascii="Microsoft JhengHei UI"/>
          <w:b/>
          <w:sz w:val="27"/>
        </w:rPr>
      </w:pPr>
    </w:p>
    <w:p>
      <w:pPr>
        <w:pStyle w:val="BodyText"/>
        <w:spacing w:before="1"/>
        <w:ind w:left="120"/>
      </w:pPr>
      <w:r>
        <w:rPr>
          <w:w w:val="95"/>
        </w:rPr>
        <w:t>指因冠状动脉阻塞导致的相应区域供血不足造成部分心肌坏死。须满足下列至少三项条件：</w:t>
      </w:r>
    </w:p>
    <w:p>
      <w:pPr>
        <w:pStyle w:val="BodyText"/>
        <w:spacing w:before="116"/>
        <w:ind w:left="120"/>
      </w:pPr>
      <w:r>
        <w:rPr>
          <w:w w:val="95"/>
        </w:rPr>
        <w:t>（1）典型临床表现，例如急性胸痛等；</w:t>
      </w:r>
    </w:p>
    <w:p>
      <w:pPr>
        <w:pStyle w:val="BodyText"/>
        <w:spacing w:before="36"/>
        <w:ind w:left="120"/>
      </w:pPr>
      <w:r>
        <w:rPr>
          <w:w w:val="95"/>
        </w:rPr>
        <w:t>（2）新近的心电图改变提示急性心肌梗塞；</w:t>
      </w:r>
    </w:p>
    <w:p>
      <w:pPr>
        <w:pStyle w:val="BodyText"/>
        <w:spacing w:before="36"/>
        <w:ind w:left="120"/>
      </w:pPr>
      <w:r>
        <w:rPr>
          <w:w w:val="95"/>
        </w:rPr>
        <w:t>（3）心肌酶或肌钙蛋白有诊断意义的升高，或呈符合急性心肌梗塞的动态性变化；</w:t>
      </w:r>
    </w:p>
    <w:p>
      <w:pPr>
        <w:pStyle w:val="BodyText"/>
        <w:spacing w:before="113"/>
        <w:ind w:left="120"/>
      </w:pPr>
      <w:r>
        <w:rPr/>
        <w:t>（4）发病 90 天后，经检查证实左心室功能降低，如左心室射血分数低于 50%。</w:t>
      </w:r>
    </w:p>
    <w:p>
      <w:pPr>
        <w:pStyle w:val="BodyText"/>
        <w:spacing w:before="5"/>
        <w:rPr>
          <w:sz w:val="33"/>
        </w:rPr>
      </w:pPr>
    </w:p>
    <w:p>
      <w:pPr>
        <w:pStyle w:val="Heading2"/>
        <w:numPr>
          <w:ilvl w:val="2"/>
          <w:numId w:val="6"/>
        </w:numPr>
        <w:tabs>
          <w:tab w:pos="847" w:val="left" w:leader="none"/>
        </w:tabs>
        <w:spacing w:line="240" w:lineRule="auto" w:before="0" w:after="0"/>
        <w:ind w:left="846" w:right="0" w:hanging="720"/>
        <w:jc w:val="left"/>
      </w:pPr>
      <w:bookmarkStart w:name="_TOC_250037" w:id="78"/>
      <w:bookmarkEnd w:id="78"/>
      <w:r>
        <w:rPr>
          <w:w w:val="95"/>
        </w:rPr>
        <w:t>脑中风后遗症</w:t>
      </w:r>
    </w:p>
    <w:p>
      <w:pPr>
        <w:pStyle w:val="BodyText"/>
        <w:spacing w:before="2"/>
        <w:rPr>
          <w:rFonts w:ascii="Microsoft JhengHei UI"/>
          <w:b/>
          <w:sz w:val="23"/>
        </w:rPr>
      </w:pPr>
    </w:p>
    <w:p>
      <w:pPr>
        <w:pStyle w:val="BodyText"/>
        <w:spacing w:line="273" w:lineRule="auto"/>
        <w:ind w:left="120" w:right="197"/>
      </w:pPr>
      <w:r>
        <w:rPr>
          <w:w w:val="95"/>
        </w:rPr>
        <w:t>指因脑血管的突发病变引起脑血管出血、栓塞或梗塞，并导致神经系统永久性的功能障碍</w:t>
      </w:r>
      <w:r>
        <w:rPr>
          <w:w w:val="90"/>
        </w:rPr>
        <w:t>。  </w:t>
      </w:r>
      <w:r>
        <w:rPr>
          <w:spacing w:val="-4"/>
        </w:rPr>
        <w:t>神经系统永久性的功能障碍，指疾病确诊 </w:t>
      </w:r>
      <w:r>
        <w:rPr/>
        <w:t>180</w:t>
      </w:r>
      <w:r>
        <w:rPr>
          <w:spacing w:val="-9"/>
        </w:rPr>
        <w:t> 天后，仍遗留下列一种或一种以上障碍：</w:t>
      </w:r>
    </w:p>
    <w:p>
      <w:pPr>
        <w:pStyle w:val="BodyText"/>
        <w:spacing w:line="288" w:lineRule="exact"/>
        <w:ind w:left="120"/>
      </w:pPr>
      <w:r>
        <w:rPr>
          <w:w w:val="99"/>
        </w:rPr>
        <w:t>（</w:t>
      </w:r>
      <w:r>
        <w:rPr>
          <w:w w:val="93"/>
        </w:rPr>
        <w:t>1</w:t>
      </w:r>
      <w:r>
        <w:rPr>
          <w:spacing w:val="1"/>
          <w:w w:val="99"/>
        </w:rPr>
        <w:t>）</w:t>
      </w:r>
      <w:r>
        <w:rPr>
          <w:spacing w:val="-4"/>
          <w:w w:val="99"/>
        </w:rPr>
        <w:t>一肢或一肢以上</w:t>
      </w:r>
      <w:r>
        <w:rPr>
          <w:rFonts w:ascii="Microsoft JhengHei UI" w:eastAsia="Microsoft JhengHei UI" w:hint="eastAsia"/>
          <w:b/>
          <w:spacing w:val="-48"/>
          <w:w w:val="99"/>
        </w:rPr>
        <w:t>肢</w:t>
      </w:r>
      <w:r>
        <w:rPr>
          <w:w w:val="99"/>
          <w:position w:val="1"/>
        </w:rPr>
        <w:t>体</w:t>
      </w:r>
      <w:r>
        <w:rPr>
          <w:spacing w:val="-476"/>
          <w:w w:val="99"/>
          <w:position w:val="1"/>
        </w:rPr>
        <w:t>机</w:t>
      </w:r>
      <w:r>
        <w:rPr>
          <w:w w:val="99"/>
        </w:rPr>
        <w:t>体</w:t>
      </w:r>
      <w:r>
        <w:rPr>
          <w:spacing w:val="-471"/>
          <w:w w:val="99"/>
        </w:rPr>
        <w:t>机</w:t>
      </w:r>
      <w:r>
        <w:rPr>
          <w:w w:val="99"/>
        </w:rPr>
        <w:t>体</w:t>
      </w:r>
      <w:r>
        <w:rPr>
          <w:spacing w:val="-474"/>
          <w:w w:val="99"/>
        </w:rPr>
        <w:t>机</w:t>
      </w:r>
      <w:r>
        <w:rPr>
          <w:spacing w:val="-31"/>
          <w:w w:val="99"/>
        </w:rPr>
        <w:t>体机</w:t>
      </w:r>
      <w:r>
        <w:rPr>
          <w:w w:val="99"/>
          <w:position w:val="1"/>
        </w:rPr>
        <w:t>能</w:t>
      </w:r>
      <w:r>
        <w:rPr>
          <w:spacing w:val="-476"/>
          <w:w w:val="99"/>
          <w:position w:val="1"/>
        </w:rPr>
        <w:t>完</w:t>
      </w:r>
      <w:r>
        <w:rPr>
          <w:w w:val="99"/>
        </w:rPr>
        <w:t>能</w:t>
      </w:r>
      <w:r>
        <w:rPr>
          <w:spacing w:val="-471"/>
          <w:w w:val="99"/>
        </w:rPr>
        <w:t>完</w:t>
      </w:r>
      <w:r>
        <w:rPr>
          <w:w w:val="99"/>
        </w:rPr>
        <w:t>能</w:t>
      </w:r>
      <w:r>
        <w:rPr>
          <w:spacing w:val="-474"/>
          <w:w w:val="99"/>
        </w:rPr>
        <w:t>完</w:t>
      </w:r>
      <w:r>
        <w:rPr>
          <w:spacing w:val="-31"/>
          <w:w w:val="99"/>
        </w:rPr>
        <w:t>能完</w:t>
      </w:r>
      <w:r>
        <w:rPr>
          <w:w w:val="99"/>
          <w:position w:val="1"/>
        </w:rPr>
        <w:t>全</w:t>
      </w:r>
      <w:r>
        <w:rPr>
          <w:spacing w:val="-476"/>
          <w:w w:val="99"/>
          <w:position w:val="1"/>
        </w:rPr>
        <w:t>丧</w:t>
      </w:r>
      <w:r>
        <w:rPr>
          <w:w w:val="99"/>
        </w:rPr>
        <w:t>全</w:t>
      </w:r>
      <w:r>
        <w:rPr>
          <w:spacing w:val="-471"/>
          <w:w w:val="99"/>
        </w:rPr>
        <w:t>丧</w:t>
      </w:r>
      <w:r>
        <w:rPr>
          <w:w w:val="99"/>
        </w:rPr>
        <w:t>全</w:t>
      </w:r>
      <w:r>
        <w:rPr>
          <w:spacing w:val="-474"/>
          <w:w w:val="99"/>
        </w:rPr>
        <w:t>丧</w:t>
      </w:r>
      <w:r>
        <w:rPr>
          <w:spacing w:val="-31"/>
          <w:w w:val="99"/>
        </w:rPr>
        <w:t>全丧</w:t>
      </w:r>
      <w:r>
        <w:rPr>
          <w:spacing w:val="-267"/>
          <w:w w:val="99"/>
          <w:position w:val="1"/>
        </w:rPr>
        <w:t>失</w:t>
      </w:r>
      <w:r>
        <w:rPr>
          <w:spacing w:val="-264"/>
          <w:w w:val="99"/>
        </w:rPr>
        <w:t>失失</w:t>
      </w:r>
      <w:r>
        <w:rPr>
          <w:spacing w:val="-43"/>
          <w:w w:val="99"/>
        </w:rPr>
        <w:t>失</w:t>
      </w:r>
      <w:r>
        <w:rPr>
          <w:spacing w:val="1"/>
          <w:w w:val="99"/>
        </w:rPr>
        <w:t>（</w:t>
      </w:r>
      <w:r>
        <w:rPr>
          <w:w w:val="99"/>
        </w:rPr>
        <w:t>见释义</w:t>
      </w:r>
      <w:r>
        <w:rPr>
          <w:spacing w:val="-53"/>
        </w:rPr>
        <w:t> </w:t>
      </w:r>
      <w:r>
        <w:rPr>
          <w:w w:val="93"/>
        </w:rPr>
        <w:t>10</w:t>
      </w:r>
      <w:r>
        <w:rPr>
          <w:spacing w:val="-1"/>
          <w:w w:val="43"/>
        </w:rPr>
        <w:t>.</w:t>
      </w:r>
      <w:r>
        <w:rPr>
          <w:w w:val="93"/>
        </w:rPr>
        <w:t>9</w:t>
      </w:r>
      <w:r>
        <w:rPr>
          <w:spacing w:val="-104"/>
          <w:w w:val="99"/>
        </w:rPr>
        <w:t>）</w:t>
      </w:r>
      <w:r>
        <w:rPr>
          <w:w w:val="99"/>
        </w:rPr>
        <w:t>；</w:t>
      </w:r>
    </w:p>
    <w:p>
      <w:pPr>
        <w:pStyle w:val="BodyText"/>
        <w:spacing w:line="312" w:lineRule="exact"/>
        <w:ind w:left="120"/>
      </w:pPr>
      <w:r>
        <w:rPr>
          <w:spacing w:val="-7"/>
        </w:rPr>
        <w:t>（2）</w:t>
      </w:r>
      <w:r>
        <w:rPr>
          <w:rFonts w:ascii="Microsoft JhengHei UI" w:eastAsia="Microsoft JhengHei UI" w:hint="eastAsia"/>
          <w:b/>
          <w:spacing w:val="-48"/>
        </w:rPr>
        <w:t>语</w:t>
      </w:r>
      <w:r>
        <w:rPr>
          <w:spacing w:val="-105"/>
          <w:position w:val="1"/>
        </w:rPr>
        <w:t>言能</w:t>
      </w:r>
      <w:r>
        <w:rPr>
          <w:spacing w:val="-81"/>
        </w:rPr>
        <w:t>言能言能言能</w:t>
      </w:r>
      <w:r>
        <w:rPr>
          <w:spacing w:val="-105"/>
          <w:position w:val="1"/>
        </w:rPr>
        <w:t>力或</w:t>
      </w:r>
      <w:r>
        <w:rPr>
          <w:spacing w:val="-81"/>
        </w:rPr>
        <w:t>力或力或力或</w:t>
      </w:r>
      <w:r>
        <w:rPr>
          <w:spacing w:val="-105"/>
          <w:position w:val="1"/>
        </w:rPr>
        <w:t>咀嚼</w:t>
      </w:r>
      <w:r>
        <w:rPr>
          <w:spacing w:val="-81"/>
        </w:rPr>
        <w:t>咀嚼咀嚼咀嚼</w:t>
      </w:r>
      <w:r>
        <w:rPr>
          <w:spacing w:val="-105"/>
          <w:position w:val="1"/>
        </w:rPr>
        <w:t>吞咽</w:t>
      </w:r>
      <w:r>
        <w:rPr>
          <w:spacing w:val="-81"/>
        </w:rPr>
        <w:t>吞咽吞咽吞咽</w:t>
      </w:r>
      <w:r>
        <w:rPr>
          <w:spacing w:val="-105"/>
          <w:position w:val="1"/>
        </w:rPr>
        <w:t>能力</w:t>
      </w:r>
      <w:r>
        <w:rPr>
          <w:spacing w:val="-81"/>
        </w:rPr>
        <w:t>能力能力能力</w:t>
      </w:r>
      <w:r>
        <w:rPr>
          <w:spacing w:val="-105"/>
          <w:position w:val="1"/>
        </w:rPr>
        <w:t>完全</w:t>
      </w:r>
      <w:r>
        <w:rPr>
          <w:spacing w:val="-81"/>
        </w:rPr>
        <w:t>完全完全完全</w:t>
      </w:r>
      <w:r>
        <w:rPr>
          <w:spacing w:val="-105"/>
          <w:position w:val="1"/>
        </w:rPr>
        <w:t>丧失</w:t>
      </w:r>
      <w:r>
        <w:rPr>
          <w:spacing w:val="-77"/>
        </w:rPr>
        <w:t>丧失丧失丧失</w:t>
      </w:r>
      <w:r>
        <w:rPr/>
        <w:t>（见释义</w:t>
      </w:r>
      <w:r>
        <w:rPr>
          <w:spacing w:val="-101"/>
          <w:w w:val="93"/>
        </w:rPr>
        <w:t>10</w:t>
      </w:r>
      <w:r>
        <w:rPr>
          <w:spacing w:val="-102"/>
          <w:w w:val="43"/>
        </w:rPr>
        <w:t>.</w:t>
      </w:r>
      <w:r>
        <w:rPr>
          <w:spacing w:val="-101"/>
          <w:w w:val="93"/>
        </w:rPr>
        <w:t>1</w:t>
      </w:r>
      <w:r>
        <w:rPr>
          <w:spacing w:val="-99"/>
          <w:w w:val="93"/>
        </w:rPr>
        <w:t>0</w:t>
      </w:r>
      <w:r>
        <w:rPr>
          <w:spacing w:val="-205"/>
          <w:w w:val="99"/>
        </w:rPr>
        <w:t>）</w:t>
      </w:r>
      <w:r>
        <w:rPr>
          <w:spacing w:val="-101"/>
          <w:w w:val="99"/>
        </w:rPr>
        <w:t>；</w:t>
      </w:r>
    </w:p>
    <w:p>
      <w:pPr>
        <w:pStyle w:val="BodyText"/>
        <w:spacing w:line="312" w:lineRule="exact" w:before="27"/>
        <w:ind w:left="120" w:right="187"/>
      </w:pPr>
      <w:r>
        <w:rPr>
          <w:w w:val="99"/>
        </w:rPr>
        <w:t>（</w:t>
      </w:r>
      <w:r>
        <w:rPr>
          <w:spacing w:val="1"/>
          <w:w w:val="93"/>
        </w:rPr>
        <w:t>3</w:t>
      </w:r>
      <w:r>
        <w:rPr>
          <w:spacing w:val="-15"/>
          <w:w w:val="99"/>
        </w:rPr>
        <w:t>）</w:t>
      </w:r>
      <w:r>
        <w:rPr>
          <w:spacing w:val="-4"/>
          <w:w w:val="99"/>
        </w:rPr>
        <w:t>自主生活能力完全丧失，无法独立完成</w:t>
      </w:r>
      <w:r>
        <w:rPr>
          <w:rFonts w:ascii="Microsoft JhengHei UI" w:eastAsia="Microsoft JhengHei UI" w:hint="eastAsia"/>
          <w:b/>
          <w:spacing w:val="-48"/>
          <w:w w:val="99"/>
        </w:rPr>
        <w:t>六</w:t>
      </w:r>
      <w:r>
        <w:rPr>
          <w:spacing w:val="-267"/>
          <w:w w:val="99"/>
          <w:position w:val="1"/>
        </w:rPr>
        <w:t>项</w:t>
      </w:r>
      <w:r>
        <w:rPr>
          <w:spacing w:val="-264"/>
          <w:w w:val="99"/>
        </w:rPr>
        <w:t>项项</w:t>
      </w:r>
      <w:r>
        <w:rPr>
          <w:spacing w:val="-62"/>
          <w:w w:val="99"/>
        </w:rPr>
        <w:t>项</w:t>
      </w:r>
      <w:r>
        <w:rPr>
          <w:spacing w:val="-267"/>
          <w:w w:val="99"/>
          <w:position w:val="1"/>
        </w:rPr>
        <w:t>基</w:t>
      </w:r>
      <w:r>
        <w:rPr>
          <w:spacing w:val="-264"/>
          <w:w w:val="99"/>
        </w:rPr>
        <w:t>基基</w:t>
      </w:r>
      <w:r>
        <w:rPr>
          <w:spacing w:val="-62"/>
          <w:w w:val="99"/>
        </w:rPr>
        <w:t>基</w:t>
      </w:r>
      <w:r>
        <w:rPr>
          <w:spacing w:val="-267"/>
          <w:w w:val="99"/>
          <w:position w:val="1"/>
        </w:rPr>
        <w:t>本</w:t>
      </w:r>
      <w:r>
        <w:rPr>
          <w:spacing w:val="-264"/>
          <w:w w:val="99"/>
        </w:rPr>
        <w:t>本本</w:t>
      </w:r>
      <w:r>
        <w:rPr>
          <w:spacing w:val="-62"/>
          <w:w w:val="99"/>
        </w:rPr>
        <w:t>本</w:t>
      </w:r>
      <w:r>
        <w:rPr>
          <w:spacing w:val="-267"/>
          <w:w w:val="99"/>
          <w:position w:val="1"/>
        </w:rPr>
        <w:t>日</w:t>
      </w:r>
      <w:r>
        <w:rPr>
          <w:spacing w:val="-264"/>
          <w:w w:val="99"/>
        </w:rPr>
        <w:t>日日</w:t>
      </w:r>
      <w:r>
        <w:rPr>
          <w:spacing w:val="-62"/>
          <w:w w:val="99"/>
        </w:rPr>
        <w:t>日</w:t>
      </w:r>
      <w:r>
        <w:rPr>
          <w:spacing w:val="-267"/>
          <w:w w:val="99"/>
          <w:position w:val="1"/>
        </w:rPr>
        <w:t>常</w:t>
      </w:r>
      <w:r>
        <w:rPr>
          <w:spacing w:val="-264"/>
          <w:w w:val="99"/>
        </w:rPr>
        <w:t>常常</w:t>
      </w:r>
      <w:r>
        <w:rPr>
          <w:spacing w:val="-62"/>
          <w:w w:val="99"/>
        </w:rPr>
        <w:t>常</w:t>
      </w:r>
      <w:r>
        <w:rPr>
          <w:spacing w:val="-267"/>
          <w:w w:val="99"/>
          <w:position w:val="1"/>
        </w:rPr>
        <w:t>生</w:t>
      </w:r>
      <w:r>
        <w:rPr>
          <w:spacing w:val="-264"/>
          <w:w w:val="99"/>
        </w:rPr>
        <w:t>生生</w:t>
      </w:r>
      <w:r>
        <w:rPr>
          <w:spacing w:val="-62"/>
          <w:w w:val="99"/>
        </w:rPr>
        <w:t>生</w:t>
      </w:r>
      <w:r>
        <w:rPr>
          <w:spacing w:val="-267"/>
          <w:w w:val="99"/>
          <w:position w:val="1"/>
        </w:rPr>
        <w:t>活</w:t>
      </w:r>
      <w:r>
        <w:rPr>
          <w:spacing w:val="-264"/>
          <w:w w:val="99"/>
        </w:rPr>
        <w:t>活活</w:t>
      </w:r>
      <w:r>
        <w:rPr>
          <w:spacing w:val="-63"/>
          <w:w w:val="99"/>
        </w:rPr>
        <w:t>活</w:t>
      </w:r>
      <w:r>
        <w:rPr>
          <w:w w:val="99"/>
        </w:rPr>
        <w:t>（见释义</w:t>
      </w:r>
      <w:r>
        <w:rPr/>
        <w:t> </w:t>
      </w:r>
      <w:r>
        <w:rPr>
          <w:w w:val="93"/>
        </w:rPr>
        <w:t>10</w:t>
      </w:r>
      <w:r>
        <w:rPr>
          <w:spacing w:val="-1"/>
          <w:w w:val="43"/>
        </w:rPr>
        <w:t>.</w:t>
      </w:r>
      <w:r>
        <w:rPr>
          <w:w w:val="93"/>
        </w:rPr>
        <w:t>1</w:t>
      </w:r>
      <w:r>
        <w:rPr>
          <w:spacing w:val="1"/>
          <w:w w:val="93"/>
        </w:rPr>
        <w:t>1</w:t>
      </w:r>
      <w:r>
        <w:rPr>
          <w:spacing w:val="-15"/>
          <w:w w:val="99"/>
        </w:rPr>
        <w:t>）</w:t>
      </w:r>
      <w:r>
        <w:rPr>
          <w:w w:val="99"/>
        </w:rPr>
        <w:t>活动中的三   </w:t>
      </w:r>
      <w:r>
        <w:rPr>
          <w:w w:val="95"/>
        </w:rPr>
        <w:t>项或三项以上。</w:t>
      </w:r>
    </w:p>
    <w:p>
      <w:pPr>
        <w:pStyle w:val="BodyText"/>
        <w:spacing w:before="11"/>
        <w:rPr>
          <w:sz w:val="24"/>
        </w:rPr>
      </w:pPr>
    </w:p>
    <w:p>
      <w:pPr>
        <w:pStyle w:val="Heading2"/>
        <w:numPr>
          <w:ilvl w:val="2"/>
          <w:numId w:val="6"/>
        </w:numPr>
        <w:tabs>
          <w:tab w:pos="847" w:val="left" w:leader="none"/>
        </w:tabs>
        <w:spacing w:line="240" w:lineRule="auto" w:before="0" w:after="0"/>
        <w:ind w:left="846" w:right="0" w:hanging="720"/>
        <w:jc w:val="left"/>
      </w:pPr>
      <w:bookmarkStart w:name="_TOC_250036" w:id="79"/>
      <w:bookmarkEnd w:id="79"/>
      <w:r>
        <w:rPr>
          <w:w w:val="95"/>
        </w:rPr>
        <w:t>重大器官移植术或造血干细胞移植术</w:t>
      </w:r>
    </w:p>
    <w:p>
      <w:pPr>
        <w:pStyle w:val="BodyText"/>
        <w:spacing w:before="15"/>
        <w:rPr>
          <w:rFonts w:ascii="Microsoft JhengHei UI"/>
          <w:b/>
          <w:sz w:val="27"/>
        </w:rPr>
      </w:pPr>
    </w:p>
    <w:p>
      <w:pPr>
        <w:pStyle w:val="BodyText"/>
        <w:spacing w:line="408" w:lineRule="auto"/>
        <w:ind w:left="120" w:right="197"/>
      </w:pPr>
      <w:r>
        <w:rPr>
          <w:spacing w:val="-6"/>
          <w:w w:val="95"/>
        </w:rPr>
        <w:t>重大器官移植术，指因相应器官功能衰竭，已经实施了肾脏、肝脏、心脏或肺脏的异体移植   手术。</w:t>
      </w:r>
    </w:p>
    <w:p>
      <w:pPr>
        <w:pStyle w:val="BodyText"/>
        <w:spacing w:line="408" w:lineRule="auto" w:before="46"/>
        <w:ind w:left="120" w:right="197"/>
      </w:pPr>
      <w:r>
        <w:rPr>
          <w:spacing w:val="-7"/>
        </w:rPr>
        <w:t>造血干细胞移植术，指因造血功能损害或造血系统恶性肿瘤，已经实施了造血干细胞</w:t>
      </w:r>
      <w:r>
        <w:rPr/>
        <w:t>（包括</w:t>
      </w:r>
      <w:r>
        <w:rPr>
          <w:w w:val="95"/>
        </w:rPr>
        <w:t>骨髓造血干细胞、外周血造血干细胞和脐血造血干细胞）的异体移植手术。</w:t>
      </w:r>
    </w:p>
    <w:p>
      <w:pPr>
        <w:pStyle w:val="BodyText"/>
        <w:rPr>
          <w:sz w:val="22"/>
        </w:rPr>
      </w:pPr>
    </w:p>
    <w:p>
      <w:pPr>
        <w:pStyle w:val="Heading2"/>
        <w:numPr>
          <w:ilvl w:val="2"/>
          <w:numId w:val="6"/>
        </w:numPr>
        <w:tabs>
          <w:tab w:pos="847" w:val="left" w:leader="none"/>
        </w:tabs>
        <w:spacing w:line="240" w:lineRule="auto" w:before="0" w:after="0"/>
        <w:ind w:left="846" w:right="0" w:hanging="720"/>
        <w:jc w:val="left"/>
      </w:pPr>
      <w:bookmarkStart w:name="_TOC_250035" w:id="80"/>
      <w:bookmarkEnd w:id="80"/>
      <w:r>
        <w:rPr>
          <w:w w:val="95"/>
        </w:rPr>
        <w:t>冠状动脉搭桥术（或称冠状动脉旁路移植术）</w:t>
      </w:r>
    </w:p>
    <w:p>
      <w:pPr>
        <w:pStyle w:val="BodyText"/>
        <w:spacing w:before="15"/>
        <w:rPr>
          <w:rFonts w:ascii="Microsoft JhengHei UI"/>
          <w:b/>
          <w:sz w:val="27"/>
        </w:rPr>
      </w:pPr>
    </w:p>
    <w:p>
      <w:pPr>
        <w:pStyle w:val="BodyText"/>
        <w:ind w:left="120"/>
      </w:pPr>
      <w:r>
        <w:rPr>
          <w:w w:val="95"/>
        </w:rPr>
        <w:t>指为治疗严重的冠心病，实际实施了开胸进行的冠状动脉血管旁路移植的手术。</w:t>
      </w:r>
    </w:p>
    <w:p>
      <w:pPr>
        <w:pStyle w:val="BodyText"/>
        <w:spacing w:line="408" w:lineRule="auto" w:before="193"/>
        <w:ind w:left="120" w:right="197"/>
      </w:pPr>
      <w:r>
        <w:rPr>
          <w:spacing w:val="-6"/>
          <w:w w:val="95"/>
        </w:rPr>
        <w:t>冠状动脉支架植入术、心导管球囊扩张术、激光射频技术及其他非开胸的介入手术、腔镜手   术不在保障范围内。</w:t>
      </w:r>
    </w:p>
    <w:p>
      <w:pPr>
        <w:spacing w:after="0" w:line="408" w:lineRule="auto"/>
        <w:sectPr>
          <w:footerReference w:type="default" r:id="rId8"/>
          <w:pgSz w:w="11910" w:h="16840"/>
          <w:pgMar w:footer="1262" w:header="0" w:top="1360" w:bottom="1460" w:left="1680" w:right="1600"/>
          <w:pgNumType w:start="10"/>
        </w:sectPr>
      </w:pPr>
    </w:p>
    <w:p>
      <w:pPr>
        <w:pStyle w:val="Heading2"/>
        <w:numPr>
          <w:ilvl w:val="2"/>
          <w:numId w:val="6"/>
        </w:numPr>
        <w:tabs>
          <w:tab w:pos="847" w:val="left" w:leader="none"/>
        </w:tabs>
        <w:spacing w:line="347" w:lineRule="exact" w:before="0" w:after="0"/>
        <w:ind w:left="846" w:right="0" w:hanging="720"/>
        <w:jc w:val="left"/>
      </w:pPr>
      <w:bookmarkStart w:name="_TOC_250034" w:id="81"/>
      <w:bookmarkStart w:name="终末期肾病（或称慢性肾功能衰竭尿毒症期）" w:id="82"/>
      <w:r>
        <w:rPr>
          <w:b w:val="0"/>
        </w:rPr>
      </w:r>
      <w:bookmarkStart w:name="多个肢体缺失" w:id="83"/>
      <w:bookmarkEnd w:id="83"/>
      <w:r>
        <w:rPr>
          <w:b w:val="0"/>
        </w:rPr>
      </w:r>
      <w:bookmarkStart w:name="急性或亚急性重症肝炎" w:id="84"/>
      <w:bookmarkEnd w:id="84"/>
      <w:r>
        <w:rPr>
          <w:b w:val="0"/>
        </w:rPr>
      </w:r>
      <w:bookmarkStart w:name="良性脑肿瘤" w:id="85"/>
      <w:bookmarkEnd w:id="85"/>
      <w:r>
        <w:rPr>
          <w:b w:val="0"/>
        </w:rPr>
      </w:r>
      <w:bookmarkStart w:name="慢性肝功能衰竭失代偿期" w:id="86"/>
      <w:bookmarkEnd w:id="86"/>
      <w:r>
        <w:rPr>
          <w:b w:val="0"/>
        </w:rPr>
      </w:r>
      <w:bookmarkStart w:name="慢性肝功能衰竭失代偿期" w:id="87"/>
      <w:bookmarkEnd w:id="87"/>
      <w:r>
        <w:rPr>
          <w:w w:val="95"/>
        </w:rPr>
        <w:t>终末期肾病</w:t>
      </w:r>
      <w:bookmarkEnd w:id="81"/>
      <w:r>
        <w:rPr>
          <w:w w:val="95"/>
        </w:rPr>
        <w:t>（或称慢性肾功能衰竭尿毒症期）</w:t>
      </w:r>
    </w:p>
    <w:p>
      <w:pPr>
        <w:pStyle w:val="BodyText"/>
        <w:spacing w:before="13"/>
        <w:rPr>
          <w:rFonts w:ascii="Microsoft JhengHei UI"/>
          <w:b/>
          <w:sz w:val="27"/>
        </w:rPr>
      </w:pPr>
    </w:p>
    <w:p>
      <w:pPr>
        <w:pStyle w:val="BodyText"/>
        <w:spacing w:line="408" w:lineRule="auto"/>
        <w:ind w:left="120" w:right="119"/>
      </w:pPr>
      <w:r>
        <w:rPr>
          <w:spacing w:val="-2"/>
        </w:rPr>
        <w:t>指双肾功能慢性不可逆性衰竭，达到尿毒症期，经诊断后已经进行了至少 </w:t>
      </w:r>
      <w:r>
        <w:rPr/>
        <w:t>90</w:t>
      </w:r>
      <w:r>
        <w:rPr>
          <w:spacing w:val="-10"/>
        </w:rPr>
        <w:t> 天的规律性透</w:t>
      </w:r>
      <w:r>
        <w:rPr>
          <w:spacing w:val="-10"/>
          <w:w w:val="95"/>
        </w:rPr>
        <w:t>析治疗或实施了肾脏移植手术。</w:t>
      </w:r>
    </w:p>
    <w:p>
      <w:pPr>
        <w:pStyle w:val="BodyText"/>
        <w:rPr>
          <w:sz w:val="22"/>
        </w:rPr>
      </w:pPr>
    </w:p>
    <w:p>
      <w:pPr>
        <w:pStyle w:val="Heading2"/>
        <w:numPr>
          <w:ilvl w:val="2"/>
          <w:numId w:val="6"/>
        </w:numPr>
        <w:tabs>
          <w:tab w:pos="847" w:val="left" w:leader="none"/>
        </w:tabs>
        <w:spacing w:line="240" w:lineRule="auto" w:before="0" w:after="0"/>
        <w:ind w:left="846" w:right="0" w:hanging="720"/>
        <w:jc w:val="left"/>
      </w:pPr>
      <w:bookmarkStart w:name="_TOC_250033" w:id="88"/>
      <w:bookmarkEnd w:id="88"/>
      <w:r>
        <w:rPr>
          <w:w w:val="95"/>
        </w:rPr>
        <w:t>多个肢体缺失</w:t>
      </w:r>
    </w:p>
    <w:p>
      <w:pPr>
        <w:pStyle w:val="BodyText"/>
        <w:spacing w:before="15"/>
        <w:rPr>
          <w:rFonts w:ascii="Microsoft JhengHei UI"/>
          <w:b/>
          <w:sz w:val="27"/>
        </w:rPr>
      </w:pPr>
    </w:p>
    <w:p>
      <w:pPr>
        <w:pStyle w:val="BodyText"/>
        <w:spacing w:line="408" w:lineRule="auto"/>
        <w:ind w:left="120" w:right="121"/>
      </w:pPr>
      <w:r>
        <w:rPr>
          <w:spacing w:val="-2"/>
          <w:w w:val="95"/>
        </w:rPr>
        <w:t>指因疾病或意外伤害导致两个或两个以上肢体自腕关节或踝关节近端</w:t>
      </w:r>
      <w:r>
        <w:rPr>
          <w:w w:val="95"/>
        </w:rPr>
        <w:t>（靠近躯干端</w:t>
      </w:r>
      <w:r>
        <w:rPr>
          <w:spacing w:val="-46"/>
          <w:w w:val="95"/>
        </w:rPr>
        <w:t>）</w:t>
      </w:r>
      <w:r>
        <w:rPr>
          <w:w w:val="95"/>
        </w:rPr>
        <w:t>以上完   全性断离。</w:t>
      </w:r>
    </w:p>
    <w:p>
      <w:pPr>
        <w:pStyle w:val="BodyText"/>
        <w:spacing w:before="2"/>
        <w:rPr>
          <w:sz w:val="22"/>
        </w:rPr>
      </w:pPr>
    </w:p>
    <w:p>
      <w:pPr>
        <w:pStyle w:val="Heading2"/>
        <w:numPr>
          <w:ilvl w:val="2"/>
          <w:numId w:val="6"/>
        </w:numPr>
        <w:tabs>
          <w:tab w:pos="847" w:val="left" w:leader="none"/>
        </w:tabs>
        <w:spacing w:line="240" w:lineRule="auto" w:before="1" w:after="0"/>
        <w:ind w:left="846" w:right="0" w:hanging="720"/>
        <w:jc w:val="left"/>
      </w:pPr>
      <w:bookmarkStart w:name="_TOC_250032" w:id="89"/>
      <w:bookmarkEnd w:id="89"/>
      <w:r>
        <w:rPr>
          <w:w w:val="95"/>
        </w:rPr>
        <w:t>急性或亚急性重症肝炎</w:t>
      </w:r>
    </w:p>
    <w:p>
      <w:pPr>
        <w:pStyle w:val="BodyText"/>
        <w:spacing w:before="13"/>
        <w:rPr>
          <w:rFonts w:ascii="Microsoft JhengHei UI"/>
          <w:b/>
          <w:sz w:val="27"/>
        </w:rPr>
      </w:pPr>
    </w:p>
    <w:p>
      <w:pPr>
        <w:pStyle w:val="BodyText"/>
        <w:spacing w:line="408" w:lineRule="auto"/>
        <w:ind w:left="120" w:right="117"/>
      </w:pPr>
      <w:r>
        <w:rPr>
          <w:spacing w:val="-5"/>
        </w:rPr>
        <w:t>指因肝炎病毒感染引起肝脏组织弥漫性坏死，导致急性肝功能衰竭，且经血清学或病毒学检</w:t>
      </w:r>
      <w:r>
        <w:rPr>
          <w:spacing w:val="-5"/>
          <w:w w:val="95"/>
        </w:rPr>
        <w:t>查证实，并须满足下列全部条件：</w:t>
      </w:r>
    </w:p>
    <w:p>
      <w:pPr>
        <w:pStyle w:val="BodyText"/>
        <w:spacing w:before="45"/>
        <w:ind w:left="120"/>
      </w:pPr>
      <w:r>
        <w:rPr>
          <w:w w:val="95"/>
        </w:rPr>
        <w:t>（1）重度黄疸或黄疸迅速加重；</w:t>
      </w:r>
    </w:p>
    <w:p>
      <w:pPr>
        <w:pStyle w:val="BodyText"/>
        <w:spacing w:before="192"/>
        <w:ind w:left="120"/>
      </w:pPr>
      <w:r>
        <w:rPr>
          <w:w w:val="95"/>
        </w:rPr>
        <w:t>（2）肝性脑病；</w:t>
      </w:r>
    </w:p>
    <w:p>
      <w:pPr>
        <w:pStyle w:val="BodyText"/>
        <w:spacing w:before="192"/>
        <w:ind w:left="120"/>
      </w:pPr>
      <w:r>
        <w:rPr/>
        <w:t>（3）B 超或其他影像学检查显示肝脏体积急速萎缩；</w:t>
      </w:r>
    </w:p>
    <w:p>
      <w:pPr>
        <w:pStyle w:val="BodyText"/>
        <w:spacing w:before="192"/>
        <w:ind w:left="120"/>
      </w:pPr>
      <w:r>
        <w:rPr>
          <w:w w:val="95"/>
        </w:rPr>
        <w:t>（4）肝功能指标进行性恶化。</w:t>
      </w:r>
    </w:p>
    <w:p>
      <w:pPr>
        <w:pStyle w:val="BodyText"/>
        <w:spacing w:before="5"/>
        <w:rPr>
          <w:sz w:val="33"/>
        </w:rPr>
      </w:pPr>
    </w:p>
    <w:p>
      <w:pPr>
        <w:pStyle w:val="Heading2"/>
        <w:numPr>
          <w:ilvl w:val="2"/>
          <w:numId w:val="6"/>
        </w:numPr>
        <w:tabs>
          <w:tab w:pos="847" w:val="left" w:leader="none"/>
        </w:tabs>
        <w:spacing w:line="240" w:lineRule="auto" w:before="0" w:after="0"/>
        <w:ind w:left="846" w:right="0" w:hanging="720"/>
        <w:jc w:val="left"/>
      </w:pPr>
      <w:bookmarkStart w:name="_TOC_250031" w:id="90"/>
      <w:bookmarkEnd w:id="90"/>
      <w:r>
        <w:rPr>
          <w:w w:val="95"/>
        </w:rPr>
        <w:t>良性脑肿瘤</w:t>
      </w:r>
    </w:p>
    <w:p>
      <w:pPr>
        <w:pStyle w:val="BodyText"/>
        <w:spacing w:before="15"/>
        <w:rPr>
          <w:rFonts w:ascii="Microsoft JhengHei UI"/>
          <w:b/>
          <w:sz w:val="27"/>
        </w:rPr>
      </w:pPr>
    </w:p>
    <w:p>
      <w:pPr>
        <w:pStyle w:val="BodyText"/>
        <w:spacing w:line="408" w:lineRule="auto"/>
        <w:ind w:left="120" w:right="115"/>
        <w:jc w:val="both"/>
      </w:pPr>
      <w:r>
        <w:rPr>
          <w:spacing w:val="-7"/>
        </w:rPr>
        <w:t>指脑的良性肿瘤，已经引起颅内压增高，临床表现为视神经乳头水肿、精神症状、癫痫及运</w:t>
      </w:r>
      <w:r>
        <w:rPr>
          <w:spacing w:val="-1"/>
          <w:w w:val="99"/>
        </w:rPr>
        <w:t>动感觉障碍等，并危及生命。须由头颅断层扫描</w:t>
      </w:r>
      <w:r>
        <w:rPr>
          <w:spacing w:val="1"/>
          <w:w w:val="99"/>
        </w:rPr>
        <w:t>（</w:t>
      </w:r>
      <w:r>
        <w:rPr>
          <w:spacing w:val="-1"/>
          <w:w w:val="126"/>
        </w:rPr>
        <w:t>C</w:t>
      </w:r>
      <w:r>
        <w:rPr>
          <w:spacing w:val="0"/>
          <w:w w:val="122"/>
        </w:rPr>
        <w:t>T</w:t>
      </w:r>
      <w:r>
        <w:rPr>
          <w:spacing w:val="-104"/>
          <w:w w:val="99"/>
        </w:rPr>
        <w:t>）</w:t>
      </w:r>
      <w:r>
        <w:rPr>
          <w:spacing w:val="-1"/>
          <w:w w:val="99"/>
        </w:rPr>
        <w:t>、核磁共振检查</w:t>
      </w:r>
      <w:r>
        <w:rPr>
          <w:w w:val="99"/>
        </w:rPr>
        <w:t>（</w:t>
      </w:r>
      <w:r>
        <w:rPr>
          <w:spacing w:val="-2"/>
          <w:w w:val="165"/>
        </w:rPr>
        <w:t>M</w:t>
      </w:r>
      <w:r>
        <w:rPr>
          <w:spacing w:val="0"/>
          <w:w w:val="124"/>
        </w:rPr>
        <w:t>R</w:t>
      </w:r>
      <w:r>
        <w:rPr>
          <w:spacing w:val="1"/>
          <w:w w:val="70"/>
        </w:rPr>
        <w:t>I</w:t>
      </w:r>
      <w:r>
        <w:rPr>
          <w:w w:val="99"/>
        </w:rPr>
        <w:t>）或正电子发</w:t>
      </w:r>
      <w:r>
        <w:rPr>
          <w:spacing w:val="-1"/>
        </w:rPr>
        <w:t>射断层扫描</w:t>
      </w:r>
      <w:r>
        <w:rPr/>
        <w:t>（PET）等影像学检查证实，并须满足下列至少一项条件：</w:t>
      </w:r>
    </w:p>
    <w:p>
      <w:pPr>
        <w:pStyle w:val="BodyText"/>
        <w:spacing w:before="46"/>
        <w:ind w:left="120"/>
      </w:pPr>
      <w:r>
        <w:rPr>
          <w:w w:val="95"/>
        </w:rPr>
        <w:t>（1）实际实施了开颅进行的脑肿瘤完全切除或部分切除的手术；</w:t>
      </w:r>
    </w:p>
    <w:p>
      <w:pPr>
        <w:pStyle w:val="BodyText"/>
        <w:spacing w:before="193"/>
        <w:ind w:left="120"/>
      </w:pPr>
      <w:r>
        <w:rPr>
          <w:w w:val="95"/>
        </w:rPr>
        <w:t>（2）实际实施了对脑肿瘤进行的放射治疗。</w:t>
      </w:r>
    </w:p>
    <w:p>
      <w:pPr>
        <w:pStyle w:val="BodyText"/>
        <w:spacing w:before="193"/>
        <w:ind w:left="120"/>
      </w:pPr>
      <w:r>
        <w:rPr>
          <w:w w:val="95"/>
        </w:rPr>
        <w:t>脑垂体瘤、脑囊肿、脑血管性疾病不在保障范围内。</w:t>
      </w:r>
    </w:p>
    <w:p>
      <w:pPr>
        <w:pStyle w:val="BodyText"/>
        <w:spacing w:before="3"/>
        <w:rPr>
          <w:sz w:val="33"/>
        </w:rPr>
      </w:pPr>
    </w:p>
    <w:p>
      <w:pPr>
        <w:pStyle w:val="Heading2"/>
        <w:numPr>
          <w:ilvl w:val="2"/>
          <w:numId w:val="6"/>
        </w:numPr>
        <w:tabs>
          <w:tab w:pos="847" w:val="left" w:leader="none"/>
        </w:tabs>
        <w:spacing w:line="240" w:lineRule="auto" w:before="0" w:after="0"/>
        <w:ind w:left="846" w:right="0" w:hanging="720"/>
        <w:jc w:val="left"/>
      </w:pPr>
      <w:bookmarkStart w:name="_TOC_250030" w:id="91"/>
      <w:bookmarkEnd w:id="91"/>
      <w:r>
        <w:rPr>
          <w:w w:val="95"/>
        </w:rPr>
        <w:t>慢性肝功能衰竭失代偿期</w:t>
      </w:r>
    </w:p>
    <w:p>
      <w:pPr>
        <w:pStyle w:val="BodyText"/>
        <w:spacing w:before="15"/>
        <w:rPr>
          <w:rFonts w:ascii="Microsoft JhengHei UI"/>
          <w:b/>
          <w:sz w:val="27"/>
        </w:rPr>
      </w:pPr>
    </w:p>
    <w:p>
      <w:pPr>
        <w:pStyle w:val="BodyText"/>
        <w:ind w:left="120"/>
      </w:pPr>
      <w:r>
        <w:rPr>
          <w:w w:val="95"/>
        </w:rPr>
        <w:t>指因慢性肝脏疾病导致肝功能衰竭。须满足下列全部条件：</w:t>
      </w:r>
    </w:p>
    <w:p>
      <w:pPr>
        <w:pStyle w:val="BodyText"/>
        <w:spacing w:before="193"/>
        <w:ind w:left="120"/>
      </w:pPr>
      <w:r>
        <w:rPr>
          <w:w w:val="95"/>
        </w:rPr>
        <w:t>（1）持续性黄疸；</w:t>
      </w:r>
    </w:p>
    <w:p>
      <w:pPr>
        <w:pStyle w:val="BodyText"/>
        <w:spacing w:before="193"/>
        <w:ind w:left="120"/>
      </w:pPr>
      <w:r>
        <w:rPr>
          <w:w w:val="95"/>
        </w:rPr>
        <w:t>（2）腹水；</w:t>
      </w:r>
    </w:p>
    <w:p>
      <w:pPr>
        <w:spacing w:after="0"/>
        <w:sectPr>
          <w:pgSz w:w="11910" w:h="16840"/>
          <w:pgMar w:header="0" w:footer="1262" w:top="1460" w:bottom="1500" w:left="1680" w:right="1680"/>
        </w:sectPr>
      </w:pPr>
    </w:p>
    <w:p>
      <w:pPr>
        <w:pStyle w:val="BodyText"/>
        <w:spacing w:before="32"/>
        <w:ind w:left="120"/>
      </w:pPr>
      <w:bookmarkStart w:name="脑炎后遗症或脑膜炎后遗症" w:id="92"/>
      <w:bookmarkEnd w:id="92"/>
      <w:r>
        <w:rPr/>
      </w:r>
      <w:bookmarkStart w:name="深度昏迷" w:id="93"/>
      <w:bookmarkEnd w:id="93"/>
      <w:r>
        <w:rPr/>
      </w:r>
      <w:bookmarkStart w:name="双耳失聪" w:id="94"/>
      <w:bookmarkEnd w:id="94"/>
      <w:r>
        <w:rPr/>
      </w:r>
      <w:bookmarkStart w:name="双目失明" w:id="95"/>
      <w:bookmarkEnd w:id="95"/>
      <w:r>
        <w:rPr/>
      </w:r>
      <w:r>
        <w:rPr>
          <w:w w:val="95"/>
        </w:rPr>
        <w:t>（3）肝性脑病；</w:t>
      </w:r>
    </w:p>
    <w:p>
      <w:pPr>
        <w:pStyle w:val="BodyText"/>
        <w:spacing w:line="408" w:lineRule="auto" w:before="193"/>
        <w:ind w:left="120" w:right="3287"/>
      </w:pPr>
      <w:r>
        <w:rPr>
          <w:w w:val="95"/>
        </w:rPr>
        <w:t>（4）充血性脾肿大伴脾功能亢进或食管胃底静脉曲张。 因酗酒或药物滥用导致的肝功能衰竭不在保障范围内。</w:t>
      </w:r>
    </w:p>
    <w:p>
      <w:pPr>
        <w:pStyle w:val="BodyText"/>
        <w:spacing w:before="2"/>
        <w:rPr>
          <w:sz w:val="22"/>
        </w:rPr>
      </w:pPr>
    </w:p>
    <w:p>
      <w:pPr>
        <w:pStyle w:val="Heading2"/>
        <w:numPr>
          <w:ilvl w:val="2"/>
          <w:numId w:val="6"/>
        </w:numPr>
        <w:tabs>
          <w:tab w:pos="847" w:val="left" w:leader="none"/>
        </w:tabs>
        <w:spacing w:line="240" w:lineRule="auto" w:before="1" w:after="0"/>
        <w:ind w:left="846" w:right="0" w:hanging="720"/>
        <w:jc w:val="left"/>
      </w:pPr>
      <w:bookmarkStart w:name="_TOC_250029" w:id="96"/>
      <w:bookmarkEnd w:id="96"/>
      <w:r>
        <w:rPr>
          <w:w w:val="95"/>
        </w:rPr>
        <w:t>脑炎后遗症或脑膜炎后遗症</w:t>
      </w:r>
    </w:p>
    <w:p>
      <w:pPr>
        <w:pStyle w:val="BodyText"/>
        <w:spacing w:before="14"/>
        <w:rPr>
          <w:rFonts w:ascii="Microsoft JhengHei UI"/>
          <w:b/>
          <w:sz w:val="22"/>
        </w:rPr>
      </w:pPr>
    </w:p>
    <w:p>
      <w:pPr>
        <w:pStyle w:val="BodyText"/>
        <w:spacing w:line="400" w:lineRule="auto" w:before="1"/>
        <w:ind w:left="120" w:right="117"/>
      </w:pPr>
      <w:r>
        <w:rPr>
          <w:spacing w:val="-4"/>
          <w:w w:val="95"/>
        </w:rPr>
        <w:t>指因患脑炎或脑膜炎导致的神经系统永久性的功能障碍。神经系统永久性的功能障碍，指疾   病确诊180天后，仍遗留下列一种或一种以上障碍：</w:t>
      </w:r>
    </w:p>
    <w:p>
      <w:pPr>
        <w:pStyle w:val="BodyText"/>
        <w:spacing w:before="40"/>
        <w:ind w:left="120"/>
        <w:jc w:val="both"/>
      </w:pPr>
      <w:r>
        <w:rPr>
          <w:w w:val="95"/>
        </w:rPr>
        <w:t>（1）一肢或一肢以上肢体机能完全丧失；</w:t>
      </w:r>
    </w:p>
    <w:p>
      <w:pPr>
        <w:pStyle w:val="BodyText"/>
        <w:spacing w:before="183"/>
        <w:ind w:left="120"/>
        <w:jc w:val="both"/>
      </w:pPr>
      <w:r>
        <w:rPr>
          <w:w w:val="95"/>
        </w:rPr>
        <w:t>（2）语言能力或咀嚼吞咽能力完全丧失；</w:t>
      </w:r>
    </w:p>
    <w:p>
      <w:pPr>
        <w:pStyle w:val="BodyText"/>
        <w:spacing w:before="183"/>
        <w:ind w:left="120"/>
        <w:jc w:val="both"/>
      </w:pPr>
      <w:r>
        <w:rPr>
          <w:w w:val="95"/>
        </w:rPr>
        <w:t>（3）自主生活能力完全丧失，无法独立完成六项基本日常生活活动中的三项或三项以上。</w:t>
      </w:r>
    </w:p>
    <w:p>
      <w:pPr>
        <w:pStyle w:val="BodyText"/>
        <w:spacing w:before="9"/>
        <w:rPr>
          <w:sz w:val="38"/>
        </w:rPr>
      </w:pPr>
    </w:p>
    <w:p>
      <w:pPr>
        <w:pStyle w:val="Heading2"/>
        <w:numPr>
          <w:ilvl w:val="2"/>
          <w:numId w:val="6"/>
        </w:numPr>
        <w:tabs>
          <w:tab w:pos="847" w:val="left" w:leader="none"/>
        </w:tabs>
        <w:spacing w:line="240" w:lineRule="auto" w:before="1" w:after="0"/>
        <w:ind w:left="846" w:right="0" w:hanging="720"/>
        <w:jc w:val="both"/>
      </w:pPr>
      <w:bookmarkStart w:name="_TOC_250028" w:id="97"/>
      <w:bookmarkEnd w:id="97"/>
      <w:r>
        <w:rPr>
          <w:w w:val="95"/>
        </w:rPr>
        <w:t>深度昏迷</w:t>
      </w:r>
    </w:p>
    <w:p>
      <w:pPr>
        <w:pStyle w:val="BodyText"/>
        <w:spacing w:before="15"/>
        <w:rPr>
          <w:rFonts w:ascii="Microsoft JhengHei UI"/>
          <w:b/>
          <w:sz w:val="27"/>
        </w:rPr>
      </w:pPr>
    </w:p>
    <w:p>
      <w:pPr>
        <w:pStyle w:val="BodyText"/>
        <w:spacing w:line="408" w:lineRule="auto" w:before="1"/>
        <w:ind w:left="120" w:right="110"/>
        <w:jc w:val="both"/>
      </w:pPr>
      <w:r>
        <w:rPr>
          <w:spacing w:val="-5"/>
        </w:rPr>
        <w:t>指因疾病或意外伤害导致意识丧失，对外界刺激和体内需求均无反应，昏迷程度按照格拉斯</w:t>
      </w:r>
      <w:r>
        <w:rPr>
          <w:spacing w:val="-3"/>
          <w:w w:val="99"/>
        </w:rPr>
        <w:t>哥昏迷分级</w:t>
      </w:r>
      <w:r>
        <w:rPr>
          <w:w w:val="99"/>
        </w:rPr>
        <w:t>（</w:t>
      </w:r>
      <w:r>
        <w:rPr>
          <w:spacing w:val="-1"/>
          <w:w w:val="153"/>
        </w:rPr>
        <w:t>G</w:t>
      </w:r>
      <w:r>
        <w:rPr>
          <w:w w:val="45"/>
        </w:rPr>
        <w:t>l</w:t>
      </w:r>
      <w:r>
        <w:rPr>
          <w:spacing w:val="0"/>
          <w:w w:val="80"/>
        </w:rPr>
        <w:t>a</w:t>
      </w:r>
      <w:r>
        <w:rPr>
          <w:w w:val="72"/>
        </w:rPr>
        <w:t>s</w:t>
      </w:r>
      <w:r>
        <w:rPr>
          <w:w w:val="89"/>
        </w:rPr>
        <w:t>g</w:t>
      </w:r>
      <w:r>
        <w:rPr>
          <w:spacing w:val="-1"/>
          <w:w w:val="101"/>
        </w:rPr>
        <w:t>o</w:t>
      </w:r>
      <w:r>
        <w:rPr>
          <w:w w:val="132"/>
        </w:rPr>
        <w:t>w</w:t>
      </w:r>
      <w:r>
        <w:rPr>
          <w:spacing w:val="-50"/>
        </w:rPr>
        <w:t> </w:t>
      </w:r>
      <w:r>
        <w:rPr>
          <w:spacing w:val="-1"/>
          <w:w w:val="82"/>
        </w:rPr>
        <w:t>c</w:t>
      </w:r>
      <w:r>
        <w:rPr>
          <w:spacing w:val="0"/>
          <w:w w:val="101"/>
        </w:rPr>
        <w:t>o</w:t>
      </w:r>
      <w:r>
        <w:rPr>
          <w:spacing w:val="-1"/>
          <w:w w:val="153"/>
        </w:rPr>
        <w:t>m</w:t>
      </w:r>
      <w:r>
        <w:rPr>
          <w:w w:val="80"/>
        </w:rPr>
        <w:t>a</w:t>
      </w:r>
      <w:r>
        <w:rPr>
          <w:spacing w:val="-49"/>
        </w:rPr>
        <w:t> </w:t>
      </w:r>
      <w:r>
        <w:rPr>
          <w:w w:val="72"/>
        </w:rPr>
        <w:t>s</w:t>
      </w:r>
      <w:r>
        <w:rPr>
          <w:spacing w:val="-1"/>
          <w:w w:val="82"/>
        </w:rPr>
        <w:t>c</w:t>
      </w:r>
      <w:r>
        <w:rPr>
          <w:spacing w:val="-1"/>
          <w:w w:val="80"/>
        </w:rPr>
        <w:t>a</w:t>
      </w:r>
      <w:r>
        <w:rPr>
          <w:w w:val="45"/>
        </w:rPr>
        <w:t>l</w:t>
      </w:r>
      <w:r>
        <w:rPr>
          <w:spacing w:val="0"/>
          <w:w w:val="82"/>
        </w:rPr>
        <w:t>e</w:t>
      </w:r>
      <w:r>
        <w:rPr>
          <w:spacing w:val="-15"/>
          <w:w w:val="99"/>
        </w:rPr>
        <w:t>）</w:t>
      </w:r>
      <w:r>
        <w:rPr>
          <w:w w:val="99"/>
        </w:rPr>
        <w:t>结果为</w:t>
      </w:r>
      <w:r>
        <w:rPr>
          <w:spacing w:val="-50"/>
        </w:rPr>
        <w:t> </w:t>
      </w:r>
      <w:r>
        <w:rPr>
          <w:w w:val="93"/>
        </w:rPr>
        <w:t>5</w:t>
      </w:r>
      <w:r>
        <w:rPr>
          <w:spacing w:val="-52"/>
        </w:rPr>
        <w:t> </w:t>
      </w:r>
      <w:r>
        <w:rPr>
          <w:w w:val="99"/>
        </w:rPr>
        <w:t>分或</w:t>
      </w:r>
      <w:r>
        <w:rPr>
          <w:spacing w:val="-50"/>
        </w:rPr>
        <w:t> </w:t>
      </w:r>
      <w:r>
        <w:rPr>
          <w:w w:val="93"/>
        </w:rPr>
        <w:t>5</w:t>
      </w:r>
      <w:r>
        <w:rPr>
          <w:spacing w:val="-52"/>
        </w:rPr>
        <w:t> </w:t>
      </w:r>
      <w:r>
        <w:rPr>
          <w:spacing w:val="-3"/>
          <w:w w:val="99"/>
        </w:rPr>
        <w:t>分以下，且已经持续使用呼吸机及其他生</w:t>
      </w:r>
      <w:r>
        <w:rPr>
          <w:spacing w:val="-13"/>
        </w:rPr>
        <w:t>命维持系统 </w:t>
      </w:r>
      <w:r>
        <w:rPr/>
        <w:t>96</w:t>
      </w:r>
      <w:r>
        <w:rPr>
          <w:spacing w:val="-11"/>
        </w:rPr>
        <w:t> 小时以上。</w:t>
      </w:r>
    </w:p>
    <w:p>
      <w:pPr>
        <w:pStyle w:val="BodyText"/>
        <w:spacing w:before="46"/>
        <w:ind w:left="120"/>
      </w:pPr>
      <w:r>
        <w:rPr>
          <w:w w:val="95"/>
        </w:rPr>
        <w:t>因酗酒或药物滥用导致的深度昏迷不在保障范围内。</w:t>
      </w:r>
    </w:p>
    <w:p>
      <w:pPr>
        <w:pStyle w:val="BodyText"/>
        <w:spacing w:before="5"/>
        <w:rPr>
          <w:sz w:val="33"/>
        </w:rPr>
      </w:pPr>
    </w:p>
    <w:p>
      <w:pPr>
        <w:pStyle w:val="Heading2"/>
        <w:numPr>
          <w:ilvl w:val="2"/>
          <w:numId w:val="6"/>
        </w:numPr>
        <w:tabs>
          <w:tab w:pos="847" w:val="left" w:leader="none"/>
        </w:tabs>
        <w:spacing w:line="240" w:lineRule="auto" w:before="1" w:after="0"/>
        <w:ind w:left="846" w:right="0" w:hanging="720"/>
        <w:jc w:val="left"/>
      </w:pPr>
      <w:bookmarkStart w:name="_TOC_250027" w:id="98"/>
      <w:bookmarkEnd w:id="98"/>
      <w:r>
        <w:rPr>
          <w:w w:val="95"/>
        </w:rPr>
        <w:t>双耳失聪</w:t>
      </w:r>
    </w:p>
    <w:p>
      <w:pPr>
        <w:pStyle w:val="BodyText"/>
        <w:rPr>
          <w:rFonts w:ascii="Microsoft JhengHei UI"/>
          <w:b/>
          <w:sz w:val="20"/>
        </w:rPr>
      </w:pPr>
    </w:p>
    <w:p>
      <w:pPr>
        <w:pStyle w:val="BodyText"/>
        <w:spacing w:line="468" w:lineRule="exact"/>
        <w:ind w:left="120" w:right="106"/>
        <w:jc w:val="both"/>
      </w:pPr>
      <w:r>
        <w:rPr>
          <w:spacing w:val="1"/>
          <w:w w:val="99"/>
        </w:rPr>
        <w:t>指因疾病或意外伤害导致双耳听力</w:t>
      </w:r>
      <w:r>
        <w:rPr>
          <w:rFonts w:ascii="Microsoft JhengHei UI" w:eastAsia="Microsoft JhengHei UI" w:hint="eastAsia"/>
          <w:b/>
          <w:spacing w:val="-46"/>
          <w:w w:val="99"/>
        </w:rPr>
        <w:t>永</w:t>
      </w:r>
      <w:r>
        <w:rPr>
          <w:spacing w:val="-267"/>
          <w:w w:val="99"/>
          <w:position w:val="1"/>
        </w:rPr>
        <w:t>久</w:t>
      </w:r>
      <w:r>
        <w:rPr>
          <w:spacing w:val="-264"/>
          <w:w w:val="99"/>
        </w:rPr>
        <w:t>久久</w:t>
      </w:r>
      <w:r>
        <w:rPr>
          <w:spacing w:val="-60"/>
          <w:w w:val="99"/>
        </w:rPr>
        <w:t>久</w:t>
      </w:r>
      <w:r>
        <w:rPr>
          <w:spacing w:val="-267"/>
          <w:w w:val="99"/>
          <w:position w:val="1"/>
        </w:rPr>
        <w:t>不</w:t>
      </w:r>
      <w:r>
        <w:rPr>
          <w:spacing w:val="-264"/>
          <w:w w:val="99"/>
        </w:rPr>
        <w:t>不不</w:t>
      </w:r>
      <w:r>
        <w:rPr>
          <w:spacing w:val="-60"/>
          <w:w w:val="99"/>
        </w:rPr>
        <w:t>不</w:t>
      </w:r>
      <w:r>
        <w:rPr>
          <w:spacing w:val="-267"/>
          <w:w w:val="99"/>
          <w:position w:val="1"/>
        </w:rPr>
        <w:t>可</w:t>
      </w:r>
      <w:r>
        <w:rPr>
          <w:spacing w:val="-264"/>
          <w:w w:val="99"/>
        </w:rPr>
        <w:t>可可</w:t>
      </w:r>
      <w:r>
        <w:rPr>
          <w:spacing w:val="-60"/>
          <w:w w:val="99"/>
        </w:rPr>
        <w:t>可</w:t>
      </w:r>
      <w:r>
        <w:rPr>
          <w:spacing w:val="-267"/>
          <w:w w:val="99"/>
          <w:position w:val="1"/>
        </w:rPr>
        <w:t>逆</w:t>
      </w:r>
      <w:r>
        <w:rPr>
          <w:spacing w:val="-264"/>
          <w:w w:val="99"/>
        </w:rPr>
        <w:t>逆逆</w:t>
      </w:r>
      <w:r>
        <w:rPr>
          <w:spacing w:val="-46"/>
          <w:w w:val="99"/>
        </w:rPr>
        <w:t>逆</w:t>
      </w:r>
      <w:r>
        <w:rPr>
          <w:spacing w:val="3"/>
          <w:w w:val="99"/>
        </w:rPr>
        <w:t>（</w:t>
      </w:r>
      <w:r>
        <w:rPr>
          <w:w w:val="99"/>
        </w:rPr>
        <w:t>见释义</w:t>
      </w:r>
      <w:r>
        <w:rPr>
          <w:spacing w:val="-48"/>
        </w:rPr>
        <w:t> </w:t>
      </w:r>
      <w:r>
        <w:rPr>
          <w:w w:val="93"/>
        </w:rPr>
        <w:t>10</w:t>
      </w:r>
      <w:r>
        <w:rPr>
          <w:spacing w:val="-1"/>
          <w:w w:val="43"/>
        </w:rPr>
        <w:t>.</w:t>
      </w:r>
      <w:r>
        <w:rPr>
          <w:w w:val="93"/>
        </w:rPr>
        <w:t>1</w:t>
      </w:r>
      <w:r>
        <w:rPr>
          <w:spacing w:val="1"/>
          <w:w w:val="93"/>
        </w:rPr>
        <w:t>2</w:t>
      </w:r>
      <w:r>
        <w:rPr>
          <w:spacing w:val="3"/>
          <w:w w:val="99"/>
        </w:rPr>
        <w:t>）</w:t>
      </w:r>
      <w:r>
        <w:rPr>
          <w:spacing w:val="0"/>
          <w:w w:val="99"/>
        </w:rPr>
        <w:t>性丧失，在</w:t>
      </w:r>
      <w:r>
        <w:rPr>
          <w:spacing w:val="-43"/>
        </w:rPr>
        <w:t> </w:t>
      </w:r>
      <w:r>
        <w:rPr>
          <w:w w:val="93"/>
        </w:rPr>
        <w:t>500</w:t>
      </w:r>
      <w:r>
        <w:rPr>
          <w:spacing w:val="-52"/>
        </w:rPr>
        <w:t> </w:t>
      </w:r>
      <w:r>
        <w:rPr>
          <w:spacing w:val="2"/>
          <w:w w:val="99"/>
        </w:rPr>
        <w:t>赫兹、</w:t>
      </w:r>
      <w:r>
        <w:rPr>
          <w:w w:val="93"/>
        </w:rPr>
        <w:t>1000</w:t>
      </w:r>
      <w:r>
        <w:rPr>
          <w:spacing w:val="1"/>
          <w:w w:val="99"/>
        </w:rPr>
        <w:t>  </w:t>
      </w:r>
      <w:r>
        <w:rPr>
          <w:spacing w:val="-16"/>
        </w:rPr>
        <w:t>赫兹和 </w:t>
      </w:r>
      <w:r>
        <w:rPr/>
        <w:t>2000</w:t>
      </w:r>
      <w:r>
        <w:rPr>
          <w:spacing w:val="-14"/>
        </w:rPr>
        <w:t> 赫兹语音频率下，平均听阈大于 </w:t>
      </w:r>
      <w:r>
        <w:rPr/>
        <w:t>90</w:t>
      </w:r>
      <w:r>
        <w:rPr>
          <w:spacing w:val="-11"/>
        </w:rPr>
        <w:t> 分贝，且经纯音听力测试、声导抗检测或听</w:t>
      </w:r>
      <w:r>
        <w:rPr>
          <w:spacing w:val="-11"/>
          <w:w w:val="95"/>
        </w:rPr>
        <w:t>觉诱发电位检测等证实。</w:t>
      </w:r>
    </w:p>
    <w:p>
      <w:pPr>
        <w:pStyle w:val="BodyText"/>
        <w:spacing w:before="6"/>
        <w:rPr>
          <w:sz w:val="28"/>
        </w:rPr>
      </w:pPr>
    </w:p>
    <w:p>
      <w:pPr>
        <w:pStyle w:val="Heading2"/>
        <w:numPr>
          <w:ilvl w:val="2"/>
          <w:numId w:val="6"/>
        </w:numPr>
        <w:tabs>
          <w:tab w:pos="847" w:val="left" w:leader="none"/>
        </w:tabs>
        <w:spacing w:line="240" w:lineRule="auto" w:before="1" w:after="0"/>
        <w:ind w:left="846" w:right="0" w:hanging="720"/>
        <w:jc w:val="left"/>
      </w:pPr>
      <w:bookmarkStart w:name="_TOC_250026" w:id="99"/>
      <w:bookmarkEnd w:id="99"/>
      <w:r>
        <w:rPr>
          <w:w w:val="95"/>
        </w:rPr>
        <w:t>双目失明</w:t>
      </w:r>
    </w:p>
    <w:p>
      <w:pPr>
        <w:pStyle w:val="BodyText"/>
        <w:spacing w:before="15"/>
        <w:rPr>
          <w:rFonts w:ascii="Microsoft JhengHei UI"/>
          <w:b/>
          <w:sz w:val="27"/>
        </w:rPr>
      </w:pPr>
    </w:p>
    <w:p>
      <w:pPr>
        <w:pStyle w:val="BodyText"/>
        <w:spacing w:line="408" w:lineRule="auto" w:before="1"/>
        <w:ind w:left="120" w:right="117"/>
      </w:pPr>
      <w:r>
        <w:rPr>
          <w:spacing w:val="-4"/>
        </w:rPr>
        <w:t>指因疾病或意外伤害导致双眼视力永久不可逆性丧失，双眼中较好眼须满足下列至少一项条</w:t>
      </w:r>
      <w:r>
        <w:rPr>
          <w:spacing w:val="-4"/>
          <w:w w:val="95"/>
        </w:rPr>
        <w:t>件：</w:t>
      </w:r>
    </w:p>
    <w:p>
      <w:pPr>
        <w:pStyle w:val="BodyText"/>
        <w:spacing w:before="46"/>
        <w:ind w:left="120"/>
        <w:jc w:val="both"/>
      </w:pPr>
      <w:r>
        <w:rPr>
          <w:w w:val="95"/>
        </w:rPr>
        <w:t>（1）眼球缺失或摘除；</w:t>
      </w:r>
    </w:p>
    <w:p>
      <w:pPr>
        <w:pStyle w:val="BodyText"/>
        <w:spacing w:before="193"/>
        <w:ind w:left="120"/>
        <w:jc w:val="both"/>
      </w:pPr>
      <w:r>
        <w:rPr>
          <w:w w:val="99"/>
        </w:rPr>
        <w:t>（</w:t>
      </w:r>
      <w:r>
        <w:rPr>
          <w:w w:val="93"/>
        </w:rPr>
        <w:t>2</w:t>
      </w:r>
      <w:r>
        <w:rPr>
          <w:spacing w:val="1"/>
          <w:w w:val="99"/>
        </w:rPr>
        <w:t>）</w:t>
      </w:r>
      <w:r>
        <w:rPr>
          <w:w w:val="99"/>
        </w:rPr>
        <w:t>矫正视力低于</w:t>
      </w:r>
      <w:r>
        <w:rPr>
          <w:spacing w:val="-50"/>
        </w:rPr>
        <w:t> </w:t>
      </w:r>
      <w:r>
        <w:rPr>
          <w:w w:val="93"/>
        </w:rPr>
        <w:t>0</w:t>
      </w:r>
      <w:r>
        <w:rPr>
          <w:spacing w:val="-1"/>
          <w:w w:val="43"/>
        </w:rPr>
        <w:t>.</w:t>
      </w:r>
      <w:r>
        <w:rPr>
          <w:w w:val="93"/>
        </w:rPr>
        <w:t>02</w:t>
      </w:r>
      <w:r>
        <w:rPr>
          <w:spacing w:val="1"/>
          <w:w w:val="99"/>
        </w:rPr>
        <w:t>（</w:t>
      </w:r>
      <w:r>
        <w:rPr>
          <w:spacing w:val="-1"/>
          <w:w w:val="99"/>
        </w:rPr>
        <w:t>采用国际标准视力表，如果使用其他视力表应进行换算</w:t>
      </w:r>
      <w:r>
        <w:rPr>
          <w:spacing w:val="-104"/>
          <w:w w:val="99"/>
        </w:rPr>
        <w:t>）</w:t>
      </w:r>
      <w:r>
        <w:rPr>
          <w:w w:val="99"/>
        </w:rPr>
        <w:t>；</w:t>
      </w:r>
    </w:p>
    <w:p>
      <w:pPr>
        <w:pStyle w:val="BodyText"/>
        <w:spacing w:before="191"/>
        <w:ind w:left="120"/>
        <w:jc w:val="both"/>
      </w:pPr>
      <w:r>
        <w:rPr/>
        <w:t>（3）视野半径小于 5 度。</w:t>
      </w:r>
    </w:p>
    <w:p>
      <w:pPr>
        <w:spacing w:after="0"/>
        <w:jc w:val="both"/>
        <w:sectPr>
          <w:pgSz w:w="11910" w:h="16840"/>
          <w:pgMar w:header="0" w:footer="1262" w:top="1440" w:bottom="1500" w:left="1680" w:right="1680"/>
        </w:sectPr>
      </w:pPr>
    </w:p>
    <w:p>
      <w:pPr>
        <w:pStyle w:val="Heading2"/>
        <w:numPr>
          <w:ilvl w:val="2"/>
          <w:numId w:val="6"/>
        </w:numPr>
        <w:tabs>
          <w:tab w:pos="847" w:val="left" w:leader="none"/>
        </w:tabs>
        <w:spacing w:line="347" w:lineRule="exact" w:before="0" w:after="0"/>
        <w:ind w:left="846" w:right="0" w:hanging="720"/>
        <w:jc w:val="left"/>
      </w:pPr>
      <w:bookmarkStart w:name="_TOC_250025" w:id="100"/>
      <w:bookmarkStart w:name="瘫痪" w:id="101"/>
      <w:r>
        <w:rPr>
          <w:b w:val="0"/>
        </w:rPr>
      </w:r>
      <w:bookmarkStart w:name="心脏瓣膜手术" w:id="102"/>
      <w:bookmarkEnd w:id="102"/>
      <w:r>
        <w:rPr>
          <w:b w:val="0"/>
        </w:rPr>
      </w:r>
      <w:bookmarkStart w:name="严重阿尔茨海默病" w:id="103"/>
      <w:bookmarkEnd w:id="103"/>
      <w:r>
        <w:rPr>
          <w:b w:val="0"/>
        </w:rPr>
      </w:r>
      <w:bookmarkStart w:name="严重脑损伤" w:id="104"/>
      <w:bookmarkEnd w:id="104"/>
      <w:r>
        <w:rPr>
          <w:b w:val="0"/>
        </w:rPr>
      </w:r>
      <w:bookmarkStart w:name="严重帕金森病" w:id="105"/>
      <w:bookmarkEnd w:id="105"/>
      <w:r>
        <w:rPr>
          <w:b w:val="0"/>
        </w:rPr>
      </w:r>
      <w:bookmarkStart w:name="严重帕金森病" w:id="106"/>
      <w:bookmarkEnd w:id="100"/>
      <w:r>
        <w:rPr>
          <w:w w:val="95"/>
        </w:rPr>
        <w:t>瘫痪</w:t>
      </w:r>
    </w:p>
    <w:p>
      <w:pPr>
        <w:pStyle w:val="BodyText"/>
        <w:spacing w:before="13"/>
        <w:rPr>
          <w:rFonts w:ascii="Microsoft JhengHei UI"/>
          <w:b/>
          <w:sz w:val="27"/>
        </w:rPr>
      </w:pPr>
    </w:p>
    <w:p>
      <w:pPr>
        <w:pStyle w:val="BodyText"/>
        <w:spacing w:line="408" w:lineRule="auto"/>
        <w:ind w:left="120" w:right="174"/>
        <w:jc w:val="both"/>
      </w:pPr>
      <w:r>
        <w:rPr>
          <w:w w:val="95"/>
        </w:rPr>
        <w:t>指因疾病或意外伤害导致两肢或两肢以上肢体机能永久完全丧失。肢体机能永久完全丧失</w:t>
      </w:r>
      <w:r>
        <w:rPr>
          <w:w w:val="90"/>
        </w:rPr>
        <w:t>，  </w:t>
      </w:r>
      <w:r>
        <w:rPr>
          <w:spacing w:val="-13"/>
        </w:rPr>
        <w:t>指疾病确诊 </w:t>
      </w:r>
      <w:r>
        <w:rPr/>
        <w:t>180</w:t>
      </w:r>
      <w:r>
        <w:rPr>
          <w:spacing w:val="-16"/>
        </w:rPr>
        <w:t> 天后或意外伤害发生 </w:t>
      </w:r>
      <w:r>
        <w:rPr/>
        <w:t>180</w:t>
      </w:r>
      <w:r>
        <w:rPr>
          <w:spacing w:val="-9"/>
        </w:rPr>
        <w:t> 天后，每肢三大关节中的两大关节仍然完全僵硬， </w:t>
      </w:r>
      <w:r>
        <w:rPr>
          <w:spacing w:val="-9"/>
          <w:w w:val="95"/>
        </w:rPr>
        <w:t>或不能随意识活动。</w:t>
      </w:r>
    </w:p>
    <w:p>
      <w:pPr>
        <w:pStyle w:val="BodyText"/>
        <w:rPr>
          <w:sz w:val="22"/>
        </w:rPr>
      </w:pPr>
    </w:p>
    <w:p>
      <w:pPr>
        <w:pStyle w:val="Heading2"/>
        <w:numPr>
          <w:ilvl w:val="2"/>
          <w:numId w:val="6"/>
        </w:numPr>
        <w:tabs>
          <w:tab w:pos="847" w:val="left" w:leader="none"/>
        </w:tabs>
        <w:spacing w:line="240" w:lineRule="auto" w:before="0" w:after="0"/>
        <w:ind w:left="846" w:right="0" w:hanging="720"/>
        <w:jc w:val="left"/>
      </w:pPr>
      <w:bookmarkStart w:name="_TOC_250024" w:id="107"/>
      <w:bookmarkEnd w:id="107"/>
      <w:r>
        <w:rPr>
          <w:w w:val="95"/>
        </w:rPr>
        <w:t>心脏瓣膜手术</w:t>
      </w:r>
    </w:p>
    <w:p>
      <w:pPr>
        <w:pStyle w:val="BodyText"/>
        <w:spacing w:before="15"/>
        <w:rPr>
          <w:rFonts w:ascii="Microsoft JhengHei UI"/>
          <w:b/>
          <w:sz w:val="27"/>
        </w:rPr>
      </w:pPr>
    </w:p>
    <w:p>
      <w:pPr>
        <w:pStyle w:val="BodyText"/>
        <w:ind w:left="120"/>
      </w:pPr>
      <w:r>
        <w:rPr>
          <w:w w:val="95"/>
        </w:rPr>
        <w:t>指为治疗心脏瓣膜疾病，实际实施了开胸进行的心脏瓣膜置换或修复的手术。</w:t>
      </w:r>
    </w:p>
    <w:p>
      <w:pPr>
        <w:pStyle w:val="BodyText"/>
        <w:spacing w:before="5"/>
        <w:rPr>
          <w:sz w:val="33"/>
        </w:rPr>
      </w:pPr>
    </w:p>
    <w:p>
      <w:pPr>
        <w:pStyle w:val="Heading2"/>
        <w:numPr>
          <w:ilvl w:val="2"/>
          <w:numId w:val="6"/>
        </w:numPr>
        <w:tabs>
          <w:tab w:pos="847" w:val="left" w:leader="none"/>
        </w:tabs>
        <w:spacing w:line="240" w:lineRule="auto" w:before="1" w:after="0"/>
        <w:ind w:left="846" w:right="0" w:hanging="720"/>
        <w:jc w:val="left"/>
      </w:pPr>
      <w:bookmarkStart w:name="_TOC_250023" w:id="108"/>
      <w:bookmarkEnd w:id="108"/>
      <w:r>
        <w:rPr>
          <w:w w:val="95"/>
        </w:rPr>
        <w:t>严重阿尔茨海默病</w:t>
      </w:r>
    </w:p>
    <w:p>
      <w:pPr>
        <w:pStyle w:val="BodyText"/>
        <w:spacing w:before="13"/>
        <w:rPr>
          <w:rFonts w:ascii="Microsoft JhengHei UI"/>
          <w:b/>
          <w:sz w:val="27"/>
        </w:rPr>
      </w:pPr>
    </w:p>
    <w:p>
      <w:pPr>
        <w:pStyle w:val="BodyText"/>
        <w:spacing w:line="408" w:lineRule="auto"/>
        <w:ind w:left="120" w:right="176"/>
        <w:jc w:val="both"/>
      </w:pPr>
      <w:r>
        <w:rPr>
          <w:spacing w:val="-14"/>
          <w:w w:val="95"/>
        </w:rPr>
        <w:t>指因大脑进行性、不可逆性改变导致智能严重衰退或丧失，临床表现为明显的认知能力障碍</w:t>
      </w:r>
      <w:r>
        <w:rPr>
          <w:w w:val="90"/>
        </w:rPr>
        <w:t>、</w:t>
      </w:r>
      <w:r>
        <w:rPr>
          <w:spacing w:val="1"/>
          <w:w w:val="99"/>
        </w:rPr>
        <w:t>行</w:t>
      </w:r>
      <w:r>
        <w:rPr>
          <w:w w:val="99"/>
        </w:rPr>
        <w:t>为异常和社交能力减退，其日常生活必须持续受到他人监护。须从头颅断层扫描</w:t>
      </w:r>
      <w:r>
        <w:rPr>
          <w:spacing w:val="-1"/>
          <w:w w:val="99"/>
        </w:rPr>
        <w:t>（</w:t>
      </w:r>
      <w:r>
        <w:rPr>
          <w:spacing w:val="-1"/>
          <w:w w:val="126"/>
        </w:rPr>
        <w:t>C</w:t>
      </w:r>
      <w:r>
        <w:rPr>
          <w:spacing w:val="2"/>
          <w:w w:val="122"/>
        </w:rPr>
        <w:t>T</w:t>
      </w:r>
      <w:r>
        <w:rPr>
          <w:spacing w:val="-104"/>
          <w:w w:val="99"/>
        </w:rPr>
        <w:t>）</w:t>
      </w:r>
      <w:r>
        <w:rPr>
          <w:w w:val="79"/>
        </w:rPr>
        <w:t>、</w:t>
      </w:r>
      <w:r>
        <w:rPr>
          <w:spacing w:val="1"/>
          <w:w w:val="99"/>
        </w:rPr>
        <w:t>核</w:t>
      </w:r>
      <w:r>
        <w:rPr>
          <w:spacing w:val="-1"/>
          <w:w w:val="99"/>
        </w:rPr>
        <w:t>磁共振检查</w:t>
      </w:r>
      <w:r>
        <w:rPr>
          <w:w w:val="99"/>
        </w:rPr>
        <w:t>（</w:t>
      </w:r>
      <w:r>
        <w:rPr>
          <w:spacing w:val="-2"/>
          <w:w w:val="165"/>
        </w:rPr>
        <w:t>M</w:t>
      </w:r>
      <w:r>
        <w:rPr>
          <w:spacing w:val="0"/>
          <w:w w:val="124"/>
        </w:rPr>
        <w:t>R</w:t>
      </w:r>
      <w:r>
        <w:rPr>
          <w:spacing w:val="1"/>
          <w:w w:val="70"/>
        </w:rPr>
        <w:t>I</w:t>
      </w:r>
      <w:r>
        <w:rPr>
          <w:spacing w:val="-5"/>
          <w:w w:val="99"/>
        </w:rPr>
        <w:t>）</w:t>
      </w:r>
      <w:r>
        <w:rPr>
          <w:spacing w:val="-1"/>
          <w:w w:val="99"/>
        </w:rPr>
        <w:t>或正电子发射断层扫描</w:t>
      </w:r>
      <w:r>
        <w:rPr>
          <w:w w:val="99"/>
        </w:rPr>
        <w:t>（</w:t>
      </w:r>
      <w:r>
        <w:rPr>
          <w:w w:val="111"/>
        </w:rPr>
        <w:t>P</w:t>
      </w:r>
      <w:r>
        <w:rPr>
          <w:spacing w:val="-1"/>
          <w:w w:val="130"/>
        </w:rPr>
        <w:t>E</w:t>
      </w:r>
      <w:r>
        <w:rPr>
          <w:spacing w:val="0"/>
          <w:w w:val="122"/>
        </w:rPr>
        <w:t>T</w:t>
      </w:r>
      <w:r>
        <w:rPr>
          <w:spacing w:val="-3"/>
          <w:w w:val="99"/>
        </w:rPr>
        <w:t>）</w:t>
      </w:r>
      <w:r>
        <w:rPr>
          <w:spacing w:val="-2"/>
          <w:w w:val="99"/>
        </w:rPr>
        <w:t>等影像学检查证实，且自主生活能力</w:t>
      </w:r>
      <w:r>
        <w:rPr>
          <w:w w:val="95"/>
        </w:rPr>
        <w:t>完全丧失，无法独立完成六项基本日常生活活动中的三项或三项以上。</w:t>
      </w:r>
    </w:p>
    <w:p>
      <w:pPr>
        <w:pStyle w:val="BodyText"/>
        <w:spacing w:before="45"/>
        <w:ind w:left="120"/>
      </w:pPr>
      <w:r>
        <w:rPr>
          <w:w w:val="95"/>
        </w:rPr>
        <w:t>神经官能症和精神疾病不在保障范围内。</w:t>
      </w:r>
    </w:p>
    <w:p>
      <w:pPr>
        <w:pStyle w:val="BodyText"/>
        <w:spacing w:before="5"/>
        <w:rPr>
          <w:sz w:val="33"/>
        </w:rPr>
      </w:pPr>
    </w:p>
    <w:p>
      <w:pPr>
        <w:pStyle w:val="Heading2"/>
        <w:numPr>
          <w:ilvl w:val="2"/>
          <w:numId w:val="6"/>
        </w:numPr>
        <w:tabs>
          <w:tab w:pos="847" w:val="left" w:leader="none"/>
        </w:tabs>
        <w:spacing w:line="240" w:lineRule="auto" w:before="0" w:after="0"/>
        <w:ind w:left="846" w:right="0" w:hanging="720"/>
        <w:jc w:val="left"/>
      </w:pPr>
      <w:bookmarkStart w:name="_TOC_250022" w:id="109"/>
      <w:bookmarkEnd w:id="109"/>
      <w:r>
        <w:rPr>
          <w:w w:val="95"/>
        </w:rPr>
        <w:t>严重脑损伤</w:t>
      </w:r>
    </w:p>
    <w:p>
      <w:pPr>
        <w:pStyle w:val="BodyText"/>
        <w:spacing w:before="15"/>
        <w:rPr>
          <w:rFonts w:ascii="Microsoft JhengHei UI"/>
          <w:b/>
          <w:sz w:val="27"/>
        </w:rPr>
      </w:pPr>
    </w:p>
    <w:p>
      <w:pPr>
        <w:pStyle w:val="BodyText"/>
        <w:spacing w:line="408" w:lineRule="auto"/>
        <w:ind w:left="120" w:right="105"/>
        <w:jc w:val="both"/>
      </w:pPr>
      <w:r>
        <w:rPr>
          <w:spacing w:val="-6"/>
        </w:rPr>
        <w:t>指因头部遭受机械性外力，引起脑重要部位损伤，导致神经系统永久性的功能障碍。须由头</w:t>
      </w:r>
      <w:r>
        <w:rPr>
          <w:w w:val="99"/>
        </w:rPr>
        <w:t>颅断层扫描</w:t>
      </w:r>
      <w:r>
        <w:rPr>
          <w:spacing w:val="3"/>
          <w:w w:val="99"/>
        </w:rPr>
        <w:t>（</w:t>
      </w:r>
      <w:r>
        <w:rPr>
          <w:spacing w:val="-1"/>
          <w:w w:val="126"/>
        </w:rPr>
        <w:t>C</w:t>
      </w:r>
      <w:r>
        <w:rPr>
          <w:spacing w:val="2"/>
          <w:w w:val="122"/>
        </w:rPr>
        <w:t>T</w:t>
      </w:r>
      <w:r>
        <w:rPr>
          <w:spacing w:val="-104"/>
          <w:w w:val="99"/>
        </w:rPr>
        <w:t>）</w:t>
      </w:r>
      <w:r>
        <w:rPr>
          <w:w w:val="99"/>
        </w:rPr>
        <w:t>、核磁共振检查</w:t>
      </w:r>
      <w:r>
        <w:rPr>
          <w:spacing w:val="8"/>
          <w:w w:val="99"/>
        </w:rPr>
        <w:t>（</w:t>
      </w:r>
      <w:r>
        <w:rPr>
          <w:spacing w:val="-2"/>
          <w:w w:val="165"/>
        </w:rPr>
        <w:t>M</w:t>
      </w:r>
      <w:r>
        <w:rPr>
          <w:spacing w:val="0"/>
          <w:w w:val="124"/>
        </w:rPr>
        <w:t>R</w:t>
      </w:r>
      <w:r>
        <w:rPr>
          <w:w w:val="70"/>
        </w:rPr>
        <w:t>I</w:t>
      </w:r>
      <w:r>
        <w:rPr>
          <w:spacing w:val="1"/>
          <w:w w:val="99"/>
        </w:rPr>
        <w:t>）</w:t>
      </w:r>
      <w:r>
        <w:rPr>
          <w:w w:val="99"/>
        </w:rPr>
        <w:t>或正电子发射断层扫描</w:t>
      </w:r>
      <w:r>
        <w:rPr>
          <w:spacing w:val="10"/>
          <w:w w:val="99"/>
        </w:rPr>
        <w:t>（</w:t>
      </w:r>
      <w:r>
        <w:rPr>
          <w:w w:val="111"/>
        </w:rPr>
        <w:t>P</w:t>
      </w:r>
      <w:r>
        <w:rPr>
          <w:spacing w:val="-1"/>
          <w:w w:val="130"/>
        </w:rPr>
        <w:t>E</w:t>
      </w:r>
      <w:r>
        <w:rPr>
          <w:spacing w:val="2"/>
          <w:w w:val="122"/>
        </w:rPr>
        <w:t>T</w:t>
      </w:r>
      <w:r>
        <w:rPr>
          <w:spacing w:val="1"/>
          <w:w w:val="99"/>
        </w:rPr>
        <w:t>）</w:t>
      </w:r>
      <w:r>
        <w:rPr>
          <w:w w:val="99"/>
        </w:rPr>
        <w:t>等影像学检查证</w:t>
      </w:r>
      <w:r>
        <w:rPr>
          <w:spacing w:val="-4"/>
        </w:rPr>
        <w:t>实。神经性系统永久性的功能障碍，指脑损伤 </w:t>
      </w:r>
      <w:r>
        <w:rPr/>
        <w:t>180</w:t>
      </w:r>
      <w:r>
        <w:rPr>
          <w:spacing w:val="-9"/>
        </w:rPr>
        <w:t> 天后，仍遗留下列一种或一种以上障碍：</w:t>
      </w:r>
    </w:p>
    <w:p>
      <w:pPr>
        <w:pStyle w:val="BodyText"/>
        <w:spacing w:before="46"/>
        <w:ind w:left="120"/>
        <w:jc w:val="both"/>
      </w:pPr>
      <w:r>
        <w:rPr>
          <w:w w:val="95"/>
        </w:rPr>
        <w:t>（1）一肢或一肢以上肢体机能完全丧失；</w:t>
      </w:r>
    </w:p>
    <w:p>
      <w:pPr>
        <w:pStyle w:val="BodyText"/>
        <w:spacing w:before="193"/>
        <w:ind w:left="120"/>
        <w:jc w:val="both"/>
      </w:pPr>
      <w:r>
        <w:rPr>
          <w:w w:val="95"/>
        </w:rPr>
        <w:t>（2）语言能力或咀嚼吞咽能力完全丧失；</w:t>
      </w:r>
    </w:p>
    <w:p>
      <w:pPr>
        <w:pStyle w:val="BodyText"/>
        <w:spacing w:before="193"/>
        <w:ind w:left="120"/>
        <w:jc w:val="both"/>
      </w:pPr>
      <w:r>
        <w:rPr>
          <w:w w:val="95"/>
        </w:rPr>
        <w:t>（3）自主生活能力完全丧失，无法独立完成六项基本日常生活活动中的三项或三项以上。</w:t>
      </w:r>
    </w:p>
    <w:p>
      <w:pPr>
        <w:pStyle w:val="BodyText"/>
        <w:spacing w:before="3"/>
        <w:rPr>
          <w:sz w:val="33"/>
        </w:rPr>
      </w:pPr>
    </w:p>
    <w:p>
      <w:pPr>
        <w:pStyle w:val="Heading2"/>
        <w:numPr>
          <w:ilvl w:val="2"/>
          <w:numId w:val="6"/>
        </w:numPr>
        <w:tabs>
          <w:tab w:pos="847" w:val="left" w:leader="none"/>
        </w:tabs>
        <w:spacing w:line="240" w:lineRule="auto" w:before="1" w:after="0"/>
        <w:ind w:left="846" w:right="0" w:hanging="720"/>
        <w:jc w:val="both"/>
      </w:pPr>
      <w:bookmarkStart w:name="_TOC_250021" w:id="110"/>
      <w:bookmarkEnd w:id="110"/>
      <w:r>
        <w:rPr>
          <w:w w:val="95"/>
        </w:rPr>
        <w:t>严重帕金森病</w:t>
      </w:r>
    </w:p>
    <w:p>
      <w:pPr>
        <w:pStyle w:val="BodyText"/>
        <w:spacing w:before="15"/>
        <w:rPr>
          <w:rFonts w:ascii="Microsoft JhengHei UI"/>
          <w:b/>
          <w:sz w:val="27"/>
        </w:rPr>
      </w:pPr>
    </w:p>
    <w:p>
      <w:pPr>
        <w:pStyle w:val="BodyText"/>
        <w:spacing w:line="408" w:lineRule="auto" w:before="1"/>
        <w:ind w:left="120" w:right="177"/>
      </w:pPr>
      <w:r>
        <w:rPr>
          <w:spacing w:val="-5"/>
        </w:rPr>
        <w:t>是一种中枢神经系统的退行性疾病，临床表现为震颤麻痹、共济失调等。须满足下列全部条</w:t>
      </w:r>
      <w:r>
        <w:rPr>
          <w:spacing w:val="-5"/>
          <w:w w:val="95"/>
        </w:rPr>
        <w:t>件：</w:t>
      </w:r>
    </w:p>
    <w:p>
      <w:pPr>
        <w:pStyle w:val="BodyText"/>
        <w:spacing w:before="46"/>
        <w:ind w:left="120"/>
        <w:jc w:val="both"/>
      </w:pPr>
      <w:r>
        <w:rPr>
          <w:w w:val="95"/>
        </w:rPr>
        <w:t>（1）药物治疗无法控制病情；</w:t>
      </w:r>
    </w:p>
    <w:p>
      <w:pPr>
        <w:pStyle w:val="BodyText"/>
        <w:spacing w:before="193"/>
        <w:ind w:left="120"/>
        <w:jc w:val="both"/>
      </w:pPr>
      <w:r>
        <w:rPr>
          <w:w w:val="95"/>
        </w:rPr>
        <w:t>（2）自主生活能力完全丧失，无法独立完成六项基本日常生活活动中的三项或三项以上。</w:t>
      </w:r>
    </w:p>
    <w:p>
      <w:pPr>
        <w:spacing w:after="0"/>
        <w:jc w:val="both"/>
        <w:sectPr>
          <w:pgSz w:w="11910" w:h="16840"/>
          <w:pgMar w:header="0" w:footer="1262" w:top="1460" w:bottom="1500" w:left="1680" w:right="1620"/>
        </w:sectPr>
      </w:pPr>
    </w:p>
    <w:p>
      <w:pPr>
        <w:pStyle w:val="BodyText"/>
        <w:spacing w:before="32"/>
        <w:ind w:left="120"/>
      </w:pPr>
      <w:bookmarkStart w:name="严重III度烧伤" w:id="111"/>
      <w:bookmarkEnd w:id="111"/>
      <w:r>
        <w:rPr/>
      </w:r>
      <w:bookmarkStart w:name="严重原发性肺动脉高压" w:id="112"/>
      <w:bookmarkEnd w:id="112"/>
      <w:r>
        <w:rPr/>
      </w:r>
      <w:bookmarkStart w:name="严重运动神经元病" w:id="113"/>
      <w:bookmarkEnd w:id="113"/>
      <w:r>
        <w:rPr/>
      </w:r>
      <w:bookmarkStart w:name="语言能力丧失" w:id="114"/>
      <w:bookmarkEnd w:id="114"/>
      <w:r>
        <w:rPr/>
      </w:r>
      <w:bookmarkStart w:name="重型再生障碍性贫血" w:id="115"/>
      <w:bookmarkEnd w:id="115"/>
      <w:r>
        <w:rPr/>
      </w:r>
      <w:r>
        <w:rPr>
          <w:w w:val="95"/>
        </w:rPr>
        <w:t>继发性帕金森综合症不在保障范围内。</w:t>
      </w:r>
    </w:p>
    <w:p>
      <w:pPr>
        <w:pStyle w:val="BodyText"/>
        <w:spacing w:before="6"/>
        <w:rPr>
          <w:sz w:val="33"/>
        </w:rPr>
      </w:pPr>
    </w:p>
    <w:p>
      <w:pPr>
        <w:pStyle w:val="Heading2"/>
        <w:numPr>
          <w:ilvl w:val="2"/>
          <w:numId w:val="6"/>
        </w:numPr>
        <w:tabs>
          <w:tab w:pos="847" w:val="left" w:leader="none"/>
        </w:tabs>
        <w:spacing w:line="240" w:lineRule="auto" w:before="0" w:after="0"/>
        <w:ind w:left="846" w:right="0" w:hanging="720"/>
        <w:jc w:val="left"/>
      </w:pPr>
      <w:bookmarkStart w:name="_TOC_250020" w:id="116"/>
      <w:r>
        <w:rPr>
          <w:spacing w:val="5"/>
        </w:rPr>
        <w:t>严重 </w:t>
      </w:r>
      <w:r>
        <w:rPr/>
        <w:t>III</w:t>
      </w:r>
      <w:bookmarkEnd w:id="116"/>
      <w:r>
        <w:rPr>
          <w:spacing w:val="1"/>
        </w:rPr>
        <w:t> 度烧伤</w:t>
      </w:r>
    </w:p>
    <w:p>
      <w:pPr>
        <w:pStyle w:val="BodyText"/>
        <w:spacing w:before="13"/>
        <w:rPr>
          <w:rFonts w:ascii="Microsoft JhengHei UI"/>
          <w:b/>
          <w:sz w:val="27"/>
        </w:rPr>
      </w:pPr>
    </w:p>
    <w:p>
      <w:pPr>
        <w:pStyle w:val="BodyText"/>
        <w:spacing w:line="408" w:lineRule="auto"/>
        <w:ind w:left="120" w:right="117"/>
      </w:pPr>
      <w:r>
        <w:rPr>
          <w:spacing w:val="-8"/>
        </w:rPr>
        <w:t>指烧伤程度为 </w:t>
      </w:r>
      <w:r>
        <w:rPr/>
        <w:t>III</w:t>
      </w:r>
      <w:r>
        <w:rPr>
          <w:spacing w:val="-24"/>
        </w:rPr>
        <w:t> 度，且 </w:t>
      </w:r>
      <w:r>
        <w:rPr/>
        <w:t>III</w:t>
      </w:r>
      <w:r>
        <w:rPr>
          <w:spacing w:val="-11"/>
        </w:rPr>
        <w:t> 度烧伤的面积达到全身体表面积的 </w:t>
      </w:r>
      <w:r>
        <w:rPr/>
        <w:t>20</w:t>
      </w:r>
      <w:r>
        <w:rPr>
          <w:spacing w:val="-20"/>
        </w:rPr>
        <w:t>%或 </w:t>
      </w:r>
      <w:r>
        <w:rPr/>
        <w:t>20%以上。体表面积</w:t>
      </w:r>
      <w:r>
        <w:rPr>
          <w:w w:val="95"/>
        </w:rPr>
        <w:t>根据《中国新九分法》计算。</w:t>
      </w:r>
    </w:p>
    <w:p>
      <w:pPr>
        <w:pStyle w:val="BodyText"/>
        <w:spacing w:before="3"/>
        <w:rPr>
          <w:sz w:val="22"/>
        </w:rPr>
      </w:pPr>
    </w:p>
    <w:p>
      <w:pPr>
        <w:pStyle w:val="Heading2"/>
        <w:numPr>
          <w:ilvl w:val="2"/>
          <w:numId w:val="6"/>
        </w:numPr>
        <w:tabs>
          <w:tab w:pos="847" w:val="left" w:leader="none"/>
        </w:tabs>
        <w:spacing w:line="240" w:lineRule="auto" w:before="0" w:after="0"/>
        <w:ind w:left="846" w:right="0" w:hanging="720"/>
        <w:jc w:val="left"/>
      </w:pPr>
      <w:bookmarkStart w:name="_TOC_250019" w:id="117"/>
      <w:bookmarkEnd w:id="117"/>
      <w:r>
        <w:rPr>
          <w:w w:val="95"/>
        </w:rPr>
        <w:t>严重原发性肺动脉高压</w:t>
      </w:r>
    </w:p>
    <w:p>
      <w:pPr>
        <w:pStyle w:val="BodyText"/>
        <w:spacing w:before="2"/>
        <w:rPr>
          <w:rFonts w:ascii="Microsoft JhengHei UI"/>
          <w:b/>
          <w:sz w:val="23"/>
        </w:rPr>
      </w:pPr>
    </w:p>
    <w:p>
      <w:pPr>
        <w:pStyle w:val="BodyText"/>
        <w:spacing w:line="273" w:lineRule="auto" w:before="1"/>
        <w:ind w:left="120" w:right="119"/>
        <w:jc w:val="both"/>
      </w:pPr>
      <w:r>
        <w:rPr>
          <w:spacing w:val="-5"/>
          <w:w w:val="95"/>
        </w:rPr>
        <w:t>指不明原因的肺动脉压力持续性增高，进行性发展而导致的慢性疾病，已经造成永久不可逆   </w:t>
      </w:r>
      <w:r>
        <w:rPr>
          <w:spacing w:val="-7"/>
        </w:rPr>
        <w:t>性的体力活动能力受限，达到美国纽约心脏病学会心功能状态分级 </w:t>
      </w:r>
      <w:r>
        <w:rPr/>
        <w:t>IV</w:t>
      </w:r>
      <w:r>
        <w:rPr>
          <w:spacing w:val="-8"/>
        </w:rPr>
        <w:t> 级，且静息状态下肺</w:t>
      </w:r>
      <w:r>
        <w:rPr>
          <w:spacing w:val="-12"/>
          <w:w w:val="105"/>
        </w:rPr>
        <w:t>动脉平均压超过 </w:t>
      </w:r>
      <w:r>
        <w:rPr>
          <w:w w:val="105"/>
        </w:rPr>
        <w:t>30mmHg。</w:t>
      </w:r>
    </w:p>
    <w:p>
      <w:pPr>
        <w:pStyle w:val="BodyText"/>
        <w:spacing w:before="2"/>
        <w:rPr>
          <w:sz w:val="25"/>
        </w:rPr>
      </w:pPr>
    </w:p>
    <w:p>
      <w:pPr>
        <w:pStyle w:val="Heading2"/>
        <w:numPr>
          <w:ilvl w:val="2"/>
          <w:numId w:val="6"/>
        </w:numPr>
        <w:tabs>
          <w:tab w:pos="847" w:val="left" w:leader="none"/>
        </w:tabs>
        <w:spacing w:line="240" w:lineRule="auto" w:before="0" w:after="0"/>
        <w:ind w:left="846" w:right="0" w:hanging="720"/>
        <w:jc w:val="left"/>
      </w:pPr>
      <w:bookmarkStart w:name="_TOC_250018" w:id="118"/>
      <w:bookmarkEnd w:id="118"/>
      <w:r>
        <w:rPr>
          <w:w w:val="95"/>
        </w:rPr>
        <w:t>严重运动神经元病</w:t>
      </w:r>
    </w:p>
    <w:p>
      <w:pPr>
        <w:pStyle w:val="BodyText"/>
        <w:spacing w:before="15"/>
        <w:rPr>
          <w:rFonts w:ascii="Microsoft JhengHei UI"/>
          <w:b/>
          <w:sz w:val="27"/>
        </w:rPr>
      </w:pPr>
    </w:p>
    <w:p>
      <w:pPr>
        <w:pStyle w:val="BodyText"/>
        <w:spacing w:line="408" w:lineRule="auto"/>
        <w:ind w:left="120" w:right="116"/>
        <w:jc w:val="both"/>
      </w:pPr>
      <w:r>
        <w:rPr>
          <w:spacing w:val="-8"/>
          <w:w w:val="95"/>
        </w:rPr>
        <w:t>是一组中枢神经系统神经元的进行性变性疾病，包括进行性脊肌萎缩症、进行性延髓麻痹症</w:t>
      </w:r>
      <w:r>
        <w:rPr>
          <w:w w:val="80"/>
        </w:rPr>
        <w:t>、  </w:t>
      </w:r>
      <w:r>
        <w:rPr>
          <w:spacing w:val="-7"/>
          <w:w w:val="95"/>
        </w:rPr>
        <w:t>原发性侧索硬化症、肌萎缩性侧索硬化症。须满足自主生活能力完全丧失，无法独立完成六   项基本日常生活活动中的三项或三项以上的条件。</w:t>
      </w:r>
    </w:p>
    <w:p>
      <w:pPr>
        <w:pStyle w:val="BodyText"/>
        <w:rPr>
          <w:sz w:val="22"/>
        </w:rPr>
      </w:pPr>
    </w:p>
    <w:p>
      <w:pPr>
        <w:pStyle w:val="Heading2"/>
        <w:numPr>
          <w:ilvl w:val="2"/>
          <w:numId w:val="6"/>
        </w:numPr>
        <w:tabs>
          <w:tab w:pos="847" w:val="left" w:leader="none"/>
        </w:tabs>
        <w:spacing w:line="240" w:lineRule="auto" w:before="0" w:after="0"/>
        <w:ind w:left="846" w:right="0" w:hanging="720"/>
        <w:jc w:val="left"/>
      </w:pPr>
      <w:bookmarkStart w:name="_TOC_250017" w:id="119"/>
      <w:bookmarkEnd w:id="119"/>
      <w:r>
        <w:rPr>
          <w:w w:val="95"/>
        </w:rPr>
        <w:t>语言能力丧失</w:t>
      </w:r>
    </w:p>
    <w:p>
      <w:pPr>
        <w:pStyle w:val="BodyText"/>
        <w:spacing w:before="15"/>
        <w:rPr>
          <w:rFonts w:ascii="Microsoft JhengHei UI"/>
          <w:b/>
          <w:sz w:val="27"/>
        </w:rPr>
      </w:pPr>
    </w:p>
    <w:p>
      <w:pPr>
        <w:pStyle w:val="BodyText"/>
        <w:spacing w:line="408" w:lineRule="auto"/>
        <w:ind w:left="120" w:right="122"/>
      </w:pPr>
      <w:r>
        <w:rPr>
          <w:spacing w:val="-2"/>
        </w:rPr>
        <w:t>指因疾病或意外伤害导致完全丧失语言能力，经过积极治疗至少 </w:t>
      </w:r>
      <w:r>
        <w:rPr/>
        <w:t>12</w:t>
      </w:r>
      <w:r>
        <w:rPr>
          <w:spacing w:val="-21"/>
        </w:rPr>
        <w:t> 个月</w:t>
      </w:r>
      <w:r>
        <w:rPr/>
        <w:t>（声带完全切除不</w:t>
      </w:r>
      <w:r>
        <w:rPr>
          <w:spacing w:val="-1"/>
          <w:w w:val="99"/>
        </w:rPr>
        <w:t>受此时间限制</w:t>
      </w:r>
      <w:r>
        <w:rPr>
          <w:spacing w:val="-104"/>
          <w:w w:val="99"/>
        </w:rPr>
        <w:t>）</w:t>
      </w:r>
      <w:r>
        <w:rPr>
          <w:w w:val="99"/>
        </w:rPr>
        <w:t>，仍无法通过现有医疗手段恢复。</w:t>
      </w:r>
    </w:p>
    <w:p>
      <w:pPr>
        <w:pStyle w:val="BodyText"/>
        <w:spacing w:before="46"/>
        <w:ind w:left="120"/>
      </w:pPr>
      <w:r>
        <w:rPr>
          <w:w w:val="95"/>
        </w:rPr>
        <w:t>精神心理因素所致的语言能力丧失不在保障范围内。</w:t>
      </w:r>
    </w:p>
    <w:p>
      <w:pPr>
        <w:pStyle w:val="BodyText"/>
        <w:spacing w:before="6"/>
        <w:rPr>
          <w:sz w:val="33"/>
        </w:rPr>
      </w:pPr>
    </w:p>
    <w:p>
      <w:pPr>
        <w:pStyle w:val="Heading2"/>
        <w:numPr>
          <w:ilvl w:val="2"/>
          <w:numId w:val="6"/>
        </w:numPr>
        <w:tabs>
          <w:tab w:pos="847" w:val="left" w:leader="none"/>
        </w:tabs>
        <w:spacing w:line="240" w:lineRule="auto" w:before="0" w:after="0"/>
        <w:ind w:left="846" w:right="0" w:hanging="720"/>
        <w:jc w:val="left"/>
      </w:pPr>
      <w:bookmarkStart w:name="_TOC_250016" w:id="120"/>
      <w:bookmarkEnd w:id="120"/>
      <w:r>
        <w:rPr>
          <w:w w:val="95"/>
        </w:rPr>
        <w:t>重型再生障碍性贫血</w:t>
      </w:r>
    </w:p>
    <w:p>
      <w:pPr>
        <w:pStyle w:val="BodyText"/>
        <w:spacing w:before="15"/>
        <w:rPr>
          <w:rFonts w:ascii="Microsoft JhengHei UI"/>
          <w:b/>
          <w:sz w:val="27"/>
        </w:rPr>
      </w:pPr>
    </w:p>
    <w:p>
      <w:pPr>
        <w:pStyle w:val="BodyText"/>
        <w:spacing w:line="408" w:lineRule="auto"/>
        <w:ind w:left="120" w:right="119"/>
      </w:pPr>
      <w:r>
        <w:rPr>
          <w:spacing w:val="-5"/>
          <w:w w:val="95"/>
        </w:rPr>
        <w:t>指因骨髓造血功能慢性持续性衰竭导致的贫血、中性粒细胞减少及血小板减少。须满足下列   全部条件：</w:t>
      </w:r>
    </w:p>
    <w:p>
      <w:pPr>
        <w:pStyle w:val="BodyText"/>
        <w:spacing w:before="46"/>
        <w:ind w:left="120"/>
      </w:pPr>
      <w:r>
        <w:rPr>
          <w:w w:val="95"/>
        </w:rPr>
        <w:t>（1）骨髓穿刺检查或骨髓活检结果支持诊断；</w:t>
      </w:r>
    </w:p>
    <w:p>
      <w:pPr>
        <w:pStyle w:val="BodyText"/>
        <w:spacing w:before="193"/>
        <w:ind w:left="120"/>
      </w:pPr>
      <w:r>
        <w:rPr>
          <w:w w:val="95"/>
        </w:rPr>
        <w:t>（2）外周血象须具备以下三项条件：</w:t>
      </w:r>
    </w:p>
    <w:p>
      <w:pPr>
        <w:pStyle w:val="BodyText"/>
        <w:spacing w:before="5"/>
        <w:rPr>
          <w:sz w:val="22"/>
        </w:rPr>
      </w:pPr>
    </w:p>
    <w:p>
      <w:pPr>
        <w:tabs>
          <w:tab w:pos="1799" w:val="left" w:leader="none"/>
        </w:tabs>
        <w:spacing w:before="0"/>
        <w:ind w:left="1380" w:right="0" w:firstLine="0"/>
        <w:jc w:val="left"/>
        <w:rPr>
          <w:sz w:val="21"/>
          <w:szCs w:val="21"/>
        </w:rPr>
      </w:pPr>
      <w:r>
        <w:rPr>
          <w:rFonts w:ascii="Microsoft Sans Serif" w:hAnsi="Microsoft Sans Serif" w:cs="Microsoft Sans Serif" w:eastAsia="Microsoft Sans Serif"/>
          <w:sz w:val="21"/>
          <w:szCs w:val="21"/>
        </w:rPr>
        <w:t>�</w:t>
        <w:tab/>
      </w:r>
      <w:r>
        <w:rPr>
          <w:spacing w:val="2"/>
          <w:sz w:val="21"/>
          <w:szCs w:val="21"/>
        </w:rPr>
        <w:t>中性粒细胞绝对值</w:t>
      </w:r>
      <w:r>
        <w:rPr>
          <w:rFonts w:ascii="Trebuchet MS" w:hAnsi="Trebuchet MS" w:cs="Trebuchet MS" w:eastAsia="Trebuchet MS"/>
          <w:spacing w:val="-7"/>
          <w:sz w:val="24"/>
          <w:szCs w:val="24"/>
        </w:rPr>
        <w:t>≤ </w:t>
      </w:r>
      <w:r>
        <w:rPr>
          <w:rFonts w:ascii="Times New Roman" w:hAnsi="Times New Roman" w:cs="Times New Roman" w:eastAsia="Times New Roman"/>
          <w:sz w:val="24"/>
          <w:szCs w:val="24"/>
        </w:rPr>
        <w:t>0.5</w:t>
      </w:r>
      <w:r>
        <w:rPr>
          <w:rFonts w:ascii="Times New Roman" w:hAnsi="Times New Roman" w:cs="Times New Roman" w:eastAsia="Times New Roman"/>
          <w:spacing w:val="-33"/>
          <w:sz w:val="24"/>
          <w:szCs w:val="24"/>
        </w:rPr>
        <w:t> </w:t>
      </w:r>
      <w:r>
        <w:rPr>
          <w:rFonts w:ascii="Trebuchet MS" w:hAnsi="Trebuchet MS" w:cs="Trebuchet MS" w:eastAsia="Trebuchet MS"/>
          <w:spacing w:val="5"/>
          <w:sz w:val="24"/>
          <w:szCs w:val="24"/>
        </w:rPr>
        <w:t>×</w:t>
      </w:r>
      <w:r>
        <w:rPr>
          <w:rFonts w:ascii="Times New Roman" w:hAnsi="Times New Roman" w:cs="Times New Roman" w:eastAsia="Times New Roman"/>
          <w:spacing w:val="5"/>
          <w:sz w:val="24"/>
          <w:szCs w:val="24"/>
        </w:rPr>
        <w:t>10</w:t>
      </w:r>
      <w:r>
        <w:rPr>
          <w:rFonts w:ascii="Times New Roman" w:hAnsi="Times New Roman" w:cs="Times New Roman" w:eastAsia="Times New Roman"/>
          <w:spacing w:val="5"/>
          <w:position w:val="11"/>
          <w:sz w:val="14"/>
          <w:szCs w:val="14"/>
        </w:rPr>
        <w:t>9</w:t>
      </w:r>
      <w:r>
        <w:rPr>
          <w:rFonts w:ascii="Times New Roman" w:hAnsi="Times New Roman" w:cs="Times New Roman" w:eastAsia="Times New Roman"/>
          <w:spacing w:val="36"/>
          <w:position w:val="11"/>
          <w:sz w:val="14"/>
          <w:szCs w:val="14"/>
        </w:rPr>
        <w:t> </w:t>
      </w:r>
      <w:r>
        <w:rPr>
          <w:rFonts w:ascii="Times New Roman" w:hAnsi="Times New Roman" w:cs="Times New Roman" w:eastAsia="Times New Roman"/>
          <w:sz w:val="24"/>
          <w:szCs w:val="24"/>
        </w:rPr>
        <w:t>/</w:t>
      </w:r>
      <w:r>
        <w:rPr>
          <w:rFonts w:ascii="Times New Roman" w:hAnsi="Times New Roman" w:cs="Times New Roman" w:eastAsia="Times New Roman"/>
          <w:spacing w:val="-22"/>
          <w:sz w:val="24"/>
          <w:szCs w:val="24"/>
        </w:rPr>
        <w:t> </w:t>
      </w:r>
      <w:r>
        <w:rPr>
          <w:rFonts w:ascii="Times New Roman" w:hAnsi="Times New Roman" w:cs="Times New Roman" w:eastAsia="Times New Roman"/>
          <w:i/>
          <w:sz w:val="24"/>
          <w:szCs w:val="24"/>
        </w:rPr>
        <w:t>L</w:t>
      </w:r>
      <w:r>
        <w:rPr>
          <w:sz w:val="21"/>
          <w:szCs w:val="21"/>
        </w:rPr>
        <w:t>；</w:t>
      </w:r>
    </w:p>
    <w:p>
      <w:pPr>
        <w:tabs>
          <w:tab w:pos="1799" w:val="left" w:leader="none"/>
        </w:tabs>
        <w:spacing w:before="226"/>
        <w:ind w:left="1380" w:right="0" w:firstLine="0"/>
        <w:jc w:val="left"/>
        <w:rPr>
          <w:sz w:val="21"/>
          <w:szCs w:val="21"/>
        </w:rPr>
      </w:pPr>
      <w:r>
        <w:rPr>
          <w:rFonts w:ascii="Microsoft Sans Serif" w:hAnsi="Microsoft Sans Serif" w:cs="Microsoft Sans Serif" w:eastAsia="Microsoft Sans Serif"/>
          <w:w w:val="105"/>
          <w:sz w:val="21"/>
          <w:szCs w:val="21"/>
        </w:rPr>
        <w:t>�</w:t>
        <w:tab/>
      </w:r>
      <w:r>
        <w:rPr>
          <w:spacing w:val="6"/>
          <w:sz w:val="21"/>
          <w:szCs w:val="21"/>
        </w:rPr>
        <w:t>网织红细胞</w:t>
      </w:r>
      <w:r>
        <w:rPr>
          <w:rFonts w:ascii="Trebuchet MS" w:hAnsi="Trebuchet MS" w:cs="Trebuchet MS" w:eastAsia="Trebuchet MS"/>
          <w:spacing w:val="-12"/>
          <w:sz w:val="23"/>
          <w:szCs w:val="23"/>
        </w:rPr>
        <w:t>&lt; </w:t>
      </w:r>
      <w:r>
        <w:rPr>
          <w:rFonts w:ascii="Times New Roman" w:hAnsi="Times New Roman" w:cs="Times New Roman" w:eastAsia="Times New Roman"/>
          <w:sz w:val="23"/>
          <w:szCs w:val="23"/>
        </w:rPr>
        <w:t>1</w:t>
      </w:r>
      <w:r>
        <w:rPr>
          <w:rFonts w:ascii="Times New Roman" w:hAnsi="Times New Roman" w:cs="Times New Roman" w:eastAsia="Times New Roman"/>
          <w:spacing w:val="-5"/>
          <w:sz w:val="23"/>
          <w:szCs w:val="23"/>
        </w:rPr>
        <w:t>% </w:t>
      </w:r>
      <w:r>
        <w:rPr>
          <w:sz w:val="21"/>
          <w:szCs w:val="21"/>
        </w:rPr>
        <w:t>；</w:t>
      </w:r>
    </w:p>
    <w:p>
      <w:pPr>
        <w:tabs>
          <w:tab w:pos="1799" w:val="left" w:leader="none"/>
        </w:tabs>
        <w:spacing w:before="269"/>
        <w:ind w:left="1380" w:right="0" w:firstLine="0"/>
        <w:jc w:val="left"/>
        <w:rPr>
          <w:rFonts w:ascii="Times New Roman" w:hAnsi="Times New Roman" w:cs="Times New Roman" w:eastAsia="Times New Roman"/>
          <w:i/>
          <w:sz w:val="24"/>
          <w:szCs w:val="24"/>
        </w:rPr>
      </w:pPr>
      <w:r>
        <w:rPr>
          <w:rFonts w:ascii="Microsoft Sans Serif" w:hAnsi="Microsoft Sans Serif" w:cs="Microsoft Sans Serif" w:eastAsia="Microsoft Sans Serif"/>
          <w:sz w:val="21"/>
          <w:szCs w:val="21"/>
        </w:rPr>
        <w:t>�</w:t>
        <w:tab/>
      </w:r>
      <w:r>
        <w:rPr>
          <w:spacing w:val="5"/>
          <w:sz w:val="21"/>
          <w:szCs w:val="21"/>
        </w:rPr>
        <w:t>血小板绝对值</w:t>
      </w:r>
      <w:r>
        <w:rPr>
          <w:rFonts w:ascii="Trebuchet MS" w:hAnsi="Trebuchet MS" w:cs="Trebuchet MS" w:eastAsia="Trebuchet MS"/>
          <w:spacing w:val="-3"/>
          <w:sz w:val="24"/>
          <w:szCs w:val="24"/>
        </w:rPr>
        <w:t>≤ </w:t>
      </w:r>
      <w:r>
        <w:rPr>
          <w:rFonts w:ascii="Times New Roman" w:hAnsi="Times New Roman" w:cs="Times New Roman" w:eastAsia="Times New Roman"/>
          <w:sz w:val="24"/>
          <w:szCs w:val="24"/>
        </w:rPr>
        <w:t>20</w:t>
      </w:r>
      <w:r>
        <w:rPr>
          <w:rFonts w:ascii="Times New Roman" w:hAnsi="Times New Roman" w:cs="Times New Roman" w:eastAsia="Times New Roman"/>
          <w:spacing w:val="-31"/>
          <w:sz w:val="24"/>
          <w:szCs w:val="24"/>
        </w:rPr>
        <w:t> </w:t>
      </w:r>
      <w:r>
        <w:rPr>
          <w:rFonts w:ascii="Trebuchet MS" w:hAnsi="Trebuchet MS" w:cs="Trebuchet MS" w:eastAsia="Trebuchet MS"/>
          <w:spacing w:val="5"/>
          <w:sz w:val="24"/>
          <w:szCs w:val="24"/>
        </w:rPr>
        <w:t>×</w:t>
      </w:r>
      <w:r>
        <w:rPr>
          <w:rFonts w:ascii="Times New Roman" w:hAnsi="Times New Roman" w:cs="Times New Roman" w:eastAsia="Times New Roman"/>
          <w:spacing w:val="5"/>
          <w:sz w:val="24"/>
          <w:szCs w:val="24"/>
        </w:rPr>
        <w:t>10</w:t>
      </w:r>
      <w:r>
        <w:rPr>
          <w:rFonts w:ascii="Times New Roman" w:hAnsi="Times New Roman" w:cs="Times New Roman" w:eastAsia="Times New Roman"/>
          <w:spacing w:val="5"/>
          <w:position w:val="11"/>
          <w:sz w:val="14"/>
          <w:szCs w:val="14"/>
        </w:rPr>
        <w:t>9</w:t>
      </w:r>
      <w:r>
        <w:rPr>
          <w:rFonts w:ascii="Times New Roman" w:hAnsi="Times New Roman" w:cs="Times New Roman" w:eastAsia="Times New Roman"/>
          <w:spacing w:val="35"/>
          <w:position w:val="11"/>
          <w:sz w:val="14"/>
          <w:szCs w:val="14"/>
        </w:rPr>
        <w:t> </w:t>
      </w:r>
      <w:r>
        <w:rPr>
          <w:rFonts w:ascii="Times New Roman" w:hAnsi="Times New Roman" w:cs="Times New Roman" w:eastAsia="Times New Roman"/>
          <w:sz w:val="24"/>
          <w:szCs w:val="24"/>
        </w:rPr>
        <w:t>/</w:t>
      </w:r>
      <w:r>
        <w:rPr>
          <w:rFonts w:ascii="Times New Roman" w:hAnsi="Times New Roman" w:cs="Times New Roman" w:eastAsia="Times New Roman"/>
          <w:spacing w:val="-19"/>
          <w:sz w:val="24"/>
          <w:szCs w:val="24"/>
        </w:rPr>
        <w:t> </w:t>
      </w:r>
      <w:r>
        <w:rPr>
          <w:rFonts w:ascii="Times New Roman" w:hAnsi="Times New Roman" w:cs="Times New Roman" w:eastAsia="Times New Roman"/>
          <w:i/>
          <w:sz w:val="24"/>
          <w:szCs w:val="24"/>
        </w:rPr>
        <w:t>L</w:t>
      </w:r>
    </w:p>
    <w:p>
      <w:pPr>
        <w:spacing w:after="0"/>
        <w:jc w:val="left"/>
        <w:rPr>
          <w:rFonts w:ascii="Times New Roman" w:hAnsi="Times New Roman" w:cs="Times New Roman" w:eastAsia="Times New Roman"/>
          <w:sz w:val="24"/>
          <w:szCs w:val="24"/>
        </w:rPr>
        <w:sectPr>
          <w:pgSz w:w="11910" w:h="16840"/>
          <w:pgMar w:header="0" w:footer="1262" w:top="1440" w:bottom="1460" w:left="1680" w:right="1680"/>
        </w:sectPr>
      </w:pPr>
    </w:p>
    <w:p>
      <w:pPr>
        <w:pStyle w:val="Heading2"/>
        <w:numPr>
          <w:ilvl w:val="2"/>
          <w:numId w:val="6"/>
        </w:numPr>
        <w:tabs>
          <w:tab w:pos="847" w:val="left" w:leader="none"/>
        </w:tabs>
        <w:spacing w:line="347" w:lineRule="exact" w:before="0" w:after="0"/>
        <w:ind w:left="846" w:right="0" w:hanging="720"/>
        <w:jc w:val="left"/>
      </w:pPr>
      <w:bookmarkStart w:name="_TOC_250015" w:id="121"/>
      <w:bookmarkStart w:name="主动脉手术" w:id="122"/>
      <w:r>
        <w:rPr>
          <w:b w:val="0"/>
        </w:rPr>
      </w:r>
      <w:bookmarkStart w:name="系统性红斑狼疮－III型或以上狼疮性肾炎" w:id="123"/>
      <w:bookmarkEnd w:id="123"/>
      <w:r>
        <w:rPr>
          <w:b w:val="0"/>
        </w:rPr>
      </w:r>
      <w:bookmarkStart w:name="经输血导致的人类免疫缺陷病毒（HIV）感染" w:id="124"/>
      <w:bookmarkEnd w:id="124"/>
      <w:r>
        <w:rPr>
          <w:b w:val="0"/>
        </w:rPr>
      </w:r>
      <w:bookmarkStart w:name="经输血导致的人类免疫缺陷病毒（HIV）感染" w:id="125"/>
      <w:bookmarkEnd w:id="121"/>
      <w:r>
        <w:rPr>
          <w:w w:val="95"/>
        </w:rPr>
        <w:t>主动脉手术</w:t>
      </w:r>
    </w:p>
    <w:p>
      <w:pPr>
        <w:pStyle w:val="BodyText"/>
        <w:spacing w:before="13"/>
        <w:rPr>
          <w:rFonts w:ascii="Microsoft JhengHei UI"/>
          <w:b/>
          <w:sz w:val="27"/>
        </w:rPr>
      </w:pPr>
    </w:p>
    <w:p>
      <w:pPr>
        <w:pStyle w:val="BodyText"/>
        <w:spacing w:line="408" w:lineRule="auto"/>
        <w:ind w:left="120" w:right="117"/>
      </w:pPr>
      <w:r>
        <w:rPr>
          <w:spacing w:val="-6"/>
          <w:w w:val="95"/>
        </w:rPr>
        <w:t>指为治疗主动脉疾病，实际实施了开胸或开腹进行的切除、置换、修补病损主动脉血管的手   术。主动脉指胸主动脉和腹主动脉，不包括胸主动脉和腹主动脉的分支血管。</w:t>
      </w:r>
    </w:p>
    <w:p>
      <w:pPr>
        <w:pStyle w:val="BodyText"/>
        <w:spacing w:before="46"/>
        <w:ind w:left="120"/>
      </w:pPr>
      <w:r>
        <w:rPr>
          <w:w w:val="95"/>
        </w:rPr>
        <w:t>动脉内血管成形术不在保障范围内。</w:t>
      </w:r>
    </w:p>
    <w:p>
      <w:pPr>
        <w:pStyle w:val="BodyText"/>
        <w:spacing w:before="4"/>
        <w:rPr>
          <w:sz w:val="33"/>
        </w:rPr>
      </w:pPr>
    </w:p>
    <w:p>
      <w:pPr>
        <w:pStyle w:val="Heading2"/>
        <w:numPr>
          <w:ilvl w:val="2"/>
          <w:numId w:val="6"/>
        </w:numPr>
        <w:tabs>
          <w:tab w:pos="847" w:val="left" w:leader="none"/>
        </w:tabs>
        <w:spacing w:line="240" w:lineRule="auto" w:before="0" w:after="0"/>
        <w:ind w:left="846" w:right="0" w:hanging="720"/>
        <w:jc w:val="left"/>
      </w:pPr>
      <w:bookmarkStart w:name="_TOC_250014" w:id="126"/>
      <w:bookmarkEnd w:id="126"/>
      <w:r>
        <w:rPr/>
        <w:t>系统性红斑狼疮  －  III 型或以上狼疮性肾炎</w:t>
      </w:r>
    </w:p>
    <w:p>
      <w:pPr>
        <w:pStyle w:val="BodyText"/>
        <w:spacing w:before="15"/>
        <w:rPr>
          <w:rFonts w:ascii="Microsoft JhengHei UI"/>
          <w:b/>
          <w:sz w:val="27"/>
        </w:rPr>
      </w:pPr>
    </w:p>
    <w:p>
      <w:pPr>
        <w:pStyle w:val="BodyText"/>
        <w:spacing w:line="408" w:lineRule="auto"/>
        <w:ind w:left="120" w:right="117"/>
      </w:pPr>
      <w:r>
        <w:rPr>
          <w:spacing w:val="-5"/>
        </w:rPr>
        <w:t>系统性红斑狼疮是由多种因素引起，累及多系统的自身免疫性疾病。其特点是生成自身抗体</w:t>
      </w:r>
      <w:r>
        <w:rPr>
          <w:spacing w:val="-5"/>
          <w:w w:val="95"/>
        </w:rPr>
        <w:t>对抗多种自身抗原。多见于育龄妇女。</w:t>
      </w:r>
    </w:p>
    <w:p>
      <w:pPr>
        <w:pStyle w:val="BodyText"/>
        <w:spacing w:line="408" w:lineRule="auto" w:before="45"/>
        <w:ind w:left="120" w:right="115"/>
        <w:jc w:val="both"/>
      </w:pPr>
      <w:r>
        <w:rPr>
          <w:spacing w:val="-2"/>
        </w:rPr>
        <w:t>本保单所指的系统性红斑狼疮仅限于累及肾脏</w:t>
      </w:r>
      <w:r>
        <w:rPr/>
        <w:t>（</w:t>
      </w:r>
      <w:r>
        <w:rPr>
          <w:spacing w:val="-8"/>
        </w:rPr>
        <w:t>经肾脏活检确认的，符合 </w:t>
      </w:r>
      <w:r>
        <w:rPr>
          <w:w w:val="140"/>
        </w:rPr>
        <w:t>WHO</w:t>
      </w:r>
      <w:r>
        <w:rPr>
          <w:spacing w:val="-67"/>
          <w:w w:val="140"/>
        </w:rPr>
        <w:t> </w:t>
      </w:r>
      <w:r>
        <w:rPr/>
        <w:t>诊断标准定</w:t>
      </w:r>
      <w:r>
        <w:rPr>
          <w:spacing w:val="-39"/>
        </w:rPr>
        <w:t>义 </w:t>
      </w:r>
      <w:r>
        <w:rPr/>
        <w:t>III</w:t>
      </w:r>
      <w:r>
        <w:rPr>
          <w:spacing w:val="-39"/>
        </w:rPr>
        <w:t> 型至 </w:t>
      </w:r>
      <w:r>
        <w:rPr>
          <w:w w:val="140"/>
        </w:rPr>
        <w:t>V</w:t>
      </w:r>
      <w:r>
        <w:rPr>
          <w:spacing w:val="-120"/>
          <w:w w:val="140"/>
        </w:rPr>
        <w:t> </w:t>
      </w:r>
      <w:r>
        <w:rPr/>
        <w:t>型狼疮性肾炎）</w:t>
      </w:r>
      <w:r>
        <w:rPr>
          <w:spacing w:val="-2"/>
        </w:rPr>
        <w:t>的系统性红斑狼疮。其他类型的红斑性狼疮，如盘状狼疮、仅</w:t>
      </w:r>
      <w:r>
        <w:rPr>
          <w:spacing w:val="-2"/>
          <w:w w:val="95"/>
        </w:rPr>
        <w:t>累及血液及关节的狼疮不在本保单保障范围內。</w:t>
      </w:r>
    </w:p>
    <w:p>
      <w:pPr>
        <w:pStyle w:val="BodyText"/>
        <w:spacing w:line="357" w:lineRule="auto"/>
        <w:ind w:left="120" w:right="3098"/>
      </w:pPr>
      <w:r>
        <w:rPr>
          <w:spacing w:val="-2"/>
          <w:w w:val="99"/>
        </w:rPr>
        <w:t>本病必须由免疫和风湿科</w:t>
      </w:r>
      <w:r>
        <w:rPr>
          <w:rFonts w:ascii="Microsoft JhengHei UI" w:eastAsia="Microsoft JhengHei UI" w:hint="eastAsia"/>
          <w:b/>
          <w:spacing w:val="-48"/>
          <w:w w:val="99"/>
        </w:rPr>
        <w:t>专</w:t>
      </w:r>
      <w:r>
        <w:rPr>
          <w:w w:val="99"/>
          <w:position w:val="1"/>
        </w:rPr>
        <w:t>科</w:t>
      </w:r>
      <w:r>
        <w:rPr>
          <w:spacing w:val="-476"/>
          <w:w w:val="99"/>
          <w:position w:val="1"/>
        </w:rPr>
        <w:t>医</w:t>
      </w:r>
      <w:r>
        <w:rPr>
          <w:w w:val="99"/>
        </w:rPr>
        <w:t>科</w:t>
      </w:r>
      <w:r>
        <w:rPr>
          <w:spacing w:val="-471"/>
          <w:w w:val="99"/>
        </w:rPr>
        <w:t>医</w:t>
      </w:r>
      <w:r>
        <w:rPr>
          <w:w w:val="99"/>
        </w:rPr>
        <w:t>科</w:t>
      </w:r>
      <w:r>
        <w:rPr>
          <w:spacing w:val="-474"/>
          <w:w w:val="99"/>
        </w:rPr>
        <w:t>医</w:t>
      </w:r>
      <w:r>
        <w:rPr>
          <w:spacing w:val="-31"/>
          <w:w w:val="99"/>
        </w:rPr>
        <w:t>科医</w:t>
      </w:r>
      <w:r>
        <w:rPr>
          <w:spacing w:val="-267"/>
          <w:w w:val="99"/>
          <w:position w:val="1"/>
        </w:rPr>
        <w:t>生</w:t>
      </w:r>
      <w:r>
        <w:rPr>
          <w:spacing w:val="-264"/>
          <w:w w:val="99"/>
        </w:rPr>
        <w:t>生生</w:t>
      </w:r>
      <w:r>
        <w:rPr>
          <w:spacing w:val="-46"/>
          <w:w w:val="99"/>
        </w:rPr>
        <w:t>生</w:t>
      </w:r>
      <w:r>
        <w:rPr>
          <w:spacing w:val="1"/>
          <w:w w:val="99"/>
        </w:rPr>
        <w:t>（</w:t>
      </w:r>
      <w:r>
        <w:rPr>
          <w:w w:val="99"/>
        </w:rPr>
        <w:t>见释义</w:t>
      </w:r>
      <w:r>
        <w:rPr>
          <w:spacing w:val="-55"/>
        </w:rPr>
        <w:t> </w:t>
      </w:r>
      <w:r>
        <w:rPr>
          <w:w w:val="93"/>
        </w:rPr>
        <w:t>10</w:t>
      </w:r>
      <w:r>
        <w:rPr>
          <w:spacing w:val="-1"/>
          <w:w w:val="43"/>
        </w:rPr>
        <w:t>.</w:t>
      </w:r>
      <w:r>
        <w:rPr>
          <w:w w:val="93"/>
        </w:rPr>
        <w:t>1</w:t>
      </w:r>
      <w:r>
        <w:rPr>
          <w:spacing w:val="1"/>
          <w:w w:val="93"/>
        </w:rPr>
        <w:t>3</w:t>
      </w:r>
      <w:r>
        <w:rPr>
          <w:spacing w:val="1"/>
          <w:w w:val="99"/>
        </w:rPr>
        <w:t>）</w:t>
      </w:r>
      <w:r>
        <w:rPr>
          <w:spacing w:val="-20"/>
          <w:w w:val="99"/>
        </w:rPr>
        <w:t>确</w:t>
      </w:r>
      <w:r>
        <w:rPr>
          <w:spacing w:val="-3"/>
        </w:rPr>
        <w:t>诊。世界卫生组织</w:t>
      </w:r>
      <w:r>
        <w:rPr>
          <w:spacing w:val="-3"/>
          <w:w w:val="115"/>
        </w:rPr>
        <w:t>（WHO）</w:t>
      </w:r>
      <w:r>
        <w:rPr>
          <w:spacing w:val="-3"/>
        </w:rPr>
        <w:t>狼疮性肾炎分型：</w:t>
      </w:r>
    </w:p>
    <w:p>
      <w:pPr>
        <w:pStyle w:val="ListParagraph"/>
        <w:numPr>
          <w:ilvl w:val="0"/>
          <w:numId w:val="10"/>
        </w:numPr>
        <w:tabs>
          <w:tab w:pos="264" w:val="left" w:leader="none"/>
          <w:tab w:pos="3237" w:val="left" w:leader="none"/>
        </w:tabs>
        <w:spacing w:line="240" w:lineRule="auto" w:before="95" w:after="0"/>
        <w:ind w:left="264" w:right="0" w:hanging="125"/>
        <w:jc w:val="left"/>
        <w:rPr>
          <w:sz w:val="21"/>
        </w:rPr>
      </w:pPr>
      <w:r>
        <w:rPr>
          <w:sz w:val="21"/>
        </w:rPr>
        <w:t>型（微小病变型）</w:t>
        <w:tab/>
      </w:r>
      <w:r>
        <w:rPr>
          <w:w w:val="95"/>
          <w:sz w:val="21"/>
        </w:rPr>
        <w:t>镜下阴性，尿液正常</w:t>
      </w:r>
    </w:p>
    <w:p>
      <w:pPr>
        <w:pStyle w:val="ListParagraph"/>
        <w:numPr>
          <w:ilvl w:val="0"/>
          <w:numId w:val="10"/>
        </w:numPr>
        <w:tabs>
          <w:tab w:pos="339" w:val="left" w:leader="none"/>
          <w:tab w:pos="3237" w:val="left" w:leader="none"/>
        </w:tabs>
        <w:spacing w:line="240" w:lineRule="auto" w:before="193" w:after="0"/>
        <w:ind w:left="338" w:right="0" w:hanging="199"/>
        <w:jc w:val="left"/>
        <w:rPr>
          <w:sz w:val="21"/>
        </w:rPr>
      </w:pPr>
      <w:r>
        <w:rPr>
          <w:sz w:val="21"/>
        </w:rPr>
        <w:t>型（系膜病变型）</w:t>
        <w:tab/>
      </w:r>
      <w:r>
        <w:rPr>
          <w:w w:val="95"/>
          <w:sz w:val="21"/>
        </w:rPr>
        <w:t>中度蛋白尿，偶有尿沉渣改变</w:t>
      </w:r>
    </w:p>
    <w:p>
      <w:pPr>
        <w:pStyle w:val="ListParagraph"/>
        <w:numPr>
          <w:ilvl w:val="0"/>
          <w:numId w:val="10"/>
        </w:numPr>
        <w:tabs>
          <w:tab w:pos="413" w:val="left" w:leader="none"/>
          <w:tab w:pos="3237" w:val="left" w:leader="none"/>
        </w:tabs>
        <w:spacing w:line="240" w:lineRule="auto" w:before="193" w:after="0"/>
        <w:ind w:left="412" w:right="0" w:hanging="273"/>
        <w:jc w:val="left"/>
        <w:rPr>
          <w:sz w:val="21"/>
        </w:rPr>
      </w:pPr>
      <w:r>
        <w:rPr>
          <w:sz w:val="21"/>
        </w:rPr>
        <w:t>型（局灶及节段增生型）</w:t>
        <w:tab/>
      </w:r>
      <w:r>
        <w:rPr>
          <w:w w:val="95"/>
          <w:sz w:val="21"/>
        </w:rPr>
        <w:t>蛋白尿，尿沉渣改变</w:t>
      </w:r>
    </w:p>
    <w:p>
      <w:pPr>
        <w:pStyle w:val="ListParagraph"/>
        <w:numPr>
          <w:ilvl w:val="0"/>
          <w:numId w:val="10"/>
        </w:numPr>
        <w:tabs>
          <w:tab w:pos="408" w:val="left" w:leader="none"/>
          <w:tab w:pos="3237" w:val="left" w:leader="none"/>
        </w:tabs>
        <w:spacing w:line="240" w:lineRule="auto" w:before="193" w:after="0"/>
        <w:ind w:left="408" w:right="0" w:hanging="269"/>
        <w:jc w:val="left"/>
        <w:rPr>
          <w:sz w:val="21"/>
        </w:rPr>
      </w:pPr>
      <w:r>
        <w:rPr>
          <w:sz w:val="21"/>
        </w:rPr>
        <w:t>型（弥漫增生型）</w:t>
        <w:tab/>
      </w:r>
      <w:r>
        <w:rPr>
          <w:w w:val="95"/>
          <w:sz w:val="21"/>
        </w:rPr>
        <w:t>急性肾炎伴有尿沉渣改变及／或肾病综合征</w:t>
      </w:r>
    </w:p>
    <w:p>
      <w:pPr>
        <w:pStyle w:val="ListParagraph"/>
        <w:numPr>
          <w:ilvl w:val="0"/>
          <w:numId w:val="10"/>
        </w:numPr>
        <w:tabs>
          <w:tab w:pos="332" w:val="left" w:leader="none"/>
          <w:tab w:pos="3237" w:val="left" w:leader="none"/>
        </w:tabs>
        <w:spacing w:line="240" w:lineRule="auto" w:before="193" w:after="0"/>
        <w:ind w:left="331" w:right="0" w:hanging="192"/>
        <w:jc w:val="left"/>
        <w:rPr>
          <w:sz w:val="21"/>
        </w:rPr>
      </w:pPr>
      <w:r>
        <w:rPr>
          <w:sz w:val="21"/>
        </w:rPr>
        <w:t>型（膜型）</w:t>
        <w:tab/>
      </w:r>
      <w:r>
        <w:rPr>
          <w:w w:val="95"/>
          <w:sz w:val="21"/>
        </w:rPr>
        <w:t>肾病综合征或重度蛋白尿</w:t>
      </w:r>
    </w:p>
    <w:p>
      <w:pPr>
        <w:pStyle w:val="BodyText"/>
        <w:spacing w:before="6"/>
        <w:rPr>
          <w:sz w:val="33"/>
        </w:rPr>
      </w:pPr>
    </w:p>
    <w:p>
      <w:pPr>
        <w:pStyle w:val="Heading2"/>
        <w:numPr>
          <w:ilvl w:val="2"/>
          <w:numId w:val="6"/>
        </w:numPr>
        <w:tabs>
          <w:tab w:pos="847" w:val="left" w:leader="none"/>
        </w:tabs>
        <w:spacing w:line="240" w:lineRule="auto" w:before="0" w:after="0"/>
        <w:ind w:left="846" w:right="0" w:hanging="720"/>
        <w:jc w:val="left"/>
      </w:pPr>
      <w:bookmarkStart w:name="_TOC_250013" w:id="127"/>
      <w:bookmarkEnd w:id="127"/>
      <w:r>
        <w:rPr/>
        <w:t>经输血导致的人类免疫缺陷病毒（HIV）感染</w:t>
      </w:r>
    </w:p>
    <w:p>
      <w:pPr>
        <w:pStyle w:val="BodyText"/>
        <w:spacing w:before="12"/>
        <w:rPr>
          <w:rFonts w:ascii="Microsoft JhengHei UI"/>
          <w:b/>
          <w:sz w:val="27"/>
        </w:rPr>
      </w:pPr>
    </w:p>
    <w:p>
      <w:pPr>
        <w:pStyle w:val="BodyText"/>
        <w:spacing w:before="1"/>
        <w:ind w:left="120"/>
      </w:pPr>
      <w:r>
        <w:rPr>
          <w:w w:val="99"/>
        </w:rPr>
        <w:t>被保险人感染上人类免疫缺陷病毒</w:t>
      </w:r>
      <w:r>
        <w:rPr>
          <w:spacing w:val="-1"/>
          <w:w w:val="99"/>
        </w:rPr>
        <w:t>（</w:t>
      </w:r>
      <w:r>
        <w:rPr>
          <w:spacing w:val="-1"/>
          <w:w w:val="151"/>
        </w:rPr>
        <w:t>H</w:t>
      </w:r>
      <w:r>
        <w:rPr>
          <w:w w:val="70"/>
        </w:rPr>
        <w:t>I</w:t>
      </w:r>
      <w:r>
        <w:rPr>
          <w:spacing w:val="1"/>
          <w:w w:val="134"/>
        </w:rPr>
        <w:t>V</w:t>
      </w:r>
      <w:r>
        <w:rPr>
          <w:spacing w:val="1"/>
          <w:w w:val="99"/>
        </w:rPr>
        <w:t>）</w:t>
      </w:r>
      <w:r>
        <w:rPr>
          <w:w w:val="99"/>
        </w:rPr>
        <w:t>并且符合下列所有条件：</w:t>
      </w:r>
    </w:p>
    <w:p>
      <w:pPr>
        <w:pStyle w:val="BodyText"/>
        <w:spacing w:before="193"/>
        <w:ind w:left="120"/>
      </w:pPr>
      <w:r>
        <w:rPr>
          <w:w w:val="99"/>
        </w:rPr>
        <w:t>（</w:t>
      </w:r>
      <w:r>
        <w:rPr>
          <w:w w:val="93"/>
        </w:rPr>
        <w:t>1</w:t>
      </w:r>
      <w:r>
        <w:rPr>
          <w:spacing w:val="1"/>
          <w:w w:val="99"/>
        </w:rPr>
        <w:t>）</w:t>
      </w:r>
      <w:r>
        <w:rPr>
          <w:w w:val="99"/>
        </w:rPr>
        <w:t>在保障起始日或复效日之后，被保险人因输血而感染</w:t>
      </w:r>
      <w:r>
        <w:rPr>
          <w:spacing w:val="-53"/>
        </w:rPr>
        <w:t> </w:t>
      </w:r>
      <w:r>
        <w:rPr>
          <w:spacing w:val="-1"/>
          <w:w w:val="151"/>
        </w:rPr>
        <w:t>H</w:t>
      </w:r>
      <w:r>
        <w:rPr>
          <w:w w:val="70"/>
        </w:rPr>
        <w:t>I</w:t>
      </w:r>
      <w:r>
        <w:rPr>
          <w:spacing w:val="1"/>
          <w:w w:val="134"/>
        </w:rPr>
        <w:t>V</w:t>
      </w:r>
      <w:r>
        <w:rPr>
          <w:w w:val="99"/>
        </w:rPr>
        <w:t>；</w:t>
      </w:r>
    </w:p>
    <w:p>
      <w:pPr>
        <w:pStyle w:val="BodyText"/>
        <w:spacing w:line="408" w:lineRule="auto" w:before="193"/>
        <w:ind w:left="120" w:right="134"/>
      </w:pPr>
      <w:r>
        <w:rPr>
          <w:w w:val="95"/>
        </w:rPr>
        <w:t>（2）提供输血治疗的输血中心或医院出具该项输血感染属医疗责任事故的报告，或者法院   终审裁定为医疗责任并且不准上诉；</w:t>
      </w:r>
    </w:p>
    <w:p>
      <w:pPr>
        <w:pStyle w:val="BodyText"/>
        <w:spacing w:before="46"/>
        <w:ind w:left="120"/>
      </w:pPr>
      <w:r>
        <w:rPr>
          <w:w w:val="95"/>
        </w:rPr>
        <w:t>（3）受感染的被保险人不是血友病患者。</w:t>
      </w:r>
    </w:p>
    <w:p>
      <w:pPr>
        <w:pStyle w:val="BodyText"/>
        <w:spacing w:line="408" w:lineRule="auto" w:before="193"/>
        <w:ind w:left="120" w:right="115"/>
      </w:pPr>
      <w:r>
        <w:rPr>
          <w:spacing w:val="1"/>
          <w:w w:val="99"/>
        </w:rPr>
        <w:t>在任何治愈艾滋病（</w:t>
      </w:r>
      <w:r>
        <w:rPr>
          <w:w w:val="134"/>
        </w:rPr>
        <w:t>A</w:t>
      </w:r>
      <w:r>
        <w:rPr>
          <w:w w:val="70"/>
        </w:rPr>
        <w:t>I</w:t>
      </w:r>
      <w:r>
        <w:rPr>
          <w:spacing w:val="-1"/>
          <w:w w:val="153"/>
        </w:rPr>
        <w:t>D</w:t>
      </w:r>
      <w:r>
        <w:rPr>
          <w:spacing w:val="5"/>
          <w:w w:val="95"/>
        </w:rPr>
        <w:t>S</w:t>
      </w:r>
      <w:r>
        <w:rPr>
          <w:spacing w:val="1"/>
          <w:w w:val="99"/>
        </w:rPr>
        <w:t>）</w:t>
      </w:r>
      <w:r>
        <w:rPr>
          <w:spacing w:val="0"/>
          <w:w w:val="99"/>
        </w:rPr>
        <w:t>或阻止</w:t>
      </w:r>
      <w:r>
        <w:rPr>
          <w:spacing w:val="-50"/>
        </w:rPr>
        <w:t> </w:t>
      </w:r>
      <w:r>
        <w:rPr>
          <w:spacing w:val="-1"/>
          <w:w w:val="151"/>
        </w:rPr>
        <w:t>H</w:t>
      </w:r>
      <w:r>
        <w:rPr>
          <w:w w:val="70"/>
        </w:rPr>
        <w:t>I</w:t>
      </w:r>
      <w:r>
        <w:rPr>
          <w:w w:val="134"/>
        </w:rPr>
        <w:t>V</w:t>
      </w:r>
      <w:r>
        <w:rPr>
          <w:spacing w:val="-50"/>
        </w:rPr>
        <w:t> </w:t>
      </w:r>
      <w:r>
        <w:rPr>
          <w:spacing w:val="0"/>
          <w:w w:val="99"/>
        </w:rPr>
        <w:t>病毒作用的疗法被发现以后，或能防止</w:t>
      </w:r>
      <w:r>
        <w:rPr>
          <w:spacing w:val="-48"/>
        </w:rPr>
        <w:t> </w:t>
      </w:r>
      <w:r>
        <w:rPr>
          <w:w w:val="134"/>
        </w:rPr>
        <w:t>A</w:t>
      </w:r>
      <w:r>
        <w:rPr>
          <w:w w:val="70"/>
        </w:rPr>
        <w:t>I</w:t>
      </w:r>
      <w:r>
        <w:rPr>
          <w:spacing w:val="-1"/>
          <w:w w:val="153"/>
        </w:rPr>
        <w:t>D</w:t>
      </w:r>
      <w:r>
        <w:rPr>
          <w:w w:val="95"/>
        </w:rPr>
        <w:t>S</w:t>
      </w:r>
      <w:r>
        <w:rPr>
          <w:spacing w:val="-50"/>
        </w:rPr>
        <w:t> </w:t>
      </w:r>
      <w:r>
        <w:rPr>
          <w:w w:val="99"/>
        </w:rPr>
        <w:t>发生</w:t>
      </w:r>
      <w:r>
        <w:rPr>
          <w:w w:val="95"/>
        </w:rPr>
        <w:t>的医疗方法被研究出来以后，本保障将不再予以赔付。</w:t>
      </w:r>
    </w:p>
    <w:p>
      <w:pPr>
        <w:pStyle w:val="BodyText"/>
        <w:spacing w:before="46"/>
        <w:ind w:left="120"/>
      </w:pPr>
      <w:r>
        <w:rPr>
          <w:spacing w:val="1"/>
          <w:w w:val="99"/>
        </w:rPr>
        <w:t>任何因其他传播方式（包括：性传播或静脉注射毒品）</w:t>
      </w:r>
      <w:r>
        <w:rPr>
          <w:spacing w:val="0"/>
          <w:w w:val="99"/>
        </w:rPr>
        <w:t>导致的</w:t>
      </w:r>
      <w:r>
        <w:rPr>
          <w:spacing w:val="-41"/>
        </w:rPr>
        <w:t> </w:t>
      </w:r>
      <w:r>
        <w:rPr>
          <w:spacing w:val="-1"/>
          <w:w w:val="151"/>
        </w:rPr>
        <w:t>H</w:t>
      </w:r>
      <w:r>
        <w:rPr>
          <w:w w:val="70"/>
        </w:rPr>
        <w:t>I</w:t>
      </w:r>
      <w:r>
        <w:rPr>
          <w:w w:val="134"/>
        </w:rPr>
        <w:t>V</w:t>
      </w:r>
      <w:r>
        <w:rPr>
          <w:spacing w:val="-50"/>
        </w:rPr>
        <w:t> </w:t>
      </w:r>
      <w:r>
        <w:rPr>
          <w:spacing w:val="0"/>
          <w:w w:val="99"/>
        </w:rPr>
        <w:t>感染不在本保单保障范</w:t>
      </w:r>
    </w:p>
    <w:p>
      <w:pPr>
        <w:spacing w:after="0"/>
        <w:sectPr>
          <w:pgSz w:w="11910" w:h="16840"/>
          <w:pgMar w:header="0" w:footer="1262" w:top="1460" w:bottom="1500" w:left="1680" w:right="1680"/>
        </w:sectPr>
      </w:pPr>
    </w:p>
    <w:p>
      <w:pPr>
        <w:pStyle w:val="BodyText"/>
        <w:spacing w:line="408" w:lineRule="auto" w:before="32"/>
        <w:ind w:left="120" w:right="119"/>
      </w:pPr>
      <w:bookmarkStart w:name="严重多发性硬化" w:id="128"/>
      <w:bookmarkEnd w:id="128"/>
      <w:r>
        <w:rPr/>
      </w:r>
      <w:bookmarkStart w:name="严重类风湿性关节炎" w:id="129"/>
      <w:bookmarkEnd w:id="129"/>
      <w:r>
        <w:rPr/>
      </w:r>
      <w:bookmarkStart w:name="慢性呼吸功能衰竭" w:id="130"/>
      <w:bookmarkEnd w:id="130"/>
      <w:r>
        <w:rPr/>
      </w:r>
      <w:r>
        <w:rPr>
          <w:spacing w:val="-11"/>
          <w:w w:val="95"/>
        </w:rPr>
        <w:t>围内。保险公司必须拥有获得使用被保险人的所有血液样本的权利和能够对这些样本进行独   立检验的权利。</w:t>
      </w:r>
    </w:p>
    <w:p>
      <w:pPr>
        <w:pStyle w:val="BodyText"/>
        <w:spacing w:before="3"/>
        <w:rPr>
          <w:sz w:val="22"/>
        </w:rPr>
      </w:pPr>
    </w:p>
    <w:p>
      <w:pPr>
        <w:pStyle w:val="Heading2"/>
        <w:numPr>
          <w:ilvl w:val="2"/>
          <w:numId w:val="6"/>
        </w:numPr>
        <w:tabs>
          <w:tab w:pos="847" w:val="left" w:leader="none"/>
        </w:tabs>
        <w:spacing w:line="240" w:lineRule="auto" w:before="0" w:after="0"/>
        <w:ind w:left="846" w:right="0" w:hanging="720"/>
        <w:jc w:val="left"/>
      </w:pPr>
      <w:bookmarkStart w:name="_TOC_250012" w:id="131"/>
      <w:bookmarkEnd w:id="131"/>
      <w:r>
        <w:rPr>
          <w:w w:val="95"/>
        </w:rPr>
        <w:t>严重多发性硬化</w:t>
      </w:r>
    </w:p>
    <w:p>
      <w:pPr>
        <w:pStyle w:val="BodyText"/>
        <w:spacing w:before="13"/>
        <w:rPr>
          <w:rFonts w:ascii="Microsoft JhengHei UI"/>
          <w:b/>
          <w:sz w:val="27"/>
        </w:rPr>
      </w:pPr>
    </w:p>
    <w:p>
      <w:pPr>
        <w:pStyle w:val="BodyText"/>
        <w:spacing w:line="408" w:lineRule="auto"/>
        <w:ind w:left="120" w:right="117"/>
        <w:jc w:val="both"/>
      </w:pPr>
      <w:r>
        <w:rPr>
          <w:spacing w:val="-4"/>
          <w:w w:val="95"/>
        </w:rPr>
        <w:t>多发性硬化为中枢神经系统白质多灶性脱髓鞘病变，病变有时累及灰质。多发性硬化必须明   </w:t>
      </w:r>
      <w:r>
        <w:rPr>
          <w:spacing w:val="-11"/>
          <w:w w:val="95"/>
        </w:rPr>
        <w:t>确诊断，并且已经造成神经系统功能损害导致被保险人永久不可逆性的无法独立完成下列基   本日常生活活动：</w:t>
      </w:r>
    </w:p>
    <w:p>
      <w:pPr>
        <w:pStyle w:val="BodyText"/>
        <w:spacing w:before="46"/>
        <w:ind w:left="120"/>
      </w:pPr>
      <w:r>
        <w:rPr>
          <w:w w:val="95"/>
        </w:rPr>
        <w:t>（1）移动：自己从一个房间移动到另一个房间；或者</w:t>
      </w:r>
    </w:p>
    <w:p>
      <w:pPr>
        <w:pStyle w:val="BodyText"/>
        <w:spacing w:before="193"/>
        <w:ind w:left="120"/>
      </w:pPr>
      <w:r>
        <w:rPr>
          <w:w w:val="95"/>
        </w:rPr>
        <w:t>（2）进食：自己从已准备好的碗或碟中取食物放入口中</w:t>
      </w:r>
    </w:p>
    <w:p>
      <w:pPr>
        <w:pStyle w:val="BodyText"/>
        <w:spacing w:before="6"/>
        <w:rPr>
          <w:sz w:val="33"/>
        </w:rPr>
      </w:pPr>
    </w:p>
    <w:p>
      <w:pPr>
        <w:pStyle w:val="Heading2"/>
        <w:numPr>
          <w:ilvl w:val="2"/>
          <w:numId w:val="6"/>
        </w:numPr>
        <w:tabs>
          <w:tab w:pos="847" w:val="left" w:leader="none"/>
        </w:tabs>
        <w:spacing w:line="240" w:lineRule="auto" w:before="0" w:after="0"/>
        <w:ind w:left="846" w:right="0" w:hanging="720"/>
        <w:jc w:val="left"/>
      </w:pPr>
      <w:bookmarkStart w:name="_TOC_250011" w:id="132"/>
      <w:bookmarkEnd w:id="132"/>
      <w:r>
        <w:rPr>
          <w:w w:val="95"/>
        </w:rPr>
        <w:t>严重类风湿性关节炎</w:t>
      </w:r>
    </w:p>
    <w:p>
      <w:pPr>
        <w:pStyle w:val="BodyText"/>
        <w:spacing w:before="15"/>
        <w:rPr>
          <w:rFonts w:ascii="Microsoft JhengHei UI"/>
          <w:b/>
          <w:sz w:val="27"/>
        </w:rPr>
      </w:pPr>
    </w:p>
    <w:p>
      <w:pPr>
        <w:pStyle w:val="BodyText"/>
        <w:spacing w:line="408" w:lineRule="auto"/>
        <w:ind w:left="120" w:right="115"/>
        <w:jc w:val="both"/>
      </w:pPr>
      <w:r>
        <w:rPr>
          <w:spacing w:val="-4"/>
        </w:rPr>
        <w:t>类风湿性关节炎为广泛分布的慢性进行性多关节病变，表现为关节严重变形，侵犯至少三个</w:t>
      </w:r>
      <w:r>
        <w:rPr>
          <w:spacing w:val="-7"/>
          <w:w w:val="95"/>
        </w:rPr>
        <w:t>主要关节或关节组【如：双手</w:t>
      </w:r>
      <w:r>
        <w:rPr>
          <w:w w:val="95"/>
        </w:rPr>
        <w:t>（多手指</w:t>
      </w:r>
      <w:r>
        <w:rPr>
          <w:spacing w:val="-10"/>
          <w:w w:val="95"/>
        </w:rPr>
        <w:t>）</w:t>
      </w:r>
      <w:r>
        <w:rPr>
          <w:spacing w:val="-5"/>
          <w:w w:val="95"/>
        </w:rPr>
        <w:t>关节、双足</w:t>
      </w:r>
      <w:r>
        <w:rPr>
          <w:w w:val="95"/>
        </w:rPr>
        <w:t>（多足趾</w:t>
      </w:r>
      <w:r>
        <w:rPr>
          <w:spacing w:val="-8"/>
          <w:w w:val="95"/>
        </w:rPr>
        <w:t>）</w:t>
      </w:r>
      <w:r>
        <w:rPr>
          <w:spacing w:val="-4"/>
          <w:w w:val="95"/>
        </w:rPr>
        <w:t>关节、双腕关节、双膝关节   </w:t>
      </w:r>
      <w:r>
        <w:rPr>
          <w:spacing w:val="-12"/>
        </w:rPr>
        <w:t>和双髋关节】。诊断必须由风湿科主任级和保险公司的医务总监确认，被保人所患的类风湿</w:t>
      </w:r>
      <w:r>
        <w:rPr>
          <w:spacing w:val="-8"/>
          <w:w w:val="95"/>
        </w:rPr>
        <w:t>性关节炎必须已经达到类风湿性关节炎功能分级 </w:t>
      </w:r>
      <w:r>
        <w:rPr>
          <w:w w:val="95"/>
        </w:rPr>
        <w:t>III</w:t>
      </w:r>
      <w:r>
        <w:rPr>
          <w:spacing w:val="6"/>
          <w:w w:val="95"/>
        </w:rPr>
        <w:t> 级以上的功能障碍</w:t>
      </w:r>
      <w:r>
        <w:rPr>
          <w:w w:val="95"/>
        </w:rPr>
        <w:t>（严重限制，不能完成大部分的日常工作和活动）并且符合下列所有条件：</w:t>
      </w:r>
    </w:p>
    <w:p>
      <w:pPr>
        <w:pStyle w:val="BodyText"/>
        <w:spacing w:before="45"/>
        <w:ind w:left="540"/>
      </w:pPr>
      <w:r>
        <w:rPr>
          <w:w w:val="95"/>
        </w:rPr>
        <w:t>（1）晨僵</w:t>
      </w:r>
    </w:p>
    <w:p>
      <w:pPr>
        <w:pStyle w:val="BodyText"/>
        <w:spacing w:before="192"/>
        <w:ind w:left="540"/>
      </w:pPr>
      <w:r>
        <w:rPr>
          <w:w w:val="95"/>
        </w:rPr>
        <w:t>（2）对称性关节炎</w:t>
      </w:r>
    </w:p>
    <w:p>
      <w:pPr>
        <w:pStyle w:val="BodyText"/>
        <w:spacing w:before="192"/>
        <w:ind w:left="540"/>
      </w:pPr>
      <w:r>
        <w:rPr>
          <w:w w:val="95"/>
        </w:rPr>
        <w:t>（3）类风湿性皮下结节</w:t>
      </w:r>
    </w:p>
    <w:p>
      <w:pPr>
        <w:pStyle w:val="BodyText"/>
        <w:spacing w:before="192"/>
        <w:ind w:left="540"/>
      </w:pPr>
      <w:r>
        <w:rPr>
          <w:w w:val="95"/>
        </w:rPr>
        <w:t>（4）类风湿因子滴度升高</w:t>
      </w:r>
    </w:p>
    <w:p>
      <w:pPr>
        <w:pStyle w:val="BodyText"/>
        <w:spacing w:before="192"/>
        <w:ind w:left="540"/>
      </w:pPr>
      <w:r>
        <w:rPr/>
        <w:t>（</w:t>
      </w:r>
      <w:r>
        <w:rPr>
          <w:rFonts w:ascii="Times New Roman" w:eastAsia="Times New Roman"/>
        </w:rPr>
        <w:t>5</w:t>
      </w:r>
      <w:r>
        <w:rPr/>
        <w:t>）X 线显示严重的关节（软骨和骨）破坏和关节畸形</w:t>
      </w:r>
    </w:p>
    <w:p>
      <w:pPr>
        <w:pStyle w:val="BodyText"/>
        <w:rPr>
          <w:sz w:val="32"/>
        </w:rPr>
      </w:pPr>
    </w:p>
    <w:p>
      <w:pPr>
        <w:pStyle w:val="Heading2"/>
        <w:numPr>
          <w:ilvl w:val="2"/>
          <w:numId w:val="6"/>
        </w:numPr>
        <w:tabs>
          <w:tab w:pos="847" w:val="left" w:leader="none"/>
        </w:tabs>
        <w:spacing w:line="240" w:lineRule="auto" w:before="0" w:after="0"/>
        <w:ind w:left="846" w:right="0" w:hanging="720"/>
        <w:jc w:val="both"/>
      </w:pPr>
      <w:bookmarkStart w:name="_TOC_250010" w:id="133"/>
      <w:bookmarkEnd w:id="133"/>
      <w:r>
        <w:rPr>
          <w:w w:val="95"/>
        </w:rPr>
        <w:t>慢性呼吸功能衰竭</w:t>
      </w:r>
    </w:p>
    <w:p>
      <w:pPr>
        <w:pStyle w:val="BodyText"/>
        <w:spacing w:before="15"/>
        <w:rPr>
          <w:rFonts w:ascii="Microsoft JhengHei UI"/>
          <w:b/>
          <w:sz w:val="27"/>
        </w:rPr>
      </w:pPr>
    </w:p>
    <w:p>
      <w:pPr>
        <w:pStyle w:val="BodyText"/>
        <w:spacing w:line="408" w:lineRule="auto"/>
        <w:ind w:left="120" w:right="117"/>
      </w:pPr>
      <w:r>
        <w:rPr>
          <w:spacing w:val="-4"/>
        </w:rPr>
        <w:t>慢性肺部疾病导致永久不可逆性的慢性呼吸功能衰竭，必须由呼吸专科医师确认并符合下列</w:t>
      </w:r>
      <w:r>
        <w:rPr>
          <w:spacing w:val="-4"/>
          <w:w w:val="95"/>
        </w:rPr>
        <w:t>所有条件：</w:t>
      </w:r>
    </w:p>
    <w:p>
      <w:pPr>
        <w:pStyle w:val="BodyText"/>
        <w:spacing w:before="46"/>
        <w:ind w:left="540"/>
      </w:pPr>
      <w:r>
        <w:rPr>
          <w:w w:val="95"/>
        </w:rPr>
        <w:t>（1）休息时出现呼吸困难；</w:t>
      </w:r>
    </w:p>
    <w:p>
      <w:pPr>
        <w:pStyle w:val="BodyText"/>
        <w:spacing w:before="193"/>
        <w:ind w:left="540"/>
      </w:pPr>
      <w:r>
        <w:rPr>
          <w:w w:val="105"/>
        </w:rPr>
        <w:t>（2）动脉氧分压 （PaO</w:t>
      </w:r>
      <w:r>
        <w:rPr>
          <w:w w:val="105"/>
          <w:position w:val="-3"/>
          <w:sz w:val="12"/>
        </w:rPr>
        <w:t>2</w:t>
      </w:r>
      <w:r>
        <w:rPr>
          <w:w w:val="105"/>
        </w:rPr>
        <w:t>）&lt; 50mmHg；</w:t>
      </w:r>
    </w:p>
    <w:p>
      <w:pPr>
        <w:pStyle w:val="BodyText"/>
        <w:spacing w:before="165"/>
        <w:ind w:left="540"/>
      </w:pPr>
      <w:r>
        <w:rPr>
          <w:w w:val="105"/>
        </w:rPr>
        <w:t>（3）动脉血氧饱和度 （SaO</w:t>
      </w:r>
      <w:r>
        <w:rPr>
          <w:w w:val="105"/>
          <w:position w:val="-3"/>
          <w:sz w:val="12"/>
        </w:rPr>
        <w:t>2 </w:t>
      </w:r>
      <w:r>
        <w:rPr>
          <w:w w:val="105"/>
        </w:rPr>
        <w:t>）&lt; 80％；</w:t>
      </w:r>
    </w:p>
    <w:p>
      <w:pPr>
        <w:pStyle w:val="BodyText"/>
        <w:spacing w:before="165"/>
        <w:ind w:left="540"/>
      </w:pPr>
      <w:r>
        <w:rPr>
          <w:w w:val="95"/>
        </w:rPr>
        <w:t>（4）因缺氧必须接受持续的输氧治疗。</w:t>
      </w:r>
    </w:p>
    <w:p>
      <w:pPr>
        <w:spacing w:after="0"/>
        <w:sectPr>
          <w:pgSz w:w="11910" w:h="16840"/>
          <w:pgMar w:header="0" w:footer="1262" w:top="1440" w:bottom="1480" w:left="1680" w:right="1680"/>
        </w:sectPr>
      </w:pPr>
    </w:p>
    <w:p>
      <w:pPr>
        <w:pStyle w:val="Heading2"/>
        <w:numPr>
          <w:ilvl w:val="1"/>
          <w:numId w:val="11"/>
        </w:numPr>
        <w:tabs>
          <w:tab w:pos="703" w:val="left" w:leader="none"/>
        </w:tabs>
        <w:spacing w:line="347" w:lineRule="exact" w:before="0" w:after="0"/>
        <w:ind w:left="702" w:right="0" w:hanging="576"/>
        <w:jc w:val="left"/>
      </w:pPr>
      <w:bookmarkStart w:name="_TOC_250009" w:id="134"/>
      <w:bookmarkStart w:name="本条款约定确诊日" w:id="135"/>
      <w:r>
        <w:rPr>
          <w:b w:val="0"/>
        </w:rPr>
      </w:r>
      <w:bookmarkStart w:name="无合法有效驾驶证驾驶" w:id="136"/>
      <w:bookmarkEnd w:id="136"/>
      <w:r>
        <w:rPr>
          <w:b w:val="0"/>
        </w:rPr>
      </w:r>
      <w:bookmarkStart w:name="艾滋病" w:id="137"/>
      <w:bookmarkEnd w:id="137"/>
      <w:r>
        <w:rPr>
          <w:b w:val="0"/>
        </w:rPr>
      </w:r>
      <w:bookmarkStart w:name="艾滋病病毒" w:id="138"/>
      <w:bookmarkEnd w:id="138"/>
      <w:r>
        <w:rPr>
          <w:b w:val="0"/>
        </w:rPr>
      </w:r>
      <w:bookmarkStart w:name="危险保额" w:id="139"/>
      <w:bookmarkEnd w:id="139"/>
      <w:r>
        <w:rPr>
          <w:b w:val="0"/>
        </w:rPr>
      </w:r>
      <w:bookmarkStart w:name="肢体机能完全丧失" w:id="140"/>
      <w:bookmarkEnd w:id="140"/>
      <w:r>
        <w:rPr>
          <w:b w:val="0"/>
        </w:rPr>
      </w:r>
      <w:bookmarkStart w:name="肢体机能完全丧失" w:id="141"/>
      <w:bookmarkEnd w:id="134"/>
      <w:r>
        <w:rPr>
          <w:w w:val="95"/>
        </w:rPr>
        <w:t>本条款约定确诊日</w:t>
      </w:r>
    </w:p>
    <w:p>
      <w:pPr>
        <w:pStyle w:val="BodyText"/>
        <w:spacing w:before="13"/>
        <w:rPr>
          <w:rFonts w:ascii="Microsoft JhengHei UI"/>
          <w:b/>
          <w:sz w:val="27"/>
        </w:rPr>
      </w:pPr>
    </w:p>
    <w:p>
      <w:pPr>
        <w:pStyle w:val="BodyText"/>
        <w:spacing w:line="408" w:lineRule="auto"/>
        <w:ind w:left="120" w:right="124"/>
      </w:pPr>
      <w:r>
        <w:rPr/>
        <w:t>指满足本附加险合同“30 种重大疾病”定义所有条件之日。恶性肿瘤的本条款约定确诊日</w:t>
      </w:r>
      <w:r>
        <w:rPr>
          <w:w w:val="95"/>
        </w:rPr>
        <w:t>以明确诊断该类疾病的病检标本提取日为准。</w:t>
      </w:r>
    </w:p>
    <w:p>
      <w:pPr>
        <w:pStyle w:val="BodyText"/>
        <w:rPr>
          <w:sz w:val="22"/>
        </w:rPr>
      </w:pPr>
    </w:p>
    <w:p>
      <w:pPr>
        <w:pStyle w:val="Heading2"/>
        <w:numPr>
          <w:ilvl w:val="1"/>
          <w:numId w:val="11"/>
        </w:numPr>
        <w:tabs>
          <w:tab w:pos="703" w:val="left" w:leader="none"/>
        </w:tabs>
        <w:spacing w:line="240" w:lineRule="auto" w:before="0" w:after="0"/>
        <w:ind w:left="702" w:right="0" w:hanging="576"/>
        <w:jc w:val="left"/>
      </w:pPr>
      <w:bookmarkStart w:name="_TOC_250008" w:id="142"/>
      <w:bookmarkEnd w:id="142"/>
      <w:r>
        <w:rPr>
          <w:w w:val="95"/>
        </w:rPr>
        <w:t>无合法有效驾驶证驾驶</w:t>
      </w:r>
    </w:p>
    <w:p>
      <w:pPr>
        <w:pStyle w:val="BodyText"/>
        <w:spacing w:before="15"/>
        <w:rPr>
          <w:rFonts w:ascii="Microsoft JhengHei UI"/>
          <w:b/>
          <w:sz w:val="27"/>
        </w:rPr>
      </w:pPr>
    </w:p>
    <w:p>
      <w:pPr>
        <w:pStyle w:val="BodyText"/>
        <w:ind w:left="120"/>
      </w:pPr>
      <w:r>
        <w:rPr>
          <w:w w:val="95"/>
        </w:rPr>
        <w:t>指下列情形之一：</w:t>
      </w:r>
    </w:p>
    <w:p>
      <w:pPr>
        <w:pStyle w:val="ListParagraph"/>
        <w:numPr>
          <w:ilvl w:val="0"/>
          <w:numId w:val="12"/>
        </w:numPr>
        <w:tabs>
          <w:tab w:pos="447" w:val="left" w:leader="none"/>
        </w:tabs>
        <w:spacing w:line="240" w:lineRule="auto" w:before="193" w:after="0"/>
        <w:ind w:left="446" w:right="0" w:hanging="326"/>
        <w:jc w:val="left"/>
        <w:rPr>
          <w:sz w:val="21"/>
        </w:rPr>
      </w:pPr>
      <w:r>
        <w:rPr>
          <w:w w:val="95"/>
          <w:sz w:val="21"/>
        </w:rPr>
        <w:t>没有驾驶证驾驶；</w:t>
      </w:r>
    </w:p>
    <w:p>
      <w:pPr>
        <w:pStyle w:val="ListParagraph"/>
        <w:numPr>
          <w:ilvl w:val="0"/>
          <w:numId w:val="12"/>
        </w:numPr>
        <w:tabs>
          <w:tab w:pos="447" w:val="left" w:leader="none"/>
        </w:tabs>
        <w:spacing w:line="240" w:lineRule="auto" w:before="193" w:after="0"/>
        <w:ind w:left="446" w:right="0" w:hanging="326"/>
        <w:jc w:val="left"/>
        <w:rPr>
          <w:sz w:val="21"/>
        </w:rPr>
      </w:pPr>
      <w:r>
        <w:rPr>
          <w:w w:val="95"/>
          <w:sz w:val="21"/>
        </w:rPr>
        <w:t>驾驶与驾驶证准驾车型不相符合的车辆；</w:t>
      </w:r>
    </w:p>
    <w:p>
      <w:pPr>
        <w:pStyle w:val="ListParagraph"/>
        <w:numPr>
          <w:ilvl w:val="0"/>
          <w:numId w:val="12"/>
        </w:numPr>
        <w:tabs>
          <w:tab w:pos="447" w:val="left" w:leader="none"/>
        </w:tabs>
        <w:spacing w:line="240" w:lineRule="auto" w:before="193" w:after="0"/>
        <w:ind w:left="446" w:right="0" w:hanging="326"/>
        <w:jc w:val="left"/>
        <w:rPr>
          <w:sz w:val="21"/>
        </w:rPr>
      </w:pPr>
      <w:r>
        <w:rPr>
          <w:w w:val="95"/>
          <w:sz w:val="21"/>
        </w:rPr>
        <w:t>驾驶员持审验不合格的驾驶证驾驶；</w:t>
      </w:r>
    </w:p>
    <w:p>
      <w:pPr>
        <w:pStyle w:val="ListParagraph"/>
        <w:numPr>
          <w:ilvl w:val="0"/>
          <w:numId w:val="12"/>
        </w:numPr>
        <w:tabs>
          <w:tab w:pos="447" w:val="left" w:leader="none"/>
        </w:tabs>
        <w:spacing w:line="240" w:lineRule="auto" w:before="193" w:after="0"/>
        <w:ind w:left="446" w:right="0" w:hanging="326"/>
        <w:jc w:val="left"/>
        <w:rPr>
          <w:sz w:val="21"/>
        </w:rPr>
      </w:pPr>
      <w:r>
        <w:rPr>
          <w:w w:val="95"/>
          <w:sz w:val="21"/>
        </w:rPr>
        <w:t>未经公安交通管理部门同意，持未审验的驾驶证驾驶；</w:t>
      </w:r>
    </w:p>
    <w:p>
      <w:pPr>
        <w:pStyle w:val="ListParagraph"/>
        <w:numPr>
          <w:ilvl w:val="0"/>
          <w:numId w:val="12"/>
        </w:numPr>
        <w:tabs>
          <w:tab w:pos="447" w:val="left" w:leader="none"/>
        </w:tabs>
        <w:spacing w:line="240" w:lineRule="auto" w:before="193" w:after="0"/>
        <w:ind w:left="446" w:right="0" w:hanging="326"/>
        <w:jc w:val="left"/>
        <w:rPr>
          <w:sz w:val="21"/>
        </w:rPr>
      </w:pPr>
      <w:r>
        <w:rPr>
          <w:w w:val="95"/>
          <w:sz w:val="21"/>
        </w:rPr>
        <w:t>持学习驾驶证学习驾车时，无教练员随车指导，或不按指定时间、路线学习驾车；</w:t>
      </w:r>
    </w:p>
    <w:p>
      <w:pPr>
        <w:pStyle w:val="ListParagraph"/>
        <w:numPr>
          <w:ilvl w:val="0"/>
          <w:numId w:val="12"/>
        </w:numPr>
        <w:tabs>
          <w:tab w:pos="447" w:val="left" w:leader="none"/>
        </w:tabs>
        <w:spacing w:line="240" w:lineRule="auto" w:before="193" w:after="0"/>
        <w:ind w:left="446" w:right="0" w:hanging="326"/>
        <w:jc w:val="left"/>
        <w:rPr>
          <w:sz w:val="21"/>
        </w:rPr>
      </w:pPr>
      <w:r>
        <w:rPr>
          <w:w w:val="95"/>
          <w:sz w:val="21"/>
        </w:rPr>
        <w:t>公安交通管理部门规定的其他无有效驾驶证驾驶的情况。</w:t>
      </w:r>
    </w:p>
    <w:p>
      <w:pPr>
        <w:pStyle w:val="BodyText"/>
        <w:spacing w:before="5"/>
        <w:rPr>
          <w:sz w:val="33"/>
        </w:rPr>
      </w:pPr>
    </w:p>
    <w:p>
      <w:pPr>
        <w:pStyle w:val="Heading2"/>
        <w:numPr>
          <w:ilvl w:val="1"/>
          <w:numId w:val="11"/>
        </w:numPr>
        <w:tabs>
          <w:tab w:pos="703" w:val="left" w:leader="none"/>
        </w:tabs>
        <w:spacing w:line="240" w:lineRule="auto" w:before="1" w:after="0"/>
        <w:ind w:left="702" w:right="0" w:hanging="576"/>
        <w:jc w:val="left"/>
      </w:pPr>
      <w:bookmarkStart w:name="_TOC_250007" w:id="143"/>
      <w:bookmarkEnd w:id="143"/>
      <w:r>
        <w:rPr>
          <w:w w:val="95"/>
        </w:rPr>
        <w:t>艾滋病</w:t>
      </w:r>
    </w:p>
    <w:p>
      <w:pPr>
        <w:pStyle w:val="BodyText"/>
        <w:spacing w:before="13"/>
        <w:rPr>
          <w:rFonts w:ascii="Microsoft JhengHei UI"/>
          <w:b/>
          <w:sz w:val="27"/>
        </w:rPr>
      </w:pPr>
    </w:p>
    <w:p>
      <w:pPr>
        <w:pStyle w:val="BodyText"/>
        <w:ind w:left="120"/>
      </w:pPr>
      <w:r>
        <w:rPr>
          <w:w w:val="99"/>
        </w:rPr>
        <w:t>是获得性免疫力缺陷综合征</w:t>
      </w:r>
      <w:r>
        <w:rPr>
          <w:spacing w:val="-1"/>
          <w:w w:val="99"/>
        </w:rPr>
        <w:t>（</w:t>
      </w:r>
      <w:r>
        <w:rPr>
          <w:w w:val="134"/>
        </w:rPr>
        <w:t>A</w:t>
      </w:r>
      <w:r>
        <w:rPr>
          <w:w w:val="70"/>
        </w:rPr>
        <w:t>I</w:t>
      </w:r>
      <w:r>
        <w:rPr>
          <w:spacing w:val="-1"/>
          <w:w w:val="153"/>
        </w:rPr>
        <w:t>D</w:t>
      </w:r>
      <w:r>
        <w:rPr>
          <w:spacing w:val="2"/>
          <w:w w:val="95"/>
        </w:rPr>
        <w:t>S</w:t>
      </w:r>
      <w:r>
        <w:rPr>
          <w:spacing w:val="1"/>
          <w:w w:val="99"/>
        </w:rPr>
        <w:t>）</w:t>
      </w:r>
      <w:r>
        <w:rPr>
          <w:w w:val="99"/>
        </w:rPr>
        <w:t>的简称。</w:t>
      </w:r>
    </w:p>
    <w:p>
      <w:pPr>
        <w:pStyle w:val="BodyText"/>
        <w:spacing w:before="5"/>
        <w:rPr>
          <w:sz w:val="33"/>
        </w:rPr>
      </w:pPr>
    </w:p>
    <w:p>
      <w:pPr>
        <w:pStyle w:val="Heading2"/>
        <w:numPr>
          <w:ilvl w:val="1"/>
          <w:numId w:val="11"/>
        </w:numPr>
        <w:tabs>
          <w:tab w:pos="703" w:val="left" w:leader="none"/>
        </w:tabs>
        <w:spacing w:line="240" w:lineRule="auto" w:before="0" w:after="0"/>
        <w:ind w:left="702" w:right="0" w:hanging="576"/>
        <w:jc w:val="left"/>
      </w:pPr>
      <w:bookmarkStart w:name="_TOC_250006" w:id="144"/>
      <w:bookmarkEnd w:id="144"/>
      <w:r>
        <w:rPr>
          <w:w w:val="95"/>
        </w:rPr>
        <w:t>艾滋病病毒</w:t>
      </w:r>
    </w:p>
    <w:p>
      <w:pPr>
        <w:pStyle w:val="BodyText"/>
        <w:spacing w:before="15"/>
        <w:rPr>
          <w:rFonts w:ascii="Microsoft JhengHei UI"/>
          <w:b/>
          <w:sz w:val="27"/>
        </w:rPr>
      </w:pPr>
    </w:p>
    <w:p>
      <w:pPr>
        <w:pStyle w:val="BodyText"/>
        <w:ind w:left="120"/>
      </w:pPr>
      <w:r>
        <w:rPr>
          <w:w w:val="95"/>
        </w:rPr>
        <w:t>是人类获得性免疫缺陷病毒的简称。</w:t>
      </w:r>
    </w:p>
    <w:p>
      <w:pPr>
        <w:pStyle w:val="BodyText"/>
        <w:spacing w:before="3"/>
        <w:rPr>
          <w:sz w:val="33"/>
        </w:rPr>
      </w:pPr>
    </w:p>
    <w:p>
      <w:pPr>
        <w:pStyle w:val="Heading2"/>
        <w:numPr>
          <w:ilvl w:val="1"/>
          <w:numId w:val="11"/>
        </w:numPr>
        <w:tabs>
          <w:tab w:pos="703" w:val="left" w:leader="none"/>
        </w:tabs>
        <w:spacing w:line="240" w:lineRule="auto" w:before="1" w:after="0"/>
        <w:ind w:left="702" w:right="0" w:hanging="576"/>
        <w:jc w:val="left"/>
      </w:pPr>
      <w:bookmarkStart w:name="_TOC_250005" w:id="145"/>
      <w:bookmarkEnd w:id="145"/>
      <w:r>
        <w:rPr>
          <w:w w:val="95"/>
        </w:rPr>
        <w:t>危险保额</w:t>
      </w:r>
    </w:p>
    <w:p>
      <w:pPr>
        <w:pStyle w:val="BodyText"/>
        <w:spacing w:before="15"/>
        <w:rPr>
          <w:rFonts w:ascii="Microsoft JhengHei UI"/>
          <w:b/>
          <w:sz w:val="27"/>
        </w:rPr>
      </w:pPr>
    </w:p>
    <w:p>
      <w:pPr>
        <w:pStyle w:val="BodyText"/>
        <w:spacing w:before="1"/>
        <w:ind w:left="120"/>
      </w:pPr>
      <w:r>
        <w:rPr>
          <w:w w:val="95"/>
        </w:rPr>
        <w:t>指主险合同结算日零时的基本保险金额。</w:t>
      </w:r>
    </w:p>
    <w:p>
      <w:pPr>
        <w:pStyle w:val="BodyText"/>
        <w:spacing w:before="6"/>
        <w:rPr>
          <w:sz w:val="33"/>
        </w:rPr>
      </w:pPr>
    </w:p>
    <w:p>
      <w:pPr>
        <w:pStyle w:val="Heading2"/>
        <w:numPr>
          <w:ilvl w:val="1"/>
          <w:numId w:val="11"/>
        </w:numPr>
        <w:tabs>
          <w:tab w:pos="703" w:val="left" w:leader="none"/>
        </w:tabs>
        <w:spacing w:line="240" w:lineRule="auto" w:before="0" w:after="0"/>
        <w:ind w:left="702" w:right="0" w:hanging="576"/>
        <w:jc w:val="left"/>
      </w:pPr>
      <w:bookmarkStart w:name="_TOC_250004" w:id="146"/>
      <w:bookmarkEnd w:id="146"/>
      <w:r>
        <w:rPr>
          <w:w w:val="95"/>
        </w:rPr>
        <w:t>肢体机能完全丧失</w:t>
      </w:r>
    </w:p>
    <w:p>
      <w:pPr>
        <w:pStyle w:val="BodyText"/>
        <w:spacing w:before="13"/>
        <w:rPr>
          <w:rFonts w:ascii="Microsoft JhengHei UI"/>
          <w:b/>
          <w:sz w:val="27"/>
        </w:rPr>
      </w:pPr>
    </w:p>
    <w:p>
      <w:pPr>
        <w:pStyle w:val="BodyText"/>
        <w:spacing w:line="408" w:lineRule="auto"/>
        <w:ind w:left="120" w:right="117"/>
      </w:pPr>
      <w:r>
        <w:rPr>
          <w:spacing w:val="-5"/>
          <w:w w:val="95"/>
        </w:rPr>
        <w:t>指肢体的三大关节中的两大关节僵硬，或不能随意识活动。肢体是指包括肩关节的整个上肢   或包括髋关节的整个下肢。</w:t>
      </w:r>
    </w:p>
    <w:p>
      <w:pPr>
        <w:spacing w:after="0" w:line="408" w:lineRule="auto"/>
        <w:sectPr>
          <w:pgSz w:w="11910" w:h="16840"/>
          <w:pgMar w:header="0" w:footer="1262" w:top="1460" w:bottom="1500" w:left="1680" w:right="1680"/>
        </w:sectPr>
      </w:pPr>
    </w:p>
    <w:p>
      <w:pPr>
        <w:pStyle w:val="Heading2"/>
        <w:numPr>
          <w:ilvl w:val="1"/>
          <w:numId w:val="11"/>
        </w:numPr>
        <w:tabs>
          <w:tab w:pos="703" w:val="left" w:leader="none"/>
        </w:tabs>
        <w:spacing w:line="347" w:lineRule="exact" w:before="0" w:after="0"/>
        <w:ind w:left="702" w:right="0" w:hanging="576"/>
        <w:jc w:val="left"/>
      </w:pPr>
      <w:bookmarkStart w:name="_TOC_250003" w:id="147"/>
      <w:bookmarkStart w:name="语言能力或咀嚼吞咽能力完全丧失" w:id="148"/>
      <w:r>
        <w:rPr>
          <w:b w:val="0"/>
        </w:rPr>
      </w:r>
      <w:bookmarkStart w:name="六项基本日常生活活动" w:id="149"/>
      <w:bookmarkEnd w:id="149"/>
      <w:r>
        <w:rPr>
          <w:b w:val="0"/>
        </w:rPr>
      </w:r>
      <w:bookmarkStart w:name="永久不可逆" w:id="150"/>
      <w:bookmarkEnd w:id="150"/>
      <w:r>
        <w:rPr>
          <w:b w:val="0"/>
        </w:rPr>
      </w:r>
      <w:bookmarkStart w:name="专科医生" w:id="151"/>
      <w:bookmarkEnd w:id="151"/>
      <w:r>
        <w:rPr>
          <w:b w:val="0"/>
        </w:rPr>
      </w:r>
      <w:bookmarkStart w:name="专科医生" w:id="152"/>
      <w:bookmarkEnd w:id="147"/>
      <w:r>
        <w:rPr>
          <w:w w:val="95"/>
        </w:rPr>
        <w:t>语言能力或咀嚼吞咽能力完全丧失</w:t>
      </w:r>
    </w:p>
    <w:p>
      <w:pPr>
        <w:pStyle w:val="BodyText"/>
        <w:spacing w:before="13"/>
        <w:rPr>
          <w:rFonts w:ascii="Microsoft JhengHei UI"/>
          <w:b/>
          <w:sz w:val="27"/>
        </w:rPr>
      </w:pPr>
    </w:p>
    <w:p>
      <w:pPr>
        <w:pStyle w:val="BodyText"/>
        <w:spacing w:line="408" w:lineRule="auto"/>
        <w:ind w:left="120" w:right="121"/>
      </w:pPr>
      <w:r>
        <w:rPr>
          <w:spacing w:val="-3"/>
          <w:w w:val="95"/>
        </w:rPr>
        <w:t>语言能力完全丧失，指无法发出四种声音</w:t>
      </w:r>
      <w:r>
        <w:rPr>
          <w:w w:val="95"/>
        </w:rPr>
        <w:t>（</w:t>
      </w:r>
      <w:r>
        <w:rPr>
          <w:spacing w:val="-6"/>
          <w:w w:val="95"/>
        </w:rPr>
        <w:t>包括口唇音、齿舌音、口盖音和喉头音</w:t>
      </w:r>
      <w:r>
        <w:rPr>
          <w:spacing w:val="-20"/>
          <w:w w:val="95"/>
        </w:rPr>
        <w:t>）</w:t>
      </w:r>
      <w:r>
        <w:rPr>
          <w:w w:val="95"/>
        </w:rPr>
        <w:t>中的任   何三种、或声带全部切除，或因大脑语言中枢受伤害而患失语症。</w:t>
      </w:r>
    </w:p>
    <w:p>
      <w:pPr>
        <w:pStyle w:val="BodyText"/>
        <w:spacing w:line="408" w:lineRule="auto" w:before="46"/>
        <w:ind w:left="120" w:right="117"/>
      </w:pPr>
      <w:r>
        <w:rPr>
          <w:spacing w:val="-7"/>
          <w:w w:val="95"/>
        </w:rPr>
        <w:t>咀嚼吞咽能力完全丧失，指因牙齿以外的原因导致器质障碍或机能障碍，以致不能作咀嚼吞   咽动作，除流质食物外不能摄取或吞咽的状态。</w:t>
      </w:r>
    </w:p>
    <w:p>
      <w:pPr>
        <w:pStyle w:val="BodyText"/>
        <w:rPr>
          <w:sz w:val="22"/>
        </w:rPr>
      </w:pPr>
    </w:p>
    <w:p>
      <w:pPr>
        <w:pStyle w:val="Heading2"/>
        <w:numPr>
          <w:ilvl w:val="1"/>
          <w:numId w:val="11"/>
        </w:numPr>
        <w:tabs>
          <w:tab w:pos="703" w:val="left" w:leader="none"/>
        </w:tabs>
        <w:spacing w:line="240" w:lineRule="auto" w:before="1" w:after="0"/>
        <w:ind w:left="702" w:right="0" w:hanging="576"/>
        <w:jc w:val="left"/>
      </w:pPr>
      <w:bookmarkStart w:name="_TOC_250002" w:id="153"/>
      <w:bookmarkEnd w:id="153"/>
      <w:r>
        <w:rPr>
          <w:w w:val="95"/>
        </w:rPr>
        <w:t>六项基本日常生活活动</w:t>
      </w:r>
    </w:p>
    <w:p>
      <w:pPr>
        <w:pStyle w:val="BodyText"/>
        <w:spacing w:before="15"/>
        <w:rPr>
          <w:rFonts w:ascii="Microsoft JhengHei UI"/>
          <w:b/>
          <w:sz w:val="27"/>
        </w:rPr>
      </w:pPr>
    </w:p>
    <w:p>
      <w:pPr>
        <w:pStyle w:val="BodyText"/>
        <w:spacing w:line="408" w:lineRule="auto" w:before="1"/>
        <w:ind w:left="120" w:right="115"/>
        <w:jc w:val="both"/>
      </w:pPr>
      <w:r>
        <w:rPr>
          <w:spacing w:val="-1"/>
          <w:w w:val="99"/>
        </w:rPr>
        <w:t>六项基本日常生活活动是指</w:t>
      </w:r>
      <w:r>
        <w:rPr>
          <w:spacing w:val="-116"/>
          <w:w w:val="99"/>
        </w:rPr>
        <w:t>：</w:t>
      </w:r>
      <w:r>
        <w:rPr>
          <w:w w:val="99"/>
        </w:rPr>
        <w:t>（</w:t>
      </w:r>
      <w:r>
        <w:rPr>
          <w:w w:val="93"/>
        </w:rPr>
        <w:t>1</w:t>
      </w:r>
      <w:r>
        <w:rPr>
          <w:spacing w:val="-12"/>
          <w:w w:val="99"/>
        </w:rPr>
        <w:t>）</w:t>
      </w:r>
      <w:r>
        <w:rPr>
          <w:spacing w:val="-3"/>
          <w:w w:val="99"/>
        </w:rPr>
        <w:t>穿衣：自己能够穿衣及脱衣</w:t>
      </w:r>
      <w:r>
        <w:rPr>
          <w:spacing w:val="-118"/>
          <w:w w:val="99"/>
        </w:rPr>
        <w:t>；</w:t>
      </w:r>
      <w:r>
        <w:rPr>
          <w:spacing w:val="1"/>
          <w:w w:val="99"/>
        </w:rPr>
        <w:t>（</w:t>
      </w:r>
      <w:r>
        <w:rPr>
          <w:w w:val="93"/>
        </w:rPr>
        <w:t>2</w:t>
      </w:r>
      <w:r>
        <w:rPr>
          <w:spacing w:val="-15"/>
          <w:w w:val="99"/>
        </w:rPr>
        <w:t>）</w:t>
      </w:r>
      <w:r>
        <w:rPr>
          <w:spacing w:val="-3"/>
          <w:w w:val="99"/>
        </w:rPr>
        <w:t>移动：自己从一个房间</w:t>
      </w:r>
      <w:r>
        <w:rPr>
          <w:spacing w:val="-16"/>
          <w:w w:val="99"/>
        </w:rPr>
        <w:t>到另一个房间；</w:t>
      </w:r>
      <w:r>
        <w:rPr>
          <w:w w:val="99"/>
        </w:rPr>
        <w:t>（</w:t>
      </w:r>
      <w:r>
        <w:rPr>
          <w:w w:val="93"/>
        </w:rPr>
        <w:t>3</w:t>
      </w:r>
      <w:r>
        <w:rPr>
          <w:spacing w:val="1"/>
          <w:w w:val="99"/>
        </w:rPr>
        <w:t>）</w:t>
      </w:r>
      <w:r>
        <w:rPr>
          <w:spacing w:val="-8"/>
          <w:w w:val="99"/>
        </w:rPr>
        <w:t>行动：自己上下床或上下轮椅；</w:t>
      </w:r>
      <w:r>
        <w:rPr>
          <w:spacing w:val="1"/>
          <w:w w:val="99"/>
        </w:rPr>
        <w:t>（</w:t>
      </w:r>
      <w:r>
        <w:rPr>
          <w:w w:val="93"/>
        </w:rPr>
        <w:t>4</w:t>
      </w:r>
      <w:r>
        <w:rPr>
          <w:spacing w:val="1"/>
          <w:w w:val="99"/>
        </w:rPr>
        <w:t>）</w:t>
      </w:r>
      <w:r>
        <w:rPr>
          <w:spacing w:val="-9"/>
          <w:w w:val="99"/>
        </w:rPr>
        <w:t>如厕：自己控制进行大小便；</w:t>
      </w:r>
      <w:r>
        <w:rPr>
          <w:spacing w:val="1"/>
          <w:w w:val="99"/>
        </w:rPr>
        <w:t>（</w:t>
      </w:r>
      <w:r>
        <w:rPr>
          <w:w w:val="93"/>
        </w:rPr>
        <w:t>5</w:t>
      </w:r>
      <w:r>
        <w:rPr>
          <w:w w:val="63"/>
        </w:rPr>
        <w:t>）</w:t>
      </w:r>
      <w:r>
        <w:rPr>
          <w:spacing w:val="-6"/>
          <w:w w:val="99"/>
        </w:rPr>
        <w:t>进食：自己从已准备好的碗或碟中取食物放入口中；</w:t>
      </w:r>
      <w:r>
        <w:rPr>
          <w:w w:val="99"/>
        </w:rPr>
        <w:t>（</w:t>
      </w:r>
      <w:r>
        <w:rPr>
          <w:w w:val="93"/>
        </w:rPr>
        <w:t>6</w:t>
      </w:r>
      <w:r>
        <w:rPr>
          <w:spacing w:val="1"/>
          <w:w w:val="99"/>
        </w:rPr>
        <w:t>）</w:t>
      </w:r>
      <w:r>
        <w:rPr>
          <w:w w:val="99"/>
        </w:rPr>
        <w:t>洗澡：自己进行淋浴或盆浴。</w:t>
      </w:r>
    </w:p>
    <w:p>
      <w:pPr>
        <w:pStyle w:val="BodyText"/>
        <w:spacing w:before="3"/>
        <w:rPr>
          <w:sz w:val="22"/>
        </w:rPr>
      </w:pPr>
    </w:p>
    <w:p>
      <w:pPr>
        <w:pStyle w:val="Heading2"/>
        <w:numPr>
          <w:ilvl w:val="1"/>
          <w:numId w:val="11"/>
        </w:numPr>
        <w:tabs>
          <w:tab w:pos="703" w:val="left" w:leader="none"/>
        </w:tabs>
        <w:spacing w:line="240" w:lineRule="auto" w:before="0" w:after="0"/>
        <w:ind w:left="702" w:right="0" w:hanging="576"/>
        <w:jc w:val="left"/>
      </w:pPr>
      <w:bookmarkStart w:name="_TOC_250001" w:id="154"/>
      <w:bookmarkEnd w:id="154"/>
      <w:r>
        <w:rPr>
          <w:w w:val="95"/>
        </w:rPr>
        <w:t>永久不可逆</w:t>
      </w:r>
    </w:p>
    <w:p>
      <w:pPr>
        <w:pStyle w:val="BodyText"/>
        <w:spacing w:before="12"/>
        <w:rPr>
          <w:rFonts w:ascii="Microsoft JhengHei UI"/>
          <w:b/>
          <w:sz w:val="27"/>
        </w:rPr>
      </w:pPr>
    </w:p>
    <w:p>
      <w:pPr>
        <w:pStyle w:val="BodyText"/>
        <w:spacing w:line="408" w:lineRule="auto" w:before="1"/>
        <w:ind w:left="120" w:right="115"/>
      </w:pPr>
      <w:r>
        <w:rPr>
          <w:spacing w:val="-5"/>
        </w:rPr>
        <w:t>指自疾病确诊或意外伤害发生之日起，经过积极治疗 </w:t>
      </w:r>
      <w:r>
        <w:rPr/>
        <w:t>180</w:t>
      </w:r>
      <w:r>
        <w:rPr>
          <w:spacing w:val="-11"/>
        </w:rPr>
        <w:t> 天后，仍无法通过现有医疗手段恢</w:t>
      </w:r>
      <w:r>
        <w:rPr>
          <w:spacing w:val="-11"/>
          <w:w w:val="90"/>
        </w:rPr>
        <w:t>复。</w:t>
      </w:r>
      <w:r>
        <w:rPr>
          <w:spacing w:val="-11"/>
          <w:w w:val="80"/>
        </w:rPr>
        <w:t>.</w:t>
      </w:r>
    </w:p>
    <w:p>
      <w:pPr>
        <w:pStyle w:val="BodyText"/>
        <w:spacing w:before="3"/>
        <w:rPr>
          <w:sz w:val="22"/>
        </w:rPr>
      </w:pPr>
    </w:p>
    <w:p>
      <w:pPr>
        <w:pStyle w:val="Heading2"/>
        <w:numPr>
          <w:ilvl w:val="1"/>
          <w:numId w:val="11"/>
        </w:numPr>
        <w:tabs>
          <w:tab w:pos="703" w:val="left" w:leader="none"/>
        </w:tabs>
        <w:spacing w:line="240" w:lineRule="auto" w:before="0" w:after="0"/>
        <w:ind w:left="702" w:right="0" w:hanging="576"/>
        <w:jc w:val="left"/>
      </w:pPr>
      <w:bookmarkStart w:name="_TOC_250000" w:id="155"/>
      <w:bookmarkEnd w:id="155"/>
      <w:r>
        <w:rPr>
          <w:w w:val="95"/>
        </w:rPr>
        <w:t>专科医生</w:t>
      </w:r>
    </w:p>
    <w:p>
      <w:pPr>
        <w:pStyle w:val="BodyText"/>
        <w:spacing w:before="15"/>
        <w:rPr>
          <w:rFonts w:ascii="Microsoft JhengHei UI"/>
          <w:b/>
          <w:sz w:val="27"/>
        </w:rPr>
      </w:pPr>
    </w:p>
    <w:p>
      <w:pPr>
        <w:pStyle w:val="BodyText"/>
        <w:ind w:left="120"/>
      </w:pPr>
      <w:r>
        <w:rPr>
          <w:spacing w:val="-1"/>
          <w:w w:val="99"/>
        </w:rPr>
        <w:t>专科医生应当同时满足以下四项资格条件</w:t>
      </w:r>
      <w:r>
        <w:rPr>
          <w:spacing w:val="-202"/>
          <w:w w:val="99"/>
        </w:rPr>
        <w:t>：</w:t>
      </w:r>
      <w:r>
        <w:rPr>
          <w:w w:val="99"/>
        </w:rPr>
        <w:t>（</w:t>
      </w:r>
      <w:r>
        <w:rPr>
          <w:w w:val="93"/>
        </w:rPr>
        <w:t>1</w:t>
      </w:r>
      <w:r>
        <w:rPr>
          <w:spacing w:val="-96"/>
          <w:w w:val="99"/>
        </w:rPr>
        <w:t>）</w:t>
      </w:r>
      <w:r>
        <w:rPr>
          <w:spacing w:val="-14"/>
          <w:w w:val="99"/>
        </w:rPr>
        <w:t>具有有效的中华人民共和国《医师资格证书》</w:t>
      </w:r>
      <w:r>
        <w:rPr>
          <w:w w:val="49"/>
        </w:rPr>
        <w:t>；</w:t>
      </w:r>
    </w:p>
    <w:p>
      <w:pPr>
        <w:pStyle w:val="BodyText"/>
        <w:spacing w:line="408" w:lineRule="auto" w:before="192"/>
        <w:ind w:left="120" w:right="117"/>
        <w:jc w:val="both"/>
      </w:pPr>
      <w:r>
        <w:rPr>
          <w:w w:val="99"/>
        </w:rPr>
        <w:t>（</w:t>
      </w:r>
      <w:r>
        <w:rPr>
          <w:w w:val="93"/>
        </w:rPr>
        <w:t>2</w:t>
      </w:r>
      <w:r>
        <w:rPr>
          <w:spacing w:val="-20"/>
          <w:w w:val="99"/>
        </w:rPr>
        <w:t>）</w:t>
      </w:r>
      <w:r>
        <w:rPr>
          <w:spacing w:val="-8"/>
          <w:w w:val="99"/>
        </w:rPr>
        <w:t>具有有效的中华人民共和国《医师执业证书》</w:t>
      </w:r>
      <w:r>
        <w:rPr>
          <w:spacing w:val="-123"/>
          <w:w w:val="99"/>
        </w:rPr>
        <w:t>；</w:t>
      </w:r>
      <w:r>
        <w:rPr>
          <w:w w:val="99"/>
        </w:rPr>
        <w:t>（</w:t>
      </w:r>
      <w:r>
        <w:rPr>
          <w:w w:val="93"/>
        </w:rPr>
        <w:t>3</w:t>
      </w:r>
      <w:r>
        <w:rPr>
          <w:spacing w:val="-20"/>
          <w:w w:val="99"/>
        </w:rPr>
        <w:t>）</w:t>
      </w:r>
      <w:r>
        <w:rPr>
          <w:w w:val="99"/>
        </w:rPr>
        <w:t>具有有效的中华人民共和国主治医</w:t>
      </w:r>
      <w:r>
        <w:rPr>
          <w:spacing w:val="-11"/>
          <w:w w:val="99"/>
        </w:rPr>
        <w:t>师或主治医师以上职称的《医师职称证书》；</w:t>
      </w:r>
      <w:r>
        <w:rPr>
          <w:spacing w:val="1"/>
          <w:w w:val="99"/>
        </w:rPr>
        <w:t>（</w:t>
      </w:r>
      <w:r>
        <w:rPr>
          <w:w w:val="93"/>
        </w:rPr>
        <w:t>4</w:t>
      </w:r>
      <w:r>
        <w:rPr>
          <w:spacing w:val="1"/>
          <w:w w:val="99"/>
        </w:rPr>
        <w:t>）</w:t>
      </w:r>
      <w:r>
        <w:rPr>
          <w:w w:val="99"/>
        </w:rPr>
        <w:t>在二级或二级以上医院的相应科室从事临</w:t>
      </w:r>
      <w:r>
        <w:rPr>
          <w:w w:val="95"/>
        </w:rPr>
        <w:t>床工作三年以上。</w:t>
      </w:r>
    </w:p>
    <w:p>
      <w:pPr>
        <w:spacing w:after="0" w:line="408" w:lineRule="auto"/>
        <w:jc w:val="both"/>
        <w:sectPr>
          <w:pgSz w:w="11910" w:h="16840"/>
          <w:pgMar w:header="0" w:footer="1262" w:top="1460" w:bottom="1500" w:left="1680" w:right="1680"/>
        </w:sectPr>
      </w:pPr>
    </w:p>
    <w:p>
      <w:pPr>
        <w:pStyle w:val="BodyText"/>
        <w:spacing w:before="32"/>
        <w:ind w:left="220"/>
      </w:pPr>
      <w:r>
        <w:rPr>
          <w:w w:val="95"/>
        </w:rPr>
        <w:t>附表：每千元危险保额的年风险保险费表：</w:t>
      </w:r>
    </w:p>
    <w:p>
      <w:pPr>
        <w:pStyle w:val="BodyText"/>
        <w:spacing w:before="193"/>
        <w:ind w:right="229"/>
        <w:jc w:val="right"/>
      </w:pPr>
      <w:r>
        <w:rPr>
          <w:w w:val="95"/>
        </w:rPr>
        <w:t>单位：人民币</w:t>
      </w:r>
    </w:p>
    <w:p>
      <w:pPr>
        <w:pStyle w:val="BodyText"/>
        <w:spacing w:before="12"/>
        <w:rPr>
          <w:sz w:val="10"/>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080"/>
        <w:gridCol w:w="912"/>
        <w:gridCol w:w="2148"/>
        <w:gridCol w:w="1080"/>
        <w:gridCol w:w="1034"/>
      </w:tblGrid>
      <w:tr>
        <w:trPr>
          <w:trHeight w:val="611" w:hRule="atLeast"/>
        </w:trPr>
        <w:tc>
          <w:tcPr>
            <w:tcW w:w="2268" w:type="dxa"/>
          </w:tcPr>
          <w:p>
            <w:pPr>
              <w:pStyle w:val="TableParagraph"/>
              <w:spacing w:before="124"/>
              <w:ind w:left="414" w:right="407"/>
              <w:rPr>
                <w:rFonts w:ascii="宋体" w:eastAsia="宋体" w:hint="eastAsia"/>
                <w:sz w:val="21"/>
              </w:rPr>
            </w:pPr>
            <w:r>
              <w:rPr>
                <w:rFonts w:ascii="宋体" w:eastAsia="宋体" w:hint="eastAsia"/>
                <w:w w:val="95"/>
                <w:sz w:val="21"/>
              </w:rPr>
              <w:t>保单年度初年龄</w:t>
            </w:r>
          </w:p>
        </w:tc>
        <w:tc>
          <w:tcPr>
            <w:tcW w:w="1080" w:type="dxa"/>
          </w:tcPr>
          <w:p>
            <w:pPr>
              <w:pStyle w:val="TableParagraph"/>
              <w:spacing w:before="124"/>
              <w:ind w:left="315" w:right="308"/>
              <w:rPr>
                <w:rFonts w:ascii="宋体" w:eastAsia="宋体" w:hint="eastAsia"/>
                <w:sz w:val="21"/>
              </w:rPr>
            </w:pPr>
            <w:r>
              <w:rPr>
                <w:rFonts w:ascii="宋体" w:eastAsia="宋体" w:hint="eastAsia"/>
                <w:w w:val="95"/>
                <w:sz w:val="21"/>
              </w:rPr>
              <w:t>男性</w:t>
            </w:r>
          </w:p>
        </w:tc>
        <w:tc>
          <w:tcPr>
            <w:tcW w:w="912" w:type="dxa"/>
          </w:tcPr>
          <w:p>
            <w:pPr>
              <w:pStyle w:val="TableParagraph"/>
              <w:spacing w:before="124"/>
              <w:ind w:left="234" w:right="222"/>
              <w:rPr>
                <w:rFonts w:ascii="宋体" w:eastAsia="宋体" w:hint="eastAsia"/>
                <w:sz w:val="21"/>
              </w:rPr>
            </w:pPr>
            <w:r>
              <w:rPr>
                <w:rFonts w:ascii="宋体" w:eastAsia="宋体" w:hint="eastAsia"/>
                <w:w w:val="95"/>
                <w:sz w:val="21"/>
              </w:rPr>
              <w:t>女性</w:t>
            </w:r>
          </w:p>
        </w:tc>
        <w:tc>
          <w:tcPr>
            <w:tcW w:w="2148" w:type="dxa"/>
          </w:tcPr>
          <w:p>
            <w:pPr>
              <w:pStyle w:val="TableParagraph"/>
              <w:spacing w:before="124"/>
              <w:ind w:left="354" w:right="347"/>
              <w:rPr>
                <w:rFonts w:ascii="宋体" w:eastAsia="宋体" w:hint="eastAsia"/>
                <w:sz w:val="21"/>
              </w:rPr>
            </w:pPr>
            <w:r>
              <w:rPr>
                <w:rFonts w:ascii="宋体" w:eastAsia="宋体" w:hint="eastAsia"/>
                <w:w w:val="95"/>
                <w:sz w:val="21"/>
              </w:rPr>
              <w:t>保单年度初年龄</w:t>
            </w:r>
          </w:p>
        </w:tc>
        <w:tc>
          <w:tcPr>
            <w:tcW w:w="1080" w:type="dxa"/>
          </w:tcPr>
          <w:p>
            <w:pPr>
              <w:pStyle w:val="TableParagraph"/>
              <w:spacing w:before="124"/>
              <w:ind w:right="319"/>
              <w:jc w:val="right"/>
              <w:rPr>
                <w:rFonts w:ascii="宋体" w:eastAsia="宋体" w:hint="eastAsia"/>
                <w:sz w:val="21"/>
              </w:rPr>
            </w:pPr>
            <w:r>
              <w:rPr>
                <w:rFonts w:ascii="宋体" w:eastAsia="宋体" w:hint="eastAsia"/>
                <w:w w:val="95"/>
                <w:sz w:val="21"/>
              </w:rPr>
              <w:t>男性</w:t>
            </w:r>
          </w:p>
        </w:tc>
        <w:tc>
          <w:tcPr>
            <w:tcW w:w="1034" w:type="dxa"/>
          </w:tcPr>
          <w:p>
            <w:pPr>
              <w:pStyle w:val="TableParagraph"/>
              <w:spacing w:before="124"/>
              <w:ind w:left="307"/>
              <w:jc w:val="left"/>
              <w:rPr>
                <w:rFonts w:ascii="宋体" w:eastAsia="宋体" w:hint="eastAsia"/>
                <w:sz w:val="21"/>
              </w:rPr>
            </w:pPr>
            <w:r>
              <w:rPr>
                <w:rFonts w:ascii="宋体" w:eastAsia="宋体" w:hint="eastAsia"/>
                <w:w w:val="95"/>
                <w:sz w:val="21"/>
              </w:rPr>
              <w:t>女性</w:t>
            </w:r>
          </w:p>
        </w:tc>
      </w:tr>
      <w:tr>
        <w:trPr>
          <w:trHeight w:val="311" w:hRule="atLeast"/>
        </w:trPr>
        <w:tc>
          <w:tcPr>
            <w:tcW w:w="2268" w:type="dxa"/>
          </w:tcPr>
          <w:p>
            <w:pPr>
              <w:pStyle w:val="TableParagraph"/>
              <w:ind w:left="10"/>
              <w:rPr>
                <w:sz w:val="16"/>
              </w:rPr>
            </w:pPr>
            <w:r>
              <w:rPr>
                <w:w w:val="100"/>
                <w:sz w:val="16"/>
              </w:rPr>
              <w:t>0</w:t>
            </w:r>
          </w:p>
        </w:tc>
        <w:tc>
          <w:tcPr>
            <w:tcW w:w="1080" w:type="dxa"/>
          </w:tcPr>
          <w:p>
            <w:pPr>
              <w:pStyle w:val="TableParagraph"/>
              <w:ind w:left="319" w:right="304"/>
              <w:rPr>
                <w:sz w:val="16"/>
              </w:rPr>
            </w:pPr>
            <w:r>
              <w:rPr>
                <w:sz w:val="16"/>
              </w:rPr>
              <w:t>2.10</w:t>
            </w:r>
          </w:p>
        </w:tc>
        <w:tc>
          <w:tcPr>
            <w:tcW w:w="912" w:type="dxa"/>
          </w:tcPr>
          <w:p>
            <w:pPr>
              <w:pStyle w:val="TableParagraph"/>
              <w:ind w:left="237" w:right="222"/>
              <w:rPr>
                <w:sz w:val="16"/>
              </w:rPr>
            </w:pPr>
            <w:r>
              <w:rPr>
                <w:sz w:val="16"/>
              </w:rPr>
              <w:t>1.25</w:t>
            </w:r>
          </w:p>
        </w:tc>
        <w:tc>
          <w:tcPr>
            <w:tcW w:w="2148" w:type="dxa"/>
          </w:tcPr>
          <w:p>
            <w:pPr>
              <w:pStyle w:val="TableParagraph"/>
              <w:ind w:left="354" w:right="342"/>
              <w:rPr>
                <w:sz w:val="16"/>
              </w:rPr>
            </w:pPr>
            <w:r>
              <w:rPr>
                <w:sz w:val="16"/>
              </w:rPr>
              <w:t>38</w:t>
            </w:r>
          </w:p>
        </w:tc>
        <w:tc>
          <w:tcPr>
            <w:tcW w:w="1080" w:type="dxa"/>
          </w:tcPr>
          <w:p>
            <w:pPr>
              <w:pStyle w:val="TableParagraph"/>
              <w:ind w:right="369"/>
              <w:jc w:val="right"/>
              <w:rPr>
                <w:sz w:val="16"/>
              </w:rPr>
            </w:pPr>
            <w:r>
              <w:rPr>
                <w:sz w:val="16"/>
              </w:rPr>
              <w:t>2.51</w:t>
            </w:r>
          </w:p>
        </w:tc>
        <w:tc>
          <w:tcPr>
            <w:tcW w:w="1034" w:type="dxa"/>
          </w:tcPr>
          <w:p>
            <w:pPr>
              <w:pStyle w:val="TableParagraph"/>
              <w:ind w:left="362"/>
              <w:jc w:val="left"/>
              <w:rPr>
                <w:sz w:val="16"/>
              </w:rPr>
            </w:pPr>
            <w:r>
              <w:rPr>
                <w:sz w:val="16"/>
              </w:rPr>
              <w:t>3.00</w:t>
            </w:r>
          </w:p>
        </w:tc>
      </w:tr>
      <w:tr>
        <w:trPr>
          <w:trHeight w:val="311" w:hRule="atLeast"/>
        </w:trPr>
        <w:tc>
          <w:tcPr>
            <w:tcW w:w="2268" w:type="dxa"/>
          </w:tcPr>
          <w:p>
            <w:pPr>
              <w:pStyle w:val="TableParagraph"/>
              <w:ind w:left="10"/>
              <w:rPr>
                <w:sz w:val="16"/>
              </w:rPr>
            </w:pPr>
            <w:r>
              <w:rPr>
                <w:w w:val="100"/>
                <w:sz w:val="16"/>
              </w:rPr>
              <w:t>1</w:t>
            </w:r>
          </w:p>
        </w:tc>
        <w:tc>
          <w:tcPr>
            <w:tcW w:w="1080" w:type="dxa"/>
          </w:tcPr>
          <w:p>
            <w:pPr>
              <w:pStyle w:val="TableParagraph"/>
              <w:ind w:left="319" w:right="304"/>
              <w:rPr>
                <w:sz w:val="16"/>
              </w:rPr>
            </w:pPr>
            <w:r>
              <w:rPr>
                <w:sz w:val="16"/>
              </w:rPr>
              <w:t>1.14</w:t>
            </w:r>
          </w:p>
        </w:tc>
        <w:tc>
          <w:tcPr>
            <w:tcW w:w="912" w:type="dxa"/>
          </w:tcPr>
          <w:p>
            <w:pPr>
              <w:pStyle w:val="TableParagraph"/>
              <w:ind w:left="237" w:right="222"/>
              <w:rPr>
                <w:sz w:val="16"/>
              </w:rPr>
            </w:pPr>
            <w:r>
              <w:rPr>
                <w:sz w:val="16"/>
              </w:rPr>
              <w:t>0.77</w:t>
            </w:r>
          </w:p>
        </w:tc>
        <w:tc>
          <w:tcPr>
            <w:tcW w:w="2148" w:type="dxa"/>
          </w:tcPr>
          <w:p>
            <w:pPr>
              <w:pStyle w:val="TableParagraph"/>
              <w:ind w:left="354" w:right="342"/>
              <w:rPr>
                <w:sz w:val="16"/>
              </w:rPr>
            </w:pPr>
            <w:r>
              <w:rPr>
                <w:sz w:val="16"/>
              </w:rPr>
              <w:t>39</w:t>
            </w:r>
          </w:p>
        </w:tc>
        <w:tc>
          <w:tcPr>
            <w:tcW w:w="1080" w:type="dxa"/>
          </w:tcPr>
          <w:p>
            <w:pPr>
              <w:pStyle w:val="TableParagraph"/>
              <w:ind w:right="369"/>
              <w:jc w:val="right"/>
              <w:rPr>
                <w:sz w:val="16"/>
              </w:rPr>
            </w:pPr>
            <w:r>
              <w:rPr>
                <w:sz w:val="16"/>
              </w:rPr>
              <w:t>2.77</w:t>
            </w:r>
          </w:p>
        </w:tc>
        <w:tc>
          <w:tcPr>
            <w:tcW w:w="1034" w:type="dxa"/>
          </w:tcPr>
          <w:p>
            <w:pPr>
              <w:pStyle w:val="TableParagraph"/>
              <w:ind w:left="362"/>
              <w:jc w:val="left"/>
              <w:rPr>
                <w:sz w:val="16"/>
              </w:rPr>
            </w:pPr>
            <w:r>
              <w:rPr>
                <w:sz w:val="16"/>
              </w:rPr>
              <w:t>3.30</w:t>
            </w:r>
          </w:p>
        </w:tc>
      </w:tr>
      <w:tr>
        <w:trPr>
          <w:trHeight w:val="311" w:hRule="atLeast"/>
        </w:trPr>
        <w:tc>
          <w:tcPr>
            <w:tcW w:w="2268" w:type="dxa"/>
          </w:tcPr>
          <w:p>
            <w:pPr>
              <w:pStyle w:val="TableParagraph"/>
              <w:ind w:left="10"/>
              <w:rPr>
                <w:sz w:val="16"/>
              </w:rPr>
            </w:pPr>
            <w:r>
              <w:rPr>
                <w:w w:val="100"/>
                <w:sz w:val="16"/>
              </w:rPr>
              <w:t>2</w:t>
            </w:r>
          </w:p>
        </w:tc>
        <w:tc>
          <w:tcPr>
            <w:tcW w:w="1080" w:type="dxa"/>
          </w:tcPr>
          <w:p>
            <w:pPr>
              <w:pStyle w:val="TableParagraph"/>
              <w:ind w:left="319" w:right="304"/>
              <w:rPr>
                <w:sz w:val="16"/>
              </w:rPr>
            </w:pPr>
            <w:r>
              <w:rPr>
                <w:sz w:val="16"/>
              </w:rPr>
              <w:t>0.91</w:t>
            </w:r>
          </w:p>
        </w:tc>
        <w:tc>
          <w:tcPr>
            <w:tcW w:w="912" w:type="dxa"/>
          </w:tcPr>
          <w:p>
            <w:pPr>
              <w:pStyle w:val="TableParagraph"/>
              <w:ind w:left="237" w:right="222"/>
              <w:rPr>
                <w:sz w:val="16"/>
              </w:rPr>
            </w:pPr>
            <w:r>
              <w:rPr>
                <w:sz w:val="16"/>
              </w:rPr>
              <w:t>0.72</w:t>
            </w:r>
          </w:p>
        </w:tc>
        <w:tc>
          <w:tcPr>
            <w:tcW w:w="2148" w:type="dxa"/>
          </w:tcPr>
          <w:p>
            <w:pPr>
              <w:pStyle w:val="TableParagraph"/>
              <w:ind w:left="354" w:right="342"/>
              <w:rPr>
                <w:sz w:val="16"/>
              </w:rPr>
            </w:pPr>
            <w:r>
              <w:rPr>
                <w:sz w:val="16"/>
              </w:rPr>
              <w:t>40</w:t>
            </w:r>
          </w:p>
        </w:tc>
        <w:tc>
          <w:tcPr>
            <w:tcW w:w="1080" w:type="dxa"/>
          </w:tcPr>
          <w:p>
            <w:pPr>
              <w:pStyle w:val="TableParagraph"/>
              <w:ind w:right="369"/>
              <w:jc w:val="right"/>
              <w:rPr>
                <w:sz w:val="16"/>
              </w:rPr>
            </w:pPr>
            <w:r>
              <w:rPr>
                <w:sz w:val="16"/>
              </w:rPr>
              <w:t>3.06</w:t>
            </w:r>
          </w:p>
        </w:tc>
        <w:tc>
          <w:tcPr>
            <w:tcW w:w="1034" w:type="dxa"/>
          </w:tcPr>
          <w:p>
            <w:pPr>
              <w:pStyle w:val="TableParagraph"/>
              <w:ind w:left="362"/>
              <w:jc w:val="left"/>
              <w:rPr>
                <w:sz w:val="16"/>
              </w:rPr>
            </w:pPr>
            <w:r>
              <w:rPr>
                <w:sz w:val="16"/>
              </w:rPr>
              <w:t>3.59</w:t>
            </w:r>
          </w:p>
        </w:tc>
      </w:tr>
      <w:tr>
        <w:trPr>
          <w:trHeight w:val="313" w:hRule="atLeast"/>
        </w:trPr>
        <w:tc>
          <w:tcPr>
            <w:tcW w:w="2268" w:type="dxa"/>
          </w:tcPr>
          <w:p>
            <w:pPr>
              <w:pStyle w:val="TableParagraph"/>
              <w:spacing w:before="65"/>
              <w:ind w:left="10"/>
              <w:rPr>
                <w:sz w:val="16"/>
              </w:rPr>
            </w:pPr>
            <w:r>
              <w:rPr>
                <w:w w:val="100"/>
                <w:sz w:val="16"/>
              </w:rPr>
              <w:t>3</w:t>
            </w:r>
          </w:p>
        </w:tc>
        <w:tc>
          <w:tcPr>
            <w:tcW w:w="1080" w:type="dxa"/>
          </w:tcPr>
          <w:p>
            <w:pPr>
              <w:pStyle w:val="TableParagraph"/>
              <w:spacing w:before="65"/>
              <w:ind w:left="319" w:right="304"/>
              <w:rPr>
                <w:sz w:val="16"/>
              </w:rPr>
            </w:pPr>
            <w:r>
              <w:rPr>
                <w:sz w:val="16"/>
              </w:rPr>
              <w:t>0.79</w:t>
            </w:r>
          </w:p>
        </w:tc>
        <w:tc>
          <w:tcPr>
            <w:tcW w:w="912" w:type="dxa"/>
          </w:tcPr>
          <w:p>
            <w:pPr>
              <w:pStyle w:val="TableParagraph"/>
              <w:spacing w:before="65"/>
              <w:ind w:left="237" w:right="222"/>
              <w:rPr>
                <w:sz w:val="16"/>
              </w:rPr>
            </w:pPr>
            <w:r>
              <w:rPr>
                <w:sz w:val="16"/>
              </w:rPr>
              <w:t>0.67</w:t>
            </w:r>
          </w:p>
        </w:tc>
        <w:tc>
          <w:tcPr>
            <w:tcW w:w="2148" w:type="dxa"/>
          </w:tcPr>
          <w:p>
            <w:pPr>
              <w:pStyle w:val="TableParagraph"/>
              <w:spacing w:before="65"/>
              <w:ind w:left="354" w:right="342"/>
              <w:rPr>
                <w:sz w:val="16"/>
              </w:rPr>
            </w:pPr>
            <w:r>
              <w:rPr>
                <w:sz w:val="16"/>
              </w:rPr>
              <w:t>41</w:t>
            </w:r>
          </w:p>
        </w:tc>
        <w:tc>
          <w:tcPr>
            <w:tcW w:w="1080" w:type="dxa"/>
          </w:tcPr>
          <w:p>
            <w:pPr>
              <w:pStyle w:val="TableParagraph"/>
              <w:spacing w:before="65"/>
              <w:ind w:right="369"/>
              <w:jc w:val="right"/>
              <w:rPr>
                <w:sz w:val="16"/>
              </w:rPr>
            </w:pPr>
            <w:r>
              <w:rPr>
                <w:sz w:val="16"/>
              </w:rPr>
              <w:t>3.38</w:t>
            </w:r>
          </w:p>
        </w:tc>
        <w:tc>
          <w:tcPr>
            <w:tcW w:w="1034" w:type="dxa"/>
          </w:tcPr>
          <w:p>
            <w:pPr>
              <w:pStyle w:val="TableParagraph"/>
              <w:spacing w:before="65"/>
              <w:ind w:left="362"/>
              <w:jc w:val="left"/>
              <w:rPr>
                <w:sz w:val="16"/>
              </w:rPr>
            </w:pPr>
            <w:r>
              <w:rPr>
                <w:sz w:val="16"/>
              </w:rPr>
              <w:t>3.88</w:t>
            </w:r>
          </w:p>
        </w:tc>
      </w:tr>
      <w:tr>
        <w:trPr>
          <w:trHeight w:val="311" w:hRule="atLeast"/>
        </w:trPr>
        <w:tc>
          <w:tcPr>
            <w:tcW w:w="2268" w:type="dxa"/>
          </w:tcPr>
          <w:p>
            <w:pPr>
              <w:pStyle w:val="TableParagraph"/>
              <w:ind w:left="10"/>
              <w:rPr>
                <w:sz w:val="16"/>
              </w:rPr>
            </w:pPr>
            <w:r>
              <w:rPr>
                <w:w w:val="100"/>
                <w:sz w:val="16"/>
              </w:rPr>
              <w:t>4</w:t>
            </w:r>
          </w:p>
        </w:tc>
        <w:tc>
          <w:tcPr>
            <w:tcW w:w="1080" w:type="dxa"/>
          </w:tcPr>
          <w:p>
            <w:pPr>
              <w:pStyle w:val="TableParagraph"/>
              <w:ind w:left="319" w:right="304"/>
              <w:rPr>
                <w:sz w:val="16"/>
              </w:rPr>
            </w:pPr>
            <w:r>
              <w:rPr>
                <w:sz w:val="16"/>
              </w:rPr>
              <w:t>0.77</w:t>
            </w:r>
          </w:p>
        </w:tc>
        <w:tc>
          <w:tcPr>
            <w:tcW w:w="912" w:type="dxa"/>
          </w:tcPr>
          <w:p>
            <w:pPr>
              <w:pStyle w:val="TableParagraph"/>
              <w:ind w:left="237" w:right="222"/>
              <w:rPr>
                <w:sz w:val="16"/>
              </w:rPr>
            </w:pPr>
            <w:r>
              <w:rPr>
                <w:sz w:val="16"/>
              </w:rPr>
              <w:t>0.65</w:t>
            </w:r>
          </w:p>
        </w:tc>
        <w:tc>
          <w:tcPr>
            <w:tcW w:w="2148" w:type="dxa"/>
          </w:tcPr>
          <w:p>
            <w:pPr>
              <w:pStyle w:val="TableParagraph"/>
              <w:ind w:left="354" w:right="342"/>
              <w:rPr>
                <w:sz w:val="16"/>
              </w:rPr>
            </w:pPr>
            <w:r>
              <w:rPr>
                <w:sz w:val="16"/>
              </w:rPr>
              <w:t>42</w:t>
            </w:r>
          </w:p>
        </w:tc>
        <w:tc>
          <w:tcPr>
            <w:tcW w:w="1080" w:type="dxa"/>
          </w:tcPr>
          <w:p>
            <w:pPr>
              <w:pStyle w:val="TableParagraph"/>
              <w:ind w:right="369"/>
              <w:jc w:val="right"/>
              <w:rPr>
                <w:sz w:val="16"/>
              </w:rPr>
            </w:pPr>
            <w:r>
              <w:rPr>
                <w:sz w:val="16"/>
              </w:rPr>
              <w:t>3.72</w:t>
            </w:r>
          </w:p>
        </w:tc>
        <w:tc>
          <w:tcPr>
            <w:tcW w:w="1034" w:type="dxa"/>
          </w:tcPr>
          <w:p>
            <w:pPr>
              <w:pStyle w:val="TableParagraph"/>
              <w:ind w:left="362"/>
              <w:jc w:val="left"/>
              <w:rPr>
                <w:sz w:val="16"/>
              </w:rPr>
            </w:pPr>
            <w:r>
              <w:rPr>
                <w:sz w:val="16"/>
              </w:rPr>
              <w:t>4.15</w:t>
            </w:r>
          </w:p>
        </w:tc>
      </w:tr>
      <w:tr>
        <w:trPr>
          <w:trHeight w:val="311" w:hRule="atLeast"/>
        </w:trPr>
        <w:tc>
          <w:tcPr>
            <w:tcW w:w="2268" w:type="dxa"/>
          </w:tcPr>
          <w:p>
            <w:pPr>
              <w:pStyle w:val="TableParagraph"/>
              <w:ind w:left="10"/>
              <w:rPr>
                <w:sz w:val="16"/>
              </w:rPr>
            </w:pPr>
            <w:r>
              <w:rPr>
                <w:w w:val="100"/>
                <w:sz w:val="16"/>
              </w:rPr>
              <w:t>5</w:t>
            </w:r>
          </w:p>
        </w:tc>
        <w:tc>
          <w:tcPr>
            <w:tcW w:w="1080" w:type="dxa"/>
          </w:tcPr>
          <w:p>
            <w:pPr>
              <w:pStyle w:val="TableParagraph"/>
              <w:ind w:left="319" w:right="304"/>
              <w:rPr>
                <w:sz w:val="16"/>
              </w:rPr>
            </w:pPr>
            <w:r>
              <w:rPr>
                <w:sz w:val="16"/>
              </w:rPr>
              <w:t>0.73</w:t>
            </w:r>
          </w:p>
        </w:tc>
        <w:tc>
          <w:tcPr>
            <w:tcW w:w="912" w:type="dxa"/>
          </w:tcPr>
          <w:p>
            <w:pPr>
              <w:pStyle w:val="TableParagraph"/>
              <w:ind w:left="237" w:right="222"/>
              <w:rPr>
                <w:sz w:val="16"/>
              </w:rPr>
            </w:pPr>
            <w:r>
              <w:rPr>
                <w:sz w:val="16"/>
              </w:rPr>
              <w:t>0.62</w:t>
            </w:r>
          </w:p>
        </w:tc>
        <w:tc>
          <w:tcPr>
            <w:tcW w:w="2148" w:type="dxa"/>
          </w:tcPr>
          <w:p>
            <w:pPr>
              <w:pStyle w:val="TableParagraph"/>
              <w:ind w:left="354" w:right="342"/>
              <w:rPr>
                <w:sz w:val="16"/>
              </w:rPr>
            </w:pPr>
            <w:r>
              <w:rPr>
                <w:sz w:val="16"/>
              </w:rPr>
              <w:t>43</w:t>
            </w:r>
          </w:p>
        </w:tc>
        <w:tc>
          <w:tcPr>
            <w:tcW w:w="1080" w:type="dxa"/>
          </w:tcPr>
          <w:p>
            <w:pPr>
              <w:pStyle w:val="TableParagraph"/>
              <w:ind w:right="369"/>
              <w:jc w:val="right"/>
              <w:rPr>
                <w:sz w:val="16"/>
              </w:rPr>
            </w:pPr>
            <w:r>
              <w:rPr>
                <w:sz w:val="16"/>
              </w:rPr>
              <w:t>4.08</w:t>
            </w:r>
          </w:p>
        </w:tc>
        <w:tc>
          <w:tcPr>
            <w:tcW w:w="1034" w:type="dxa"/>
          </w:tcPr>
          <w:p>
            <w:pPr>
              <w:pStyle w:val="TableParagraph"/>
              <w:ind w:left="362"/>
              <w:jc w:val="left"/>
              <w:rPr>
                <w:sz w:val="16"/>
              </w:rPr>
            </w:pPr>
            <w:r>
              <w:rPr>
                <w:sz w:val="16"/>
              </w:rPr>
              <w:t>4.55</w:t>
            </w:r>
          </w:p>
        </w:tc>
      </w:tr>
      <w:tr>
        <w:trPr>
          <w:trHeight w:val="311" w:hRule="atLeast"/>
        </w:trPr>
        <w:tc>
          <w:tcPr>
            <w:tcW w:w="2268" w:type="dxa"/>
          </w:tcPr>
          <w:p>
            <w:pPr>
              <w:pStyle w:val="TableParagraph"/>
              <w:ind w:left="10"/>
              <w:rPr>
                <w:sz w:val="16"/>
              </w:rPr>
            </w:pPr>
            <w:r>
              <w:rPr>
                <w:w w:val="100"/>
                <w:sz w:val="16"/>
              </w:rPr>
              <w:t>6</w:t>
            </w:r>
          </w:p>
        </w:tc>
        <w:tc>
          <w:tcPr>
            <w:tcW w:w="1080" w:type="dxa"/>
          </w:tcPr>
          <w:p>
            <w:pPr>
              <w:pStyle w:val="TableParagraph"/>
              <w:ind w:left="319" w:right="304"/>
              <w:rPr>
                <w:sz w:val="16"/>
              </w:rPr>
            </w:pPr>
            <w:r>
              <w:rPr>
                <w:sz w:val="16"/>
              </w:rPr>
              <w:t>0.72</w:t>
            </w:r>
          </w:p>
        </w:tc>
        <w:tc>
          <w:tcPr>
            <w:tcW w:w="912" w:type="dxa"/>
          </w:tcPr>
          <w:p>
            <w:pPr>
              <w:pStyle w:val="TableParagraph"/>
              <w:ind w:left="237" w:right="222"/>
              <w:rPr>
                <w:sz w:val="16"/>
              </w:rPr>
            </w:pPr>
            <w:r>
              <w:rPr>
                <w:sz w:val="16"/>
              </w:rPr>
              <w:t>0.61</w:t>
            </w:r>
          </w:p>
        </w:tc>
        <w:tc>
          <w:tcPr>
            <w:tcW w:w="2148" w:type="dxa"/>
          </w:tcPr>
          <w:p>
            <w:pPr>
              <w:pStyle w:val="TableParagraph"/>
              <w:ind w:left="354" w:right="342"/>
              <w:rPr>
                <w:sz w:val="16"/>
              </w:rPr>
            </w:pPr>
            <w:r>
              <w:rPr>
                <w:sz w:val="16"/>
              </w:rPr>
              <w:t>44</w:t>
            </w:r>
          </w:p>
        </w:tc>
        <w:tc>
          <w:tcPr>
            <w:tcW w:w="1080" w:type="dxa"/>
          </w:tcPr>
          <w:p>
            <w:pPr>
              <w:pStyle w:val="TableParagraph"/>
              <w:ind w:right="369"/>
              <w:jc w:val="right"/>
              <w:rPr>
                <w:sz w:val="16"/>
              </w:rPr>
            </w:pPr>
            <w:r>
              <w:rPr>
                <w:sz w:val="16"/>
              </w:rPr>
              <w:t>4.50</w:t>
            </w:r>
          </w:p>
        </w:tc>
        <w:tc>
          <w:tcPr>
            <w:tcW w:w="1034" w:type="dxa"/>
          </w:tcPr>
          <w:p>
            <w:pPr>
              <w:pStyle w:val="TableParagraph"/>
              <w:ind w:left="362"/>
              <w:jc w:val="left"/>
              <w:rPr>
                <w:sz w:val="16"/>
              </w:rPr>
            </w:pPr>
            <w:r>
              <w:rPr>
                <w:sz w:val="16"/>
              </w:rPr>
              <w:t>5.24</w:t>
            </w:r>
          </w:p>
        </w:tc>
      </w:tr>
      <w:tr>
        <w:trPr>
          <w:trHeight w:val="311" w:hRule="atLeast"/>
        </w:trPr>
        <w:tc>
          <w:tcPr>
            <w:tcW w:w="2268" w:type="dxa"/>
          </w:tcPr>
          <w:p>
            <w:pPr>
              <w:pStyle w:val="TableParagraph"/>
              <w:ind w:left="10"/>
              <w:rPr>
                <w:sz w:val="16"/>
              </w:rPr>
            </w:pPr>
            <w:r>
              <w:rPr>
                <w:w w:val="100"/>
                <w:sz w:val="16"/>
              </w:rPr>
              <w:t>7</w:t>
            </w:r>
          </w:p>
        </w:tc>
        <w:tc>
          <w:tcPr>
            <w:tcW w:w="1080" w:type="dxa"/>
          </w:tcPr>
          <w:p>
            <w:pPr>
              <w:pStyle w:val="TableParagraph"/>
              <w:ind w:left="319" w:right="304"/>
              <w:rPr>
                <w:sz w:val="16"/>
              </w:rPr>
            </w:pPr>
            <w:r>
              <w:rPr>
                <w:sz w:val="16"/>
              </w:rPr>
              <w:t>0.70</w:t>
            </w:r>
          </w:p>
        </w:tc>
        <w:tc>
          <w:tcPr>
            <w:tcW w:w="912" w:type="dxa"/>
          </w:tcPr>
          <w:p>
            <w:pPr>
              <w:pStyle w:val="TableParagraph"/>
              <w:ind w:left="237" w:right="222"/>
              <w:rPr>
                <w:sz w:val="16"/>
              </w:rPr>
            </w:pPr>
            <w:r>
              <w:rPr>
                <w:sz w:val="16"/>
              </w:rPr>
              <w:t>0.58</w:t>
            </w:r>
          </w:p>
        </w:tc>
        <w:tc>
          <w:tcPr>
            <w:tcW w:w="2148" w:type="dxa"/>
          </w:tcPr>
          <w:p>
            <w:pPr>
              <w:pStyle w:val="TableParagraph"/>
              <w:ind w:left="354" w:right="342"/>
              <w:rPr>
                <w:sz w:val="16"/>
              </w:rPr>
            </w:pPr>
            <w:r>
              <w:rPr>
                <w:sz w:val="16"/>
              </w:rPr>
              <w:t>45</w:t>
            </w:r>
          </w:p>
        </w:tc>
        <w:tc>
          <w:tcPr>
            <w:tcW w:w="1080" w:type="dxa"/>
          </w:tcPr>
          <w:p>
            <w:pPr>
              <w:pStyle w:val="TableParagraph"/>
              <w:ind w:right="369"/>
              <w:jc w:val="right"/>
              <w:rPr>
                <w:sz w:val="16"/>
              </w:rPr>
            </w:pPr>
            <w:r>
              <w:rPr>
                <w:sz w:val="16"/>
              </w:rPr>
              <w:t>4.93</w:t>
            </w:r>
          </w:p>
        </w:tc>
        <w:tc>
          <w:tcPr>
            <w:tcW w:w="1034" w:type="dxa"/>
          </w:tcPr>
          <w:p>
            <w:pPr>
              <w:pStyle w:val="TableParagraph"/>
              <w:ind w:left="362"/>
              <w:jc w:val="left"/>
              <w:rPr>
                <w:sz w:val="16"/>
              </w:rPr>
            </w:pPr>
            <w:r>
              <w:rPr>
                <w:sz w:val="16"/>
              </w:rPr>
              <w:t>5.39</w:t>
            </w:r>
          </w:p>
        </w:tc>
      </w:tr>
      <w:tr>
        <w:trPr>
          <w:trHeight w:val="311" w:hRule="atLeast"/>
        </w:trPr>
        <w:tc>
          <w:tcPr>
            <w:tcW w:w="2268" w:type="dxa"/>
          </w:tcPr>
          <w:p>
            <w:pPr>
              <w:pStyle w:val="TableParagraph"/>
              <w:ind w:left="10"/>
              <w:rPr>
                <w:sz w:val="16"/>
              </w:rPr>
            </w:pPr>
            <w:r>
              <w:rPr>
                <w:w w:val="100"/>
                <w:sz w:val="16"/>
              </w:rPr>
              <w:t>8</w:t>
            </w:r>
          </w:p>
        </w:tc>
        <w:tc>
          <w:tcPr>
            <w:tcW w:w="1080" w:type="dxa"/>
          </w:tcPr>
          <w:p>
            <w:pPr>
              <w:pStyle w:val="TableParagraph"/>
              <w:ind w:left="319" w:right="304"/>
              <w:rPr>
                <w:sz w:val="16"/>
              </w:rPr>
            </w:pPr>
            <w:r>
              <w:rPr>
                <w:sz w:val="16"/>
              </w:rPr>
              <w:t>0.68</w:t>
            </w:r>
          </w:p>
        </w:tc>
        <w:tc>
          <w:tcPr>
            <w:tcW w:w="912" w:type="dxa"/>
          </w:tcPr>
          <w:p>
            <w:pPr>
              <w:pStyle w:val="TableParagraph"/>
              <w:ind w:left="237" w:right="222"/>
              <w:rPr>
                <w:sz w:val="16"/>
              </w:rPr>
            </w:pPr>
            <w:r>
              <w:rPr>
                <w:sz w:val="16"/>
              </w:rPr>
              <w:t>0.59</w:t>
            </w:r>
          </w:p>
        </w:tc>
        <w:tc>
          <w:tcPr>
            <w:tcW w:w="2148" w:type="dxa"/>
          </w:tcPr>
          <w:p>
            <w:pPr>
              <w:pStyle w:val="TableParagraph"/>
              <w:ind w:left="354" w:right="342"/>
              <w:rPr>
                <w:sz w:val="16"/>
              </w:rPr>
            </w:pPr>
            <w:r>
              <w:rPr>
                <w:sz w:val="16"/>
              </w:rPr>
              <w:t>46</w:t>
            </w:r>
          </w:p>
        </w:tc>
        <w:tc>
          <w:tcPr>
            <w:tcW w:w="1080" w:type="dxa"/>
          </w:tcPr>
          <w:p>
            <w:pPr>
              <w:pStyle w:val="TableParagraph"/>
              <w:ind w:right="369"/>
              <w:jc w:val="right"/>
              <w:rPr>
                <w:sz w:val="16"/>
              </w:rPr>
            </w:pPr>
            <w:r>
              <w:rPr>
                <w:sz w:val="16"/>
              </w:rPr>
              <w:t>5.58</w:t>
            </w:r>
          </w:p>
        </w:tc>
        <w:tc>
          <w:tcPr>
            <w:tcW w:w="1034" w:type="dxa"/>
          </w:tcPr>
          <w:p>
            <w:pPr>
              <w:pStyle w:val="TableParagraph"/>
              <w:ind w:left="362"/>
              <w:jc w:val="left"/>
              <w:rPr>
                <w:sz w:val="16"/>
              </w:rPr>
            </w:pPr>
            <w:r>
              <w:rPr>
                <w:sz w:val="16"/>
              </w:rPr>
              <w:t>5.77</w:t>
            </w:r>
          </w:p>
        </w:tc>
      </w:tr>
      <w:tr>
        <w:trPr>
          <w:trHeight w:val="313" w:hRule="atLeast"/>
        </w:trPr>
        <w:tc>
          <w:tcPr>
            <w:tcW w:w="2268" w:type="dxa"/>
          </w:tcPr>
          <w:p>
            <w:pPr>
              <w:pStyle w:val="TableParagraph"/>
              <w:spacing w:before="65"/>
              <w:ind w:left="10"/>
              <w:rPr>
                <w:sz w:val="16"/>
              </w:rPr>
            </w:pPr>
            <w:r>
              <w:rPr>
                <w:w w:val="100"/>
                <w:sz w:val="16"/>
              </w:rPr>
              <w:t>9</w:t>
            </w:r>
          </w:p>
        </w:tc>
        <w:tc>
          <w:tcPr>
            <w:tcW w:w="1080" w:type="dxa"/>
          </w:tcPr>
          <w:p>
            <w:pPr>
              <w:pStyle w:val="TableParagraph"/>
              <w:spacing w:before="65"/>
              <w:ind w:left="319" w:right="304"/>
              <w:rPr>
                <w:sz w:val="16"/>
              </w:rPr>
            </w:pPr>
            <w:r>
              <w:rPr>
                <w:sz w:val="16"/>
              </w:rPr>
              <w:t>0.68</w:t>
            </w:r>
          </w:p>
        </w:tc>
        <w:tc>
          <w:tcPr>
            <w:tcW w:w="912" w:type="dxa"/>
          </w:tcPr>
          <w:p>
            <w:pPr>
              <w:pStyle w:val="TableParagraph"/>
              <w:spacing w:before="65"/>
              <w:ind w:left="237" w:right="222"/>
              <w:rPr>
                <w:sz w:val="16"/>
              </w:rPr>
            </w:pPr>
            <w:r>
              <w:rPr>
                <w:sz w:val="16"/>
              </w:rPr>
              <w:t>0.61</w:t>
            </w:r>
          </w:p>
        </w:tc>
        <w:tc>
          <w:tcPr>
            <w:tcW w:w="2148" w:type="dxa"/>
          </w:tcPr>
          <w:p>
            <w:pPr>
              <w:pStyle w:val="TableParagraph"/>
              <w:spacing w:before="65"/>
              <w:ind w:left="354" w:right="342"/>
              <w:rPr>
                <w:sz w:val="16"/>
              </w:rPr>
            </w:pPr>
            <w:r>
              <w:rPr>
                <w:sz w:val="16"/>
              </w:rPr>
              <w:t>47</w:t>
            </w:r>
          </w:p>
        </w:tc>
        <w:tc>
          <w:tcPr>
            <w:tcW w:w="1080" w:type="dxa"/>
          </w:tcPr>
          <w:p>
            <w:pPr>
              <w:pStyle w:val="TableParagraph"/>
              <w:spacing w:before="65"/>
              <w:ind w:right="369"/>
              <w:jc w:val="right"/>
              <w:rPr>
                <w:sz w:val="16"/>
              </w:rPr>
            </w:pPr>
            <w:r>
              <w:rPr>
                <w:sz w:val="16"/>
              </w:rPr>
              <w:t>6.12</w:t>
            </w:r>
          </w:p>
        </w:tc>
        <w:tc>
          <w:tcPr>
            <w:tcW w:w="1034" w:type="dxa"/>
          </w:tcPr>
          <w:p>
            <w:pPr>
              <w:pStyle w:val="TableParagraph"/>
              <w:spacing w:before="65"/>
              <w:ind w:left="362"/>
              <w:jc w:val="left"/>
              <w:rPr>
                <w:sz w:val="16"/>
              </w:rPr>
            </w:pPr>
            <w:r>
              <w:rPr>
                <w:sz w:val="16"/>
              </w:rPr>
              <w:t>6.16</w:t>
            </w:r>
          </w:p>
        </w:tc>
      </w:tr>
      <w:tr>
        <w:trPr>
          <w:trHeight w:val="311" w:hRule="atLeast"/>
        </w:trPr>
        <w:tc>
          <w:tcPr>
            <w:tcW w:w="2268" w:type="dxa"/>
          </w:tcPr>
          <w:p>
            <w:pPr>
              <w:pStyle w:val="TableParagraph"/>
              <w:ind w:left="414" w:right="402"/>
              <w:rPr>
                <w:sz w:val="16"/>
              </w:rPr>
            </w:pPr>
            <w:r>
              <w:rPr>
                <w:sz w:val="16"/>
              </w:rPr>
              <w:t>10</w:t>
            </w:r>
          </w:p>
        </w:tc>
        <w:tc>
          <w:tcPr>
            <w:tcW w:w="1080" w:type="dxa"/>
          </w:tcPr>
          <w:p>
            <w:pPr>
              <w:pStyle w:val="TableParagraph"/>
              <w:ind w:left="319" w:right="304"/>
              <w:rPr>
                <w:sz w:val="16"/>
              </w:rPr>
            </w:pPr>
            <w:r>
              <w:rPr>
                <w:sz w:val="16"/>
              </w:rPr>
              <w:t>0.68</w:t>
            </w:r>
          </w:p>
        </w:tc>
        <w:tc>
          <w:tcPr>
            <w:tcW w:w="912" w:type="dxa"/>
          </w:tcPr>
          <w:p>
            <w:pPr>
              <w:pStyle w:val="TableParagraph"/>
              <w:ind w:left="237" w:right="222"/>
              <w:rPr>
                <w:sz w:val="16"/>
              </w:rPr>
            </w:pPr>
            <w:r>
              <w:rPr>
                <w:sz w:val="16"/>
              </w:rPr>
              <w:t>0.62</w:t>
            </w:r>
          </w:p>
        </w:tc>
        <w:tc>
          <w:tcPr>
            <w:tcW w:w="2148" w:type="dxa"/>
          </w:tcPr>
          <w:p>
            <w:pPr>
              <w:pStyle w:val="TableParagraph"/>
              <w:ind w:left="354" w:right="342"/>
              <w:rPr>
                <w:sz w:val="16"/>
              </w:rPr>
            </w:pPr>
            <w:r>
              <w:rPr>
                <w:sz w:val="16"/>
              </w:rPr>
              <w:t>48</w:t>
            </w:r>
          </w:p>
        </w:tc>
        <w:tc>
          <w:tcPr>
            <w:tcW w:w="1080" w:type="dxa"/>
          </w:tcPr>
          <w:p>
            <w:pPr>
              <w:pStyle w:val="TableParagraph"/>
              <w:ind w:right="369"/>
              <w:jc w:val="right"/>
              <w:rPr>
                <w:sz w:val="16"/>
              </w:rPr>
            </w:pPr>
            <w:r>
              <w:rPr>
                <w:sz w:val="16"/>
              </w:rPr>
              <w:t>7.09</w:t>
            </w:r>
          </w:p>
        </w:tc>
        <w:tc>
          <w:tcPr>
            <w:tcW w:w="1034" w:type="dxa"/>
          </w:tcPr>
          <w:p>
            <w:pPr>
              <w:pStyle w:val="TableParagraph"/>
              <w:ind w:left="362"/>
              <w:jc w:val="left"/>
              <w:rPr>
                <w:sz w:val="16"/>
              </w:rPr>
            </w:pPr>
            <w:r>
              <w:rPr>
                <w:sz w:val="16"/>
              </w:rPr>
              <w:t>6.52</w:t>
            </w:r>
          </w:p>
        </w:tc>
      </w:tr>
      <w:tr>
        <w:trPr>
          <w:trHeight w:val="311" w:hRule="atLeast"/>
        </w:trPr>
        <w:tc>
          <w:tcPr>
            <w:tcW w:w="2268" w:type="dxa"/>
          </w:tcPr>
          <w:p>
            <w:pPr>
              <w:pStyle w:val="TableParagraph"/>
              <w:ind w:left="414" w:right="405"/>
              <w:rPr>
                <w:sz w:val="16"/>
              </w:rPr>
            </w:pPr>
            <w:r>
              <w:rPr>
                <w:sz w:val="16"/>
              </w:rPr>
              <w:t>11</w:t>
            </w:r>
          </w:p>
        </w:tc>
        <w:tc>
          <w:tcPr>
            <w:tcW w:w="1080" w:type="dxa"/>
          </w:tcPr>
          <w:p>
            <w:pPr>
              <w:pStyle w:val="TableParagraph"/>
              <w:ind w:left="319" w:right="304"/>
              <w:rPr>
                <w:sz w:val="16"/>
              </w:rPr>
            </w:pPr>
            <w:r>
              <w:rPr>
                <w:sz w:val="16"/>
              </w:rPr>
              <w:t>0.68</w:t>
            </w:r>
          </w:p>
        </w:tc>
        <w:tc>
          <w:tcPr>
            <w:tcW w:w="912" w:type="dxa"/>
          </w:tcPr>
          <w:p>
            <w:pPr>
              <w:pStyle w:val="TableParagraph"/>
              <w:ind w:left="237" w:right="222"/>
              <w:rPr>
                <w:sz w:val="16"/>
              </w:rPr>
            </w:pPr>
            <w:r>
              <w:rPr>
                <w:sz w:val="16"/>
              </w:rPr>
              <w:t>0.65</w:t>
            </w:r>
          </w:p>
        </w:tc>
        <w:tc>
          <w:tcPr>
            <w:tcW w:w="2148" w:type="dxa"/>
          </w:tcPr>
          <w:p>
            <w:pPr>
              <w:pStyle w:val="TableParagraph"/>
              <w:ind w:left="354" w:right="342"/>
              <w:rPr>
                <w:sz w:val="16"/>
              </w:rPr>
            </w:pPr>
            <w:r>
              <w:rPr>
                <w:sz w:val="16"/>
              </w:rPr>
              <w:t>49</w:t>
            </w:r>
          </w:p>
        </w:tc>
        <w:tc>
          <w:tcPr>
            <w:tcW w:w="1080" w:type="dxa"/>
          </w:tcPr>
          <w:p>
            <w:pPr>
              <w:pStyle w:val="TableParagraph"/>
              <w:ind w:right="369"/>
              <w:jc w:val="right"/>
              <w:rPr>
                <w:sz w:val="16"/>
              </w:rPr>
            </w:pPr>
            <w:r>
              <w:rPr>
                <w:sz w:val="16"/>
              </w:rPr>
              <w:t>7.88</w:t>
            </w:r>
          </w:p>
        </w:tc>
        <w:tc>
          <w:tcPr>
            <w:tcW w:w="1034" w:type="dxa"/>
          </w:tcPr>
          <w:p>
            <w:pPr>
              <w:pStyle w:val="TableParagraph"/>
              <w:ind w:left="362"/>
              <w:jc w:val="left"/>
              <w:rPr>
                <w:sz w:val="16"/>
              </w:rPr>
            </w:pPr>
            <w:r>
              <w:rPr>
                <w:sz w:val="16"/>
              </w:rPr>
              <w:t>6.91</w:t>
            </w:r>
          </w:p>
        </w:tc>
      </w:tr>
      <w:tr>
        <w:trPr>
          <w:trHeight w:val="311" w:hRule="atLeast"/>
        </w:trPr>
        <w:tc>
          <w:tcPr>
            <w:tcW w:w="2268" w:type="dxa"/>
          </w:tcPr>
          <w:p>
            <w:pPr>
              <w:pStyle w:val="TableParagraph"/>
              <w:ind w:left="414" w:right="402"/>
              <w:rPr>
                <w:sz w:val="16"/>
              </w:rPr>
            </w:pPr>
            <w:r>
              <w:rPr>
                <w:sz w:val="16"/>
              </w:rPr>
              <w:t>12</w:t>
            </w:r>
          </w:p>
        </w:tc>
        <w:tc>
          <w:tcPr>
            <w:tcW w:w="1080" w:type="dxa"/>
          </w:tcPr>
          <w:p>
            <w:pPr>
              <w:pStyle w:val="TableParagraph"/>
              <w:ind w:left="319" w:right="304"/>
              <w:rPr>
                <w:sz w:val="16"/>
              </w:rPr>
            </w:pPr>
            <w:r>
              <w:rPr>
                <w:sz w:val="16"/>
              </w:rPr>
              <w:t>0.68</w:t>
            </w:r>
          </w:p>
        </w:tc>
        <w:tc>
          <w:tcPr>
            <w:tcW w:w="912" w:type="dxa"/>
          </w:tcPr>
          <w:p>
            <w:pPr>
              <w:pStyle w:val="TableParagraph"/>
              <w:ind w:left="237" w:right="222"/>
              <w:rPr>
                <w:sz w:val="16"/>
              </w:rPr>
            </w:pPr>
            <w:r>
              <w:rPr>
                <w:sz w:val="16"/>
              </w:rPr>
              <w:t>0.67</w:t>
            </w:r>
          </w:p>
        </w:tc>
        <w:tc>
          <w:tcPr>
            <w:tcW w:w="2148" w:type="dxa"/>
          </w:tcPr>
          <w:p>
            <w:pPr>
              <w:pStyle w:val="TableParagraph"/>
              <w:ind w:left="354" w:right="342"/>
              <w:rPr>
                <w:sz w:val="16"/>
              </w:rPr>
            </w:pPr>
            <w:r>
              <w:rPr>
                <w:sz w:val="16"/>
              </w:rPr>
              <w:t>50</w:t>
            </w:r>
          </w:p>
        </w:tc>
        <w:tc>
          <w:tcPr>
            <w:tcW w:w="1080" w:type="dxa"/>
          </w:tcPr>
          <w:p>
            <w:pPr>
              <w:pStyle w:val="TableParagraph"/>
              <w:ind w:right="369"/>
              <w:jc w:val="right"/>
              <w:rPr>
                <w:sz w:val="16"/>
              </w:rPr>
            </w:pPr>
            <w:r>
              <w:rPr>
                <w:sz w:val="16"/>
              </w:rPr>
              <w:t>9.01</w:t>
            </w:r>
          </w:p>
        </w:tc>
        <w:tc>
          <w:tcPr>
            <w:tcW w:w="1034" w:type="dxa"/>
          </w:tcPr>
          <w:p>
            <w:pPr>
              <w:pStyle w:val="TableParagraph"/>
              <w:ind w:left="362"/>
              <w:jc w:val="left"/>
              <w:rPr>
                <w:sz w:val="16"/>
              </w:rPr>
            </w:pPr>
            <w:r>
              <w:rPr>
                <w:sz w:val="16"/>
              </w:rPr>
              <w:t>7.32</w:t>
            </w:r>
          </w:p>
        </w:tc>
      </w:tr>
      <w:tr>
        <w:trPr>
          <w:trHeight w:val="311" w:hRule="atLeast"/>
        </w:trPr>
        <w:tc>
          <w:tcPr>
            <w:tcW w:w="2268" w:type="dxa"/>
          </w:tcPr>
          <w:p>
            <w:pPr>
              <w:pStyle w:val="TableParagraph"/>
              <w:ind w:left="414" w:right="402"/>
              <w:rPr>
                <w:sz w:val="16"/>
              </w:rPr>
            </w:pPr>
            <w:r>
              <w:rPr>
                <w:sz w:val="16"/>
              </w:rPr>
              <w:t>13</w:t>
            </w:r>
          </w:p>
        </w:tc>
        <w:tc>
          <w:tcPr>
            <w:tcW w:w="1080" w:type="dxa"/>
          </w:tcPr>
          <w:p>
            <w:pPr>
              <w:pStyle w:val="TableParagraph"/>
              <w:ind w:left="319" w:right="304"/>
              <w:rPr>
                <w:sz w:val="16"/>
              </w:rPr>
            </w:pPr>
            <w:r>
              <w:rPr>
                <w:sz w:val="16"/>
              </w:rPr>
              <w:t>0.70</w:t>
            </w:r>
          </w:p>
        </w:tc>
        <w:tc>
          <w:tcPr>
            <w:tcW w:w="912" w:type="dxa"/>
          </w:tcPr>
          <w:p>
            <w:pPr>
              <w:pStyle w:val="TableParagraph"/>
              <w:ind w:left="237" w:right="222"/>
              <w:rPr>
                <w:sz w:val="16"/>
              </w:rPr>
            </w:pPr>
            <w:r>
              <w:rPr>
                <w:sz w:val="16"/>
              </w:rPr>
              <w:t>0.70</w:t>
            </w:r>
          </w:p>
        </w:tc>
        <w:tc>
          <w:tcPr>
            <w:tcW w:w="2148" w:type="dxa"/>
          </w:tcPr>
          <w:p>
            <w:pPr>
              <w:pStyle w:val="TableParagraph"/>
              <w:ind w:left="354" w:right="342"/>
              <w:rPr>
                <w:sz w:val="16"/>
              </w:rPr>
            </w:pPr>
            <w:r>
              <w:rPr>
                <w:sz w:val="16"/>
              </w:rPr>
              <w:t>51</w:t>
            </w:r>
          </w:p>
        </w:tc>
        <w:tc>
          <w:tcPr>
            <w:tcW w:w="1080" w:type="dxa"/>
          </w:tcPr>
          <w:p>
            <w:pPr>
              <w:pStyle w:val="TableParagraph"/>
              <w:ind w:right="369"/>
              <w:jc w:val="right"/>
              <w:rPr>
                <w:sz w:val="16"/>
              </w:rPr>
            </w:pPr>
            <w:r>
              <w:rPr>
                <w:sz w:val="16"/>
              </w:rPr>
              <w:t>9.78</w:t>
            </w:r>
          </w:p>
        </w:tc>
        <w:tc>
          <w:tcPr>
            <w:tcW w:w="1034" w:type="dxa"/>
          </w:tcPr>
          <w:p>
            <w:pPr>
              <w:pStyle w:val="TableParagraph"/>
              <w:ind w:left="362"/>
              <w:jc w:val="left"/>
              <w:rPr>
                <w:sz w:val="16"/>
              </w:rPr>
            </w:pPr>
            <w:r>
              <w:rPr>
                <w:sz w:val="16"/>
              </w:rPr>
              <w:t>7.28</w:t>
            </w:r>
          </w:p>
        </w:tc>
      </w:tr>
      <w:tr>
        <w:trPr>
          <w:trHeight w:val="311" w:hRule="atLeast"/>
        </w:trPr>
        <w:tc>
          <w:tcPr>
            <w:tcW w:w="2268" w:type="dxa"/>
          </w:tcPr>
          <w:p>
            <w:pPr>
              <w:pStyle w:val="TableParagraph"/>
              <w:ind w:left="414" w:right="402"/>
              <w:rPr>
                <w:sz w:val="16"/>
              </w:rPr>
            </w:pPr>
            <w:r>
              <w:rPr>
                <w:sz w:val="16"/>
              </w:rPr>
              <w:t>14</w:t>
            </w:r>
          </w:p>
        </w:tc>
        <w:tc>
          <w:tcPr>
            <w:tcW w:w="1080" w:type="dxa"/>
          </w:tcPr>
          <w:p>
            <w:pPr>
              <w:pStyle w:val="TableParagraph"/>
              <w:ind w:left="319" w:right="304"/>
              <w:rPr>
                <w:sz w:val="16"/>
              </w:rPr>
            </w:pPr>
            <w:r>
              <w:rPr>
                <w:sz w:val="16"/>
              </w:rPr>
              <w:t>0.72</w:t>
            </w:r>
          </w:p>
        </w:tc>
        <w:tc>
          <w:tcPr>
            <w:tcW w:w="912" w:type="dxa"/>
          </w:tcPr>
          <w:p>
            <w:pPr>
              <w:pStyle w:val="TableParagraph"/>
              <w:ind w:left="237" w:right="222"/>
              <w:rPr>
                <w:sz w:val="16"/>
              </w:rPr>
            </w:pPr>
            <w:r>
              <w:rPr>
                <w:sz w:val="16"/>
              </w:rPr>
              <w:t>0.73</w:t>
            </w:r>
          </w:p>
        </w:tc>
        <w:tc>
          <w:tcPr>
            <w:tcW w:w="2148" w:type="dxa"/>
          </w:tcPr>
          <w:p>
            <w:pPr>
              <w:pStyle w:val="TableParagraph"/>
              <w:ind w:left="354" w:right="342"/>
              <w:rPr>
                <w:sz w:val="16"/>
              </w:rPr>
            </w:pPr>
            <w:r>
              <w:rPr>
                <w:sz w:val="16"/>
              </w:rPr>
              <w:t>52</w:t>
            </w:r>
          </w:p>
        </w:tc>
        <w:tc>
          <w:tcPr>
            <w:tcW w:w="1080" w:type="dxa"/>
          </w:tcPr>
          <w:p>
            <w:pPr>
              <w:pStyle w:val="TableParagraph"/>
              <w:ind w:right="325"/>
              <w:jc w:val="right"/>
              <w:rPr>
                <w:sz w:val="16"/>
              </w:rPr>
            </w:pPr>
            <w:r>
              <w:rPr>
                <w:sz w:val="16"/>
              </w:rPr>
              <w:t>10.54</w:t>
            </w:r>
          </w:p>
        </w:tc>
        <w:tc>
          <w:tcPr>
            <w:tcW w:w="1034" w:type="dxa"/>
          </w:tcPr>
          <w:p>
            <w:pPr>
              <w:pStyle w:val="TableParagraph"/>
              <w:ind w:left="362"/>
              <w:jc w:val="left"/>
              <w:rPr>
                <w:sz w:val="16"/>
              </w:rPr>
            </w:pPr>
            <w:r>
              <w:rPr>
                <w:sz w:val="16"/>
              </w:rPr>
              <w:t>7.88</w:t>
            </w:r>
          </w:p>
        </w:tc>
      </w:tr>
      <w:tr>
        <w:trPr>
          <w:trHeight w:val="313" w:hRule="atLeast"/>
        </w:trPr>
        <w:tc>
          <w:tcPr>
            <w:tcW w:w="2268" w:type="dxa"/>
          </w:tcPr>
          <w:p>
            <w:pPr>
              <w:pStyle w:val="TableParagraph"/>
              <w:spacing w:before="65"/>
              <w:ind w:left="414" w:right="402"/>
              <w:rPr>
                <w:sz w:val="16"/>
              </w:rPr>
            </w:pPr>
            <w:r>
              <w:rPr>
                <w:sz w:val="16"/>
              </w:rPr>
              <w:t>15</w:t>
            </w:r>
          </w:p>
        </w:tc>
        <w:tc>
          <w:tcPr>
            <w:tcW w:w="1080" w:type="dxa"/>
          </w:tcPr>
          <w:p>
            <w:pPr>
              <w:pStyle w:val="TableParagraph"/>
              <w:spacing w:before="65"/>
              <w:ind w:left="319" w:right="304"/>
              <w:rPr>
                <w:sz w:val="16"/>
              </w:rPr>
            </w:pPr>
            <w:r>
              <w:rPr>
                <w:sz w:val="16"/>
              </w:rPr>
              <w:t>0.74</w:t>
            </w:r>
          </w:p>
        </w:tc>
        <w:tc>
          <w:tcPr>
            <w:tcW w:w="912" w:type="dxa"/>
          </w:tcPr>
          <w:p>
            <w:pPr>
              <w:pStyle w:val="TableParagraph"/>
              <w:spacing w:before="65"/>
              <w:ind w:left="237" w:right="222"/>
              <w:rPr>
                <w:sz w:val="16"/>
              </w:rPr>
            </w:pPr>
            <w:r>
              <w:rPr>
                <w:sz w:val="16"/>
              </w:rPr>
              <w:t>0.76</w:t>
            </w:r>
          </w:p>
        </w:tc>
        <w:tc>
          <w:tcPr>
            <w:tcW w:w="2148" w:type="dxa"/>
          </w:tcPr>
          <w:p>
            <w:pPr>
              <w:pStyle w:val="TableParagraph"/>
              <w:spacing w:before="65"/>
              <w:ind w:left="354" w:right="342"/>
              <w:rPr>
                <w:sz w:val="16"/>
              </w:rPr>
            </w:pPr>
            <w:r>
              <w:rPr>
                <w:sz w:val="16"/>
              </w:rPr>
              <w:t>53</w:t>
            </w:r>
          </w:p>
        </w:tc>
        <w:tc>
          <w:tcPr>
            <w:tcW w:w="1080" w:type="dxa"/>
          </w:tcPr>
          <w:p>
            <w:pPr>
              <w:pStyle w:val="TableParagraph"/>
              <w:spacing w:before="65"/>
              <w:ind w:right="330"/>
              <w:jc w:val="right"/>
              <w:rPr>
                <w:sz w:val="16"/>
              </w:rPr>
            </w:pPr>
            <w:r>
              <w:rPr>
                <w:sz w:val="16"/>
              </w:rPr>
              <w:t>11.38</w:t>
            </w:r>
          </w:p>
        </w:tc>
        <w:tc>
          <w:tcPr>
            <w:tcW w:w="1034" w:type="dxa"/>
          </w:tcPr>
          <w:p>
            <w:pPr>
              <w:pStyle w:val="TableParagraph"/>
              <w:spacing w:before="65"/>
              <w:ind w:left="362"/>
              <w:jc w:val="left"/>
              <w:rPr>
                <w:sz w:val="16"/>
              </w:rPr>
            </w:pPr>
            <w:r>
              <w:rPr>
                <w:sz w:val="16"/>
              </w:rPr>
              <w:t>8.52</w:t>
            </w:r>
          </w:p>
        </w:tc>
      </w:tr>
      <w:tr>
        <w:trPr>
          <w:trHeight w:val="311" w:hRule="atLeast"/>
        </w:trPr>
        <w:tc>
          <w:tcPr>
            <w:tcW w:w="2268" w:type="dxa"/>
          </w:tcPr>
          <w:p>
            <w:pPr>
              <w:pStyle w:val="TableParagraph"/>
              <w:ind w:left="414" w:right="402"/>
              <w:rPr>
                <w:sz w:val="16"/>
              </w:rPr>
            </w:pPr>
            <w:r>
              <w:rPr>
                <w:sz w:val="16"/>
              </w:rPr>
              <w:t>16</w:t>
            </w:r>
          </w:p>
        </w:tc>
        <w:tc>
          <w:tcPr>
            <w:tcW w:w="1080" w:type="dxa"/>
          </w:tcPr>
          <w:p>
            <w:pPr>
              <w:pStyle w:val="TableParagraph"/>
              <w:ind w:left="319" w:right="304"/>
              <w:rPr>
                <w:sz w:val="16"/>
              </w:rPr>
            </w:pPr>
            <w:r>
              <w:rPr>
                <w:sz w:val="16"/>
              </w:rPr>
              <w:t>0.78</w:t>
            </w:r>
          </w:p>
        </w:tc>
        <w:tc>
          <w:tcPr>
            <w:tcW w:w="912" w:type="dxa"/>
          </w:tcPr>
          <w:p>
            <w:pPr>
              <w:pStyle w:val="TableParagraph"/>
              <w:ind w:left="237" w:right="222"/>
              <w:rPr>
                <w:sz w:val="16"/>
              </w:rPr>
            </w:pPr>
            <w:r>
              <w:rPr>
                <w:sz w:val="16"/>
              </w:rPr>
              <w:t>0.80</w:t>
            </w:r>
          </w:p>
        </w:tc>
        <w:tc>
          <w:tcPr>
            <w:tcW w:w="2148" w:type="dxa"/>
          </w:tcPr>
          <w:p>
            <w:pPr>
              <w:pStyle w:val="TableParagraph"/>
              <w:ind w:left="354" w:right="342"/>
              <w:rPr>
                <w:sz w:val="16"/>
              </w:rPr>
            </w:pPr>
            <w:r>
              <w:rPr>
                <w:sz w:val="16"/>
              </w:rPr>
              <w:t>54</w:t>
            </w:r>
          </w:p>
        </w:tc>
        <w:tc>
          <w:tcPr>
            <w:tcW w:w="1080" w:type="dxa"/>
          </w:tcPr>
          <w:p>
            <w:pPr>
              <w:pStyle w:val="TableParagraph"/>
              <w:ind w:right="325"/>
              <w:jc w:val="right"/>
              <w:rPr>
                <w:sz w:val="16"/>
              </w:rPr>
            </w:pPr>
            <w:r>
              <w:rPr>
                <w:sz w:val="16"/>
              </w:rPr>
              <w:t>12.67</w:t>
            </w:r>
          </w:p>
        </w:tc>
        <w:tc>
          <w:tcPr>
            <w:tcW w:w="1034" w:type="dxa"/>
          </w:tcPr>
          <w:p>
            <w:pPr>
              <w:pStyle w:val="TableParagraph"/>
              <w:ind w:left="362"/>
              <w:jc w:val="left"/>
              <w:rPr>
                <w:sz w:val="16"/>
              </w:rPr>
            </w:pPr>
            <w:r>
              <w:rPr>
                <w:sz w:val="16"/>
              </w:rPr>
              <w:t>9.13</w:t>
            </w:r>
          </w:p>
        </w:tc>
      </w:tr>
      <w:tr>
        <w:trPr>
          <w:trHeight w:val="311" w:hRule="atLeast"/>
        </w:trPr>
        <w:tc>
          <w:tcPr>
            <w:tcW w:w="2268" w:type="dxa"/>
          </w:tcPr>
          <w:p>
            <w:pPr>
              <w:pStyle w:val="TableParagraph"/>
              <w:ind w:left="414" w:right="402"/>
              <w:rPr>
                <w:sz w:val="16"/>
              </w:rPr>
            </w:pPr>
            <w:r>
              <w:rPr>
                <w:sz w:val="16"/>
              </w:rPr>
              <w:t>17</w:t>
            </w:r>
          </w:p>
        </w:tc>
        <w:tc>
          <w:tcPr>
            <w:tcW w:w="1080" w:type="dxa"/>
          </w:tcPr>
          <w:p>
            <w:pPr>
              <w:pStyle w:val="TableParagraph"/>
              <w:ind w:left="319" w:right="304"/>
              <w:rPr>
                <w:sz w:val="16"/>
              </w:rPr>
            </w:pPr>
            <w:r>
              <w:rPr>
                <w:sz w:val="16"/>
              </w:rPr>
              <w:t>0.82</w:t>
            </w:r>
          </w:p>
        </w:tc>
        <w:tc>
          <w:tcPr>
            <w:tcW w:w="912" w:type="dxa"/>
          </w:tcPr>
          <w:p>
            <w:pPr>
              <w:pStyle w:val="TableParagraph"/>
              <w:ind w:left="237" w:right="222"/>
              <w:rPr>
                <w:sz w:val="16"/>
              </w:rPr>
            </w:pPr>
            <w:r>
              <w:rPr>
                <w:sz w:val="16"/>
              </w:rPr>
              <w:t>0.85</w:t>
            </w:r>
          </w:p>
        </w:tc>
        <w:tc>
          <w:tcPr>
            <w:tcW w:w="2148" w:type="dxa"/>
          </w:tcPr>
          <w:p>
            <w:pPr>
              <w:pStyle w:val="TableParagraph"/>
              <w:ind w:left="354" w:right="342"/>
              <w:rPr>
                <w:sz w:val="16"/>
              </w:rPr>
            </w:pPr>
            <w:r>
              <w:rPr>
                <w:sz w:val="16"/>
              </w:rPr>
              <w:t>55</w:t>
            </w:r>
          </w:p>
        </w:tc>
        <w:tc>
          <w:tcPr>
            <w:tcW w:w="1080" w:type="dxa"/>
          </w:tcPr>
          <w:p>
            <w:pPr>
              <w:pStyle w:val="TableParagraph"/>
              <w:ind w:right="325"/>
              <w:jc w:val="right"/>
              <w:rPr>
                <w:sz w:val="16"/>
              </w:rPr>
            </w:pPr>
            <w:r>
              <w:rPr>
                <w:sz w:val="16"/>
              </w:rPr>
              <w:t>13.61</w:t>
            </w:r>
          </w:p>
        </w:tc>
        <w:tc>
          <w:tcPr>
            <w:tcW w:w="1034" w:type="dxa"/>
          </w:tcPr>
          <w:p>
            <w:pPr>
              <w:pStyle w:val="TableParagraph"/>
              <w:ind w:left="362"/>
              <w:jc w:val="left"/>
              <w:rPr>
                <w:sz w:val="16"/>
              </w:rPr>
            </w:pPr>
            <w:r>
              <w:rPr>
                <w:sz w:val="16"/>
              </w:rPr>
              <w:t>9.68</w:t>
            </w:r>
          </w:p>
        </w:tc>
      </w:tr>
      <w:tr>
        <w:trPr>
          <w:trHeight w:val="311" w:hRule="atLeast"/>
        </w:trPr>
        <w:tc>
          <w:tcPr>
            <w:tcW w:w="2268" w:type="dxa"/>
          </w:tcPr>
          <w:p>
            <w:pPr>
              <w:pStyle w:val="TableParagraph"/>
              <w:ind w:left="414" w:right="402"/>
              <w:rPr>
                <w:sz w:val="16"/>
              </w:rPr>
            </w:pPr>
            <w:r>
              <w:rPr>
                <w:sz w:val="16"/>
              </w:rPr>
              <w:t>18</w:t>
            </w:r>
          </w:p>
        </w:tc>
        <w:tc>
          <w:tcPr>
            <w:tcW w:w="1080" w:type="dxa"/>
          </w:tcPr>
          <w:p>
            <w:pPr>
              <w:pStyle w:val="TableParagraph"/>
              <w:ind w:left="319" w:right="304"/>
              <w:rPr>
                <w:sz w:val="16"/>
              </w:rPr>
            </w:pPr>
            <w:r>
              <w:rPr>
                <w:sz w:val="16"/>
              </w:rPr>
              <w:t>0.86</w:t>
            </w:r>
          </w:p>
        </w:tc>
        <w:tc>
          <w:tcPr>
            <w:tcW w:w="912" w:type="dxa"/>
          </w:tcPr>
          <w:p>
            <w:pPr>
              <w:pStyle w:val="TableParagraph"/>
              <w:ind w:left="237" w:right="222"/>
              <w:rPr>
                <w:sz w:val="16"/>
              </w:rPr>
            </w:pPr>
            <w:r>
              <w:rPr>
                <w:sz w:val="16"/>
              </w:rPr>
              <w:t>1.02</w:t>
            </w:r>
          </w:p>
        </w:tc>
        <w:tc>
          <w:tcPr>
            <w:tcW w:w="2148" w:type="dxa"/>
          </w:tcPr>
          <w:p>
            <w:pPr>
              <w:pStyle w:val="TableParagraph"/>
              <w:ind w:left="354" w:right="342"/>
              <w:rPr>
                <w:sz w:val="16"/>
              </w:rPr>
            </w:pPr>
            <w:r>
              <w:rPr>
                <w:sz w:val="16"/>
              </w:rPr>
              <w:t>56</w:t>
            </w:r>
          </w:p>
        </w:tc>
        <w:tc>
          <w:tcPr>
            <w:tcW w:w="1080" w:type="dxa"/>
          </w:tcPr>
          <w:p>
            <w:pPr>
              <w:pStyle w:val="TableParagraph"/>
              <w:ind w:right="325"/>
              <w:jc w:val="right"/>
              <w:rPr>
                <w:sz w:val="16"/>
              </w:rPr>
            </w:pPr>
            <w:r>
              <w:rPr>
                <w:sz w:val="16"/>
              </w:rPr>
              <w:t>14.60</w:t>
            </w:r>
          </w:p>
        </w:tc>
        <w:tc>
          <w:tcPr>
            <w:tcW w:w="1034" w:type="dxa"/>
          </w:tcPr>
          <w:p>
            <w:pPr>
              <w:pStyle w:val="TableParagraph"/>
              <w:ind w:left="319"/>
              <w:jc w:val="left"/>
              <w:rPr>
                <w:sz w:val="16"/>
              </w:rPr>
            </w:pPr>
            <w:r>
              <w:rPr>
                <w:sz w:val="16"/>
              </w:rPr>
              <w:t>10.20</w:t>
            </w:r>
          </w:p>
        </w:tc>
      </w:tr>
      <w:tr>
        <w:trPr>
          <w:trHeight w:val="311" w:hRule="atLeast"/>
        </w:trPr>
        <w:tc>
          <w:tcPr>
            <w:tcW w:w="2268" w:type="dxa"/>
          </w:tcPr>
          <w:p>
            <w:pPr>
              <w:pStyle w:val="TableParagraph"/>
              <w:ind w:left="414" w:right="402"/>
              <w:rPr>
                <w:sz w:val="16"/>
              </w:rPr>
            </w:pPr>
            <w:r>
              <w:rPr>
                <w:sz w:val="16"/>
              </w:rPr>
              <w:t>19</w:t>
            </w:r>
          </w:p>
        </w:tc>
        <w:tc>
          <w:tcPr>
            <w:tcW w:w="1080" w:type="dxa"/>
          </w:tcPr>
          <w:p>
            <w:pPr>
              <w:pStyle w:val="TableParagraph"/>
              <w:ind w:left="319" w:right="304"/>
              <w:rPr>
                <w:sz w:val="16"/>
              </w:rPr>
            </w:pPr>
            <w:r>
              <w:rPr>
                <w:sz w:val="16"/>
              </w:rPr>
              <w:t>0.92</w:t>
            </w:r>
          </w:p>
        </w:tc>
        <w:tc>
          <w:tcPr>
            <w:tcW w:w="912" w:type="dxa"/>
          </w:tcPr>
          <w:p>
            <w:pPr>
              <w:pStyle w:val="TableParagraph"/>
              <w:ind w:left="237" w:right="222"/>
              <w:rPr>
                <w:sz w:val="16"/>
              </w:rPr>
            </w:pPr>
            <w:r>
              <w:rPr>
                <w:sz w:val="16"/>
              </w:rPr>
              <w:t>1.10</w:t>
            </w:r>
          </w:p>
        </w:tc>
        <w:tc>
          <w:tcPr>
            <w:tcW w:w="2148" w:type="dxa"/>
          </w:tcPr>
          <w:p>
            <w:pPr>
              <w:pStyle w:val="TableParagraph"/>
              <w:ind w:left="354" w:right="342"/>
              <w:rPr>
                <w:sz w:val="16"/>
              </w:rPr>
            </w:pPr>
            <w:r>
              <w:rPr>
                <w:sz w:val="16"/>
              </w:rPr>
              <w:t>57</w:t>
            </w:r>
          </w:p>
        </w:tc>
        <w:tc>
          <w:tcPr>
            <w:tcW w:w="1080" w:type="dxa"/>
          </w:tcPr>
          <w:p>
            <w:pPr>
              <w:pStyle w:val="TableParagraph"/>
              <w:ind w:right="325"/>
              <w:jc w:val="right"/>
              <w:rPr>
                <w:sz w:val="16"/>
              </w:rPr>
            </w:pPr>
            <w:r>
              <w:rPr>
                <w:sz w:val="16"/>
              </w:rPr>
              <w:t>15.65</w:t>
            </w:r>
          </w:p>
        </w:tc>
        <w:tc>
          <w:tcPr>
            <w:tcW w:w="1034" w:type="dxa"/>
          </w:tcPr>
          <w:p>
            <w:pPr>
              <w:pStyle w:val="TableParagraph"/>
              <w:ind w:left="319"/>
              <w:jc w:val="left"/>
              <w:rPr>
                <w:sz w:val="16"/>
              </w:rPr>
            </w:pPr>
            <w:r>
              <w:rPr>
                <w:sz w:val="16"/>
              </w:rPr>
              <w:t>10.74</w:t>
            </w:r>
          </w:p>
        </w:tc>
      </w:tr>
      <w:tr>
        <w:trPr>
          <w:trHeight w:val="311" w:hRule="atLeast"/>
        </w:trPr>
        <w:tc>
          <w:tcPr>
            <w:tcW w:w="2268" w:type="dxa"/>
          </w:tcPr>
          <w:p>
            <w:pPr>
              <w:pStyle w:val="TableParagraph"/>
              <w:ind w:left="414" w:right="402"/>
              <w:rPr>
                <w:sz w:val="16"/>
              </w:rPr>
            </w:pPr>
            <w:r>
              <w:rPr>
                <w:sz w:val="16"/>
              </w:rPr>
              <w:t>20</w:t>
            </w:r>
          </w:p>
        </w:tc>
        <w:tc>
          <w:tcPr>
            <w:tcW w:w="1080" w:type="dxa"/>
          </w:tcPr>
          <w:p>
            <w:pPr>
              <w:pStyle w:val="TableParagraph"/>
              <w:ind w:left="319" w:right="304"/>
              <w:rPr>
                <w:sz w:val="16"/>
              </w:rPr>
            </w:pPr>
            <w:r>
              <w:rPr>
                <w:sz w:val="16"/>
              </w:rPr>
              <w:t>0.95</w:t>
            </w:r>
          </w:p>
        </w:tc>
        <w:tc>
          <w:tcPr>
            <w:tcW w:w="912" w:type="dxa"/>
          </w:tcPr>
          <w:p>
            <w:pPr>
              <w:pStyle w:val="TableParagraph"/>
              <w:ind w:left="237" w:right="222"/>
              <w:rPr>
                <w:sz w:val="16"/>
              </w:rPr>
            </w:pPr>
            <w:r>
              <w:rPr>
                <w:sz w:val="16"/>
              </w:rPr>
              <w:t>1.18</w:t>
            </w:r>
          </w:p>
        </w:tc>
        <w:tc>
          <w:tcPr>
            <w:tcW w:w="2148" w:type="dxa"/>
          </w:tcPr>
          <w:p>
            <w:pPr>
              <w:pStyle w:val="TableParagraph"/>
              <w:ind w:left="354" w:right="342"/>
              <w:rPr>
                <w:sz w:val="16"/>
              </w:rPr>
            </w:pPr>
            <w:r>
              <w:rPr>
                <w:sz w:val="16"/>
              </w:rPr>
              <w:t>58</w:t>
            </w:r>
          </w:p>
        </w:tc>
        <w:tc>
          <w:tcPr>
            <w:tcW w:w="1080" w:type="dxa"/>
          </w:tcPr>
          <w:p>
            <w:pPr>
              <w:pStyle w:val="TableParagraph"/>
              <w:ind w:right="325"/>
              <w:jc w:val="right"/>
              <w:rPr>
                <w:sz w:val="16"/>
              </w:rPr>
            </w:pPr>
            <w:r>
              <w:rPr>
                <w:sz w:val="16"/>
              </w:rPr>
              <w:t>17.22</w:t>
            </w:r>
          </w:p>
        </w:tc>
        <w:tc>
          <w:tcPr>
            <w:tcW w:w="1034" w:type="dxa"/>
          </w:tcPr>
          <w:p>
            <w:pPr>
              <w:pStyle w:val="TableParagraph"/>
              <w:ind w:left="323"/>
              <w:jc w:val="left"/>
              <w:rPr>
                <w:sz w:val="16"/>
              </w:rPr>
            </w:pPr>
            <w:r>
              <w:rPr>
                <w:sz w:val="16"/>
              </w:rPr>
              <w:t>11.42</w:t>
            </w:r>
          </w:p>
        </w:tc>
      </w:tr>
      <w:tr>
        <w:trPr>
          <w:trHeight w:val="313" w:hRule="atLeast"/>
        </w:trPr>
        <w:tc>
          <w:tcPr>
            <w:tcW w:w="2268" w:type="dxa"/>
          </w:tcPr>
          <w:p>
            <w:pPr>
              <w:pStyle w:val="TableParagraph"/>
              <w:spacing w:before="65"/>
              <w:ind w:left="414" w:right="402"/>
              <w:rPr>
                <w:sz w:val="16"/>
              </w:rPr>
            </w:pPr>
            <w:r>
              <w:rPr>
                <w:sz w:val="16"/>
              </w:rPr>
              <w:t>21</w:t>
            </w:r>
          </w:p>
        </w:tc>
        <w:tc>
          <w:tcPr>
            <w:tcW w:w="1080" w:type="dxa"/>
          </w:tcPr>
          <w:p>
            <w:pPr>
              <w:pStyle w:val="TableParagraph"/>
              <w:spacing w:before="65"/>
              <w:ind w:left="319" w:right="304"/>
              <w:rPr>
                <w:sz w:val="16"/>
              </w:rPr>
            </w:pPr>
            <w:r>
              <w:rPr>
                <w:sz w:val="16"/>
              </w:rPr>
              <w:t>0.97</w:t>
            </w:r>
          </w:p>
        </w:tc>
        <w:tc>
          <w:tcPr>
            <w:tcW w:w="912" w:type="dxa"/>
          </w:tcPr>
          <w:p>
            <w:pPr>
              <w:pStyle w:val="TableParagraph"/>
              <w:spacing w:before="65"/>
              <w:ind w:left="237" w:right="222"/>
              <w:rPr>
                <w:sz w:val="16"/>
              </w:rPr>
            </w:pPr>
            <w:r>
              <w:rPr>
                <w:sz w:val="16"/>
              </w:rPr>
              <w:t>1.27</w:t>
            </w:r>
          </w:p>
        </w:tc>
        <w:tc>
          <w:tcPr>
            <w:tcW w:w="2148" w:type="dxa"/>
          </w:tcPr>
          <w:p>
            <w:pPr>
              <w:pStyle w:val="TableParagraph"/>
              <w:spacing w:before="65"/>
              <w:ind w:left="354" w:right="342"/>
              <w:rPr>
                <w:sz w:val="16"/>
              </w:rPr>
            </w:pPr>
            <w:r>
              <w:rPr>
                <w:sz w:val="16"/>
              </w:rPr>
              <w:t>59</w:t>
            </w:r>
          </w:p>
        </w:tc>
        <w:tc>
          <w:tcPr>
            <w:tcW w:w="1080" w:type="dxa"/>
          </w:tcPr>
          <w:p>
            <w:pPr>
              <w:pStyle w:val="TableParagraph"/>
              <w:spacing w:before="65"/>
              <w:ind w:right="325"/>
              <w:jc w:val="right"/>
              <w:rPr>
                <w:sz w:val="16"/>
              </w:rPr>
            </w:pPr>
            <w:r>
              <w:rPr>
                <w:sz w:val="16"/>
              </w:rPr>
              <w:t>18.56</w:t>
            </w:r>
          </w:p>
        </w:tc>
        <w:tc>
          <w:tcPr>
            <w:tcW w:w="1034" w:type="dxa"/>
          </w:tcPr>
          <w:p>
            <w:pPr>
              <w:pStyle w:val="TableParagraph"/>
              <w:spacing w:before="65"/>
              <w:ind w:left="319"/>
              <w:jc w:val="left"/>
              <w:rPr>
                <w:sz w:val="16"/>
              </w:rPr>
            </w:pPr>
            <w:r>
              <w:rPr>
                <w:sz w:val="16"/>
              </w:rPr>
              <w:t>12.06</w:t>
            </w:r>
          </w:p>
        </w:tc>
      </w:tr>
      <w:tr>
        <w:trPr>
          <w:trHeight w:val="311" w:hRule="atLeast"/>
        </w:trPr>
        <w:tc>
          <w:tcPr>
            <w:tcW w:w="2268" w:type="dxa"/>
          </w:tcPr>
          <w:p>
            <w:pPr>
              <w:pStyle w:val="TableParagraph"/>
              <w:ind w:left="414" w:right="402"/>
              <w:rPr>
                <w:sz w:val="16"/>
              </w:rPr>
            </w:pPr>
            <w:r>
              <w:rPr>
                <w:sz w:val="16"/>
              </w:rPr>
              <w:t>22</w:t>
            </w:r>
          </w:p>
        </w:tc>
        <w:tc>
          <w:tcPr>
            <w:tcW w:w="1080" w:type="dxa"/>
          </w:tcPr>
          <w:p>
            <w:pPr>
              <w:pStyle w:val="TableParagraph"/>
              <w:ind w:left="319" w:right="304"/>
              <w:rPr>
                <w:sz w:val="16"/>
              </w:rPr>
            </w:pPr>
            <w:r>
              <w:rPr>
                <w:sz w:val="16"/>
              </w:rPr>
              <w:t>0.96</w:t>
            </w:r>
          </w:p>
        </w:tc>
        <w:tc>
          <w:tcPr>
            <w:tcW w:w="912" w:type="dxa"/>
          </w:tcPr>
          <w:p>
            <w:pPr>
              <w:pStyle w:val="TableParagraph"/>
              <w:ind w:left="237" w:right="222"/>
              <w:rPr>
                <w:sz w:val="16"/>
              </w:rPr>
            </w:pPr>
            <w:r>
              <w:rPr>
                <w:sz w:val="16"/>
              </w:rPr>
              <w:t>1.31</w:t>
            </w:r>
          </w:p>
        </w:tc>
        <w:tc>
          <w:tcPr>
            <w:tcW w:w="2148" w:type="dxa"/>
          </w:tcPr>
          <w:p>
            <w:pPr>
              <w:pStyle w:val="TableParagraph"/>
              <w:ind w:left="354" w:right="342"/>
              <w:rPr>
                <w:sz w:val="16"/>
              </w:rPr>
            </w:pPr>
            <w:r>
              <w:rPr>
                <w:sz w:val="16"/>
              </w:rPr>
              <w:t>60</w:t>
            </w:r>
          </w:p>
        </w:tc>
        <w:tc>
          <w:tcPr>
            <w:tcW w:w="1080" w:type="dxa"/>
          </w:tcPr>
          <w:p>
            <w:pPr>
              <w:pStyle w:val="TableParagraph"/>
              <w:ind w:right="325"/>
              <w:jc w:val="right"/>
              <w:rPr>
                <w:sz w:val="16"/>
              </w:rPr>
            </w:pPr>
            <w:r>
              <w:rPr>
                <w:sz w:val="16"/>
              </w:rPr>
              <w:t>19.87</w:t>
            </w:r>
          </w:p>
        </w:tc>
        <w:tc>
          <w:tcPr>
            <w:tcW w:w="1034" w:type="dxa"/>
          </w:tcPr>
          <w:p>
            <w:pPr>
              <w:pStyle w:val="TableParagraph"/>
              <w:ind w:left="319"/>
              <w:jc w:val="left"/>
              <w:rPr>
                <w:sz w:val="16"/>
              </w:rPr>
            </w:pPr>
            <w:r>
              <w:rPr>
                <w:sz w:val="16"/>
              </w:rPr>
              <w:t>12.71</w:t>
            </w:r>
          </w:p>
        </w:tc>
      </w:tr>
      <w:tr>
        <w:trPr>
          <w:trHeight w:val="311" w:hRule="atLeast"/>
        </w:trPr>
        <w:tc>
          <w:tcPr>
            <w:tcW w:w="2268" w:type="dxa"/>
          </w:tcPr>
          <w:p>
            <w:pPr>
              <w:pStyle w:val="TableParagraph"/>
              <w:ind w:left="414" w:right="402"/>
              <w:rPr>
                <w:sz w:val="16"/>
              </w:rPr>
            </w:pPr>
            <w:r>
              <w:rPr>
                <w:sz w:val="16"/>
              </w:rPr>
              <w:t>23</w:t>
            </w:r>
          </w:p>
        </w:tc>
        <w:tc>
          <w:tcPr>
            <w:tcW w:w="1080" w:type="dxa"/>
          </w:tcPr>
          <w:p>
            <w:pPr>
              <w:pStyle w:val="TableParagraph"/>
              <w:ind w:left="319" w:right="304"/>
              <w:rPr>
                <w:sz w:val="16"/>
              </w:rPr>
            </w:pPr>
            <w:r>
              <w:rPr>
                <w:sz w:val="16"/>
              </w:rPr>
              <w:t>0.98</w:t>
            </w:r>
          </w:p>
        </w:tc>
        <w:tc>
          <w:tcPr>
            <w:tcW w:w="912" w:type="dxa"/>
          </w:tcPr>
          <w:p>
            <w:pPr>
              <w:pStyle w:val="TableParagraph"/>
              <w:ind w:left="237" w:right="222"/>
              <w:rPr>
                <w:sz w:val="16"/>
              </w:rPr>
            </w:pPr>
            <w:r>
              <w:rPr>
                <w:sz w:val="16"/>
              </w:rPr>
              <w:t>1.38</w:t>
            </w:r>
          </w:p>
        </w:tc>
        <w:tc>
          <w:tcPr>
            <w:tcW w:w="2148" w:type="dxa"/>
          </w:tcPr>
          <w:p>
            <w:pPr>
              <w:pStyle w:val="TableParagraph"/>
              <w:ind w:left="354" w:right="342"/>
              <w:rPr>
                <w:sz w:val="16"/>
              </w:rPr>
            </w:pPr>
            <w:r>
              <w:rPr>
                <w:sz w:val="16"/>
              </w:rPr>
              <w:t>61</w:t>
            </w:r>
          </w:p>
        </w:tc>
        <w:tc>
          <w:tcPr>
            <w:tcW w:w="1080" w:type="dxa"/>
          </w:tcPr>
          <w:p>
            <w:pPr>
              <w:pStyle w:val="TableParagraph"/>
              <w:ind w:right="325"/>
              <w:jc w:val="right"/>
              <w:rPr>
                <w:sz w:val="16"/>
              </w:rPr>
            </w:pPr>
            <w:r>
              <w:rPr>
                <w:sz w:val="16"/>
              </w:rPr>
              <w:t>20.64</w:t>
            </w:r>
          </w:p>
        </w:tc>
        <w:tc>
          <w:tcPr>
            <w:tcW w:w="1034" w:type="dxa"/>
          </w:tcPr>
          <w:p>
            <w:pPr>
              <w:pStyle w:val="TableParagraph"/>
              <w:ind w:left="319"/>
              <w:jc w:val="left"/>
              <w:rPr>
                <w:sz w:val="16"/>
              </w:rPr>
            </w:pPr>
            <w:r>
              <w:rPr>
                <w:sz w:val="16"/>
              </w:rPr>
              <w:t>13.69</w:t>
            </w:r>
          </w:p>
        </w:tc>
      </w:tr>
      <w:tr>
        <w:trPr>
          <w:trHeight w:val="311" w:hRule="atLeast"/>
        </w:trPr>
        <w:tc>
          <w:tcPr>
            <w:tcW w:w="2268" w:type="dxa"/>
          </w:tcPr>
          <w:p>
            <w:pPr>
              <w:pStyle w:val="TableParagraph"/>
              <w:ind w:left="414" w:right="402"/>
              <w:rPr>
                <w:sz w:val="16"/>
              </w:rPr>
            </w:pPr>
            <w:r>
              <w:rPr>
                <w:sz w:val="16"/>
              </w:rPr>
              <w:t>24</w:t>
            </w:r>
          </w:p>
        </w:tc>
        <w:tc>
          <w:tcPr>
            <w:tcW w:w="1080" w:type="dxa"/>
          </w:tcPr>
          <w:p>
            <w:pPr>
              <w:pStyle w:val="TableParagraph"/>
              <w:ind w:left="319" w:right="304"/>
              <w:rPr>
                <w:sz w:val="16"/>
              </w:rPr>
            </w:pPr>
            <w:r>
              <w:rPr>
                <w:sz w:val="16"/>
              </w:rPr>
              <w:t>1.02</w:t>
            </w:r>
          </w:p>
        </w:tc>
        <w:tc>
          <w:tcPr>
            <w:tcW w:w="912" w:type="dxa"/>
          </w:tcPr>
          <w:p>
            <w:pPr>
              <w:pStyle w:val="TableParagraph"/>
              <w:ind w:left="237" w:right="222"/>
              <w:rPr>
                <w:sz w:val="16"/>
              </w:rPr>
            </w:pPr>
            <w:r>
              <w:rPr>
                <w:sz w:val="16"/>
              </w:rPr>
              <w:t>1.42</w:t>
            </w:r>
          </w:p>
        </w:tc>
        <w:tc>
          <w:tcPr>
            <w:tcW w:w="2148" w:type="dxa"/>
          </w:tcPr>
          <w:p>
            <w:pPr>
              <w:pStyle w:val="TableParagraph"/>
              <w:ind w:left="354" w:right="342"/>
              <w:rPr>
                <w:sz w:val="16"/>
              </w:rPr>
            </w:pPr>
            <w:r>
              <w:rPr>
                <w:sz w:val="16"/>
              </w:rPr>
              <w:t>62</w:t>
            </w:r>
          </w:p>
        </w:tc>
        <w:tc>
          <w:tcPr>
            <w:tcW w:w="1080" w:type="dxa"/>
          </w:tcPr>
          <w:p>
            <w:pPr>
              <w:pStyle w:val="TableParagraph"/>
              <w:ind w:right="325"/>
              <w:jc w:val="right"/>
              <w:rPr>
                <w:sz w:val="16"/>
              </w:rPr>
            </w:pPr>
            <w:r>
              <w:rPr>
                <w:sz w:val="16"/>
              </w:rPr>
              <w:t>22.40</w:t>
            </w:r>
          </w:p>
        </w:tc>
        <w:tc>
          <w:tcPr>
            <w:tcW w:w="1034" w:type="dxa"/>
          </w:tcPr>
          <w:p>
            <w:pPr>
              <w:pStyle w:val="TableParagraph"/>
              <w:ind w:left="319"/>
              <w:jc w:val="left"/>
              <w:rPr>
                <w:sz w:val="16"/>
              </w:rPr>
            </w:pPr>
            <w:r>
              <w:rPr>
                <w:sz w:val="16"/>
              </w:rPr>
              <w:t>14.76</w:t>
            </w:r>
          </w:p>
        </w:tc>
      </w:tr>
      <w:tr>
        <w:trPr>
          <w:trHeight w:val="311" w:hRule="atLeast"/>
        </w:trPr>
        <w:tc>
          <w:tcPr>
            <w:tcW w:w="2268" w:type="dxa"/>
          </w:tcPr>
          <w:p>
            <w:pPr>
              <w:pStyle w:val="TableParagraph"/>
              <w:ind w:left="414" w:right="402"/>
              <w:rPr>
                <w:sz w:val="16"/>
              </w:rPr>
            </w:pPr>
            <w:r>
              <w:rPr>
                <w:sz w:val="16"/>
              </w:rPr>
              <w:t>25</w:t>
            </w:r>
          </w:p>
        </w:tc>
        <w:tc>
          <w:tcPr>
            <w:tcW w:w="1080" w:type="dxa"/>
          </w:tcPr>
          <w:p>
            <w:pPr>
              <w:pStyle w:val="TableParagraph"/>
              <w:ind w:left="319" w:right="304"/>
              <w:rPr>
                <w:sz w:val="16"/>
              </w:rPr>
            </w:pPr>
            <w:r>
              <w:rPr>
                <w:sz w:val="16"/>
              </w:rPr>
              <w:t>1.04</w:t>
            </w:r>
          </w:p>
        </w:tc>
        <w:tc>
          <w:tcPr>
            <w:tcW w:w="912" w:type="dxa"/>
          </w:tcPr>
          <w:p>
            <w:pPr>
              <w:pStyle w:val="TableParagraph"/>
              <w:ind w:left="237" w:right="222"/>
              <w:rPr>
                <w:sz w:val="16"/>
              </w:rPr>
            </w:pPr>
            <w:r>
              <w:rPr>
                <w:sz w:val="16"/>
              </w:rPr>
              <w:t>1.46</w:t>
            </w:r>
          </w:p>
        </w:tc>
        <w:tc>
          <w:tcPr>
            <w:tcW w:w="2148" w:type="dxa"/>
          </w:tcPr>
          <w:p>
            <w:pPr>
              <w:pStyle w:val="TableParagraph"/>
              <w:ind w:left="354" w:right="342"/>
              <w:rPr>
                <w:sz w:val="16"/>
              </w:rPr>
            </w:pPr>
            <w:r>
              <w:rPr>
                <w:sz w:val="16"/>
              </w:rPr>
              <w:t>63</w:t>
            </w:r>
          </w:p>
        </w:tc>
        <w:tc>
          <w:tcPr>
            <w:tcW w:w="1080" w:type="dxa"/>
          </w:tcPr>
          <w:p>
            <w:pPr>
              <w:pStyle w:val="TableParagraph"/>
              <w:ind w:right="325"/>
              <w:jc w:val="right"/>
              <w:rPr>
                <w:sz w:val="16"/>
              </w:rPr>
            </w:pPr>
            <w:r>
              <w:rPr>
                <w:sz w:val="16"/>
              </w:rPr>
              <w:t>24.23</w:t>
            </w:r>
          </w:p>
        </w:tc>
        <w:tc>
          <w:tcPr>
            <w:tcW w:w="1034" w:type="dxa"/>
          </w:tcPr>
          <w:p>
            <w:pPr>
              <w:pStyle w:val="TableParagraph"/>
              <w:ind w:left="319"/>
              <w:jc w:val="left"/>
              <w:rPr>
                <w:sz w:val="16"/>
              </w:rPr>
            </w:pPr>
            <w:r>
              <w:rPr>
                <w:sz w:val="16"/>
              </w:rPr>
              <w:t>15.36</w:t>
            </w:r>
          </w:p>
        </w:tc>
      </w:tr>
      <w:tr>
        <w:trPr>
          <w:trHeight w:val="311" w:hRule="atLeast"/>
        </w:trPr>
        <w:tc>
          <w:tcPr>
            <w:tcW w:w="2268" w:type="dxa"/>
          </w:tcPr>
          <w:p>
            <w:pPr>
              <w:pStyle w:val="TableParagraph"/>
              <w:ind w:left="414" w:right="402"/>
              <w:rPr>
                <w:sz w:val="16"/>
              </w:rPr>
            </w:pPr>
            <w:r>
              <w:rPr>
                <w:sz w:val="16"/>
              </w:rPr>
              <w:t>26</w:t>
            </w:r>
          </w:p>
        </w:tc>
        <w:tc>
          <w:tcPr>
            <w:tcW w:w="1080" w:type="dxa"/>
          </w:tcPr>
          <w:p>
            <w:pPr>
              <w:pStyle w:val="TableParagraph"/>
              <w:ind w:left="319" w:right="304"/>
              <w:rPr>
                <w:sz w:val="16"/>
              </w:rPr>
            </w:pPr>
            <w:r>
              <w:rPr>
                <w:sz w:val="16"/>
              </w:rPr>
              <w:t>1.06</w:t>
            </w:r>
          </w:p>
        </w:tc>
        <w:tc>
          <w:tcPr>
            <w:tcW w:w="912" w:type="dxa"/>
          </w:tcPr>
          <w:p>
            <w:pPr>
              <w:pStyle w:val="TableParagraph"/>
              <w:ind w:left="237" w:right="222"/>
              <w:rPr>
                <w:sz w:val="16"/>
              </w:rPr>
            </w:pPr>
            <w:r>
              <w:rPr>
                <w:sz w:val="16"/>
              </w:rPr>
              <w:t>1.49</w:t>
            </w:r>
          </w:p>
        </w:tc>
        <w:tc>
          <w:tcPr>
            <w:tcW w:w="2148" w:type="dxa"/>
          </w:tcPr>
          <w:p>
            <w:pPr>
              <w:pStyle w:val="TableParagraph"/>
              <w:ind w:left="354" w:right="342"/>
              <w:rPr>
                <w:sz w:val="16"/>
              </w:rPr>
            </w:pPr>
            <w:r>
              <w:rPr>
                <w:sz w:val="16"/>
              </w:rPr>
              <w:t>64</w:t>
            </w:r>
          </w:p>
        </w:tc>
        <w:tc>
          <w:tcPr>
            <w:tcW w:w="1080" w:type="dxa"/>
          </w:tcPr>
          <w:p>
            <w:pPr>
              <w:pStyle w:val="TableParagraph"/>
              <w:ind w:right="325"/>
              <w:jc w:val="right"/>
              <w:rPr>
                <w:sz w:val="16"/>
              </w:rPr>
            </w:pPr>
            <w:r>
              <w:rPr>
                <w:sz w:val="16"/>
              </w:rPr>
              <w:t>26.28</w:t>
            </w:r>
          </w:p>
        </w:tc>
        <w:tc>
          <w:tcPr>
            <w:tcW w:w="1034" w:type="dxa"/>
          </w:tcPr>
          <w:p>
            <w:pPr>
              <w:pStyle w:val="TableParagraph"/>
              <w:ind w:left="319"/>
              <w:jc w:val="left"/>
              <w:rPr>
                <w:sz w:val="16"/>
              </w:rPr>
            </w:pPr>
            <w:r>
              <w:rPr>
                <w:sz w:val="16"/>
              </w:rPr>
              <w:t>16.10</w:t>
            </w:r>
          </w:p>
        </w:tc>
      </w:tr>
      <w:tr>
        <w:trPr>
          <w:trHeight w:val="313" w:hRule="atLeast"/>
        </w:trPr>
        <w:tc>
          <w:tcPr>
            <w:tcW w:w="2268" w:type="dxa"/>
          </w:tcPr>
          <w:p>
            <w:pPr>
              <w:pStyle w:val="TableParagraph"/>
              <w:spacing w:before="65"/>
              <w:ind w:left="414" w:right="402"/>
              <w:rPr>
                <w:sz w:val="16"/>
              </w:rPr>
            </w:pPr>
            <w:r>
              <w:rPr>
                <w:sz w:val="16"/>
              </w:rPr>
              <w:t>27</w:t>
            </w:r>
          </w:p>
        </w:tc>
        <w:tc>
          <w:tcPr>
            <w:tcW w:w="1080" w:type="dxa"/>
          </w:tcPr>
          <w:p>
            <w:pPr>
              <w:pStyle w:val="TableParagraph"/>
              <w:spacing w:before="65"/>
              <w:ind w:left="319" w:right="304"/>
              <w:rPr>
                <w:sz w:val="16"/>
              </w:rPr>
            </w:pPr>
            <w:r>
              <w:rPr>
                <w:sz w:val="16"/>
              </w:rPr>
              <w:t>1.09</w:t>
            </w:r>
          </w:p>
        </w:tc>
        <w:tc>
          <w:tcPr>
            <w:tcW w:w="912" w:type="dxa"/>
          </w:tcPr>
          <w:p>
            <w:pPr>
              <w:pStyle w:val="TableParagraph"/>
              <w:spacing w:before="65"/>
              <w:ind w:left="237" w:right="222"/>
              <w:rPr>
                <w:sz w:val="16"/>
              </w:rPr>
            </w:pPr>
            <w:r>
              <w:rPr>
                <w:sz w:val="16"/>
              </w:rPr>
              <w:t>1.52</w:t>
            </w:r>
          </w:p>
        </w:tc>
        <w:tc>
          <w:tcPr>
            <w:tcW w:w="2148" w:type="dxa"/>
          </w:tcPr>
          <w:p>
            <w:pPr>
              <w:pStyle w:val="TableParagraph"/>
              <w:spacing w:before="65"/>
              <w:ind w:left="354" w:right="342"/>
              <w:rPr>
                <w:sz w:val="16"/>
              </w:rPr>
            </w:pPr>
            <w:r>
              <w:rPr>
                <w:sz w:val="16"/>
              </w:rPr>
              <w:t>65</w:t>
            </w:r>
          </w:p>
        </w:tc>
        <w:tc>
          <w:tcPr>
            <w:tcW w:w="1080" w:type="dxa"/>
          </w:tcPr>
          <w:p>
            <w:pPr>
              <w:pStyle w:val="TableParagraph"/>
              <w:spacing w:before="65"/>
              <w:ind w:right="325"/>
              <w:jc w:val="right"/>
              <w:rPr>
                <w:sz w:val="16"/>
              </w:rPr>
            </w:pPr>
            <w:r>
              <w:rPr>
                <w:sz w:val="16"/>
              </w:rPr>
              <w:t>28.61</w:t>
            </w:r>
          </w:p>
        </w:tc>
        <w:tc>
          <w:tcPr>
            <w:tcW w:w="1034" w:type="dxa"/>
          </w:tcPr>
          <w:p>
            <w:pPr>
              <w:pStyle w:val="TableParagraph"/>
              <w:spacing w:before="65"/>
              <w:ind w:left="319"/>
              <w:jc w:val="left"/>
              <w:rPr>
                <w:sz w:val="16"/>
              </w:rPr>
            </w:pPr>
            <w:r>
              <w:rPr>
                <w:sz w:val="16"/>
              </w:rPr>
              <w:t>16.98</w:t>
            </w:r>
          </w:p>
        </w:tc>
      </w:tr>
      <w:tr>
        <w:trPr>
          <w:trHeight w:val="311" w:hRule="atLeast"/>
        </w:trPr>
        <w:tc>
          <w:tcPr>
            <w:tcW w:w="2268" w:type="dxa"/>
          </w:tcPr>
          <w:p>
            <w:pPr>
              <w:pStyle w:val="TableParagraph"/>
              <w:ind w:left="414" w:right="402"/>
              <w:rPr>
                <w:sz w:val="16"/>
              </w:rPr>
            </w:pPr>
            <w:r>
              <w:rPr>
                <w:sz w:val="16"/>
              </w:rPr>
              <w:t>28</w:t>
            </w:r>
          </w:p>
        </w:tc>
        <w:tc>
          <w:tcPr>
            <w:tcW w:w="1080" w:type="dxa"/>
          </w:tcPr>
          <w:p>
            <w:pPr>
              <w:pStyle w:val="TableParagraph"/>
              <w:ind w:left="319" w:right="304"/>
              <w:rPr>
                <w:sz w:val="16"/>
              </w:rPr>
            </w:pPr>
            <w:r>
              <w:rPr>
                <w:sz w:val="16"/>
              </w:rPr>
              <w:t>1.19</w:t>
            </w:r>
          </w:p>
        </w:tc>
        <w:tc>
          <w:tcPr>
            <w:tcW w:w="912" w:type="dxa"/>
          </w:tcPr>
          <w:p>
            <w:pPr>
              <w:pStyle w:val="TableParagraph"/>
              <w:ind w:left="237" w:right="222"/>
              <w:rPr>
                <w:sz w:val="16"/>
              </w:rPr>
            </w:pPr>
            <w:r>
              <w:rPr>
                <w:sz w:val="16"/>
              </w:rPr>
              <w:t>1.63</w:t>
            </w:r>
          </w:p>
        </w:tc>
        <w:tc>
          <w:tcPr>
            <w:tcW w:w="2148" w:type="dxa"/>
          </w:tcPr>
          <w:p>
            <w:pPr>
              <w:pStyle w:val="TableParagraph"/>
              <w:ind w:left="354" w:right="342"/>
              <w:rPr>
                <w:sz w:val="16"/>
              </w:rPr>
            </w:pPr>
            <w:r>
              <w:rPr>
                <w:sz w:val="16"/>
              </w:rPr>
              <w:t>66</w:t>
            </w:r>
          </w:p>
        </w:tc>
        <w:tc>
          <w:tcPr>
            <w:tcW w:w="1080" w:type="dxa"/>
          </w:tcPr>
          <w:p>
            <w:pPr>
              <w:pStyle w:val="TableParagraph"/>
              <w:ind w:right="325"/>
              <w:jc w:val="right"/>
              <w:rPr>
                <w:sz w:val="16"/>
              </w:rPr>
            </w:pPr>
            <w:r>
              <w:rPr>
                <w:sz w:val="16"/>
              </w:rPr>
              <w:t>30.53</w:t>
            </w:r>
          </w:p>
        </w:tc>
        <w:tc>
          <w:tcPr>
            <w:tcW w:w="1034" w:type="dxa"/>
          </w:tcPr>
          <w:p>
            <w:pPr>
              <w:pStyle w:val="TableParagraph"/>
              <w:ind w:left="319"/>
              <w:jc w:val="left"/>
              <w:rPr>
                <w:sz w:val="16"/>
              </w:rPr>
            </w:pPr>
            <w:r>
              <w:rPr>
                <w:sz w:val="16"/>
              </w:rPr>
              <w:t>17.93</w:t>
            </w:r>
          </w:p>
        </w:tc>
      </w:tr>
      <w:tr>
        <w:trPr>
          <w:trHeight w:val="311" w:hRule="atLeast"/>
        </w:trPr>
        <w:tc>
          <w:tcPr>
            <w:tcW w:w="2268" w:type="dxa"/>
          </w:tcPr>
          <w:p>
            <w:pPr>
              <w:pStyle w:val="TableParagraph"/>
              <w:ind w:left="414" w:right="402"/>
              <w:rPr>
                <w:sz w:val="16"/>
              </w:rPr>
            </w:pPr>
            <w:r>
              <w:rPr>
                <w:sz w:val="16"/>
              </w:rPr>
              <w:t>29</w:t>
            </w:r>
          </w:p>
        </w:tc>
        <w:tc>
          <w:tcPr>
            <w:tcW w:w="1080" w:type="dxa"/>
          </w:tcPr>
          <w:p>
            <w:pPr>
              <w:pStyle w:val="TableParagraph"/>
              <w:ind w:left="319" w:right="304"/>
              <w:rPr>
                <w:sz w:val="16"/>
              </w:rPr>
            </w:pPr>
            <w:r>
              <w:rPr>
                <w:sz w:val="16"/>
              </w:rPr>
              <w:t>1.28</w:t>
            </w:r>
          </w:p>
        </w:tc>
        <w:tc>
          <w:tcPr>
            <w:tcW w:w="912" w:type="dxa"/>
          </w:tcPr>
          <w:p>
            <w:pPr>
              <w:pStyle w:val="TableParagraph"/>
              <w:ind w:left="237" w:right="222"/>
              <w:rPr>
                <w:sz w:val="16"/>
              </w:rPr>
            </w:pPr>
            <w:r>
              <w:rPr>
                <w:sz w:val="16"/>
              </w:rPr>
              <w:t>1.75</w:t>
            </w:r>
          </w:p>
        </w:tc>
        <w:tc>
          <w:tcPr>
            <w:tcW w:w="2148" w:type="dxa"/>
          </w:tcPr>
          <w:p>
            <w:pPr>
              <w:pStyle w:val="TableParagraph"/>
              <w:ind w:left="354" w:right="342"/>
              <w:rPr>
                <w:sz w:val="16"/>
              </w:rPr>
            </w:pPr>
            <w:r>
              <w:rPr>
                <w:sz w:val="16"/>
              </w:rPr>
              <w:t>67</w:t>
            </w:r>
          </w:p>
        </w:tc>
        <w:tc>
          <w:tcPr>
            <w:tcW w:w="1080" w:type="dxa"/>
          </w:tcPr>
          <w:p>
            <w:pPr>
              <w:pStyle w:val="TableParagraph"/>
              <w:ind w:right="325"/>
              <w:jc w:val="right"/>
              <w:rPr>
                <w:sz w:val="16"/>
              </w:rPr>
            </w:pPr>
            <w:r>
              <w:rPr>
                <w:sz w:val="16"/>
              </w:rPr>
              <w:t>32.57</w:t>
            </w:r>
          </w:p>
        </w:tc>
        <w:tc>
          <w:tcPr>
            <w:tcW w:w="1034" w:type="dxa"/>
          </w:tcPr>
          <w:p>
            <w:pPr>
              <w:pStyle w:val="TableParagraph"/>
              <w:ind w:left="319"/>
              <w:jc w:val="left"/>
              <w:rPr>
                <w:sz w:val="16"/>
              </w:rPr>
            </w:pPr>
            <w:r>
              <w:rPr>
                <w:sz w:val="16"/>
              </w:rPr>
              <w:t>18.89</w:t>
            </w:r>
          </w:p>
        </w:tc>
      </w:tr>
      <w:tr>
        <w:trPr>
          <w:trHeight w:val="311" w:hRule="atLeast"/>
        </w:trPr>
        <w:tc>
          <w:tcPr>
            <w:tcW w:w="2268" w:type="dxa"/>
          </w:tcPr>
          <w:p>
            <w:pPr>
              <w:pStyle w:val="TableParagraph"/>
              <w:ind w:left="414" w:right="402"/>
              <w:rPr>
                <w:sz w:val="16"/>
              </w:rPr>
            </w:pPr>
            <w:r>
              <w:rPr>
                <w:sz w:val="16"/>
              </w:rPr>
              <w:t>30</w:t>
            </w:r>
          </w:p>
        </w:tc>
        <w:tc>
          <w:tcPr>
            <w:tcW w:w="1080" w:type="dxa"/>
          </w:tcPr>
          <w:p>
            <w:pPr>
              <w:pStyle w:val="TableParagraph"/>
              <w:ind w:left="319" w:right="304"/>
              <w:rPr>
                <w:sz w:val="16"/>
              </w:rPr>
            </w:pPr>
            <w:r>
              <w:rPr>
                <w:sz w:val="16"/>
              </w:rPr>
              <w:t>1.36</w:t>
            </w:r>
          </w:p>
        </w:tc>
        <w:tc>
          <w:tcPr>
            <w:tcW w:w="912" w:type="dxa"/>
          </w:tcPr>
          <w:p>
            <w:pPr>
              <w:pStyle w:val="TableParagraph"/>
              <w:ind w:left="237" w:right="222"/>
              <w:rPr>
                <w:sz w:val="16"/>
              </w:rPr>
            </w:pPr>
            <w:r>
              <w:rPr>
                <w:sz w:val="16"/>
              </w:rPr>
              <w:t>1.86</w:t>
            </w:r>
          </w:p>
        </w:tc>
        <w:tc>
          <w:tcPr>
            <w:tcW w:w="2148" w:type="dxa"/>
          </w:tcPr>
          <w:p>
            <w:pPr>
              <w:pStyle w:val="TableParagraph"/>
              <w:ind w:left="354" w:right="342"/>
              <w:rPr>
                <w:sz w:val="16"/>
              </w:rPr>
            </w:pPr>
            <w:r>
              <w:rPr>
                <w:sz w:val="16"/>
              </w:rPr>
              <w:t>68</w:t>
            </w:r>
          </w:p>
        </w:tc>
        <w:tc>
          <w:tcPr>
            <w:tcW w:w="1080" w:type="dxa"/>
          </w:tcPr>
          <w:p>
            <w:pPr>
              <w:pStyle w:val="TableParagraph"/>
              <w:ind w:right="325"/>
              <w:jc w:val="right"/>
              <w:rPr>
                <w:sz w:val="16"/>
              </w:rPr>
            </w:pPr>
            <w:r>
              <w:rPr>
                <w:sz w:val="16"/>
              </w:rPr>
              <w:t>34.62</w:t>
            </w:r>
          </w:p>
        </w:tc>
        <w:tc>
          <w:tcPr>
            <w:tcW w:w="1034" w:type="dxa"/>
          </w:tcPr>
          <w:p>
            <w:pPr>
              <w:pStyle w:val="TableParagraph"/>
              <w:ind w:left="319"/>
              <w:jc w:val="left"/>
              <w:rPr>
                <w:sz w:val="16"/>
              </w:rPr>
            </w:pPr>
            <w:r>
              <w:rPr>
                <w:sz w:val="16"/>
              </w:rPr>
              <w:t>19.88</w:t>
            </w:r>
          </w:p>
        </w:tc>
      </w:tr>
      <w:tr>
        <w:trPr>
          <w:trHeight w:val="311" w:hRule="atLeast"/>
        </w:trPr>
        <w:tc>
          <w:tcPr>
            <w:tcW w:w="2268" w:type="dxa"/>
          </w:tcPr>
          <w:p>
            <w:pPr>
              <w:pStyle w:val="TableParagraph"/>
              <w:ind w:left="414" w:right="402"/>
              <w:rPr>
                <w:sz w:val="16"/>
              </w:rPr>
            </w:pPr>
            <w:r>
              <w:rPr>
                <w:sz w:val="16"/>
              </w:rPr>
              <w:t>31</w:t>
            </w:r>
          </w:p>
        </w:tc>
        <w:tc>
          <w:tcPr>
            <w:tcW w:w="1080" w:type="dxa"/>
          </w:tcPr>
          <w:p>
            <w:pPr>
              <w:pStyle w:val="TableParagraph"/>
              <w:ind w:left="319" w:right="304"/>
              <w:rPr>
                <w:sz w:val="16"/>
              </w:rPr>
            </w:pPr>
            <w:r>
              <w:rPr>
                <w:sz w:val="16"/>
              </w:rPr>
              <w:t>1.40</w:t>
            </w:r>
          </w:p>
        </w:tc>
        <w:tc>
          <w:tcPr>
            <w:tcW w:w="912" w:type="dxa"/>
          </w:tcPr>
          <w:p>
            <w:pPr>
              <w:pStyle w:val="TableParagraph"/>
              <w:ind w:left="237" w:right="222"/>
              <w:rPr>
                <w:sz w:val="16"/>
              </w:rPr>
            </w:pPr>
            <w:r>
              <w:rPr>
                <w:sz w:val="16"/>
              </w:rPr>
              <w:t>1.99</w:t>
            </w:r>
          </w:p>
        </w:tc>
        <w:tc>
          <w:tcPr>
            <w:tcW w:w="2148" w:type="dxa"/>
          </w:tcPr>
          <w:p>
            <w:pPr>
              <w:pStyle w:val="TableParagraph"/>
              <w:ind w:left="354" w:right="342"/>
              <w:rPr>
                <w:sz w:val="16"/>
              </w:rPr>
            </w:pPr>
            <w:r>
              <w:rPr>
                <w:sz w:val="16"/>
              </w:rPr>
              <w:t>69</w:t>
            </w:r>
          </w:p>
        </w:tc>
        <w:tc>
          <w:tcPr>
            <w:tcW w:w="1080" w:type="dxa"/>
          </w:tcPr>
          <w:p>
            <w:pPr>
              <w:pStyle w:val="TableParagraph"/>
              <w:ind w:right="325"/>
              <w:jc w:val="right"/>
              <w:rPr>
                <w:sz w:val="16"/>
              </w:rPr>
            </w:pPr>
            <w:r>
              <w:rPr>
                <w:sz w:val="16"/>
              </w:rPr>
              <w:t>36.79</w:t>
            </w:r>
          </w:p>
        </w:tc>
        <w:tc>
          <w:tcPr>
            <w:tcW w:w="1034" w:type="dxa"/>
          </w:tcPr>
          <w:p>
            <w:pPr>
              <w:pStyle w:val="TableParagraph"/>
              <w:ind w:left="319"/>
              <w:jc w:val="left"/>
              <w:rPr>
                <w:sz w:val="16"/>
              </w:rPr>
            </w:pPr>
            <w:r>
              <w:rPr>
                <w:sz w:val="16"/>
              </w:rPr>
              <w:t>20.93</w:t>
            </w:r>
          </w:p>
        </w:tc>
      </w:tr>
      <w:tr>
        <w:trPr>
          <w:trHeight w:val="311" w:hRule="atLeast"/>
        </w:trPr>
        <w:tc>
          <w:tcPr>
            <w:tcW w:w="2268" w:type="dxa"/>
          </w:tcPr>
          <w:p>
            <w:pPr>
              <w:pStyle w:val="TableParagraph"/>
              <w:ind w:left="414" w:right="402"/>
              <w:rPr>
                <w:sz w:val="16"/>
              </w:rPr>
            </w:pPr>
            <w:r>
              <w:rPr>
                <w:sz w:val="16"/>
              </w:rPr>
              <w:t>32</w:t>
            </w:r>
          </w:p>
        </w:tc>
        <w:tc>
          <w:tcPr>
            <w:tcW w:w="1080" w:type="dxa"/>
          </w:tcPr>
          <w:p>
            <w:pPr>
              <w:pStyle w:val="TableParagraph"/>
              <w:ind w:left="319" w:right="304"/>
              <w:rPr>
                <w:sz w:val="16"/>
              </w:rPr>
            </w:pPr>
            <w:r>
              <w:rPr>
                <w:sz w:val="16"/>
              </w:rPr>
              <w:t>1.45</w:t>
            </w:r>
          </w:p>
        </w:tc>
        <w:tc>
          <w:tcPr>
            <w:tcW w:w="912" w:type="dxa"/>
          </w:tcPr>
          <w:p>
            <w:pPr>
              <w:pStyle w:val="TableParagraph"/>
              <w:ind w:left="237" w:right="222"/>
              <w:rPr>
                <w:sz w:val="16"/>
              </w:rPr>
            </w:pPr>
            <w:r>
              <w:rPr>
                <w:sz w:val="16"/>
              </w:rPr>
              <w:t>2.11</w:t>
            </w:r>
          </w:p>
        </w:tc>
        <w:tc>
          <w:tcPr>
            <w:tcW w:w="2148" w:type="dxa"/>
          </w:tcPr>
          <w:p>
            <w:pPr>
              <w:pStyle w:val="TableParagraph"/>
              <w:ind w:left="354" w:right="342"/>
              <w:rPr>
                <w:sz w:val="16"/>
              </w:rPr>
            </w:pPr>
            <w:r>
              <w:rPr>
                <w:sz w:val="16"/>
              </w:rPr>
              <w:t>70</w:t>
            </w:r>
          </w:p>
        </w:tc>
        <w:tc>
          <w:tcPr>
            <w:tcW w:w="1080" w:type="dxa"/>
          </w:tcPr>
          <w:p>
            <w:pPr>
              <w:pStyle w:val="TableParagraph"/>
              <w:ind w:right="328"/>
              <w:jc w:val="right"/>
              <w:rPr>
                <w:sz w:val="16"/>
              </w:rPr>
            </w:pPr>
            <w:r>
              <w:rPr>
                <w:sz w:val="16"/>
              </w:rPr>
              <w:t>39.11</w:t>
            </w:r>
          </w:p>
        </w:tc>
        <w:tc>
          <w:tcPr>
            <w:tcW w:w="1034" w:type="dxa"/>
          </w:tcPr>
          <w:p>
            <w:pPr>
              <w:pStyle w:val="TableParagraph"/>
              <w:ind w:left="319"/>
              <w:jc w:val="left"/>
              <w:rPr>
                <w:sz w:val="16"/>
              </w:rPr>
            </w:pPr>
            <w:r>
              <w:rPr>
                <w:sz w:val="16"/>
              </w:rPr>
              <w:t>22.02</w:t>
            </w:r>
          </w:p>
        </w:tc>
      </w:tr>
      <w:tr>
        <w:trPr>
          <w:trHeight w:val="313" w:hRule="atLeast"/>
        </w:trPr>
        <w:tc>
          <w:tcPr>
            <w:tcW w:w="2268" w:type="dxa"/>
          </w:tcPr>
          <w:p>
            <w:pPr>
              <w:pStyle w:val="TableParagraph"/>
              <w:spacing w:before="65"/>
              <w:ind w:left="414" w:right="402"/>
              <w:rPr>
                <w:sz w:val="16"/>
              </w:rPr>
            </w:pPr>
            <w:r>
              <w:rPr>
                <w:sz w:val="16"/>
              </w:rPr>
              <w:t>33</w:t>
            </w:r>
          </w:p>
        </w:tc>
        <w:tc>
          <w:tcPr>
            <w:tcW w:w="1080" w:type="dxa"/>
          </w:tcPr>
          <w:p>
            <w:pPr>
              <w:pStyle w:val="TableParagraph"/>
              <w:spacing w:before="65"/>
              <w:ind w:left="319" w:right="304"/>
              <w:rPr>
                <w:sz w:val="16"/>
              </w:rPr>
            </w:pPr>
            <w:r>
              <w:rPr>
                <w:sz w:val="16"/>
              </w:rPr>
              <w:t>1.60</w:t>
            </w:r>
          </w:p>
        </w:tc>
        <w:tc>
          <w:tcPr>
            <w:tcW w:w="912" w:type="dxa"/>
          </w:tcPr>
          <w:p>
            <w:pPr>
              <w:pStyle w:val="TableParagraph"/>
              <w:spacing w:before="65"/>
              <w:ind w:left="237" w:right="222"/>
              <w:rPr>
                <w:sz w:val="16"/>
              </w:rPr>
            </w:pPr>
            <w:r>
              <w:rPr>
                <w:sz w:val="16"/>
              </w:rPr>
              <w:t>2.21</w:t>
            </w:r>
          </w:p>
        </w:tc>
        <w:tc>
          <w:tcPr>
            <w:tcW w:w="2148" w:type="dxa"/>
          </w:tcPr>
          <w:p>
            <w:pPr>
              <w:pStyle w:val="TableParagraph"/>
              <w:spacing w:before="65"/>
              <w:ind w:left="354" w:right="342"/>
              <w:rPr>
                <w:sz w:val="16"/>
              </w:rPr>
            </w:pPr>
            <w:r>
              <w:rPr>
                <w:sz w:val="16"/>
              </w:rPr>
              <w:t>71</w:t>
            </w:r>
          </w:p>
        </w:tc>
        <w:tc>
          <w:tcPr>
            <w:tcW w:w="1080" w:type="dxa"/>
          </w:tcPr>
          <w:p>
            <w:pPr>
              <w:pStyle w:val="TableParagraph"/>
              <w:spacing w:before="65"/>
              <w:ind w:right="325"/>
              <w:jc w:val="right"/>
              <w:rPr>
                <w:sz w:val="16"/>
              </w:rPr>
            </w:pPr>
            <w:r>
              <w:rPr>
                <w:sz w:val="16"/>
              </w:rPr>
              <w:t>39.77</w:t>
            </w:r>
          </w:p>
        </w:tc>
        <w:tc>
          <w:tcPr>
            <w:tcW w:w="1034" w:type="dxa"/>
          </w:tcPr>
          <w:p>
            <w:pPr>
              <w:pStyle w:val="TableParagraph"/>
              <w:spacing w:before="65"/>
              <w:ind w:left="319"/>
              <w:jc w:val="left"/>
              <w:rPr>
                <w:sz w:val="16"/>
              </w:rPr>
            </w:pPr>
            <w:r>
              <w:rPr>
                <w:sz w:val="16"/>
              </w:rPr>
              <w:t>22.90</w:t>
            </w:r>
          </w:p>
        </w:tc>
      </w:tr>
      <w:tr>
        <w:trPr>
          <w:trHeight w:val="311" w:hRule="atLeast"/>
        </w:trPr>
        <w:tc>
          <w:tcPr>
            <w:tcW w:w="2268" w:type="dxa"/>
          </w:tcPr>
          <w:p>
            <w:pPr>
              <w:pStyle w:val="TableParagraph"/>
              <w:ind w:left="414" w:right="402"/>
              <w:rPr>
                <w:sz w:val="16"/>
              </w:rPr>
            </w:pPr>
            <w:r>
              <w:rPr>
                <w:sz w:val="16"/>
              </w:rPr>
              <w:t>34</w:t>
            </w:r>
          </w:p>
        </w:tc>
        <w:tc>
          <w:tcPr>
            <w:tcW w:w="1080" w:type="dxa"/>
          </w:tcPr>
          <w:p>
            <w:pPr>
              <w:pStyle w:val="TableParagraph"/>
              <w:ind w:left="319" w:right="304"/>
              <w:rPr>
                <w:sz w:val="16"/>
              </w:rPr>
            </w:pPr>
            <w:r>
              <w:rPr>
                <w:sz w:val="16"/>
              </w:rPr>
              <w:t>1.75</w:t>
            </w:r>
          </w:p>
        </w:tc>
        <w:tc>
          <w:tcPr>
            <w:tcW w:w="912" w:type="dxa"/>
          </w:tcPr>
          <w:p>
            <w:pPr>
              <w:pStyle w:val="TableParagraph"/>
              <w:ind w:left="237" w:right="222"/>
              <w:rPr>
                <w:sz w:val="16"/>
              </w:rPr>
            </w:pPr>
            <w:r>
              <w:rPr>
                <w:sz w:val="16"/>
              </w:rPr>
              <w:t>2.32</w:t>
            </w:r>
          </w:p>
        </w:tc>
        <w:tc>
          <w:tcPr>
            <w:tcW w:w="2148" w:type="dxa"/>
          </w:tcPr>
          <w:p>
            <w:pPr>
              <w:pStyle w:val="TableParagraph"/>
              <w:ind w:left="354" w:right="342"/>
              <w:rPr>
                <w:sz w:val="16"/>
              </w:rPr>
            </w:pPr>
            <w:r>
              <w:rPr>
                <w:sz w:val="16"/>
              </w:rPr>
              <w:t>72</w:t>
            </w:r>
          </w:p>
        </w:tc>
        <w:tc>
          <w:tcPr>
            <w:tcW w:w="1080" w:type="dxa"/>
          </w:tcPr>
          <w:p>
            <w:pPr>
              <w:pStyle w:val="TableParagraph"/>
              <w:ind w:right="325"/>
              <w:jc w:val="right"/>
              <w:rPr>
                <w:sz w:val="16"/>
              </w:rPr>
            </w:pPr>
            <w:r>
              <w:rPr>
                <w:sz w:val="16"/>
              </w:rPr>
              <w:t>41.20</w:t>
            </w:r>
          </w:p>
        </w:tc>
        <w:tc>
          <w:tcPr>
            <w:tcW w:w="1034" w:type="dxa"/>
          </w:tcPr>
          <w:p>
            <w:pPr>
              <w:pStyle w:val="TableParagraph"/>
              <w:ind w:left="319"/>
              <w:jc w:val="left"/>
              <w:rPr>
                <w:sz w:val="16"/>
              </w:rPr>
            </w:pPr>
            <w:r>
              <w:rPr>
                <w:sz w:val="16"/>
              </w:rPr>
              <w:t>23.95</w:t>
            </w:r>
          </w:p>
        </w:tc>
      </w:tr>
      <w:tr>
        <w:trPr>
          <w:trHeight w:val="311" w:hRule="atLeast"/>
        </w:trPr>
        <w:tc>
          <w:tcPr>
            <w:tcW w:w="2268" w:type="dxa"/>
          </w:tcPr>
          <w:p>
            <w:pPr>
              <w:pStyle w:val="TableParagraph"/>
              <w:ind w:left="414" w:right="402"/>
              <w:rPr>
                <w:sz w:val="16"/>
              </w:rPr>
            </w:pPr>
            <w:r>
              <w:rPr>
                <w:sz w:val="16"/>
              </w:rPr>
              <w:t>35</w:t>
            </w:r>
          </w:p>
        </w:tc>
        <w:tc>
          <w:tcPr>
            <w:tcW w:w="1080" w:type="dxa"/>
          </w:tcPr>
          <w:p>
            <w:pPr>
              <w:pStyle w:val="TableParagraph"/>
              <w:ind w:left="319" w:right="304"/>
              <w:rPr>
                <w:sz w:val="16"/>
              </w:rPr>
            </w:pPr>
            <w:r>
              <w:rPr>
                <w:sz w:val="16"/>
              </w:rPr>
              <w:t>1.91</w:t>
            </w:r>
          </w:p>
        </w:tc>
        <w:tc>
          <w:tcPr>
            <w:tcW w:w="912" w:type="dxa"/>
          </w:tcPr>
          <w:p>
            <w:pPr>
              <w:pStyle w:val="TableParagraph"/>
              <w:ind w:left="237" w:right="222"/>
              <w:rPr>
                <w:sz w:val="16"/>
              </w:rPr>
            </w:pPr>
            <w:r>
              <w:rPr>
                <w:sz w:val="16"/>
              </w:rPr>
              <w:t>2.44</w:t>
            </w:r>
          </w:p>
        </w:tc>
        <w:tc>
          <w:tcPr>
            <w:tcW w:w="2148" w:type="dxa"/>
          </w:tcPr>
          <w:p>
            <w:pPr>
              <w:pStyle w:val="TableParagraph"/>
              <w:ind w:left="354" w:right="342"/>
              <w:rPr>
                <w:sz w:val="16"/>
              </w:rPr>
            </w:pPr>
            <w:r>
              <w:rPr>
                <w:sz w:val="16"/>
              </w:rPr>
              <w:t>73</w:t>
            </w:r>
          </w:p>
        </w:tc>
        <w:tc>
          <w:tcPr>
            <w:tcW w:w="1080" w:type="dxa"/>
          </w:tcPr>
          <w:p>
            <w:pPr>
              <w:pStyle w:val="TableParagraph"/>
              <w:ind w:right="325"/>
              <w:jc w:val="right"/>
              <w:rPr>
                <w:sz w:val="16"/>
              </w:rPr>
            </w:pPr>
            <w:r>
              <w:rPr>
                <w:sz w:val="16"/>
              </w:rPr>
              <w:t>42.40</w:t>
            </w:r>
          </w:p>
        </w:tc>
        <w:tc>
          <w:tcPr>
            <w:tcW w:w="1034" w:type="dxa"/>
          </w:tcPr>
          <w:p>
            <w:pPr>
              <w:pStyle w:val="TableParagraph"/>
              <w:ind w:left="319"/>
              <w:jc w:val="left"/>
              <w:rPr>
                <w:sz w:val="16"/>
              </w:rPr>
            </w:pPr>
            <w:r>
              <w:rPr>
                <w:sz w:val="16"/>
              </w:rPr>
              <w:t>24.89</w:t>
            </w:r>
          </w:p>
        </w:tc>
      </w:tr>
      <w:tr>
        <w:trPr>
          <w:trHeight w:val="311" w:hRule="atLeast"/>
        </w:trPr>
        <w:tc>
          <w:tcPr>
            <w:tcW w:w="2268" w:type="dxa"/>
          </w:tcPr>
          <w:p>
            <w:pPr>
              <w:pStyle w:val="TableParagraph"/>
              <w:ind w:left="414" w:right="402"/>
              <w:rPr>
                <w:sz w:val="16"/>
              </w:rPr>
            </w:pPr>
            <w:r>
              <w:rPr>
                <w:sz w:val="16"/>
              </w:rPr>
              <w:t>36</w:t>
            </w:r>
          </w:p>
        </w:tc>
        <w:tc>
          <w:tcPr>
            <w:tcW w:w="1080" w:type="dxa"/>
          </w:tcPr>
          <w:p>
            <w:pPr>
              <w:pStyle w:val="TableParagraph"/>
              <w:ind w:left="319" w:right="304"/>
              <w:rPr>
                <w:sz w:val="16"/>
              </w:rPr>
            </w:pPr>
            <w:r>
              <w:rPr>
                <w:sz w:val="16"/>
              </w:rPr>
              <w:t>2.09</w:t>
            </w:r>
          </w:p>
        </w:tc>
        <w:tc>
          <w:tcPr>
            <w:tcW w:w="912" w:type="dxa"/>
          </w:tcPr>
          <w:p>
            <w:pPr>
              <w:pStyle w:val="TableParagraph"/>
              <w:ind w:left="237" w:right="222"/>
              <w:rPr>
                <w:sz w:val="16"/>
              </w:rPr>
            </w:pPr>
            <w:r>
              <w:rPr>
                <w:sz w:val="16"/>
              </w:rPr>
              <w:t>2.57</w:t>
            </w:r>
          </w:p>
        </w:tc>
        <w:tc>
          <w:tcPr>
            <w:tcW w:w="2148" w:type="dxa"/>
          </w:tcPr>
          <w:p>
            <w:pPr>
              <w:pStyle w:val="TableParagraph"/>
              <w:ind w:left="354" w:right="342"/>
              <w:rPr>
                <w:sz w:val="16"/>
              </w:rPr>
            </w:pPr>
            <w:r>
              <w:rPr>
                <w:sz w:val="16"/>
              </w:rPr>
              <w:t>74</w:t>
            </w:r>
          </w:p>
        </w:tc>
        <w:tc>
          <w:tcPr>
            <w:tcW w:w="1080" w:type="dxa"/>
          </w:tcPr>
          <w:p>
            <w:pPr>
              <w:pStyle w:val="TableParagraph"/>
              <w:ind w:right="325"/>
              <w:jc w:val="right"/>
              <w:rPr>
                <w:sz w:val="16"/>
              </w:rPr>
            </w:pPr>
            <w:r>
              <w:rPr>
                <w:sz w:val="16"/>
              </w:rPr>
              <w:t>42.74</w:t>
            </w:r>
          </w:p>
        </w:tc>
        <w:tc>
          <w:tcPr>
            <w:tcW w:w="1034" w:type="dxa"/>
          </w:tcPr>
          <w:p>
            <w:pPr>
              <w:pStyle w:val="TableParagraph"/>
              <w:ind w:left="319"/>
              <w:jc w:val="left"/>
              <w:rPr>
                <w:sz w:val="16"/>
              </w:rPr>
            </w:pPr>
            <w:r>
              <w:rPr>
                <w:sz w:val="16"/>
              </w:rPr>
              <w:t>25.88</w:t>
            </w:r>
          </w:p>
        </w:tc>
      </w:tr>
      <w:tr>
        <w:trPr>
          <w:trHeight w:val="311" w:hRule="atLeast"/>
        </w:trPr>
        <w:tc>
          <w:tcPr>
            <w:tcW w:w="2268" w:type="dxa"/>
          </w:tcPr>
          <w:p>
            <w:pPr>
              <w:pStyle w:val="TableParagraph"/>
              <w:ind w:left="414" w:right="402"/>
              <w:rPr>
                <w:sz w:val="16"/>
              </w:rPr>
            </w:pPr>
            <w:r>
              <w:rPr>
                <w:sz w:val="16"/>
              </w:rPr>
              <w:t>37</w:t>
            </w:r>
          </w:p>
        </w:tc>
        <w:tc>
          <w:tcPr>
            <w:tcW w:w="1080" w:type="dxa"/>
          </w:tcPr>
          <w:p>
            <w:pPr>
              <w:pStyle w:val="TableParagraph"/>
              <w:ind w:left="319" w:right="304"/>
              <w:rPr>
                <w:sz w:val="16"/>
              </w:rPr>
            </w:pPr>
            <w:r>
              <w:rPr>
                <w:sz w:val="16"/>
              </w:rPr>
              <w:t>2.28</w:t>
            </w:r>
          </w:p>
        </w:tc>
        <w:tc>
          <w:tcPr>
            <w:tcW w:w="912" w:type="dxa"/>
          </w:tcPr>
          <w:p>
            <w:pPr>
              <w:pStyle w:val="TableParagraph"/>
              <w:ind w:left="237" w:right="222"/>
              <w:rPr>
                <w:sz w:val="16"/>
              </w:rPr>
            </w:pPr>
            <w:r>
              <w:rPr>
                <w:sz w:val="16"/>
              </w:rPr>
              <w:t>2.69</w:t>
            </w:r>
          </w:p>
        </w:tc>
        <w:tc>
          <w:tcPr>
            <w:tcW w:w="2148" w:type="dxa"/>
          </w:tcPr>
          <w:p>
            <w:pPr>
              <w:pStyle w:val="TableParagraph"/>
              <w:ind w:left="354" w:right="342"/>
              <w:rPr>
                <w:sz w:val="16"/>
              </w:rPr>
            </w:pPr>
            <w:r>
              <w:rPr>
                <w:sz w:val="16"/>
              </w:rPr>
              <w:t>75</w:t>
            </w:r>
          </w:p>
        </w:tc>
        <w:tc>
          <w:tcPr>
            <w:tcW w:w="1080" w:type="dxa"/>
          </w:tcPr>
          <w:p>
            <w:pPr>
              <w:pStyle w:val="TableParagraph"/>
              <w:ind w:right="325"/>
              <w:jc w:val="right"/>
              <w:rPr>
                <w:sz w:val="16"/>
              </w:rPr>
            </w:pPr>
            <w:r>
              <w:rPr>
                <w:sz w:val="16"/>
              </w:rPr>
              <w:t>42.90</w:t>
            </w:r>
          </w:p>
        </w:tc>
        <w:tc>
          <w:tcPr>
            <w:tcW w:w="1034" w:type="dxa"/>
          </w:tcPr>
          <w:p>
            <w:pPr>
              <w:pStyle w:val="TableParagraph"/>
              <w:ind w:left="319"/>
              <w:jc w:val="left"/>
              <w:rPr>
                <w:sz w:val="16"/>
              </w:rPr>
            </w:pPr>
            <w:r>
              <w:rPr>
                <w:sz w:val="16"/>
              </w:rPr>
              <w:t>27.41</w:t>
            </w:r>
          </w:p>
        </w:tc>
      </w:tr>
    </w:tbl>
    <w:p>
      <w:pPr>
        <w:spacing w:after="0"/>
        <w:jc w:val="left"/>
        <w:rPr>
          <w:sz w:val="16"/>
        </w:rPr>
        <w:sectPr>
          <w:pgSz w:w="11910" w:h="16840"/>
          <w:pgMar w:header="0" w:footer="1262" w:top="1440" w:bottom="1500" w:left="1580" w:right="15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080"/>
        <w:gridCol w:w="912"/>
        <w:gridCol w:w="2148"/>
        <w:gridCol w:w="1080"/>
        <w:gridCol w:w="1034"/>
      </w:tblGrid>
      <w:tr>
        <w:trPr>
          <w:trHeight w:val="611" w:hRule="atLeast"/>
        </w:trPr>
        <w:tc>
          <w:tcPr>
            <w:tcW w:w="2268" w:type="dxa"/>
          </w:tcPr>
          <w:p>
            <w:pPr>
              <w:pStyle w:val="TableParagraph"/>
              <w:spacing w:before="124"/>
              <w:ind w:left="414" w:right="407"/>
              <w:rPr>
                <w:rFonts w:ascii="宋体" w:eastAsia="宋体" w:hint="eastAsia"/>
                <w:sz w:val="21"/>
              </w:rPr>
            </w:pPr>
            <w:r>
              <w:rPr>
                <w:rFonts w:ascii="宋体" w:eastAsia="宋体" w:hint="eastAsia"/>
                <w:w w:val="95"/>
                <w:sz w:val="21"/>
              </w:rPr>
              <w:t>保单年度初年龄</w:t>
            </w:r>
          </w:p>
        </w:tc>
        <w:tc>
          <w:tcPr>
            <w:tcW w:w="1080" w:type="dxa"/>
          </w:tcPr>
          <w:p>
            <w:pPr>
              <w:pStyle w:val="TableParagraph"/>
              <w:spacing w:before="124"/>
              <w:ind w:right="319"/>
              <w:jc w:val="right"/>
              <w:rPr>
                <w:rFonts w:ascii="宋体" w:eastAsia="宋体" w:hint="eastAsia"/>
                <w:sz w:val="21"/>
              </w:rPr>
            </w:pPr>
            <w:r>
              <w:rPr>
                <w:rFonts w:ascii="宋体" w:eastAsia="宋体" w:hint="eastAsia"/>
                <w:w w:val="95"/>
                <w:sz w:val="21"/>
              </w:rPr>
              <w:t>男性</w:t>
            </w:r>
          </w:p>
        </w:tc>
        <w:tc>
          <w:tcPr>
            <w:tcW w:w="912" w:type="dxa"/>
          </w:tcPr>
          <w:p>
            <w:pPr>
              <w:pStyle w:val="TableParagraph"/>
              <w:spacing w:before="124"/>
              <w:ind w:left="234" w:right="222"/>
              <w:rPr>
                <w:rFonts w:ascii="宋体" w:eastAsia="宋体" w:hint="eastAsia"/>
                <w:sz w:val="21"/>
              </w:rPr>
            </w:pPr>
            <w:r>
              <w:rPr>
                <w:rFonts w:ascii="宋体" w:eastAsia="宋体" w:hint="eastAsia"/>
                <w:w w:val="95"/>
                <w:sz w:val="21"/>
              </w:rPr>
              <w:t>女性</w:t>
            </w:r>
          </w:p>
        </w:tc>
        <w:tc>
          <w:tcPr>
            <w:tcW w:w="2148" w:type="dxa"/>
          </w:tcPr>
          <w:p>
            <w:pPr>
              <w:pStyle w:val="TableParagraph"/>
              <w:spacing w:before="124"/>
              <w:ind w:left="354" w:right="347"/>
              <w:rPr>
                <w:rFonts w:ascii="宋体" w:eastAsia="宋体" w:hint="eastAsia"/>
                <w:sz w:val="21"/>
              </w:rPr>
            </w:pPr>
            <w:r>
              <w:rPr>
                <w:rFonts w:ascii="宋体" w:eastAsia="宋体" w:hint="eastAsia"/>
                <w:w w:val="95"/>
                <w:sz w:val="21"/>
              </w:rPr>
              <w:t>保单年度初年龄</w:t>
            </w:r>
          </w:p>
        </w:tc>
        <w:tc>
          <w:tcPr>
            <w:tcW w:w="1080" w:type="dxa"/>
          </w:tcPr>
          <w:p>
            <w:pPr>
              <w:pStyle w:val="TableParagraph"/>
              <w:spacing w:before="124"/>
              <w:ind w:left="315" w:right="308"/>
              <w:rPr>
                <w:rFonts w:ascii="宋体" w:eastAsia="宋体" w:hint="eastAsia"/>
                <w:sz w:val="21"/>
              </w:rPr>
            </w:pPr>
            <w:r>
              <w:rPr>
                <w:rFonts w:ascii="宋体" w:eastAsia="宋体" w:hint="eastAsia"/>
                <w:w w:val="95"/>
                <w:sz w:val="21"/>
              </w:rPr>
              <w:t>男性</w:t>
            </w:r>
          </w:p>
        </w:tc>
        <w:tc>
          <w:tcPr>
            <w:tcW w:w="1034" w:type="dxa"/>
          </w:tcPr>
          <w:p>
            <w:pPr>
              <w:pStyle w:val="TableParagraph"/>
              <w:spacing w:before="124"/>
              <w:ind w:left="294" w:right="284"/>
              <w:rPr>
                <w:rFonts w:ascii="宋体" w:eastAsia="宋体" w:hint="eastAsia"/>
                <w:sz w:val="21"/>
              </w:rPr>
            </w:pPr>
            <w:r>
              <w:rPr>
                <w:rFonts w:ascii="宋体" w:eastAsia="宋体" w:hint="eastAsia"/>
                <w:w w:val="95"/>
                <w:sz w:val="21"/>
              </w:rPr>
              <w:t>女性</w:t>
            </w:r>
          </w:p>
        </w:tc>
      </w:tr>
      <w:tr>
        <w:trPr>
          <w:trHeight w:val="311" w:hRule="atLeast"/>
        </w:trPr>
        <w:tc>
          <w:tcPr>
            <w:tcW w:w="2268" w:type="dxa"/>
          </w:tcPr>
          <w:p>
            <w:pPr>
              <w:pStyle w:val="TableParagraph"/>
              <w:ind w:left="414" w:right="402"/>
              <w:rPr>
                <w:sz w:val="16"/>
              </w:rPr>
            </w:pPr>
            <w:r>
              <w:rPr>
                <w:sz w:val="16"/>
              </w:rPr>
              <w:t>76</w:t>
            </w:r>
          </w:p>
        </w:tc>
        <w:tc>
          <w:tcPr>
            <w:tcW w:w="1080" w:type="dxa"/>
          </w:tcPr>
          <w:p>
            <w:pPr>
              <w:pStyle w:val="TableParagraph"/>
              <w:ind w:right="325"/>
              <w:jc w:val="right"/>
              <w:rPr>
                <w:sz w:val="16"/>
              </w:rPr>
            </w:pPr>
            <w:r>
              <w:rPr>
                <w:sz w:val="16"/>
              </w:rPr>
              <w:t>43.43</w:t>
            </w:r>
          </w:p>
        </w:tc>
        <w:tc>
          <w:tcPr>
            <w:tcW w:w="912" w:type="dxa"/>
          </w:tcPr>
          <w:p>
            <w:pPr>
              <w:pStyle w:val="TableParagraph"/>
              <w:ind w:left="237" w:right="220"/>
              <w:rPr>
                <w:sz w:val="16"/>
              </w:rPr>
            </w:pPr>
            <w:r>
              <w:rPr>
                <w:sz w:val="16"/>
              </w:rPr>
              <w:t>29.20</w:t>
            </w:r>
          </w:p>
        </w:tc>
        <w:tc>
          <w:tcPr>
            <w:tcW w:w="2148" w:type="dxa"/>
          </w:tcPr>
          <w:p>
            <w:pPr>
              <w:pStyle w:val="TableParagraph"/>
              <w:ind w:left="354" w:right="342"/>
              <w:rPr>
                <w:sz w:val="16"/>
              </w:rPr>
            </w:pPr>
            <w:r>
              <w:rPr>
                <w:sz w:val="16"/>
              </w:rPr>
              <w:t>91</w:t>
            </w:r>
          </w:p>
        </w:tc>
        <w:tc>
          <w:tcPr>
            <w:tcW w:w="1080" w:type="dxa"/>
          </w:tcPr>
          <w:p>
            <w:pPr>
              <w:pStyle w:val="TableParagraph"/>
              <w:ind w:left="319" w:right="307"/>
              <w:rPr>
                <w:sz w:val="16"/>
              </w:rPr>
            </w:pPr>
            <w:r>
              <w:rPr>
                <w:sz w:val="16"/>
              </w:rPr>
              <w:t>63.16</w:t>
            </w:r>
          </w:p>
        </w:tc>
        <w:tc>
          <w:tcPr>
            <w:tcW w:w="1034" w:type="dxa"/>
          </w:tcPr>
          <w:p>
            <w:pPr>
              <w:pStyle w:val="TableParagraph"/>
              <w:ind w:left="297" w:right="282"/>
              <w:rPr>
                <w:sz w:val="16"/>
              </w:rPr>
            </w:pPr>
            <w:r>
              <w:rPr>
                <w:sz w:val="16"/>
              </w:rPr>
              <w:t>46.82</w:t>
            </w:r>
          </w:p>
        </w:tc>
      </w:tr>
      <w:tr>
        <w:trPr>
          <w:trHeight w:val="313" w:hRule="atLeast"/>
        </w:trPr>
        <w:tc>
          <w:tcPr>
            <w:tcW w:w="2268" w:type="dxa"/>
          </w:tcPr>
          <w:p>
            <w:pPr>
              <w:pStyle w:val="TableParagraph"/>
              <w:spacing w:before="65"/>
              <w:ind w:left="414" w:right="402"/>
              <w:rPr>
                <w:sz w:val="16"/>
              </w:rPr>
            </w:pPr>
            <w:r>
              <w:rPr>
                <w:sz w:val="16"/>
              </w:rPr>
              <w:t>77</w:t>
            </w:r>
          </w:p>
        </w:tc>
        <w:tc>
          <w:tcPr>
            <w:tcW w:w="1080" w:type="dxa"/>
          </w:tcPr>
          <w:p>
            <w:pPr>
              <w:pStyle w:val="TableParagraph"/>
              <w:spacing w:before="65"/>
              <w:ind w:right="325"/>
              <w:jc w:val="right"/>
              <w:rPr>
                <w:sz w:val="16"/>
              </w:rPr>
            </w:pPr>
            <w:r>
              <w:rPr>
                <w:sz w:val="16"/>
              </w:rPr>
              <w:t>44.10</w:t>
            </w:r>
          </w:p>
        </w:tc>
        <w:tc>
          <w:tcPr>
            <w:tcW w:w="912" w:type="dxa"/>
          </w:tcPr>
          <w:p>
            <w:pPr>
              <w:pStyle w:val="TableParagraph"/>
              <w:spacing w:before="65"/>
              <w:ind w:left="237" w:right="220"/>
              <w:rPr>
                <w:sz w:val="16"/>
              </w:rPr>
            </w:pPr>
            <w:r>
              <w:rPr>
                <w:sz w:val="16"/>
              </w:rPr>
              <w:t>29.28</w:t>
            </w:r>
          </w:p>
        </w:tc>
        <w:tc>
          <w:tcPr>
            <w:tcW w:w="2148" w:type="dxa"/>
          </w:tcPr>
          <w:p>
            <w:pPr>
              <w:pStyle w:val="TableParagraph"/>
              <w:spacing w:before="65"/>
              <w:ind w:left="354" w:right="342"/>
              <w:rPr>
                <w:sz w:val="16"/>
              </w:rPr>
            </w:pPr>
            <w:r>
              <w:rPr>
                <w:sz w:val="16"/>
              </w:rPr>
              <w:t>92</w:t>
            </w:r>
          </w:p>
        </w:tc>
        <w:tc>
          <w:tcPr>
            <w:tcW w:w="1080" w:type="dxa"/>
          </w:tcPr>
          <w:p>
            <w:pPr>
              <w:pStyle w:val="TableParagraph"/>
              <w:spacing w:before="65"/>
              <w:ind w:left="319" w:right="307"/>
              <w:rPr>
                <w:sz w:val="16"/>
              </w:rPr>
            </w:pPr>
            <w:r>
              <w:rPr>
                <w:sz w:val="16"/>
              </w:rPr>
              <w:t>65.82</w:t>
            </w:r>
          </w:p>
        </w:tc>
        <w:tc>
          <w:tcPr>
            <w:tcW w:w="1034" w:type="dxa"/>
          </w:tcPr>
          <w:p>
            <w:pPr>
              <w:pStyle w:val="TableParagraph"/>
              <w:spacing w:before="65"/>
              <w:ind w:left="297" w:right="282"/>
              <w:rPr>
                <w:sz w:val="16"/>
              </w:rPr>
            </w:pPr>
            <w:r>
              <w:rPr>
                <w:sz w:val="16"/>
              </w:rPr>
              <w:t>48.95</w:t>
            </w:r>
          </w:p>
        </w:tc>
      </w:tr>
      <w:tr>
        <w:trPr>
          <w:trHeight w:val="311" w:hRule="atLeast"/>
        </w:trPr>
        <w:tc>
          <w:tcPr>
            <w:tcW w:w="2268" w:type="dxa"/>
          </w:tcPr>
          <w:p>
            <w:pPr>
              <w:pStyle w:val="TableParagraph"/>
              <w:ind w:left="414" w:right="402"/>
              <w:rPr>
                <w:sz w:val="16"/>
              </w:rPr>
            </w:pPr>
            <w:r>
              <w:rPr>
                <w:sz w:val="16"/>
              </w:rPr>
              <w:t>78</w:t>
            </w:r>
          </w:p>
        </w:tc>
        <w:tc>
          <w:tcPr>
            <w:tcW w:w="1080" w:type="dxa"/>
          </w:tcPr>
          <w:p>
            <w:pPr>
              <w:pStyle w:val="TableParagraph"/>
              <w:ind w:right="325"/>
              <w:jc w:val="right"/>
              <w:rPr>
                <w:sz w:val="16"/>
              </w:rPr>
            </w:pPr>
            <w:r>
              <w:rPr>
                <w:sz w:val="16"/>
              </w:rPr>
              <w:t>44.96</w:t>
            </w:r>
          </w:p>
        </w:tc>
        <w:tc>
          <w:tcPr>
            <w:tcW w:w="912" w:type="dxa"/>
          </w:tcPr>
          <w:p>
            <w:pPr>
              <w:pStyle w:val="TableParagraph"/>
              <w:ind w:left="237" w:right="220"/>
              <w:rPr>
                <w:sz w:val="16"/>
              </w:rPr>
            </w:pPr>
            <w:r>
              <w:rPr>
                <w:sz w:val="16"/>
              </w:rPr>
              <w:t>29.54</w:t>
            </w:r>
          </w:p>
        </w:tc>
        <w:tc>
          <w:tcPr>
            <w:tcW w:w="2148" w:type="dxa"/>
          </w:tcPr>
          <w:p>
            <w:pPr>
              <w:pStyle w:val="TableParagraph"/>
              <w:ind w:left="354" w:right="342"/>
              <w:rPr>
                <w:sz w:val="16"/>
              </w:rPr>
            </w:pPr>
            <w:r>
              <w:rPr>
                <w:sz w:val="16"/>
              </w:rPr>
              <w:t>93</w:t>
            </w:r>
          </w:p>
        </w:tc>
        <w:tc>
          <w:tcPr>
            <w:tcW w:w="1080" w:type="dxa"/>
          </w:tcPr>
          <w:p>
            <w:pPr>
              <w:pStyle w:val="TableParagraph"/>
              <w:ind w:left="319" w:right="307"/>
              <w:rPr>
                <w:sz w:val="16"/>
              </w:rPr>
            </w:pPr>
            <w:r>
              <w:rPr>
                <w:sz w:val="16"/>
              </w:rPr>
              <w:t>68.59</w:t>
            </w:r>
          </w:p>
        </w:tc>
        <w:tc>
          <w:tcPr>
            <w:tcW w:w="1034" w:type="dxa"/>
          </w:tcPr>
          <w:p>
            <w:pPr>
              <w:pStyle w:val="TableParagraph"/>
              <w:ind w:left="297" w:right="282"/>
              <w:rPr>
                <w:sz w:val="16"/>
              </w:rPr>
            </w:pPr>
            <w:r>
              <w:rPr>
                <w:sz w:val="16"/>
              </w:rPr>
              <w:t>51.17</w:t>
            </w:r>
          </w:p>
        </w:tc>
      </w:tr>
      <w:tr>
        <w:trPr>
          <w:trHeight w:val="311" w:hRule="atLeast"/>
        </w:trPr>
        <w:tc>
          <w:tcPr>
            <w:tcW w:w="2268" w:type="dxa"/>
          </w:tcPr>
          <w:p>
            <w:pPr>
              <w:pStyle w:val="TableParagraph"/>
              <w:ind w:left="414" w:right="402"/>
              <w:rPr>
                <w:sz w:val="16"/>
              </w:rPr>
            </w:pPr>
            <w:r>
              <w:rPr>
                <w:sz w:val="16"/>
              </w:rPr>
              <w:t>79</w:t>
            </w:r>
          </w:p>
        </w:tc>
        <w:tc>
          <w:tcPr>
            <w:tcW w:w="1080" w:type="dxa"/>
          </w:tcPr>
          <w:p>
            <w:pPr>
              <w:pStyle w:val="TableParagraph"/>
              <w:ind w:right="325"/>
              <w:jc w:val="right"/>
              <w:rPr>
                <w:sz w:val="16"/>
              </w:rPr>
            </w:pPr>
            <w:r>
              <w:rPr>
                <w:sz w:val="16"/>
              </w:rPr>
              <w:t>45.91</w:t>
            </w:r>
          </w:p>
        </w:tc>
        <w:tc>
          <w:tcPr>
            <w:tcW w:w="912" w:type="dxa"/>
          </w:tcPr>
          <w:p>
            <w:pPr>
              <w:pStyle w:val="TableParagraph"/>
              <w:ind w:left="237" w:right="220"/>
              <w:rPr>
                <w:sz w:val="16"/>
              </w:rPr>
            </w:pPr>
            <w:r>
              <w:rPr>
                <w:sz w:val="16"/>
              </w:rPr>
              <w:t>29.76</w:t>
            </w:r>
          </w:p>
        </w:tc>
        <w:tc>
          <w:tcPr>
            <w:tcW w:w="2148" w:type="dxa"/>
          </w:tcPr>
          <w:p>
            <w:pPr>
              <w:pStyle w:val="TableParagraph"/>
              <w:ind w:left="354" w:right="342"/>
              <w:rPr>
                <w:sz w:val="16"/>
              </w:rPr>
            </w:pPr>
            <w:r>
              <w:rPr>
                <w:sz w:val="16"/>
              </w:rPr>
              <w:t>94</w:t>
            </w:r>
          </w:p>
        </w:tc>
        <w:tc>
          <w:tcPr>
            <w:tcW w:w="1080" w:type="dxa"/>
          </w:tcPr>
          <w:p>
            <w:pPr>
              <w:pStyle w:val="TableParagraph"/>
              <w:ind w:left="319" w:right="307"/>
              <w:rPr>
                <w:sz w:val="16"/>
              </w:rPr>
            </w:pPr>
            <w:r>
              <w:rPr>
                <w:sz w:val="16"/>
              </w:rPr>
              <w:t>71.48</w:t>
            </w:r>
          </w:p>
        </w:tc>
        <w:tc>
          <w:tcPr>
            <w:tcW w:w="1034" w:type="dxa"/>
          </w:tcPr>
          <w:p>
            <w:pPr>
              <w:pStyle w:val="TableParagraph"/>
              <w:ind w:left="297" w:right="282"/>
              <w:rPr>
                <w:sz w:val="16"/>
              </w:rPr>
            </w:pPr>
            <w:r>
              <w:rPr>
                <w:sz w:val="16"/>
              </w:rPr>
              <w:t>53.50</w:t>
            </w:r>
          </w:p>
        </w:tc>
      </w:tr>
      <w:tr>
        <w:trPr>
          <w:trHeight w:val="311" w:hRule="atLeast"/>
        </w:trPr>
        <w:tc>
          <w:tcPr>
            <w:tcW w:w="2268" w:type="dxa"/>
          </w:tcPr>
          <w:p>
            <w:pPr>
              <w:pStyle w:val="TableParagraph"/>
              <w:ind w:left="414" w:right="402"/>
              <w:rPr>
                <w:sz w:val="16"/>
              </w:rPr>
            </w:pPr>
            <w:r>
              <w:rPr>
                <w:sz w:val="16"/>
              </w:rPr>
              <w:t>80</w:t>
            </w:r>
          </w:p>
        </w:tc>
        <w:tc>
          <w:tcPr>
            <w:tcW w:w="1080" w:type="dxa"/>
          </w:tcPr>
          <w:p>
            <w:pPr>
              <w:pStyle w:val="TableParagraph"/>
              <w:ind w:right="325"/>
              <w:jc w:val="right"/>
              <w:rPr>
                <w:sz w:val="16"/>
              </w:rPr>
            </w:pPr>
            <w:r>
              <w:rPr>
                <w:sz w:val="16"/>
              </w:rPr>
              <w:t>49.39</w:t>
            </w:r>
          </w:p>
        </w:tc>
        <w:tc>
          <w:tcPr>
            <w:tcW w:w="912" w:type="dxa"/>
          </w:tcPr>
          <w:p>
            <w:pPr>
              <w:pStyle w:val="TableParagraph"/>
              <w:ind w:left="237" w:right="220"/>
              <w:rPr>
                <w:sz w:val="16"/>
              </w:rPr>
            </w:pPr>
            <w:r>
              <w:rPr>
                <w:sz w:val="16"/>
              </w:rPr>
              <w:t>31.01</w:t>
            </w:r>
          </w:p>
        </w:tc>
        <w:tc>
          <w:tcPr>
            <w:tcW w:w="2148" w:type="dxa"/>
          </w:tcPr>
          <w:p>
            <w:pPr>
              <w:pStyle w:val="TableParagraph"/>
              <w:ind w:left="354" w:right="342"/>
              <w:rPr>
                <w:sz w:val="16"/>
              </w:rPr>
            </w:pPr>
            <w:r>
              <w:rPr>
                <w:sz w:val="16"/>
              </w:rPr>
              <w:t>95</w:t>
            </w:r>
          </w:p>
        </w:tc>
        <w:tc>
          <w:tcPr>
            <w:tcW w:w="1080" w:type="dxa"/>
          </w:tcPr>
          <w:p>
            <w:pPr>
              <w:pStyle w:val="TableParagraph"/>
              <w:ind w:left="319" w:right="307"/>
              <w:rPr>
                <w:sz w:val="16"/>
              </w:rPr>
            </w:pPr>
            <w:r>
              <w:rPr>
                <w:sz w:val="16"/>
              </w:rPr>
              <w:t>74.50</w:t>
            </w:r>
          </w:p>
        </w:tc>
        <w:tc>
          <w:tcPr>
            <w:tcW w:w="1034" w:type="dxa"/>
          </w:tcPr>
          <w:p>
            <w:pPr>
              <w:pStyle w:val="TableParagraph"/>
              <w:ind w:left="297" w:right="282"/>
              <w:rPr>
                <w:sz w:val="16"/>
              </w:rPr>
            </w:pPr>
            <w:r>
              <w:rPr>
                <w:sz w:val="16"/>
              </w:rPr>
              <w:t>55.92</w:t>
            </w:r>
          </w:p>
        </w:tc>
      </w:tr>
      <w:tr>
        <w:trPr>
          <w:trHeight w:val="311" w:hRule="atLeast"/>
        </w:trPr>
        <w:tc>
          <w:tcPr>
            <w:tcW w:w="2268" w:type="dxa"/>
          </w:tcPr>
          <w:p>
            <w:pPr>
              <w:pStyle w:val="TableParagraph"/>
              <w:ind w:left="414" w:right="402"/>
              <w:rPr>
                <w:sz w:val="16"/>
              </w:rPr>
            </w:pPr>
            <w:r>
              <w:rPr>
                <w:sz w:val="16"/>
              </w:rPr>
              <w:t>81</w:t>
            </w:r>
          </w:p>
        </w:tc>
        <w:tc>
          <w:tcPr>
            <w:tcW w:w="1080" w:type="dxa"/>
          </w:tcPr>
          <w:p>
            <w:pPr>
              <w:pStyle w:val="TableParagraph"/>
              <w:ind w:right="325"/>
              <w:jc w:val="right"/>
              <w:rPr>
                <w:sz w:val="16"/>
              </w:rPr>
            </w:pPr>
            <w:r>
              <w:rPr>
                <w:sz w:val="16"/>
              </w:rPr>
              <w:t>49.39</w:t>
            </w:r>
          </w:p>
        </w:tc>
        <w:tc>
          <w:tcPr>
            <w:tcW w:w="912" w:type="dxa"/>
          </w:tcPr>
          <w:p>
            <w:pPr>
              <w:pStyle w:val="TableParagraph"/>
              <w:ind w:left="237" w:right="220"/>
              <w:rPr>
                <w:sz w:val="16"/>
              </w:rPr>
            </w:pPr>
            <w:r>
              <w:rPr>
                <w:sz w:val="16"/>
              </w:rPr>
              <w:t>31.01</w:t>
            </w:r>
          </w:p>
        </w:tc>
        <w:tc>
          <w:tcPr>
            <w:tcW w:w="2148" w:type="dxa"/>
          </w:tcPr>
          <w:p>
            <w:pPr>
              <w:pStyle w:val="TableParagraph"/>
              <w:ind w:left="354" w:right="342"/>
              <w:rPr>
                <w:sz w:val="16"/>
              </w:rPr>
            </w:pPr>
            <w:r>
              <w:rPr>
                <w:sz w:val="16"/>
              </w:rPr>
              <w:t>96</w:t>
            </w:r>
          </w:p>
        </w:tc>
        <w:tc>
          <w:tcPr>
            <w:tcW w:w="1080" w:type="dxa"/>
          </w:tcPr>
          <w:p>
            <w:pPr>
              <w:pStyle w:val="TableParagraph"/>
              <w:ind w:left="319" w:right="307"/>
              <w:rPr>
                <w:sz w:val="16"/>
              </w:rPr>
            </w:pPr>
            <w:r>
              <w:rPr>
                <w:sz w:val="16"/>
              </w:rPr>
              <w:t>77.63</w:t>
            </w:r>
          </w:p>
        </w:tc>
        <w:tc>
          <w:tcPr>
            <w:tcW w:w="1034" w:type="dxa"/>
          </w:tcPr>
          <w:p>
            <w:pPr>
              <w:pStyle w:val="TableParagraph"/>
              <w:ind w:left="297" w:right="282"/>
              <w:rPr>
                <w:sz w:val="16"/>
              </w:rPr>
            </w:pPr>
            <w:r>
              <w:rPr>
                <w:sz w:val="16"/>
              </w:rPr>
              <w:t>58.46</w:t>
            </w:r>
          </w:p>
        </w:tc>
      </w:tr>
      <w:tr>
        <w:trPr>
          <w:trHeight w:val="311" w:hRule="atLeast"/>
        </w:trPr>
        <w:tc>
          <w:tcPr>
            <w:tcW w:w="2268" w:type="dxa"/>
          </w:tcPr>
          <w:p>
            <w:pPr>
              <w:pStyle w:val="TableParagraph"/>
              <w:ind w:left="414" w:right="402"/>
              <w:rPr>
                <w:sz w:val="16"/>
              </w:rPr>
            </w:pPr>
            <w:r>
              <w:rPr>
                <w:sz w:val="16"/>
              </w:rPr>
              <w:t>82</w:t>
            </w:r>
          </w:p>
        </w:tc>
        <w:tc>
          <w:tcPr>
            <w:tcW w:w="1080" w:type="dxa"/>
          </w:tcPr>
          <w:p>
            <w:pPr>
              <w:pStyle w:val="TableParagraph"/>
              <w:ind w:right="325"/>
              <w:jc w:val="right"/>
              <w:rPr>
                <w:sz w:val="16"/>
              </w:rPr>
            </w:pPr>
            <w:r>
              <w:rPr>
                <w:sz w:val="16"/>
              </w:rPr>
              <w:t>49.39</w:t>
            </w:r>
          </w:p>
        </w:tc>
        <w:tc>
          <w:tcPr>
            <w:tcW w:w="912" w:type="dxa"/>
          </w:tcPr>
          <w:p>
            <w:pPr>
              <w:pStyle w:val="TableParagraph"/>
              <w:ind w:left="237" w:right="220"/>
              <w:rPr>
                <w:sz w:val="16"/>
              </w:rPr>
            </w:pPr>
            <w:r>
              <w:rPr>
                <w:sz w:val="16"/>
              </w:rPr>
              <w:t>31.39</w:t>
            </w:r>
          </w:p>
        </w:tc>
        <w:tc>
          <w:tcPr>
            <w:tcW w:w="2148" w:type="dxa"/>
          </w:tcPr>
          <w:p>
            <w:pPr>
              <w:pStyle w:val="TableParagraph"/>
              <w:ind w:left="354" w:right="342"/>
              <w:rPr>
                <w:sz w:val="16"/>
              </w:rPr>
            </w:pPr>
            <w:r>
              <w:rPr>
                <w:sz w:val="16"/>
              </w:rPr>
              <w:t>97</w:t>
            </w:r>
          </w:p>
        </w:tc>
        <w:tc>
          <w:tcPr>
            <w:tcW w:w="1080" w:type="dxa"/>
          </w:tcPr>
          <w:p>
            <w:pPr>
              <w:pStyle w:val="TableParagraph"/>
              <w:ind w:left="319" w:right="307"/>
              <w:rPr>
                <w:sz w:val="16"/>
              </w:rPr>
            </w:pPr>
            <w:r>
              <w:rPr>
                <w:sz w:val="16"/>
              </w:rPr>
              <w:t>80.90</w:t>
            </w:r>
          </w:p>
        </w:tc>
        <w:tc>
          <w:tcPr>
            <w:tcW w:w="1034" w:type="dxa"/>
          </w:tcPr>
          <w:p>
            <w:pPr>
              <w:pStyle w:val="TableParagraph"/>
              <w:ind w:left="297" w:right="282"/>
              <w:rPr>
                <w:sz w:val="16"/>
              </w:rPr>
            </w:pPr>
            <w:r>
              <w:rPr>
                <w:sz w:val="16"/>
              </w:rPr>
              <w:t>61.12</w:t>
            </w:r>
          </w:p>
        </w:tc>
      </w:tr>
      <w:tr>
        <w:trPr>
          <w:trHeight w:val="313" w:hRule="atLeast"/>
        </w:trPr>
        <w:tc>
          <w:tcPr>
            <w:tcW w:w="2268" w:type="dxa"/>
          </w:tcPr>
          <w:p>
            <w:pPr>
              <w:pStyle w:val="TableParagraph"/>
              <w:spacing w:before="65"/>
              <w:ind w:left="414" w:right="402"/>
              <w:rPr>
                <w:sz w:val="16"/>
              </w:rPr>
            </w:pPr>
            <w:r>
              <w:rPr>
                <w:sz w:val="16"/>
              </w:rPr>
              <w:t>83</w:t>
            </w:r>
          </w:p>
        </w:tc>
        <w:tc>
          <w:tcPr>
            <w:tcW w:w="1080" w:type="dxa"/>
          </w:tcPr>
          <w:p>
            <w:pPr>
              <w:pStyle w:val="TableParagraph"/>
              <w:spacing w:before="65"/>
              <w:ind w:right="325"/>
              <w:jc w:val="right"/>
              <w:rPr>
                <w:sz w:val="16"/>
              </w:rPr>
            </w:pPr>
            <w:r>
              <w:rPr>
                <w:sz w:val="16"/>
              </w:rPr>
              <w:t>49.39</w:t>
            </w:r>
          </w:p>
        </w:tc>
        <w:tc>
          <w:tcPr>
            <w:tcW w:w="912" w:type="dxa"/>
          </w:tcPr>
          <w:p>
            <w:pPr>
              <w:pStyle w:val="TableParagraph"/>
              <w:spacing w:before="65"/>
              <w:ind w:left="237" w:right="220"/>
              <w:rPr>
                <w:sz w:val="16"/>
              </w:rPr>
            </w:pPr>
            <w:r>
              <w:rPr>
                <w:sz w:val="16"/>
              </w:rPr>
              <w:t>32.82</w:t>
            </w:r>
          </w:p>
        </w:tc>
        <w:tc>
          <w:tcPr>
            <w:tcW w:w="2148" w:type="dxa"/>
          </w:tcPr>
          <w:p>
            <w:pPr>
              <w:pStyle w:val="TableParagraph"/>
              <w:spacing w:before="65"/>
              <w:ind w:left="354" w:right="342"/>
              <w:rPr>
                <w:sz w:val="16"/>
              </w:rPr>
            </w:pPr>
            <w:r>
              <w:rPr>
                <w:sz w:val="16"/>
              </w:rPr>
              <w:t>98</w:t>
            </w:r>
          </w:p>
        </w:tc>
        <w:tc>
          <w:tcPr>
            <w:tcW w:w="1080" w:type="dxa"/>
          </w:tcPr>
          <w:p>
            <w:pPr>
              <w:pStyle w:val="TableParagraph"/>
              <w:spacing w:before="65"/>
              <w:ind w:left="319" w:right="307"/>
              <w:rPr>
                <w:sz w:val="16"/>
              </w:rPr>
            </w:pPr>
            <w:r>
              <w:rPr>
                <w:sz w:val="16"/>
              </w:rPr>
              <w:t>84.31</w:t>
            </w:r>
          </w:p>
        </w:tc>
        <w:tc>
          <w:tcPr>
            <w:tcW w:w="1034" w:type="dxa"/>
          </w:tcPr>
          <w:p>
            <w:pPr>
              <w:pStyle w:val="TableParagraph"/>
              <w:spacing w:before="65"/>
              <w:ind w:left="297" w:right="282"/>
              <w:rPr>
                <w:sz w:val="16"/>
              </w:rPr>
            </w:pPr>
            <w:r>
              <w:rPr>
                <w:sz w:val="16"/>
              </w:rPr>
              <w:t>63.89</w:t>
            </w:r>
          </w:p>
        </w:tc>
      </w:tr>
      <w:tr>
        <w:trPr>
          <w:trHeight w:val="311" w:hRule="atLeast"/>
        </w:trPr>
        <w:tc>
          <w:tcPr>
            <w:tcW w:w="2268" w:type="dxa"/>
          </w:tcPr>
          <w:p>
            <w:pPr>
              <w:pStyle w:val="TableParagraph"/>
              <w:ind w:left="414" w:right="402"/>
              <w:rPr>
                <w:sz w:val="16"/>
              </w:rPr>
            </w:pPr>
            <w:r>
              <w:rPr>
                <w:sz w:val="16"/>
              </w:rPr>
              <w:t>84</w:t>
            </w:r>
          </w:p>
        </w:tc>
        <w:tc>
          <w:tcPr>
            <w:tcW w:w="1080" w:type="dxa"/>
          </w:tcPr>
          <w:p>
            <w:pPr>
              <w:pStyle w:val="TableParagraph"/>
              <w:ind w:right="325"/>
              <w:jc w:val="right"/>
              <w:rPr>
                <w:sz w:val="16"/>
              </w:rPr>
            </w:pPr>
            <w:r>
              <w:rPr>
                <w:sz w:val="16"/>
              </w:rPr>
              <w:t>49.39</w:t>
            </w:r>
          </w:p>
        </w:tc>
        <w:tc>
          <w:tcPr>
            <w:tcW w:w="912" w:type="dxa"/>
          </w:tcPr>
          <w:p>
            <w:pPr>
              <w:pStyle w:val="TableParagraph"/>
              <w:ind w:left="237" w:right="220"/>
              <w:rPr>
                <w:sz w:val="16"/>
              </w:rPr>
            </w:pPr>
            <w:r>
              <w:rPr>
                <w:sz w:val="16"/>
              </w:rPr>
              <w:t>34.31</w:t>
            </w:r>
          </w:p>
        </w:tc>
        <w:tc>
          <w:tcPr>
            <w:tcW w:w="2148" w:type="dxa"/>
          </w:tcPr>
          <w:p>
            <w:pPr>
              <w:pStyle w:val="TableParagraph"/>
              <w:ind w:left="354" w:right="342"/>
              <w:rPr>
                <w:sz w:val="16"/>
              </w:rPr>
            </w:pPr>
            <w:r>
              <w:rPr>
                <w:sz w:val="16"/>
              </w:rPr>
              <w:t>99</w:t>
            </w:r>
          </w:p>
        </w:tc>
        <w:tc>
          <w:tcPr>
            <w:tcW w:w="1080" w:type="dxa"/>
          </w:tcPr>
          <w:p>
            <w:pPr>
              <w:pStyle w:val="TableParagraph"/>
              <w:ind w:left="319" w:right="307"/>
              <w:rPr>
                <w:sz w:val="16"/>
              </w:rPr>
            </w:pPr>
            <w:r>
              <w:rPr>
                <w:sz w:val="16"/>
              </w:rPr>
              <w:t>87.88</w:t>
            </w:r>
          </w:p>
        </w:tc>
        <w:tc>
          <w:tcPr>
            <w:tcW w:w="1034" w:type="dxa"/>
          </w:tcPr>
          <w:p>
            <w:pPr>
              <w:pStyle w:val="TableParagraph"/>
              <w:ind w:left="297" w:right="282"/>
              <w:rPr>
                <w:sz w:val="16"/>
              </w:rPr>
            </w:pPr>
            <w:r>
              <w:rPr>
                <w:sz w:val="16"/>
              </w:rPr>
              <w:t>66.79</w:t>
            </w:r>
          </w:p>
        </w:tc>
      </w:tr>
      <w:tr>
        <w:trPr>
          <w:trHeight w:val="311" w:hRule="atLeast"/>
        </w:trPr>
        <w:tc>
          <w:tcPr>
            <w:tcW w:w="2268" w:type="dxa"/>
          </w:tcPr>
          <w:p>
            <w:pPr>
              <w:pStyle w:val="TableParagraph"/>
              <w:ind w:left="414" w:right="402"/>
              <w:rPr>
                <w:sz w:val="16"/>
              </w:rPr>
            </w:pPr>
            <w:r>
              <w:rPr>
                <w:sz w:val="16"/>
              </w:rPr>
              <w:t>85</w:t>
            </w:r>
          </w:p>
        </w:tc>
        <w:tc>
          <w:tcPr>
            <w:tcW w:w="1080" w:type="dxa"/>
          </w:tcPr>
          <w:p>
            <w:pPr>
              <w:pStyle w:val="TableParagraph"/>
              <w:ind w:right="325"/>
              <w:jc w:val="right"/>
              <w:rPr>
                <w:sz w:val="16"/>
              </w:rPr>
            </w:pPr>
            <w:r>
              <w:rPr>
                <w:sz w:val="16"/>
              </w:rPr>
              <w:t>49.39</w:t>
            </w:r>
          </w:p>
        </w:tc>
        <w:tc>
          <w:tcPr>
            <w:tcW w:w="912" w:type="dxa"/>
          </w:tcPr>
          <w:p>
            <w:pPr>
              <w:pStyle w:val="TableParagraph"/>
              <w:ind w:left="237" w:right="220"/>
              <w:rPr>
                <w:sz w:val="16"/>
              </w:rPr>
            </w:pPr>
            <w:r>
              <w:rPr>
                <w:sz w:val="16"/>
              </w:rPr>
              <w:t>35.87</w:t>
            </w:r>
          </w:p>
        </w:tc>
        <w:tc>
          <w:tcPr>
            <w:tcW w:w="2148" w:type="dxa"/>
          </w:tcPr>
          <w:p>
            <w:pPr>
              <w:pStyle w:val="TableParagraph"/>
              <w:ind w:left="354" w:right="339"/>
              <w:rPr>
                <w:sz w:val="16"/>
              </w:rPr>
            </w:pPr>
            <w:r>
              <w:rPr>
                <w:sz w:val="16"/>
              </w:rPr>
              <w:t>100</w:t>
            </w:r>
          </w:p>
        </w:tc>
        <w:tc>
          <w:tcPr>
            <w:tcW w:w="1080" w:type="dxa"/>
          </w:tcPr>
          <w:p>
            <w:pPr>
              <w:pStyle w:val="TableParagraph"/>
              <w:ind w:left="319" w:right="307"/>
              <w:rPr>
                <w:sz w:val="16"/>
              </w:rPr>
            </w:pPr>
            <w:r>
              <w:rPr>
                <w:sz w:val="16"/>
              </w:rPr>
              <w:t>91.57</w:t>
            </w:r>
          </w:p>
        </w:tc>
        <w:tc>
          <w:tcPr>
            <w:tcW w:w="1034" w:type="dxa"/>
          </w:tcPr>
          <w:p>
            <w:pPr>
              <w:pStyle w:val="TableParagraph"/>
              <w:ind w:left="297" w:right="282"/>
              <w:rPr>
                <w:sz w:val="16"/>
              </w:rPr>
            </w:pPr>
            <w:r>
              <w:rPr>
                <w:sz w:val="16"/>
              </w:rPr>
              <w:t>69.83</w:t>
            </w:r>
          </w:p>
        </w:tc>
      </w:tr>
      <w:tr>
        <w:trPr>
          <w:trHeight w:val="311" w:hRule="atLeast"/>
        </w:trPr>
        <w:tc>
          <w:tcPr>
            <w:tcW w:w="2268" w:type="dxa"/>
          </w:tcPr>
          <w:p>
            <w:pPr>
              <w:pStyle w:val="TableParagraph"/>
              <w:ind w:left="414" w:right="402"/>
              <w:rPr>
                <w:sz w:val="16"/>
              </w:rPr>
            </w:pPr>
            <w:r>
              <w:rPr>
                <w:sz w:val="16"/>
              </w:rPr>
              <w:t>86</w:t>
            </w:r>
          </w:p>
        </w:tc>
        <w:tc>
          <w:tcPr>
            <w:tcW w:w="1080" w:type="dxa"/>
          </w:tcPr>
          <w:p>
            <w:pPr>
              <w:pStyle w:val="TableParagraph"/>
              <w:ind w:right="325"/>
              <w:jc w:val="right"/>
              <w:rPr>
                <w:sz w:val="16"/>
              </w:rPr>
            </w:pPr>
            <w:r>
              <w:rPr>
                <w:sz w:val="16"/>
              </w:rPr>
              <w:t>51.34</w:t>
            </w:r>
          </w:p>
        </w:tc>
        <w:tc>
          <w:tcPr>
            <w:tcW w:w="912" w:type="dxa"/>
          </w:tcPr>
          <w:p>
            <w:pPr>
              <w:pStyle w:val="TableParagraph"/>
              <w:ind w:left="237" w:right="220"/>
              <w:rPr>
                <w:sz w:val="16"/>
              </w:rPr>
            </w:pPr>
            <w:r>
              <w:rPr>
                <w:sz w:val="16"/>
              </w:rPr>
              <w:t>37.50</w:t>
            </w:r>
          </w:p>
        </w:tc>
        <w:tc>
          <w:tcPr>
            <w:tcW w:w="2148" w:type="dxa"/>
          </w:tcPr>
          <w:p>
            <w:pPr>
              <w:pStyle w:val="TableParagraph"/>
              <w:spacing w:before="0"/>
              <w:jc w:val="left"/>
              <w:rPr>
                <w:rFonts w:ascii="Times New Roman"/>
                <w:sz w:val="16"/>
              </w:rPr>
            </w:pPr>
          </w:p>
        </w:tc>
        <w:tc>
          <w:tcPr>
            <w:tcW w:w="1080" w:type="dxa"/>
          </w:tcPr>
          <w:p>
            <w:pPr>
              <w:pStyle w:val="TableParagraph"/>
              <w:spacing w:before="0"/>
              <w:jc w:val="left"/>
              <w:rPr>
                <w:rFonts w:ascii="Times New Roman"/>
                <w:sz w:val="16"/>
              </w:rPr>
            </w:pPr>
          </w:p>
        </w:tc>
        <w:tc>
          <w:tcPr>
            <w:tcW w:w="1034" w:type="dxa"/>
          </w:tcPr>
          <w:p>
            <w:pPr>
              <w:pStyle w:val="TableParagraph"/>
              <w:spacing w:before="0"/>
              <w:jc w:val="left"/>
              <w:rPr>
                <w:rFonts w:ascii="Times New Roman"/>
                <w:sz w:val="16"/>
              </w:rPr>
            </w:pPr>
          </w:p>
        </w:tc>
      </w:tr>
      <w:tr>
        <w:trPr>
          <w:trHeight w:val="311" w:hRule="atLeast"/>
        </w:trPr>
        <w:tc>
          <w:tcPr>
            <w:tcW w:w="2268" w:type="dxa"/>
          </w:tcPr>
          <w:p>
            <w:pPr>
              <w:pStyle w:val="TableParagraph"/>
              <w:ind w:left="414" w:right="402"/>
              <w:rPr>
                <w:sz w:val="16"/>
              </w:rPr>
            </w:pPr>
            <w:r>
              <w:rPr>
                <w:sz w:val="16"/>
              </w:rPr>
              <w:t>87</w:t>
            </w:r>
          </w:p>
        </w:tc>
        <w:tc>
          <w:tcPr>
            <w:tcW w:w="1080" w:type="dxa"/>
          </w:tcPr>
          <w:p>
            <w:pPr>
              <w:pStyle w:val="TableParagraph"/>
              <w:ind w:right="325"/>
              <w:jc w:val="right"/>
              <w:rPr>
                <w:sz w:val="16"/>
              </w:rPr>
            </w:pPr>
            <w:r>
              <w:rPr>
                <w:sz w:val="16"/>
              </w:rPr>
              <w:t>53.54</w:t>
            </w:r>
          </w:p>
        </w:tc>
        <w:tc>
          <w:tcPr>
            <w:tcW w:w="912" w:type="dxa"/>
          </w:tcPr>
          <w:p>
            <w:pPr>
              <w:pStyle w:val="TableParagraph"/>
              <w:ind w:left="237" w:right="220"/>
              <w:rPr>
                <w:sz w:val="16"/>
              </w:rPr>
            </w:pPr>
            <w:r>
              <w:rPr>
                <w:sz w:val="16"/>
              </w:rPr>
              <w:t>39.20</w:t>
            </w:r>
          </w:p>
        </w:tc>
        <w:tc>
          <w:tcPr>
            <w:tcW w:w="2148" w:type="dxa"/>
          </w:tcPr>
          <w:p>
            <w:pPr>
              <w:pStyle w:val="TableParagraph"/>
              <w:spacing w:before="0"/>
              <w:jc w:val="left"/>
              <w:rPr>
                <w:rFonts w:ascii="Times New Roman"/>
                <w:sz w:val="16"/>
              </w:rPr>
            </w:pPr>
          </w:p>
        </w:tc>
        <w:tc>
          <w:tcPr>
            <w:tcW w:w="1080" w:type="dxa"/>
          </w:tcPr>
          <w:p>
            <w:pPr>
              <w:pStyle w:val="TableParagraph"/>
              <w:spacing w:before="0"/>
              <w:jc w:val="left"/>
              <w:rPr>
                <w:rFonts w:ascii="Times New Roman"/>
                <w:sz w:val="16"/>
              </w:rPr>
            </w:pPr>
          </w:p>
        </w:tc>
        <w:tc>
          <w:tcPr>
            <w:tcW w:w="1034" w:type="dxa"/>
          </w:tcPr>
          <w:p>
            <w:pPr>
              <w:pStyle w:val="TableParagraph"/>
              <w:spacing w:before="0"/>
              <w:jc w:val="left"/>
              <w:rPr>
                <w:rFonts w:ascii="Times New Roman"/>
                <w:sz w:val="16"/>
              </w:rPr>
            </w:pPr>
          </w:p>
        </w:tc>
      </w:tr>
      <w:tr>
        <w:trPr>
          <w:trHeight w:val="311" w:hRule="atLeast"/>
        </w:trPr>
        <w:tc>
          <w:tcPr>
            <w:tcW w:w="2268" w:type="dxa"/>
          </w:tcPr>
          <w:p>
            <w:pPr>
              <w:pStyle w:val="TableParagraph"/>
              <w:spacing w:before="65"/>
              <w:ind w:left="414" w:right="402"/>
              <w:rPr>
                <w:sz w:val="16"/>
              </w:rPr>
            </w:pPr>
            <w:r>
              <w:rPr>
                <w:sz w:val="16"/>
              </w:rPr>
              <w:t>88</w:t>
            </w:r>
          </w:p>
        </w:tc>
        <w:tc>
          <w:tcPr>
            <w:tcW w:w="1080" w:type="dxa"/>
          </w:tcPr>
          <w:p>
            <w:pPr>
              <w:pStyle w:val="TableParagraph"/>
              <w:spacing w:before="65"/>
              <w:ind w:right="325"/>
              <w:jc w:val="right"/>
              <w:rPr>
                <w:sz w:val="16"/>
              </w:rPr>
            </w:pPr>
            <w:r>
              <w:rPr>
                <w:sz w:val="16"/>
              </w:rPr>
              <w:t>55.80</w:t>
            </w:r>
          </w:p>
        </w:tc>
        <w:tc>
          <w:tcPr>
            <w:tcW w:w="912" w:type="dxa"/>
          </w:tcPr>
          <w:p>
            <w:pPr>
              <w:pStyle w:val="TableParagraph"/>
              <w:spacing w:before="65"/>
              <w:ind w:left="237" w:right="220"/>
              <w:rPr>
                <w:sz w:val="16"/>
              </w:rPr>
            </w:pPr>
            <w:r>
              <w:rPr>
                <w:sz w:val="16"/>
              </w:rPr>
              <w:t>40.98</w:t>
            </w:r>
          </w:p>
        </w:tc>
        <w:tc>
          <w:tcPr>
            <w:tcW w:w="2148" w:type="dxa"/>
          </w:tcPr>
          <w:p>
            <w:pPr>
              <w:pStyle w:val="TableParagraph"/>
              <w:spacing w:before="0"/>
              <w:jc w:val="left"/>
              <w:rPr>
                <w:rFonts w:ascii="Times New Roman"/>
                <w:sz w:val="16"/>
              </w:rPr>
            </w:pPr>
          </w:p>
        </w:tc>
        <w:tc>
          <w:tcPr>
            <w:tcW w:w="1080" w:type="dxa"/>
          </w:tcPr>
          <w:p>
            <w:pPr>
              <w:pStyle w:val="TableParagraph"/>
              <w:spacing w:before="0"/>
              <w:jc w:val="left"/>
              <w:rPr>
                <w:rFonts w:ascii="Times New Roman"/>
                <w:sz w:val="16"/>
              </w:rPr>
            </w:pPr>
          </w:p>
        </w:tc>
        <w:tc>
          <w:tcPr>
            <w:tcW w:w="1034" w:type="dxa"/>
          </w:tcPr>
          <w:p>
            <w:pPr>
              <w:pStyle w:val="TableParagraph"/>
              <w:spacing w:before="0"/>
              <w:jc w:val="left"/>
              <w:rPr>
                <w:rFonts w:ascii="Times New Roman"/>
                <w:sz w:val="16"/>
              </w:rPr>
            </w:pPr>
          </w:p>
        </w:tc>
      </w:tr>
      <w:tr>
        <w:trPr>
          <w:trHeight w:val="313" w:hRule="atLeast"/>
        </w:trPr>
        <w:tc>
          <w:tcPr>
            <w:tcW w:w="2268" w:type="dxa"/>
          </w:tcPr>
          <w:p>
            <w:pPr>
              <w:pStyle w:val="TableParagraph"/>
              <w:spacing w:before="65"/>
              <w:ind w:left="414" w:right="402"/>
              <w:rPr>
                <w:sz w:val="16"/>
              </w:rPr>
            </w:pPr>
            <w:r>
              <w:rPr>
                <w:sz w:val="16"/>
              </w:rPr>
              <w:t>89</w:t>
            </w:r>
          </w:p>
        </w:tc>
        <w:tc>
          <w:tcPr>
            <w:tcW w:w="1080" w:type="dxa"/>
          </w:tcPr>
          <w:p>
            <w:pPr>
              <w:pStyle w:val="TableParagraph"/>
              <w:spacing w:before="65"/>
              <w:ind w:right="325"/>
              <w:jc w:val="right"/>
              <w:rPr>
                <w:sz w:val="16"/>
              </w:rPr>
            </w:pPr>
            <w:r>
              <w:rPr>
                <w:sz w:val="16"/>
              </w:rPr>
              <w:t>58.15</w:t>
            </w:r>
          </w:p>
        </w:tc>
        <w:tc>
          <w:tcPr>
            <w:tcW w:w="912" w:type="dxa"/>
          </w:tcPr>
          <w:p>
            <w:pPr>
              <w:pStyle w:val="TableParagraph"/>
              <w:spacing w:before="65"/>
              <w:ind w:left="237" w:right="220"/>
              <w:rPr>
                <w:sz w:val="16"/>
              </w:rPr>
            </w:pPr>
            <w:r>
              <w:rPr>
                <w:sz w:val="16"/>
              </w:rPr>
              <w:t>42.84</w:t>
            </w:r>
          </w:p>
        </w:tc>
        <w:tc>
          <w:tcPr>
            <w:tcW w:w="2148" w:type="dxa"/>
          </w:tcPr>
          <w:p>
            <w:pPr>
              <w:pStyle w:val="TableParagraph"/>
              <w:spacing w:before="0"/>
              <w:jc w:val="left"/>
              <w:rPr>
                <w:rFonts w:ascii="Times New Roman"/>
                <w:sz w:val="16"/>
              </w:rPr>
            </w:pPr>
          </w:p>
        </w:tc>
        <w:tc>
          <w:tcPr>
            <w:tcW w:w="1080" w:type="dxa"/>
          </w:tcPr>
          <w:p>
            <w:pPr>
              <w:pStyle w:val="TableParagraph"/>
              <w:spacing w:before="0"/>
              <w:jc w:val="left"/>
              <w:rPr>
                <w:rFonts w:ascii="Times New Roman"/>
                <w:sz w:val="16"/>
              </w:rPr>
            </w:pPr>
          </w:p>
        </w:tc>
        <w:tc>
          <w:tcPr>
            <w:tcW w:w="1034" w:type="dxa"/>
          </w:tcPr>
          <w:p>
            <w:pPr>
              <w:pStyle w:val="TableParagraph"/>
              <w:spacing w:before="0"/>
              <w:jc w:val="left"/>
              <w:rPr>
                <w:rFonts w:ascii="Times New Roman"/>
                <w:sz w:val="16"/>
              </w:rPr>
            </w:pPr>
          </w:p>
        </w:tc>
      </w:tr>
      <w:tr>
        <w:trPr>
          <w:trHeight w:val="311" w:hRule="atLeast"/>
        </w:trPr>
        <w:tc>
          <w:tcPr>
            <w:tcW w:w="2268" w:type="dxa"/>
          </w:tcPr>
          <w:p>
            <w:pPr>
              <w:pStyle w:val="TableParagraph"/>
              <w:ind w:left="414" w:right="402"/>
              <w:rPr>
                <w:sz w:val="16"/>
              </w:rPr>
            </w:pPr>
            <w:r>
              <w:rPr>
                <w:sz w:val="16"/>
              </w:rPr>
              <w:t>90</w:t>
            </w:r>
          </w:p>
        </w:tc>
        <w:tc>
          <w:tcPr>
            <w:tcW w:w="1080" w:type="dxa"/>
          </w:tcPr>
          <w:p>
            <w:pPr>
              <w:pStyle w:val="TableParagraph"/>
              <w:ind w:right="325"/>
              <w:jc w:val="right"/>
              <w:rPr>
                <w:sz w:val="16"/>
              </w:rPr>
            </w:pPr>
            <w:r>
              <w:rPr>
                <w:sz w:val="16"/>
              </w:rPr>
              <w:t>60.60</w:t>
            </w:r>
          </w:p>
        </w:tc>
        <w:tc>
          <w:tcPr>
            <w:tcW w:w="912" w:type="dxa"/>
          </w:tcPr>
          <w:p>
            <w:pPr>
              <w:pStyle w:val="TableParagraph"/>
              <w:ind w:left="237" w:right="220"/>
              <w:rPr>
                <w:sz w:val="16"/>
              </w:rPr>
            </w:pPr>
            <w:r>
              <w:rPr>
                <w:sz w:val="16"/>
              </w:rPr>
              <w:t>44.78</w:t>
            </w:r>
          </w:p>
        </w:tc>
        <w:tc>
          <w:tcPr>
            <w:tcW w:w="2148" w:type="dxa"/>
          </w:tcPr>
          <w:p>
            <w:pPr>
              <w:pStyle w:val="TableParagraph"/>
              <w:spacing w:before="0"/>
              <w:jc w:val="left"/>
              <w:rPr>
                <w:rFonts w:ascii="Times New Roman"/>
                <w:sz w:val="16"/>
              </w:rPr>
            </w:pPr>
          </w:p>
        </w:tc>
        <w:tc>
          <w:tcPr>
            <w:tcW w:w="1080" w:type="dxa"/>
          </w:tcPr>
          <w:p>
            <w:pPr>
              <w:pStyle w:val="TableParagraph"/>
              <w:spacing w:before="0"/>
              <w:jc w:val="left"/>
              <w:rPr>
                <w:rFonts w:ascii="Times New Roman"/>
                <w:sz w:val="16"/>
              </w:rPr>
            </w:pPr>
          </w:p>
        </w:tc>
        <w:tc>
          <w:tcPr>
            <w:tcW w:w="1034" w:type="dxa"/>
          </w:tcPr>
          <w:p>
            <w:pPr>
              <w:pStyle w:val="TableParagraph"/>
              <w:spacing w:before="0"/>
              <w:jc w:val="left"/>
              <w:rPr>
                <w:rFonts w:ascii="Times New Roman"/>
                <w:sz w:val="16"/>
              </w:rPr>
            </w:pPr>
          </w:p>
        </w:tc>
      </w:tr>
    </w:tbl>
    <w:p>
      <w:pPr>
        <w:pStyle w:val="BodyText"/>
        <w:spacing w:before="52"/>
        <w:ind w:left="220"/>
      </w:pPr>
      <w:r>
        <w:rPr>
          <w:w w:val="95"/>
        </w:rPr>
        <w:t>注：保单年度初年龄指保单年度第一天被保险人当时的年龄。</w:t>
      </w:r>
    </w:p>
    <w:sectPr>
      <w:footerReference w:type="default" r:id="rId9"/>
      <w:pgSz w:w="11910" w:h="16840"/>
      <w:pgMar w:footer="1307" w:header="0" w:top="1420" w:bottom="1500" w:left="1580" w:right="1580"/>
      <w:pgNumType w:star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UI">
    <w:altName w:val="Microsoft JhengHei UI"/>
    <w:charset w:val="0"/>
    <w:family w:val="swiss"/>
    <w:pitch w:val="variable"/>
  </w:font>
  <w:font w:name="Trebuchet MS">
    <w:altName w:val="Trebuchet MS"/>
    <w:charset w:val="0"/>
    <w:family w:val="swiss"/>
    <w:pitch w:val="variable"/>
  </w:font>
  <w:font w:name="Microsoft Sans Serif">
    <w:altName w:val="Microsoft Sans Serif"/>
    <w:charset w:val="0"/>
    <w:family w:val="swiss"/>
    <w:pitch w:val="variable"/>
  </w:font>
  <w:font w:name="Arial">
    <w:altName w:val="Arial"/>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pt;margin-top:778.526001pt;width:209pt;height:13.75pt;mso-position-horizontal-relative:page;mso-position-vertical-relative:page;z-index:-45376" type="#_x0000_t202" filled="false" stroked="false">
          <v:textbox inset="0,0,0,0">
            <w:txbxContent>
              <w:p>
                <w:pPr>
                  <w:spacing w:line="223" w:lineRule="exact" w:before="0"/>
                  <w:ind w:left="20" w:right="0" w:firstLine="0"/>
                  <w:jc w:val="left"/>
                  <w:rPr>
                    <w:sz w:val="18"/>
                  </w:rPr>
                </w:pPr>
                <w:r>
                  <w:rPr>
                    <w:sz w:val="18"/>
                  </w:rPr>
                  <w:t>中新大东方附加终身提前给付重大疾病保险合同条款</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65.56604pt;width:209pt;height:13.75pt;mso-position-horizontal-relative:page;mso-position-vertical-relative:page;z-index:-45352" type="#_x0000_t202" filled="false" stroked="false">
          <v:textbox inset="0,0,0,0">
            <w:txbxContent>
              <w:p>
                <w:pPr>
                  <w:spacing w:line="223" w:lineRule="exact" w:before="0"/>
                  <w:ind w:left="20" w:right="0" w:firstLine="0"/>
                  <w:jc w:val="left"/>
                  <w:rPr>
                    <w:sz w:val="18"/>
                  </w:rPr>
                </w:pPr>
                <w:r>
                  <w:rPr>
                    <w:sz w:val="18"/>
                  </w:rPr>
                  <w:t>中新大东方附加终身提前给付重大疾病保险合同条款</w:t>
                </w:r>
              </w:p>
            </w:txbxContent>
          </v:textbox>
          <w10:wrap type="none"/>
        </v:shape>
      </w:pict>
    </w:r>
    <w:r>
      <w:rPr/>
      <w:pict>
        <v:shape style="position:absolute;margin-left:494.200012pt;margin-top:765.580017pt;width:8.5pt;height:12pt;mso-position-horizontal-relative:page;mso-position-vertical-relative:page;z-index:-45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89pt;margin-top:765.56604pt;width:209pt;height:13.75pt;mso-position-horizontal-relative:page;mso-position-vertical-relative:page;z-index:-45304" type="#_x0000_t202" filled="false" stroked="false">
          <v:textbox inset="0,0,0,0">
            <w:txbxContent>
              <w:p>
                <w:pPr>
                  <w:spacing w:line="223" w:lineRule="exact" w:before="0"/>
                  <w:ind w:left="20" w:right="0" w:firstLine="0"/>
                  <w:jc w:val="left"/>
                  <w:rPr>
                    <w:sz w:val="18"/>
                  </w:rPr>
                </w:pPr>
                <w:r>
                  <w:rPr>
                    <w:sz w:val="18"/>
                  </w:rPr>
                  <w:t>中新大东方附加终身提前给付重大疾病保险合同条款</w:t>
                </w:r>
              </w:p>
            </w:txbxContent>
          </v:textbox>
          <w10:wrap type="none"/>
        </v:shape>
      </w:pict>
    </w:r>
    <w:r>
      <w:rPr/>
      <w:pict>
        <v:shape style="position:absolute;margin-left:494.200012pt;margin-top:765.580017pt;width:13.1pt;height:12pt;mso-position-horizontal-relative:page;mso-position-vertical-relative:page;z-index:-45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65.56604pt;width:209pt;height:13.75pt;mso-position-horizontal-relative:page;mso-position-vertical-relative:page;z-index:-45256" type="#_x0000_t202" filled="false" stroked="false">
          <v:textbox inset="0,0,0,0">
            <w:txbxContent>
              <w:p>
                <w:pPr>
                  <w:spacing w:line="223" w:lineRule="exact" w:before="0"/>
                  <w:ind w:left="20" w:right="0" w:firstLine="0"/>
                  <w:jc w:val="left"/>
                  <w:rPr>
                    <w:sz w:val="18"/>
                  </w:rPr>
                </w:pPr>
                <w:r>
                  <w:rPr>
                    <w:sz w:val="18"/>
                  </w:rPr>
                  <w:t>中新大东方附加终身提前给付重大疾病保险合同条款</w:t>
                </w:r>
              </w:p>
            </w:txbxContent>
          </v:textbox>
          <w10:wrap type="none"/>
        </v:shape>
      </w:pict>
    </w:r>
    <w:r>
      <w:rPr/>
      <w:pict>
        <v:shape style="position:absolute;margin-left:494.200012pt;margin-top:765.580017pt;width:13.1pt;height:12pt;mso-position-horizontal-relative:page;mso-position-vertical-relative:page;z-index:-45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46" w:hanging="327"/>
        <w:jc w:val="left"/>
      </w:pPr>
      <w:rPr>
        <w:rFonts w:hint="default" w:ascii="宋体" w:hAnsi="宋体" w:eastAsia="宋体" w:cs="宋体"/>
        <w:spacing w:val="-1"/>
        <w:w w:val="58"/>
        <w:sz w:val="21"/>
        <w:szCs w:val="21"/>
      </w:rPr>
    </w:lvl>
    <w:lvl w:ilvl="1">
      <w:start w:val="0"/>
      <w:numFmt w:val="bullet"/>
      <w:lvlText w:val="•"/>
      <w:lvlJc w:val="left"/>
      <w:pPr>
        <w:ind w:left="1250" w:hanging="327"/>
      </w:pPr>
      <w:rPr>
        <w:rFonts w:hint="default"/>
      </w:rPr>
    </w:lvl>
    <w:lvl w:ilvl="2">
      <w:start w:val="0"/>
      <w:numFmt w:val="bullet"/>
      <w:lvlText w:val="•"/>
      <w:lvlJc w:val="left"/>
      <w:pPr>
        <w:ind w:left="2061" w:hanging="327"/>
      </w:pPr>
      <w:rPr>
        <w:rFonts w:hint="default"/>
      </w:rPr>
    </w:lvl>
    <w:lvl w:ilvl="3">
      <w:start w:val="0"/>
      <w:numFmt w:val="bullet"/>
      <w:lvlText w:val="•"/>
      <w:lvlJc w:val="left"/>
      <w:pPr>
        <w:ind w:left="2871" w:hanging="327"/>
      </w:pPr>
      <w:rPr>
        <w:rFonts w:hint="default"/>
      </w:rPr>
    </w:lvl>
    <w:lvl w:ilvl="4">
      <w:start w:val="0"/>
      <w:numFmt w:val="bullet"/>
      <w:lvlText w:val="•"/>
      <w:lvlJc w:val="left"/>
      <w:pPr>
        <w:ind w:left="3682" w:hanging="327"/>
      </w:pPr>
      <w:rPr>
        <w:rFonts w:hint="default"/>
      </w:rPr>
    </w:lvl>
    <w:lvl w:ilvl="5">
      <w:start w:val="0"/>
      <w:numFmt w:val="bullet"/>
      <w:lvlText w:val="•"/>
      <w:lvlJc w:val="left"/>
      <w:pPr>
        <w:ind w:left="4493" w:hanging="327"/>
      </w:pPr>
      <w:rPr>
        <w:rFonts w:hint="default"/>
      </w:rPr>
    </w:lvl>
    <w:lvl w:ilvl="6">
      <w:start w:val="0"/>
      <w:numFmt w:val="bullet"/>
      <w:lvlText w:val="•"/>
      <w:lvlJc w:val="left"/>
      <w:pPr>
        <w:ind w:left="5303" w:hanging="327"/>
      </w:pPr>
      <w:rPr>
        <w:rFonts w:hint="default"/>
      </w:rPr>
    </w:lvl>
    <w:lvl w:ilvl="7">
      <w:start w:val="0"/>
      <w:numFmt w:val="bullet"/>
      <w:lvlText w:val="•"/>
      <w:lvlJc w:val="left"/>
      <w:pPr>
        <w:ind w:left="6114" w:hanging="327"/>
      </w:pPr>
      <w:rPr>
        <w:rFonts w:hint="default"/>
      </w:rPr>
    </w:lvl>
    <w:lvl w:ilvl="8">
      <w:start w:val="0"/>
      <w:numFmt w:val="bullet"/>
      <w:lvlText w:val="•"/>
      <w:lvlJc w:val="left"/>
      <w:pPr>
        <w:ind w:left="6924" w:hanging="327"/>
      </w:pPr>
      <w:rPr>
        <w:rFonts w:hint="default"/>
      </w:rPr>
    </w:lvl>
  </w:abstractNum>
  <w:abstractNum w:abstractNumId="10">
    <w:multiLevelType w:val="hybridMultilevel"/>
    <w:lvl w:ilvl="0">
      <w:start w:val="10"/>
      <w:numFmt w:val="decimal"/>
      <w:lvlText w:val="%1"/>
      <w:lvlJc w:val="left"/>
      <w:pPr>
        <w:ind w:left="702" w:hanging="576"/>
        <w:jc w:val="left"/>
      </w:pPr>
      <w:rPr>
        <w:rFonts w:hint="default"/>
      </w:rPr>
    </w:lvl>
    <w:lvl w:ilvl="1">
      <w:start w:val="4"/>
      <w:numFmt w:val="decimal"/>
      <w:lvlText w:val="%1.%2."/>
      <w:lvlJc w:val="left"/>
      <w:pPr>
        <w:ind w:left="702" w:hanging="576"/>
        <w:jc w:val="left"/>
      </w:pPr>
      <w:rPr>
        <w:rFonts w:hint="default" w:ascii="Microsoft JhengHei UI" w:hAnsi="Microsoft JhengHei UI" w:eastAsia="Microsoft JhengHei UI" w:cs="Microsoft JhengHei UI"/>
        <w:b/>
        <w:bCs/>
        <w:spacing w:val="0"/>
        <w:w w:val="78"/>
        <w:sz w:val="21"/>
        <w:szCs w:val="21"/>
      </w:rPr>
    </w:lvl>
    <w:lvl w:ilvl="2">
      <w:start w:val="0"/>
      <w:numFmt w:val="bullet"/>
      <w:lvlText w:val="•"/>
      <w:lvlJc w:val="left"/>
      <w:pPr>
        <w:ind w:left="2269" w:hanging="576"/>
      </w:pPr>
      <w:rPr>
        <w:rFonts w:hint="default"/>
      </w:rPr>
    </w:lvl>
    <w:lvl w:ilvl="3">
      <w:start w:val="0"/>
      <w:numFmt w:val="bullet"/>
      <w:lvlText w:val="•"/>
      <w:lvlJc w:val="left"/>
      <w:pPr>
        <w:ind w:left="3053" w:hanging="576"/>
      </w:pPr>
      <w:rPr>
        <w:rFonts w:hint="default"/>
      </w:rPr>
    </w:lvl>
    <w:lvl w:ilvl="4">
      <w:start w:val="0"/>
      <w:numFmt w:val="bullet"/>
      <w:lvlText w:val="•"/>
      <w:lvlJc w:val="left"/>
      <w:pPr>
        <w:ind w:left="3838" w:hanging="576"/>
      </w:pPr>
      <w:rPr>
        <w:rFonts w:hint="default"/>
      </w:rPr>
    </w:lvl>
    <w:lvl w:ilvl="5">
      <w:start w:val="0"/>
      <w:numFmt w:val="bullet"/>
      <w:lvlText w:val="•"/>
      <w:lvlJc w:val="left"/>
      <w:pPr>
        <w:ind w:left="4623" w:hanging="576"/>
      </w:pPr>
      <w:rPr>
        <w:rFonts w:hint="default"/>
      </w:rPr>
    </w:lvl>
    <w:lvl w:ilvl="6">
      <w:start w:val="0"/>
      <w:numFmt w:val="bullet"/>
      <w:lvlText w:val="•"/>
      <w:lvlJc w:val="left"/>
      <w:pPr>
        <w:ind w:left="5407" w:hanging="576"/>
      </w:pPr>
      <w:rPr>
        <w:rFonts w:hint="default"/>
      </w:rPr>
    </w:lvl>
    <w:lvl w:ilvl="7">
      <w:start w:val="0"/>
      <w:numFmt w:val="bullet"/>
      <w:lvlText w:val="•"/>
      <w:lvlJc w:val="left"/>
      <w:pPr>
        <w:ind w:left="6192" w:hanging="576"/>
      </w:pPr>
      <w:rPr>
        <w:rFonts w:hint="default"/>
      </w:rPr>
    </w:lvl>
    <w:lvl w:ilvl="8">
      <w:start w:val="0"/>
      <w:numFmt w:val="bullet"/>
      <w:lvlText w:val="•"/>
      <w:lvlJc w:val="left"/>
      <w:pPr>
        <w:ind w:left="6976" w:hanging="576"/>
      </w:pPr>
      <w:rPr>
        <w:rFonts w:hint="default"/>
      </w:rPr>
    </w:lvl>
  </w:abstractNum>
  <w:abstractNum w:abstractNumId="9">
    <w:multiLevelType w:val="hybridMultilevel"/>
    <w:lvl w:ilvl="0">
      <w:start w:val="1"/>
      <w:numFmt w:val="upperRoman"/>
      <w:lvlText w:val="%1"/>
      <w:lvlJc w:val="left"/>
      <w:pPr>
        <w:ind w:left="264" w:hanging="125"/>
        <w:jc w:val="left"/>
      </w:pPr>
      <w:rPr>
        <w:rFonts w:hint="default" w:ascii="宋体" w:hAnsi="宋体" w:eastAsia="宋体" w:cs="宋体"/>
        <w:w w:val="70"/>
        <w:sz w:val="21"/>
        <w:szCs w:val="21"/>
      </w:rPr>
    </w:lvl>
    <w:lvl w:ilvl="1">
      <w:start w:val="0"/>
      <w:numFmt w:val="bullet"/>
      <w:lvlText w:val="•"/>
      <w:lvlJc w:val="left"/>
      <w:pPr>
        <w:ind w:left="1088" w:hanging="125"/>
      </w:pPr>
      <w:rPr>
        <w:rFonts w:hint="default"/>
      </w:rPr>
    </w:lvl>
    <w:lvl w:ilvl="2">
      <w:start w:val="0"/>
      <w:numFmt w:val="bullet"/>
      <w:lvlText w:val="•"/>
      <w:lvlJc w:val="left"/>
      <w:pPr>
        <w:ind w:left="1917" w:hanging="125"/>
      </w:pPr>
      <w:rPr>
        <w:rFonts w:hint="default"/>
      </w:rPr>
    </w:lvl>
    <w:lvl w:ilvl="3">
      <w:start w:val="0"/>
      <w:numFmt w:val="bullet"/>
      <w:lvlText w:val="•"/>
      <w:lvlJc w:val="left"/>
      <w:pPr>
        <w:ind w:left="2745" w:hanging="125"/>
      </w:pPr>
      <w:rPr>
        <w:rFonts w:hint="default"/>
      </w:rPr>
    </w:lvl>
    <w:lvl w:ilvl="4">
      <w:start w:val="0"/>
      <w:numFmt w:val="bullet"/>
      <w:lvlText w:val="•"/>
      <w:lvlJc w:val="left"/>
      <w:pPr>
        <w:ind w:left="3574" w:hanging="125"/>
      </w:pPr>
      <w:rPr>
        <w:rFonts w:hint="default"/>
      </w:rPr>
    </w:lvl>
    <w:lvl w:ilvl="5">
      <w:start w:val="0"/>
      <w:numFmt w:val="bullet"/>
      <w:lvlText w:val="•"/>
      <w:lvlJc w:val="left"/>
      <w:pPr>
        <w:ind w:left="4403" w:hanging="125"/>
      </w:pPr>
      <w:rPr>
        <w:rFonts w:hint="default"/>
      </w:rPr>
    </w:lvl>
    <w:lvl w:ilvl="6">
      <w:start w:val="0"/>
      <w:numFmt w:val="bullet"/>
      <w:lvlText w:val="•"/>
      <w:lvlJc w:val="left"/>
      <w:pPr>
        <w:ind w:left="5231" w:hanging="125"/>
      </w:pPr>
      <w:rPr>
        <w:rFonts w:hint="default"/>
      </w:rPr>
    </w:lvl>
    <w:lvl w:ilvl="7">
      <w:start w:val="0"/>
      <w:numFmt w:val="bullet"/>
      <w:lvlText w:val="•"/>
      <w:lvlJc w:val="left"/>
      <w:pPr>
        <w:ind w:left="6060" w:hanging="125"/>
      </w:pPr>
      <w:rPr>
        <w:rFonts w:hint="default"/>
      </w:rPr>
    </w:lvl>
    <w:lvl w:ilvl="8">
      <w:start w:val="0"/>
      <w:numFmt w:val="bullet"/>
      <w:lvlText w:val="•"/>
      <w:lvlJc w:val="left"/>
      <w:pPr>
        <w:ind w:left="6888" w:hanging="125"/>
      </w:pPr>
      <w:rPr>
        <w:rFonts w:hint="default"/>
      </w:rPr>
    </w:lvl>
  </w:abstractNum>
  <w:abstractNum w:abstractNumId="8">
    <w:multiLevelType w:val="hybridMultilevel"/>
    <w:lvl w:ilvl="0">
      <w:start w:val="1"/>
      <w:numFmt w:val="decimal"/>
      <w:lvlText w:val="%1."/>
      <w:lvlJc w:val="left"/>
      <w:pPr>
        <w:ind w:left="960" w:hanging="420"/>
        <w:jc w:val="left"/>
      </w:pPr>
      <w:rPr>
        <w:rFonts w:hint="default" w:ascii="宋体" w:hAnsi="宋体" w:eastAsia="宋体" w:cs="宋体"/>
        <w:w w:val="43"/>
        <w:sz w:val="21"/>
        <w:szCs w:val="21"/>
      </w:rPr>
    </w:lvl>
    <w:lvl w:ilvl="1">
      <w:start w:val="0"/>
      <w:numFmt w:val="bullet"/>
      <w:lvlText w:val="•"/>
      <w:lvlJc w:val="left"/>
      <w:pPr>
        <w:ind w:left="1718" w:hanging="420"/>
      </w:pPr>
      <w:rPr>
        <w:rFonts w:hint="default"/>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8" w:hanging="420"/>
      </w:pPr>
      <w:rPr>
        <w:rFonts w:hint="default"/>
      </w:rPr>
    </w:lvl>
  </w:abstractNum>
  <w:abstractNum w:abstractNumId="7">
    <w:multiLevelType w:val="hybridMultilevel"/>
    <w:lvl w:ilvl="0">
      <w:start w:val="1"/>
      <w:numFmt w:val="decimal"/>
      <w:lvlText w:val="%1."/>
      <w:lvlJc w:val="left"/>
      <w:pPr>
        <w:ind w:left="960" w:hanging="420"/>
        <w:jc w:val="left"/>
      </w:pPr>
      <w:rPr>
        <w:rFonts w:hint="default" w:ascii="宋体" w:hAnsi="宋体" w:eastAsia="宋体" w:cs="宋体"/>
        <w:w w:val="43"/>
        <w:sz w:val="21"/>
        <w:szCs w:val="21"/>
      </w:rPr>
    </w:lvl>
    <w:lvl w:ilvl="1">
      <w:start w:val="0"/>
      <w:numFmt w:val="bullet"/>
      <w:lvlText w:val="•"/>
      <w:lvlJc w:val="left"/>
      <w:pPr>
        <w:ind w:left="1718" w:hanging="420"/>
      </w:pPr>
      <w:rPr>
        <w:rFonts w:hint="default"/>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8" w:hanging="420"/>
      </w:pPr>
      <w:rPr>
        <w:rFonts w:hint="default"/>
      </w:rPr>
    </w:lvl>
  </w:abstractNum>
  <w:abstractNum w:abstractNumId="6">
    <w:multiLevelType w:val="hybridMultilevel"/>
    <w:lvl w:ilvl="0">
      <w:start w:val="1"/>
      <w:numFmt w:val="decimal"/>
      <w:lvlText w:val="%1."/>
      <w:lvlJc w:val="left"/>
      <w:pPr>
        <w:ind w:left="960" w:hanging="420"/>
        <w:jc w:val="left"/>
      </w:pPr>
      <w:rPr>
        <w:rFonts w:hint="default" w:ascii="宋体" w:hAnsi="宋体" w:eastAsia="宋体" w:cs="宋体"/>
        <w:w w:val="43"/>
        <w:sz w:val="21"/>
        <w:szCs w:val="21"/>
      </w:rPr>
    </w:lvl>
    <w:lvl w:ilvl="1">
      <w:start w:val="0"/>
      <w:numFmt w:val="bullet"/>
      <w:lvlText w:val="•"/>
      <w:lvlJc w:val="left"/>
      <w:pPr>
        <w:ind w:left="1726" w:hanging="420"/>
      </w:pPr>
      <w:rPr>
        <w:rFonts w:hint="default"/>
      </w:rPr>
    </w:lvl>
    <w:lvl w:ilvl="2">
      <w:start w:val="0"/>
      <w:numFmt w:val="bullet"/>
      <w:lvlText w:val="•"/>
      <w:lvlJc w:val="left"/>
      <w:pPr>
        <w:ind w:left="2493"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6" w:hanging="420"/>
      </w:pPr>
      <w:rPr>
        <w:rFonts w:hint="default"/>
      </w:rPr>
    </w:lvl>
    <w:lvl w:ilvl="5">
      <w:start w:val="0"/>
      <w:numFmt w:val="bullet"/>
      <w:lvlText w:val="•"/>
      <w:lvlJc w:val="left"/>
      <w:pPr>
        <w:ind w:left="4793" w:hanging="420"/>
      </w:pPr>
      <w:rPr>
        <w:rFonts w:hint="default"/>
      </w:rPr>
    </w:lvl>
    <w:lvl w:ilvl="6">
      <w:start w:val="0"/>
      <w:numFmt w:val="bullet"/>
      <w:lvlText w:val="•"/>
      <w:lvlJc w:val="left"/>
      <w:pPr>
        <w:ind w:left="5559" w:hanging="420"/>
      </w:pPr>
      <w:rPr>
        <w:rFonts w:hint="default"/>
      </w:rPr>
    </w:lvl>
    <w:lvl w:ilvl="7">
      <w:start w:val="0"/>
      <w:numFmt w:val="bullet"/>
      <w:lvlText w:val="•"/>
      <w:lvlJc w:val="left"/>
      <w:pPr>
        <w:ind w:left="6326" w:hanging="420"/>
      </w:pPr>
      <w:rPr>
        <w:rFonts w:hint="default"/>
      </w:rPr>
    </w:lvl>
    <w:lvl w:ilvl="8">
      <w:start w:val="0"/>
      <w:numFmt w:val="bullet"/>
      <w:lvlText w:val="•"/>
      <w:lvlJc w:val="left"/>
      <w:pPr>
        <w:ind w:left="7092" w:hanging="420"/>
      </w:pPr>
      <w:rPr>
        <w:rFonts w:hint="default"/>
      </w:rPr>
    </w:lvl>
  </w:abstractNum>
  <w:abstractNum w:abstractNumId="5">
    <w:multiLevelType w:val="hybridMultilevel"/>
    <w:lvl w:ilvl="0">
      <w:start w:val="5"/>
      <w:numFmt w:val="decimal"/>
      <w:lvlText w:val="%1."/>
      <w:lvlJc w:val="left"/>
      <w:pPr>
        <w:ind w:left="558" w:hanging="432"/>
        <w:jc w:val="left"/>
      </w:pPr>
      <w:rPr>
        <w:rFonts w:hint="default" w:ascii="Microsoft JhengHei UI" w:hAnsi="Microsoft JhengHei UI" w:eastAsia="Microsoft JhengHei UI" w:cs="Microsoft JhengHei UI"/>
        <w:b/>
        <w:bCs/>
        <w:spacing w:val="0"/>
        <w:w w:val="78"/>
        <w:sz w:val="21"/>
        <w:szCs w:val="21"/>
      </w:rPr>
    </w:lvl>
    <w:lvl w:ilvl="1">
      <w:start w:val="1"/>
      <w:numFmt w:val="decimal"/>
      <w:lvlText w:val="%1.%2."/>
      <w:lvlJc w:val="left"/>
      <w:pPr>
        <w:ind w:left="702" w:hanging="576"/>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1.%2.%3."/>
      <w:lvlJc w:val="left"/>
      <w:pPr>
        <w:ind w:left="846" w:hanging="720"/>
        <w:jc w:val="left"/>
      </w:pPr>
      <w:rPr>
        <w:rFonts w:hint="default" w:ascii="Microsoft JhengHei UI" w:hAnsi="Microsoft JhengHei UI" w:eastAsia="Microsoft JhengHei UI" w:cs="Microsoft JhengHei UI"/>
        <w:b/>
        <w:bCs/>
        <w:spacing w:val="-1"/>
        <w:w w:val="78"/>
        <w:sz w:val="21"/>
        <w:szCs w:val="21"/>
      </w:rPr>
    </w:lvl>
    <w:lvl w:ilvl="3">
      <w:start w:val="0"/>
      <w:numFmt w:val="bullet"/>
      <w:lvlText w:val="•"/>
      <w:lvlJc w:val="left"/>
      <w:pPr>
        <w:ind w:left="1803" w:hanging="720"/>
      </w:pPr>
      <w:rPr>
        <w:rFonts w:hint="default"/>
      </w:rPr>
    </w:lvl>
    <w:lvl w:ilvl="4">
      <w:start w:val="0"/>
      <w:numFmt w:val="bullet"/>
      <w:lvlText w:val="•"/>
      <w:lvlJc w:val="left"/>
      <w:pPr>
        <w:ind w:left="2766" w:hanging="720"/>
      </w:pPr>
      <w:rPr>
        <w:rFonts w:hint="default"/>
      </w:rPr>
    </w:lvl>
    <w:lvl w:ilvl="5">
      <w:start w:val="0"/>
      <w:numFmt w:val="bullet"/>
      <w:lvlText w:val="•"/>
      <w:lvlJc w:val="left"/>
      <w:pPr>
        <w:ind w:left="3729" w:hanging="720"/>
      </w:pPr>
      <w:rPr>
        <w:rFonts w:hint="default"/>
      </w:rPr>
    </w:lvl>
    <w:lvl w:ilvl="6">
      <w:start w:val="0"/>
      <w:numFmt w:val="bullet"/>
      <w:lvlText w:val="•"/>
      <w:lvlJc w:val="left"/>
      <w:pPr>
        <w:ind w:left="4693" w:hanging="720"/>
      </w:pPr>
      <w:rPr>
        <w:rFonts w:hint="default"/>
      </w:rPr>
    </w:lvl>
    <w:lvl w:ilvl="7">
      <w:start w:val="0"/>
      <w:numFmt w:val="bullet"/>
      <w:lvlText w:val="•"/>
      <w:lvlJc w:val="left"/>
      <w:pPr>
        <w:ind w:left="5656" w:hanging="720"/>
      </w:pPr>
      <w:rPr>
        <w:rFonts w:hint="default"/>
      </w:rPr>
    </w:lvl>
    <w:lvl w:ilvl="8">
      <w:start w:val="0"/>
      <w:numFmt w:val="bullet"/>
      <w:lvlText w:val="•"/>
      <w:lvlJc w:val="left"/>
      <w:pPr>
        <w:ind w:left="6619" w:hanging="720"/>
      </w:pPr>
      <w:rPr>
        <w:rFonts w:hint="default"/>
      </w:rPr>
    </w:lvl>
  </w:abstractNum>
  <w:abstractNum w:abstractNumId="4">
    <w:multiLevelType w:val="hybridMultilevel"/>
    <w:lvl w:ilvl="0">
      <w:start w:val="4"/>
      <w:numFmt w:val="decimal"/>
      <w:lvlText w:val="%1"/>
      <w:lvlJc w:val="left"/>
      <w:pPr>
        <w:ind w:left="702" w:hanging="576"/>
        <w:jc w:val="left"/>
      </w:pPr>
      <w:rPr>
        <w:rFonts w:hint="default"/>
      </w:rPr>
    </w:lvl>
    <w:lvl w:ilvl="1">
      <w:start w:val="4"/>
      <w:numFmt w:val="decimal"/>
      <w:lvlText w:val="%1.%2."/>
      <w:lvlJc w:val="left"/>
      <w:pPr>
        <w:ind w:left="702" w:hanging="576"/>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3."/>
      <w:lvlJc w:val="left"/>
      <w:pPr>
        <w:ind w:left="966" w:hanging="420"/>
        <w:jc w:val="left"/>
      </w:pPr>
      <w:rPr>
        <w:rFonts w:hint="default" w:ascii="Microsoft JhengHei UI" w:hAnsi="Microsoft JhengHei UI" w:eastAsia="Microsoft JhengHei UI" w:cs="Microsoft JhengHei UI"/>
        <w:b/>
        <w:bCs/>
        <w:spacing w:val="0"/>
        <w:w w:val="78"/>
        <w:sz w:val="21"/>
        <w:szCs w:val="21"/>
      </w:rPr>
    </w:lvl>
    <w:lvl w:ilvl="3">
      <w:start w:val="0"/>
      <w:numFmt w:val="bullet"/>
      <w:lvlText w:val="•"/>
      <w:lvlJc w:val="left"/>
      <w:pPr>
        <w:ind w:left="2645" w:hanging="420"/>
      </w:pPr>
      <w:rPr>
        <w:rFonts w:hint="default"/>
      </w:rPr>
    </w:lvl>
    <w:lvl w:ilvl="4">
      <w:start w:val="0"/>
      <w:numFmt w:val="bullet"/>
      <w:lvlText w:val="•"/>
      <w:lvlJc w:val="left"/>
      <w:pPr>
        <w:ind w:left="3488" w:hanging="420"/>
      </w:pPr>
      <w:rPr>
        <w:rFonts w:hint="default"/>
      </w:rPr>
    </w:lvl>
    <w:lvl w:ilvl="5">
      <w:start w:val="0"/>
      <w:numFmt w:val="bullet"/>
      <w:lvlText w:val="•"/>
      <w:lvlJc w:val="left"/>
      <w:pPr>
        <w:ind w:left="4331" w:hanging="420"/>
      </w:pPr>
      <w:rPr>
        <w:rFonts w:hint="default"/>
      </w:rPr>
    </w:lvl>
    <w:lvl w:ilvl="6">
      <w:start w:val="0"/>
      <w:numFmt w:val="bullet"/>
      <w:lvlText w:val="•"/>
      <w:lvlJc w:val="left"/>
      <w:pPr>
        <w:ind w:left="5174" w:hanging="420"/>
      </w:pPr>
      <w:rPr>
        <w:rFonts w:hint="default"/>
      </w:rPr>
    </w:lvl>
    <w:lvl w:ilvl="7">
      <w:start w:val="0"/>
      <w:numFmt w:val="bullet"/>
      <w:lvlText w:val="•"/>
      <w:lvlJc w:val="left"/>
      <w:pPr>
        <w:ind w:left="6017" w:hanging="420"/>
      </w:pPr>
      <w:rPr>
        <w:rFonts w:hint="default"/>
      </w:rPr>
    </w:lvl>
    <w:lvl w:ilvl="8">
      <w:start w:val="0"/>
      <w:numFmt w:val="bullet"/>
      <w:lvlText w:val="•"/>
      <w:lvlJc w:val="left"/>
      <w:pPr>
        <w:ind w:left="6860" w:hanging="420"/>
      </w:pPr>
      <w:rPr>
        <w:rFonts w:hint="default"/>
      </w:rPr>
    </w:lvl>
  </w:abstractNum>
  <w:abstractNum w:abstractNumId="3">
    <w:multiLevelType w:val="hybridMultilevel"/>
    <w:lvl w:ilvl="0">
      <w:start w:val="1"/>
      <w:numFmt w:val="decimal"/>
      <w:lvlText w:val="%1."/>
      <w:lvlJc w:val="left"/>
      <w:pPr>
        <w:ind w:left="558" w:hanging="432"/>
        <w:jc w:val="left"/>
      </w:pPr>
      <w:rPr>
        <w:rFonts w:hint="default" w:ascii="Microsoft JhengHei UI" w:hAnsi="Microsoft JhengHei UI" w:eastAsia="Microsoft JhengHei UI" w:cs="Microsoft JhengHei UI"/>
        <w:b/>
        <w:bCs/>
        <w:spacing w:val="0"/>
        <w:w w:val="78"/>
        <w:sz w:val="21"/>
        <w:szCs w:val="21"/>
      </w:rPr>
    </w:lvl>
    <w:lvl w:ilvl="1">
      <w:start w:val="1"/>
      <w:numFmt w:val="decimal"/>
      <w:lvlText w:val="%1.%2."/>
      <w:lvlJc w:val="left"/>
      <w:pPr>
        <w:ind w:left="702" w:hanging="576"/>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1.%2.%3."/>
      <w:lvlJc w:val="left"/>
      <w:pPr>
        <w:ind w:left="846" w:hanging="720"/>
        <w:jc w:val="left"/>
      </w:pPr>
      <w:rPr>
        <w:rFonts w:hint="default" w:ascii="Microsoft JhengHei UI" w:hAnsi="Microsoft JhengHei UI" w:eastAsia="Microsoft JhengHei UI" w:cs="Microsoft JhengHei UI"/>
        <w:b/>
        <w:bCs/>
        <w:spacing w:val="-1"/>
        <w:w w:val="78"/>
        <w:sz w:val="21"/>
        <w:szCs w:val="21"/>
      </w:rPr>
    </w:lvl>
    <w:lvl w:ilvl="3">
      <w:start w:val="0"/>
      <w:numFmt w:val="bullet"/>
      <w:lvlText w:val="•"/>
      <w:lvlJc w:val="left"/>
      <w:pPr>
        <w:ind w:left="1803" w:hanging="720"/>
      </w:pPr>
      <w:rPr>
        <w:rFonts w:hint="default"/>
      </w:rPr>
    </w:lvl>
    <w:lvl w:ilvl="4">
      <w:start w:val="0"/>
      <w:numFmt w:val="bullet"/>
      <w:lvlText w:val="•"/>
      <w:lvlJc w:val="left"/>
      <w:pPr>
        <w:ind w:left="2766" w:hanging="720"/>
      </w:pPr>
      <w:rPr>
        <w:rFonts w:hint="default"/>
      </w:rPr>
    </w:lvl>
    <w:lvl w:ilvl="5">
      <w:start w:val="0"/>
      <w:numFmt w:val="bullet"/>
      <w:lvlText w:val="•"/>
      <w:lvlJc w:val="left"/>
      <w:pPr>
        <w:ind w:left="3729" w:hanging="720"/>
      </w:pPr>
      <w:rPr>
        <w:rFonts w:hint="default"/>
      </w:rPr>
    </w:lvl>
    <w:lvl w:ilvl="6">
      <w:start w:val="0"/>
      <w:numFmt w:val="bullet"/>
      <w:lvlText w:val="•"/>
      <w:lvlJc w:val="left"/>
      <w:pPr>
        <w:ind w:left="4693" w:hanging="720"/>
      </w:pPr>
      <w:rPr>
        <w:rFonts w:hint="default"/>
      </w:rPr>
    </w:lvl>
    <w:lvl w:ilvl="7">
      <w:start w:val="0"/>
      <w:numFmt w:val="bullet"/>
      <w:lvlText w:val="•"/>
      <w:lvlJc w:val="left"/>
      <w:pPr>
        <w:ind w:left="5656" w:hanging="720"/>
      </w:pPr>
      <w:rPr>
        <w:rFonts w:hint="default"/>
      </w:rPr>
    </w:lvl>
    <w:lvl w:ilvl="8">
      <w:start w:val="0"/>
      <w:numFmt w:val="bullet"/>
      <w:lvlText w:val="•"/>
      <w:lvlJc w:val="left"/>
      <w:pPr>
        <w:ind w:left="6619" w:hanging="720"/>
      </w:pPr>
      <w:rPr>
        <w:rFonts w:hint="default"/>
      </w:rPr>
    </w:lvl>
  </w:abstractNum>
  <w:abstractNum w:abstractNumId="2">
    <w:multiLevelType w:val="hybridMultilevel"/>
    <w:lvl w:ilvl="0">
      <w:start w:val="10"/>
      <w:numFmt w:val="decimal"/>
      <w:lvlText w:val="%1"/>
      <w:lvlJc w:val="left"/>
      <w:pPr>
        <w:ind w:left="1800" w:hanging="840"/>
        <w:jc w:val="left"/>
      </w:pPr>
      <w:rPr>
        <w:rFonts w:hint="default"/>
      </w:rPr>
    </w:lvl>
    <w:lvl w:ilvl="1">
      <w:start w:val="3"/>
      <w:numFmt w:val="decimal"/>
      <w:lvlText w:val="%1.%2"/>
      <w:lvlJc w:val="left"/>
      <w:pPr>
        <w:ind w:left="1800" w:hanging="840"/>
        <w:jc w:val="left"/>
      </w:pPr>
      <w:rPr>
        <w:rFonts w:hint="default"/>
      </w:rPr>
    </w:lvl>
    <w:lvl w:ilvl="2">
      <w:start w:val="16"/>
      <w:numFmt w:val="decimal"/>
      <w:lvlText w:val="%1.%2.%3."/>
      <w:lvlJc w:val="left"/>
      <w:pPr>
        <w:ind w:left="1800" w:hanging="840"/>
        <w:jc w:val="left"/>
      </w:pPr>
      <w:rPr>
        <w:rFonts w:hint="default" w:ascii="宋体" w:hAnsi="宋体" w:eastAsia="宋体" w:cs="宋体"/>
        <w:spacing w:val="-1"/>
        <w:w w:val="43"/>
        <w:sz w:val="21"/>
        <w:szCs w:val="21"/>
      </w:rPr>
    </w:lvl>
    <w:lvl w:ilvl="3">
      <w:start w:val="0"/>
      <w:numFmt w:val="bullet"/>
      <w:lvlText w:val="•"/>
      <w:lvlJc w:val="left"/>
      <w:pPr>
        <w:ind w:left="3823" w:hanging="840"/>
      </w:pPr>
      <w:rPr>
        <w:rFonts w:hint="default"/>
      </w:rPr>
    </w:lvl>
    <w:lvl w:ilvl="4">
      <w:start w:val="0"/>
      <w:numFmt w:val="bullet"/>
      <w:lvlText w:val="•"/>
      <w:lvlJc w:val="left"/>
      <w:pPr>
        <w:ind w:left="4498" w:hanging="840"/>
      </w:pPr>
      <w:rPr>
        <w:rFonts w:hint="default"/>
      </w:rPr>
    </w:lvl>
    <w:lvl w:ilvl="5">
      <w:start w:val="0"/>
      <w:numFmt w:val="bullet"/>
      <w:lvlText w:val="•"/>
      <w:lvlJc w:val="left"/>
      <w:pPr>
        <w:ind w:left="5173" w:hanging="840"/>
      </w:pPr>
      <w:rPr>
        <w:rFonts w:hint="default"/>
      </w:rPr>
    </w:lvl>
    <w:lvl w:ilvl="6">
      <w:start w:val="0"/>
      <w:numFmt w:val="bullet"/>
      <w:lvlText w:val="•"/>
      <w:lvlJc w:val="left"/>
      <w:pPr>
        <w:ind w:left="5847" w:hanging="840"/>
      </w:pPr>
      <w:rPr>
        <w:rFonts w:hint="default"/>
      </w:rPr>
    </w:lvl>
    <w:lvl w:ilvl="7">
      <w:start w:val="0"/>
      <w:numFmt w:val="bullet"/>
      <w:lvlText w:val="•"/>
      <w:lvlJc w:val="left"/>
      <w:pPr>
        <w:ind w:left="6522" w:hanging="840"/>
      </w:pPr>
      <w:rPr>
        <w:rFonts w:hint="default"/>
      </w:rPr>
    </w:lvl>
    <w:lvl w:ilvl="8">
      <w:start w:val="0"/>
      <w:numFmt w:val="bullet"/>
      <w:lvlText w:val="•"/>
      <w:lvlJc w:val="left"/>
      <w:pPr>
        <w:ind w:left="7196" w:hanging="840"/>
      </w:pPr>
      <w:rPr>
        <w:rFonts w:hint="default"/>
      </w:rPr>
    </w:lvl>
  </w:abstractNum>
  <w:abstractNum w:abstractNumId="1">
    <w:multiLevelType w:val="hybridMultilevel"/>
    <w:lvl w:ilvl="0">
      <w:start w:val="1"/>
      <w:numFmt w:val="decimal"/>
      <w:lvlText w:val="%1."/>
      <w:lvlJc w:val="left"/>
      <w:pPr>
        <w:ind w:left="540" w:hanging="420"/>
        <w:jc w:val="left"/>
      </w:pPr>
      <w:rPr>
        <w:rFonts w:hint="default" w:ascii="Times New Roman" w:hAnsi="Times New Roman" w:eastAsia="Times New Roman" w:cs="Times New Roman"/>
        <w:spacing w:val="0"/>
        <w:w w:val="99"/>
        <w:sz w:val="21"/>
        <w:szCs w:val="21"/>
      </w:rPr>
    </w:lvl>
    <w:lvl w:ilvl="1">
      <w:start w:val="1"/>
      <w:numFmt w:val="decimal"/>
      <w:lvlText w:val="%1.%2."/>
      <w:lvlJc w:val="left"/>
      <w:pPr>
        <w:ind w:left="1380" w:hanging="840"/>
        <w:jc w:val="left"/>
      </w:pPr>
      <w:rPr>
        <w:rFonts w:hint="default" w:ascii="Times New Roman" w:hAnsi="Times New Roman" w:eastAsia="Times New Roman" w:cs="Times New Roman"/>
        <w:spacing w:val="0"/>
        <w:w w:val="99"/>
        <w:sz w:val="21"/>
        <w:szCs w:val="21"/>
      </w:rPr>
    </w:lvl>
    <w:lvl w:ilvl="2">
      <w:start w:val="1"/>
      <w:numFmt w:val="decimal"/>
      <w:lvlText w:val="%1.%2.%3."/>
      <w:lvlJc w:val="left"/>
      <w:pPr>
        <w:ind w:left="1800" w:hanging="840"/>
        <w:jc w:val="left"/>
      </w:pPr>
      <w:rPr>
        <w:rFonts w:hint="default" w:ascii="宋体" w:hAnsi="宋体" w:eastAsia="宋体" w:cs="宋体"/>
        <w:spacing w:val="-1"/>
        <w:w w:val="43"/>
        <w:sz w:val="21"/>
        <w:szCs w:val="21"/>
      </w:rPr>
    </w:lvl>
    <w:lvl w:ilvl="3">
      <w:start w:val="0"/>
      <w:numFmt w:val="bullet"/>
      <w:lvlText w:val="•"/>
      <w:lvlJc w:val="left"/>
      <w:pPr>
        <w:ind w:left="2643" w:hanging="840"/>
      </w:pPr>
      <w:rPr>
        <w:rFonts w:hint="default"/>
      </w:rPr>
    </w:lvl>
    <w:lvl w:ilvl="4">
      <w:start w:val="0"/>
      <w:numFmt w:val="bullet"/>
      <w:lvlText w:val="•"/>
      <w:lvlJc w:val="left"/>
      <w:pPr>
        <w:ind w:left="3486" w:hanging="840"/>
      </w:pPr>
      <w:rPr>
        <w:rFonts w:hint="default"/>
      </w:rPr>
    </w:lvl>
    <w:lvl w:ilvl="5">
      <w:start w:val="0"/>
      <w:numFmt w:val="bullet"/>
      <w:lvlText w:val="•"/>
      <w:lvlJc w:val="left"/>
      <w:pPr>
        <w:ind w:left="4329" w:hanging="840"/>
      </w:pPr>
      <w:rPr>
        <w:rFonts w:hint="default"/>
      </w:rPr>
    </w:lvl>
    <w:lvl w:ilvl="6">
      <w:start w:val="0"/>
      <w:numFmt w:val="bullet"/>
      <w:lvlText w:val="•"/>
      <w:lvlJc w:val="left"/>
      <w:pPr>
        <w:ind w:left="5173" w:hanging="840"/>
      </w:pPr>
      <w:rPr>
        <w:rFonts w:hint="default"/>
      </w:rPr>
    </w:lvl>
    <w:lvl w:ilvl="7">
      <w:start w:val="0"/>
      <w:numFmt w:val="bullet"/>
      <w:lvlText w:val="•"/>
      <w:lvlJc w:val="left"/>
      <w:pPr>
        <w:ind w:left="6016" w:hanging="840"/>
      </w:pPr>
      <w:rPr>
        <w:rFonts w:hint="default"/>
      </w:rPr>
    </w:lvl>
    <w:lvl w:ilvl="8">
      <w:start w:val="0"/>
      <w:numFmt w:val="bullet"/>
      <w:lvlText w:val="•"/>
      <w:lvlJc w:val="left"/>
      <w:pPr>
        <w:ind w:left="6859" w:hanging="840"/>
      </w:pPr>
      <w:rPr>
        <w:rFonts w:hint="default"/>
      </w:rPr>
    </w:lvl>
  </w:abstractNum>
  <w:abstractNum w:abstractNumId="0">
    <w:multiLevelType w:val="hybridMultilevel"/>
    <w:lvl w:ilvl="0">
      <w:start w:val="0"/>
      <w:numFmt w:val="bullet"/>
      <w:lvlText w:val="�"/>
      <w:lvlJc w:val="left"/>
      <w:pPr>
        <w:ind w:left="849" w:hanging="420"/>
      </w:pPr>
      <w:rPr>
        <w:rFonts w:hint="default" w:ascii="Microsoft Sans Serif" w:hAnsi="Microsoft Sans Serif" w:eastAsia="Microsoft Sans Serif" w:cs="Microsoft Sans Serif"/>
        <w:w w:val="129"/>
        <w:sz w:val="21"/>
        <w:szCs w:val="21"/>
      </w:rPr>
    </w:lvl>
    <w:lvl w:ilvl="1">
      <w:start w:val="0"/>
      <w:numFmt w:val="bullet"/>
      <w:lvlText w:val="•"/>
      <w:lvlJc w:val="left"/>
      <w:pPr>
        <w:ind w:left="1674" w:hanging="420"/>
      </w:pPr>
      <w:rPr>
        <w:rFonts w:hint="default"/>
      </w:rPr>
    </w:lvl>
    <w:lvl w:ilvl="2">
      <w:start w:val="0"/>
      <w:numFmt w:val="bullet"/>
      <w:lvlText w:val="•"/>
      <w:lvlJc w:val="left"/>
      <w:pPr>
        <w:ind w:left="2509" w:hanging="420"/>
      </w:pPr>
      <w:rPr>
        <w:rFonts w:hint="default"/>
      </w:rPr>
    </w:lvl>
    <w:lvl w:ilvl="3">
      <w:start w:val="0"/>
      <w:numFmt w:val="bullet"/>
      <w:lvlText w:val="•"/>
      <w:lvlJc w:val="left"/>
      <w:pPr>
        <w:ind w:left="3343" w:hanging="420"/>
      </w:pPr>
      <w:rPr>
        <w:rFonts w:hint="default"/>
      </w:rPr>
    </w:lvl>
    <w:lvl w:ilvl="4">
      <w:start w:val="0"/>
      <w:numFmt w:val="bullet"/>
      <w:lvlText w:val="•"/>
      <w:lvlJc w:val="left"/>
      <w:pPr>
        <w:ind w:left="4178" w:hanging="420"/>
      </w:pPr>
      <w:rPr>
        <w:rFonts w:hint="default"/>
      </w:rPr>
    </w:lvl>
    <w:lvl w:ilvl="5">
      <w:start w:val="0"/>
      <w:numFmt w:val="bullet"/>
      <w:lvlText w:val="•"/>
      <w:lvlJc w:val="left"/>
      <w:pPr>
        <w:ind w:left="5013" w:hanging="420"/>
      </w:pPr>
      <w:rPr>
        <w:rFonts w:hint="default"/>
      </w:rPr>
    </w:lvl>
    <w:lvl w:ilvl="6">
      <w:start w:val="0"/>
      <w:numFmt w:val="bullet"/>
      <w:lvlText w:val="•"/>
      <w:lvlJc w:val="left"/>
      <w:pPr>
        <w:ind w:left="5847" w:hanging="420"/>
      </w:pPr>
      <w:rPr>
        <w:rFonts w:hint="default"/>
      </w:rPr>
    </w:lvl>
    <w:lvl w:ilvl="7">
      <w:start w:val="0"/>
      <w:numFmt w:val="bullet"/>
      <w:lvlText w:val="•"/>
      <w:lvlJc w:val="left"/>
      <w:pPr>
        <w:ind w:left="6682" w:hanging="420"/>
      </w:pPr>
      <w:rPr>
        <w:rFonts w:hint="default"/>
      </w:rPr>
    </w:lvl>
    <w:lvl w:ilvl="8">
      <w:start w:val="0"/>
      <w:numFmt w:val="bullet"/>
      <w:lvlText w:val="•"/>
      <w:lvlJc w:val="left"/>
      <w:pPr>
        <w:ind w:left="7516"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540" w:hanging="420"/>
    </w:pPr>
    <w:rPr>
      <w:rFonts w:ascii="宋体" w:hAnsi="宋体" w:eastAsia="宋体" w:cs="宋体"/>
      <w:sz w:val="21"/>
      <w:szCs w:val="21"/>
    </w:rPr>
  </w:style>
  <w:style w:styleId="TOC2" w:type="paragraph">
    <w:name w:val="TOC 2"/>
    <w:basedOn w:val="Normal"/>
    <w:uiPriority w:val="1"/>
    <w:qFormat/>
    <w:pPr>
      <w:spacing w:before="21"/>
      <w:ind w:left="1380" w:hanging="840"/>
    </w:pPr>
    <w:rPr>
      <w:rFonts w:ascii="宋体" w:hAnsi="宋体" w:eastAsia="宋体" w:cs="宋体"/>
      <w:sz w:val="21"/>
      <w:szCs w:val="21"/>
    </w:rPr>
  </w:style>
  <w:style w:styleId="TOC3" w:type="paragraph">
    <w:name w:val="TOC 3"/>
    <w:basedOn w:val="Normal"/>
    <w:uiPriority w:val="1"/>
    <w:qFormat/>
    <w:pPr>
      <w:spacing w:before="21"/>
      <w:ind w:left="1800" w:hanging="840"/>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29" w:lineRule="exact"/>
      <w:ind w:left="307"/>
      <w:jc w:val="center"/>
      <w:outlineLvl w:val="1"/>
    </w:pPr>
    <w:rPr>
      <w:rFonts w:ascii="Microsoft JhengHei UI" w:hAnsi="Microsoft JhengHei UI" w:eastAsia="Microsoft JhengHei UI" w:cs="Microsoft JhengHei UI"/>
      <w:b/>
      <w:bCs/>
      <w:sz w:val="28"/>
      <w:szCs w:val="28"/>
    </w:rPr>
  </w:style>
  <w:style w:styleId="Heading2" w:type="paragraph">
    <w:name w:val="Heading 2"/>
    <w:basedOn w:val="Normal"/>
    <w:uiPriority w:val="1"/>
    <w:qFormat/>
    <w:pPr>
      <w:ind w:left="846" w:hanging="720"/>
      <w:outlineLvl w:val="2"/>
    </w:pPr>
    <w:rPr>
      <w:rFonts w:ascii="Microsoft JhengHei UI" w:hAnsi="Microsoft JhengHei UI" w:eastAsia="Microsoft JhengHei UI" w:cs="Microsoft JhengHei UI"/>
      <w:b/>
      <w:bCs/>
      <w:sz w:val="21"/>
      <w:szCs w:val="21"/>
    </w:rPr>
  </w:style>
  <w:style w:styleId="ListParagraph" w:type="paragraph">
    <w:name w:val="List Paragraph"/>
    <w:basedOn w:val="Normal"/>
    <w:uiPriority w:val="1"/>
    <w:qFormat/>
    <w:pPr>
      <w:spacing w:before="21"/>
      <w:ind w:left="1800" w:hanging="840"/>
    </w:pPr>
    <w:rPr>
      <w:rFonts w:ascii="宋体" w:hAnsi="宋体" w:eastAsia="宋体" w:cs="宋体"/>
    </w:rPr>
  </w:style>
  <w:style w:styleId="TableParagraph" w:type="paragraph">
    <w:name w:val="Table Paragraph"/>
    <w:basedOn w:val="Normal"/>
    <w:uiPriority w:val="1"/>
    <w:qFormat/>
    <w:pPr>
      <w:spacing w:before="63"/>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 Corporation</dc:creator>
  <dc:title>阅读指引</dc:title>
  <dcterms:created xsi:type="dcterms:W3CDTF">2018-10-20T00:45:33Z</dcterms:created>
  <dcterms:modified xsi:type="dcterms:W3CDTF">2018-10-20T00:45:33Z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WPS Office 个人版</vt:lpwstr>
  </property>
  <property fmtid="{D5CDD505-2E9C-101B-9397-08002B2CF9AE}" pid="4" name="LastSaved">
    <vt:filetime>2018-10-19T00:00:00Z</vt:filetime>
  </property>
</Properties>
</file>