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0" w:right="116" w:firstLine="0"/>
        <w:jc w:val="right"/>
        <w:rPr>
          <w:sz w:val="16"/>
        </w:rPr>
      </w:pPr>
      <w:r>
        <w:rPr/>
        <w:drawing>
          <wp:anchor distT="0" distB="0" distL="0" distR="0" allowOverlap="1" layoutInCell="1" locked="0" behindDoc="0" simplePos="0" relativeHeight="1048">
            <wp:simplePos x="0" y="0"/>
            <wp:positionH relativeFrom="page">
              <wp:posOffset>6172200</wp:posOffset>
            </wp:positionH>
            <wp:positionV relativeFrom="paragraph">
              <wp:posOffset>233092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w:t>
      </w:r>
      <w:r>
        <w:rPr>
          <w:rFonts w:ascii="Times New Roman" w:eastAsia="Times New Roman"/>
          <w:sz w:val="16"/>
        </w:rPr>
        <w:t>[2016]</w:t>
      </w:r>
      <w:r>
        <w:rPr>
          <w:sz w:val="16"/>
        </w:rPr>
        <w:t>疾病保险 </w:t>
      </w:r>
      <w:r>
        <w:rPr>
          <w:rFonts w:ascii="Times New Roman" w:eastAsia="Times New Roman"/>
          <w:sz w:val="16"/>
        </w:rPr>
        <w:t>002 </w:t>
      </w:r>
      <w:r>
        <w:rPr>
          <w:sz w:val="16"/>
        </w:rPr>
        <w:t>号</w:t>
      </w:r>
    </w:p>
    <w:p>
      <w:pPr>
        <w:spacing w:line="240" w:lineRule="auto" w:before="0"/>
        <w:rPr>
          <w:sz w:val="20"/>
        </w:rPr>
      </w:pPr>
    </w:p>
    <w:p>
      <w:pPr>
        <w:spacing w:after="0" w:line="240" w:lineRule="auto"/>
        <w:rPr>
          <w:sz w:val="20"/>
        </w:rPr>
        <w:sectPr>
          <w:type w:val="continuous"/>
          <w:pgSz w:w="11910" w:h="16840"/>
          <w:pgMar w:top="440" w:bottom="280" w:left="700" w:right="400"/>
        </w:sectPr>
      </w:pPr>
    </w:p>
    <w:p>
      <w:pPr>
        <w:pStyle w:val="Heading1"/>
        <w:spacing w:before="113"/>
        <w:ind w:left="2602"/>
        <w:jc w:val="left"/>
      </w:pPr>
      <w:r>
        <w:rPr>
          <w:w w:val="95"/>
        </w:rPr>
        <w:t>华夏人寿保险股份有限公司</w:t>
      </w:r>
    </w:p>
    <w:p>
      <w:pPr>
        <w:spacing w:line="324" w:lineRule="auto" w:before="48"/>
        <w:ind w:left="1940" w:right="5" w:firstLine="0"/>
        <w:jc w:val="center"/>
        <w:rPr>
          <w:b/>
          <w:sz w:val="44"/>
        </w:rPr>
      </w:pPr>
      <w:r>
        <w:rPr>
          <w:b/>
          <w:w w:val="95"/>
          <w:sz w:val="44"/>
        </w:rPr>
        <w:t>常青树团体终身重大疾病保险条款阅读指引</w:t>
      </w:r>
    </w:p>
    <w:p>
      <w:pPr>
        <w:pStyle w:val="BodyText"/>
        <w:spacing w:before="85"/>
        <w:ind w:left="1995" w:firstLine="0"/>
        <w:jc w:val="center"/>
        <w:rPr>
          <w:rFonts w:ascii="宋体" w:eastAsia="宋体" w:hint="eastAsia"/>
        </w:rPr>
      </w:pPr>
      <w:r>
        <w:rPr>
          <w:rFonts w:ascii="宋体" w:eastAsia="宋体" w:hint="eastAsia"/>
          <w:spacing w:val="-149"/>
          <w:w w:val="100"/>
        </w:rPr>
        <w:t>本</w:t>
      </w:r>
      <w:r>
        <w:rPr>
          <w:rFonts w:ascii="宋体" w:eastAsia="宋体" w:hint="eastAsia"/>
          <w:spacing w:val="-63"/>
          <w:w w:val="100"/>
          <w:position w:val="-7"/>
        </w:rPr>
        <w:t>．</w:t>
      </w:r>
      <w:r>
        <w:rPr>
          <w:rFonts w:ascii="宋体" w:eastAsia="宋体" w:hint="eastAsia"/>
          <w:spacing w:val="-149"/>
          <w:w w:val="100"/>
        </w:rPr>
        <w:t>阅</w:t>
      </w:r>
      <w:r>
        <w:rPr>
          <w:rFonts w:ascii="宋体" w:eastAsia="宋体" w:hint="eastAsia"/>
          <w:spacing w:val="-63"/>
          <w:w w:val="100"/>
          <w:position w:val="-7"/>
        </w:rPr>
        <w:t>．</w:t>
      </w:r>
      <w:r>
        <w:rPr>
          <w:rFonts w:ascii="宋体" w:eastAsia="宋体" w:hint="eastAsia"/>
          <w:spacing w:val="-152"/>
          <w:w w:val="100"/>
        </w:rPr>
        <w:t>读</w:t>
      </w:r>
      <w:r>
        <w:rPr>
          <w:rFonts w:ascii="宋体" w:eastAsia="宋体" w:hint="eastAsia"/>
          <w:spacing w:val="-63"/>
          <w:w w:val="100"/>
          <w:position w:val="-7"/>
        </w:rPr>
        <w:t>．</w:t>
      </w:r>
      <w:r>
        <w:rPr>
          <w:rFonts w:ascii="宋体" w:eastAsia="宋体" w:hint="eastAsia"/>
          <w:spacing w:val="-149"/>
          <w:w w:val="100"/>
        </w:rPr>
        <w:t>指</w:t>
      </w:r>
      <w:r>
        <w:rPr>
          <w:rFonts w:ascii="宋体" w:eastAsia="宋体" w:hint="eastAsia"/>
          <w:spacing w:val="-63"/>
          <w:w w:val="100"/>
          <w:position w:val="-7"/>
        </w:rPr>
        <w:t>．</w:t>
      </w:r>
      <w:r>
        <w:rPr>
          <w:rFonts w:ascii="宋体" w:eastAsia="宋体" w:hint="eastAsia"/>
          <w:spacing w:val="-152"/>
          <w:w w:val="100"/>
        </w:rPr>
        <w:t>引</w:t>
      </w:r>
      <w:r>
        <w:rPr>
          <w:rFonts w:ascii="宋体" w:eastAsia="宋体" w:hint="eastAsia"/>
          <w:spacing w:val="-63"/>
          <w:w w:val="100"/>
          <w:position w:val="-7"/>
        </w:rPr>
        <w:t>．</w:t>
      </w:r>
      <w:r>
        <w:rPr>
          <w:rFonts w:ascii="宋体" w:eastAsia="宋体" w:hint="eastAsia"/>
          <w:spacing w:val="-149"/>
          <w:w w:val="100"/>
        </w:rPr>
        <w:t>有</w:t>
      </w:r>
      <w:r>
        <w:rPr>
          <w:rFonts w:ascii="宋体" w:eastAsia="宋体" w:hint="eastAsia"/>
          <w:spacing w:val="-63"/>
          <w:w w:val="100"/>
          <w:position w:val="-7"/>
        </w:rPr>
        <w:t>．</w:t>
      </w:r>
      <w:r>
        <w:rPr>
          <w:rFonts w:ascii="宋体" w:eastAsia="宋体" w:hint="eastAsia"/>
          <w:spacing w:val="-151"/>
          <w:w w:val="100"/>
        </w:rPr>
        <w:t>助</w:t>
      </w:r>
      <w:r>
        <w:rPr>
          <w:rFonts w:ascii="宋体" w:eastAsia="宋体" w:hint="eastAsia"/>
          <w:spacing w:val="-63"/>
          <w:w w:val="100"/>
          <w:position w:val="-7"/>
        </w:rPr>
        <w:t>．</w:t>
      </w:r>
      <w:r>
        <w:rPr>
          <w:rFonts w:ascii="宋体" w:eastAsia="宋体" w:hint="eastAsia"/>
          <w:spacing w:val="-149"/>
          <w:w w:val="100"/>
        </w:rPr>
        <w:t>于</w:t>
      </w:r>
      <w:r>
        <w:rPr>
          <w:rFonts w:ascii="宋体" w:eastAsia="宋体" w:hint="eastAsia"/>
          <w:spacing w:val="-63"/>
          <w:w w:val="100"/>
          <w:position w:val="-7"/>
        </w:rPr>
        <w:t>．</w:t>
      </w:r>
      <w:r>
        <w:rPr>
          <w:rFonts w:ascii="宋体" w:eastAsia="宋体" w:hint="eastAsia"/>
          <w:spacing w:val="-152"/>
          <w:w w:val="100"/>
        </w:rPr>
        <w:t>投</w:t>
      </w:r>
      <w:r>
        <w:rPr>
          <w:rFonts w:ascii="宋体" w:eastAsia="宋体" w:hint="eastAsia"/>
          <w:spacing w:val="-63"/>
          <w:w w:val="100"/>
          <w:position w:val="-7"/>
        </w:rPr>
        <w:t>．</w:t>
      </w:r>
      <w:r>
        <w:rPr>
          <w:rFonts w:ascii="宋体" w:eastAsia="宋体" w:hint="eastAsia"/>
          <w:spacing w:val="-149"/>
          <w:w w:val="100"/>
        </w:rPr>
        <w:t>保</w:t>
      </w:r>
      <w:r>
        <w:rPr>
          <w:rFonts w:ascii="宋体" w:eastAsia="宋体" w:hint="eastAsia"/>
          <w:spacing w:val="-63"/>
          <w:w w:val="100"/>
          <w:position w:val="-7"/>
        </w:rPr>
        <w:t>．</w:t>
      </w:r>
      <w:r>
        <w:rPr>
          <w:rFonts w:ascii="宋体" w:eastAsia="宋体" w:hint="eastAsia"/>
          <w:spacing w:val="-152"/>
          <w:w w:val="100"/>
        </w:rPr>
        <w:t>人</w:t>
      </w:r>
      <w:r>
        <w:rPr>
          <w:rFonts w:ascii="宋体" w:eastAsia="宋体" w:hint="eastAsia"/>
          <w:spacing w:val="-63"/>
          <w:w w:val="100"/>
          <w:position w:val="-7"/>
        </w:rPr>
        <w:t>．</w:t>
      </w:r>
      <w:r>
        <w:rPr>
          <w:rFonts w:ascii="宋体" w:eastAsia="宋体" w:hint="eastAsia"/>
          <w:spacing w:val="-149"/>
          <w:w w:val="100"/>
        </w:rPr>
        <w:t>理</w:t>
      </w:r>
      <w:r>
        <w:rPr>
          <w:rFonts w:ascii="宋体" w:eastAsia="宋体" w:hint="eastAsia"/>
          <w:spacing w:val="-63"/>
          <w:w w:val="100"/>
          <w:position w:val="-7"/>
        </w:rPr>
        <w:t>．</w:t>
      </w:r>
      <w:r>
        <w:rPr>
          <w:rFonts w:ascii="宋体" w:eastAsia="宋体" w:hint="eastAsia"/>
          <w:spacing w:val="-149"/>
          <w:w w:val="100"/>
        </w:rPr>
        <w:t>解</w:t>
      </w:r>
      <w:r>
        <w:rPr>
          <w:rFonts w:ascii="宋体" w:eastAsia="宋体" w:hint="eastAsia"/>
          <w:spacing w:val="-63"/>
          <w:w w:val="100"/>
          <w:position w:val="-7"/>
        </w:rPr>
        <w:t>．</w:t>
      </w:r>
      <w:r>
        <w:rPr>
          <w:rFonts w:ascii="宋体" w:eastAsia="宋体" w:hint="eastAsia"/>
          <w:spacing w:val="-152"/>
          <w:w w:val="100"/>
        </w:rPr>
        <w:t>条</w:t>
      </w:r>
      <w:r>
        <w:rPr>
          <w:rFonts w:ascii="宋体" w:eastAsia="宋体" w:hint="eastAsia"/>
          <w:spacing w:val="-63"/>
          <w:w w:val="100"/>
          <w:position w:val="-7"/>
        </w:rPr>
        <w:t>．</w:t>
      </w:r>
      <w:r>
        <w:rPr>
          <w:rFonts w:ascii="宋体" w:eastAsia="宋体" w:hint="eastAsia"/>
          <w:spacing w:val="-149"/>
          <w:w w:val="100"/>
        </w:rPr>
        <w:t>款</w:t>
      </w:r>
      <w:r>
        <w:rPr>
          <w:rFonts w:ascii="宋体" w:eastAsia="宋体" w:hint="eastAsia"/>
          <w:spacing w:val="-63"/>
          <w:w w:val="100"/>
          <w:position w:val="-7"/>
        </w:rPr>
        <w:t>．</w:t>
      </w:r>
      <w:r>
        <w:rPr>
          <w:rFonts w:ascii="宋体" w:eastAsia="宋体" w:hint="eastAsia"/>
          <w:spacing w:val="-152"/>
          <w:w w:val="100"/>
        </w:rPr>
        <w:t>，</w:t>
      </w:r>
      <w:r>
        <w:rPr>
          <w:rFonts w:ascii="宋体" w:eastAsia="宋体" w:hint="eastAsia"/>
          <w:spacing w:val="-63"/>
          <w:w w:val="100"/>
          <w:position w:val="-7"/>
        </w:rPr>
        <w:t>．</w:t>
      </w:r>
      <w:r>
        <w:rPr>
          <w:rFonts w:ascii="宋体" w:eastAsia="宋体" w:hint="eastAsia"/>
          <w:spacing w:val="-149"/>
          <w:w w:val="100"/>
        </w:rPr>
        <w:t>对</w:t>
      </w:r>
      <w:r>
        <w:rPr>
          <w:rFonts w:ascii="宋体" w:eastAsia="宋体" w:hint="eastAsia"/>
          <w:spacing w:val="-63"/>
          <w:w w:val="100"/>
          <w:position w:val="-7"/>
        </w:rPr>
        <w:t>．</w:t>
      </w:r>
      <w:r>
        <w:rPr>
          <w:rFonts w:ascii="宋体" w:eastAsia="宋体" w:hint="eastAsia"/>
          <w:spacing w:val="-152"/>
          <w:w w:val="100"/>
        </w:rPr>
        <w:t>本</w:t>
      </w:r>
      <w:r>
        <w:rPr>
          <w:rFonts w:ascii="宋体" w:eastAsia="宋体" w:hint="eastAsia"/>
          <w:spacing w:val="-63"/>
          <w:w w:val="100"/>
          <w:position w:val="-7"/>
        </w:rPr>
        <w:t>．</w:t>
      </w:r>
      <w:r>
        <w:rPr>
          <w:rFonts w:ascii="宋体" w:eastAsia="宋体" w:hint="eastAsia"/>
          <w:spacing w:val="-150"/>
          <w:w w:val="100"/>
        </w:rPr>
        <w:t>合</w:t>
      </w:r>
      <w:r>
        <w:rPr>
          <w:rFonts w:ascii="宋体" w:eastAsia="宋体" w:hint="eastAsia"/>
          <w:spacing w:val="-63"/>
          <w:w w:val="100"/>
          <w:position w:val="-7"/>
        </w:rPr>
        <w:t>．</w:t>
      </w:r>
      <w:r>
        <w:rPr>
          <w:rFonts w:ascii="宋体" w:eastAsia="宋体" w:hint="eastAsia"/>
          <w:spacing w:val="-152"/>
          <w:w w:val="100"/>
        </w:rPr>
        <w:t>同</w:t>
      </w:r>
      <w:r>
        <w:rPr>
          <w:rFonts w:ascii="宋体" w:eastAsia="宋体" w:hint="eastAsia"/>
          <w:spacing w:val="-63"/>
          <w:w w:val="100"/>
          <w:position w:val="-7"/>
        </w:rPr>
        <w:t>．</w:t>
      </w:r>
      <w:r>
        <w:rPr>
          <w:rFonts w:ascii="宋体" w:eastAsia="宋体" w:hint="eastAsia"/>
          <w:spacing w:val="-149"/>
          <w:w w:val="100"/>
        </w:rPr>
        <w:t>内</w:t>
      </w:r>
      <w:r>
        <w:rPr>
          <w:rFonts w:ascii="宋体" w:eastAsia="宋体" w:hint="eastAsia"/>
          <w:spacing w:val="-63"/>
          <w:w w:val="100"/>
          <w:position w:val="-7"/>
        </w:rPr>
        <w:t>．</w:t>
      </w:r>
      <w:r>
        <w:rPr>
          <w:rFonts w:ascii="宋体" w:eastAsia="宋体" w:hint="eastAsia"/>
          <w:spacing w:val="-152"/>
          <w:w w:val="100"/>
        </w:rPr>
        <w:t>容</w:t>
      </w:r>
      <w:r>
        <w:rPr>
          <w:rFonts w:ascii="宋体" w:eastAsia="宋体" w:hint="eastAsia"/>
          <w:spacing w:val="-63"/>
          <w:w w:val="100"/>
          <w:position w:val="-7"/>
        </w:rPr>
        <w:t>．</w:t>
      </w:r>
      <w:r>
        <w:rPr>
          <w:rFonts w:ascii="宋体" w:eastAsia="宋体" w:hint="eastAsia"/>
          <w:spacing w:val="-149"/>
          <w:w w:val="100"/>
        </w:rPr>
        <w:t>的</w:t>
      </w:r>
      <w:r>
        <w:rPr>
          <w:rFonts w:ascii="宋体" w:eastAsia="宋体" w:hint="eastAsia"/>
          <w:spacing w:val="-63"/>
          <w:w w:val="100"/>
          <w:position w:val="-7"/>
        </w:rPr>
        <w:t>．</w:t>
      </w:r>
      <w:r>
        <w:rPr>
          <w:rFonts w:ascii="宋体" w:eastAsia="宋体" w:hint="eastAsia"/>
          <w:spacing w:val="-149"/>
          <w:w w:val="100"/>
        </w:rPr>
        <w:t>解</w:t>
      </w:r>
      <w:r>
        <w:rPr>
          <w:rFonts w:ascii="宋体" w:eastAsia="宋体" w:hint="eastAsia"/>
          <w:spacing w:val="-63"/>
          <w:w w:val="100"/>
          <w:position w:val="-7"/>
        </w:rPr>
        <w:t>．</w:t>
      </w:r>
      <w:r>
        <w:rPr>
          <w:rFonts w:ascii="宋体" w:eastAsia="宋体" w:hint="eastAsia"/>
          <w:spacing w:val="-152"/>
          <w:w w:val="100"/>
        </w:rPr>
        <w:t>释</w:t>
      </w:r>
      <w:r>
        <w:rPr>
          <w:rFonts w:ascii="宋体" w:eastAsia="宋体" w:hint="eastAsia"/>
          <w:spacing w:val="-63"/>
          <w:w w:val="100"/>
          <w:position w:val="-7"/>
        </w:rPr>
        <w:t>．</w:t>
      </w:r>
      <w:r>
        <w:rPr>
          <w:rFonts w:ascii="宋体" w:eastAsia="宋体" w:hint="eastAsia"/>
          <w:spacing w:val="-149"/>
          <w:w w:val="100"/>
        </w:rPr>
        <w:t>以</w:t>
      </w:r>
      <w:r>
        <w:rPr>
          <w:rFonts w:ascii="宋体" w:eastAsia="宋体" w:hint="eastAsia"/>
          <w:spacing w:val="-63"/>
          <w:w w:val="100"/>
          <w:position w:val="-7"/>
        </w:rPr>
        <w:t>．</w:t>
      </w:r>
      <w:r>
        <w:rPr>
          <w:rFonts w:ascii="宋体" w:eastAsia="宋体" w:hint="eastAsia"/>
          <w:spacing w:val="-152"/>
          <w:w w:val="100"/>
        </w:rPr>
        <w:t>条</w:t>
      </w:r>
      <w:r>
        <w:rPr>
          <w:rFonts w:ascii="宋体" w:eastAsia="宋体" w:hint="eastAsia"/>
          <w:spacing w:val="-63"/>
          <w:w w:val="100"/>
          <w:position w:val="-7"/>
        </w:rPr>
        <w:t>．</w:t>
      </w:r>
      <w:r>
        <w:rPr>
          <w:rFonts w:ascii="宋体" w:eastAsia="宋体" w:hint="eastAsia"/>
          <w:spacing w:val="-149"/>
          <w:w w:val="100"/>
        </w:rPr>
        <w:t>款</w:t>
      </w:r>
      <w:r>
        <w:rPr>
          <w:rFonts w:ascii="宋体" w:eastAsia="宋体" w:hint="eastAsia"/>
          <w:spacing w:val="-63"/>
          <w:w w:val="100"/>
          <w:position w:val="-7"/>
        </w:rPr>
        <w:t>．</w:t>
      </w:r>
      <w:r>
        <w:rPr>
          <w:rFonts w:ascii="宋体" w:eastAsia="宋体" w:hint="eastAsia"/>
          <w:spacing w:val="-152"/>
          <w:w w:val="100"/>
        </w:rPr>
        <w:t>为</w:t>
      </w:r>
      <w:r>
        <w:rPr>
          <w:rFonts w:ascii="宋体" w:eastAsia="宋体" w:hint="eastAsia"/>
          <w:spacing w:val="-63"/>
          <w:w w:val="100"/>
          <w:position w:val="-7"/>
        </w:rPr>
        <w:t>．</w:t>
      </w:r>
      <w:r>
        <w:rPr>
          <w:rFonts w:ascii="宋体" w:eastAsia="宋体" w:hint="eastAsia"/>
          <w:spacing w:val="-150"/>
          <w:w w:val="100"/>
        </w:rPr>
        <w:t>准</w:t>
      </w:r>
      <w:r>
        <w:rPr>
          <w:rFonts w:ascii="宋体" w:eastAsia="宋体" w:hint="eastAsia"/>
          <w:spacing w:val="-63"/>
          <w:w w:val="100"/>
          <w:position w:val="-7"/>
        </w:rPr>
        <w:t>．</w:t>
      </w:r>
      <w:r>
        <w:rPr>
          <w:rFonts w:ascii="宋体" w:eastAsia="宋体" w:hint="eastAsia"/>
          <w:spacing w:val="-152"/>
          <w:w w:val="100"/>
        </w:rPr>
        <w:t>。</w:t>
      </w:r>
      <w:r>
        <w:rPr>
          <w:rFonts w:ascii="宋体" w:eastAsia="宋体" w:hint="eastAsia"/>
          <w:w w:val="100"/>
          <w:position w:val="-7"/>
        </w:rPr>
        <w:t>．</w:t>
      </w:r>
    </w:p>
    <w:p>
      <w:pPr>
        <w:spacing w:line="240" w:lineRule="auto" w:before="0"/>
        <w:rPr>
          <w:sz w:val="16"/>
        </w:rPr>
      </w:pPr>
      <w:r>
        <w:rPr/>
        <w:br w:type="column"/>
      </w:r>
      <w:r>
        <w:rPr>
          <w:sz w:val="16"/>
        </w:rPr>
      </w: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1"/>
        <w:rPr>
          <w:sz w:val="17"/>
        </w:rPr>
      </w:pPr>
    </w:p>
    <w:p>
      <w:pPr>
        <w:spacing w:before="1"/>
        <w:ind w:left="178" w:right="0" w:firstLine="0"/>
        <w:jc w:val="left"/>
        <w:rPr>
          <w:rFonts w:ascii="仿宋" w:eastAsia="仿宋" w:hint="eastAsia"/>
          <w:sz w:val="16"/>
        </w:rPr>
      </w:pPr>
      <w:r>
        <w:rPr>
          <w:rFonts w:ascii="仿宋" w:eastAsia="仿宋" w:hint="eastAsia"/>
          <w:sz w:val="16"/>
        </w:rPr>
        <w:t>请扫描以查询验证条款</w:t>
      </w:r>
    </w:p>
    <w:p>
      <w:pPr>
        <w:spacing w:after="0"/>
        <w:jc w:val="left"/>
        <w:rPr>
          <w:rFonts w:ascii="仿宋" w:eastAsia="仿宋" w:hint="eastAsia"/>
          <w:sz w:val="16"/>
        </w:rPr>
        <w:sectPr>
          <w:type w:val="continuous"/>
          <w:pgSz w:w="11910" w:h="16840"/>
          <w:pgMar w:top="440" w:bottom="280" w:left="700" w:right="400"/>
          <w:cols w:num="2" w:equalWidth="0">
            <w:col w:w="8573" w:space="40"/>
            <w:col w:w="2197"/>
          </w:cols>
        </w:sectPr>
      </w:pPr>
    </w:p>
    <w:p>
      <w:pPr>
        <w:pStyle w:val="BodyText"/>
        <w:spacing w:before="0"/>
        <w:ind w:firstLine="0"/>
        <w:rPr>
          <w:sz w:val="20"/>
        </w:rPr>
      </w:pPr>
    </w:p>
    <w:p>
      <w:pPr>
        <w:pStyle w:val="BodyText"/>
        <w:spacing w:before="2"/>
        <w:ind w:firstLine="0"/>
        <w:rPr>
          <w:sz w:val="18"/>
        </w:rPr>
      </w:pPr>
    </w:p>
    <w:p>
      <w:pPr>
        <w:tabs>
          <w:tab w:pos="1261" w:val="left" w:leader="none"/>
        </w:tabs>
        <w:spacing w:before="52"/>
        <w:ind w:left="247" w:right="0" w:firstLine="0"/>
        <w:jc w:val="left"/>
        <w:rPr>
          <w:b/>
          <w:sz w:val="21"/>
        </w:rPr>
      </w:pPr>
      <w:r>
        <w:rPr/>
        <w:drawing>
          <wp:anchor distT="0" distB="0" distL="0" distR="0" allowOverlap="1" layoutInCell="1" locked="0" behindDoc="1" simplePos="0" relativeHeight="268396631">
            <wp:simplePos x="0" y="0"/>
            <wp:positionH relativeFrom="page">
              <wp:posOffset>512063</wp:posOffset>
            </wp:positionH>
            <wp:positionV relativeFrom="paragraph">
              <wp:posOffset>-195228</wp:posOffset>
            </wp:positionV>
            <wp:extent cx="6534658" cy="688949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4658" cy="6889495"/>
                    </a:xfrm>
                    <a:prstGeom prst="rect">
                      <a:avLst/>
                    </a:prstGeom>
                  </pic:spPr>
                </pic:pic>
              </a:graphicData>
            </a:graphic>
          </wp:anchor>
        </w:drawing>
      </w:r>
      <w:r>
        <w:rPr>
          <w:rFonts w:ascii="Arial" w:hAnsi="Arial" w:eastAsia="Arial"/>
          <w:b/>
          <w:w w:val="105"/>
          <w:position w:val="-11"/>
          <w:sz w:val="52"/>
        </w:rPr>
        <w:t></w:t>
        <w:tab/>
      </w:r>
      <w:r>
        <w:rPr>
          <w:b/>
          <w:spacing w:val="-2"/>
          <w:sz w:val="21"/>
        </w:rPr>
        <w:t>投保人拥有的重要权益</w:t>
      </w:r>
    </w:p>
    <w:p>
      <w:pPr>
        <w:pStyle w:val="ListParagraph"/>
        <w:numPr>
          <w:ilvl w:val="0"/>
          <w:numId w:val="1"/>
        </w:numPr>
        <w:tabs>
          <w:tab w:pos="1554" w:val="left" w:leader="none"/>
        </w:tabs>
        <w:spacing w:line="240" w:lineRule="auto" w:before="25" w:after="0"/>
        <w:ind w:left="1554" w:right="0" w:hanging="334"/>
        <w:jc w:val="left"/>
        <w:rPr>
          <w:sz w:val="21"/>
        </w:rPr>
      </w:pPr>
      <w:r>
        <w:rPr>
          <w:spacing w:val="-3"/>
          <w:sz w:val="21"/>
        </w:rPr>
        <w:t>签收本合同之日起</w:t>
      </w:r>
      <w:r>
        <w:rPr>
          <w:spacing w:val="-1"/>
          <w:sz w:val="21"/>
        </w:rPr>
        <w:t>15</w:t>
      </w:r>
      <w:r>
        <w:rPr>
          <w:spacing w:val="-2"/>
          <w:sz w:val="21"/>
        </w:rPr>
        <w:t>日内</w:t>
      </w:r>
      <w:r>
        <w:rPr>
          <w:sz w:val="21"/>
        </w:rPr>
        <w:t>（</w:t>
      </w:r>
      <w:r>
        <w:rPr>
          <w:spacing w:val="-2"/>
          <w:sz w:val="21"/>
        </w:rPr>
        <w:t>犹豫期</w:t>
      </w:r>
      <w:r>
        <w:rPr>
          <w:spacing w:val="-3"/>
          <w:sz w:val="21"/>
        </w:rPr>
        <w:t>）投保人可以要求退还扣除工本费外的全部保险费</w:t>
      </w:r>
      <w:r>
        <w:rPr>
          <w:rFonts w:ascii="宋体" w:hAnsi="宋体" w:eastAsia="宋体" w:hint="eastAsia"/>
          <w:sz w:val="21"/>
        </w:rPr>
        <w:t>„</w:t>
      </w:r>
      <w:r>
        <w:rPr>
          <w:sz w:val="21"/>
        </w:rPr>
        <w:t>1.4</w:t>
      </w:r>
    </w:p>
    <w:p>
      <w:pPr>
        <w:pStyle w:val="ListParagraph"/>
        <w:numPr>
          <w:ilvl w:val="0"/>
          <w:numId w:val="1"/>
        </w:numPr>
        <w:tabs>
          <w:tab w:pos="1554" w:val="left" w:leader="none"/>
        </w:tabs>
        <w:spacing w:line="240" w:lineRule="auto" w:before="21" w:after="0"/>
        <w:ind w:left="1554" w:right="0" w:hanging="334"/>
        <w:jc w:val="left"/>
        <w:rPr>
          <w:sz w:val="21"/>
        </w:rPr>
      </w:pPr>
      <w:r>
        <w:rPr>
          <w:spacing w:val="-3"/>
          <w:w w:val="110"/>
          <w:sz w:val="21"/>
        </w:rPr>
        <w:t>被保险人可以享受本合同提供的保障</w:t>
      </w:r>
      <w:r>
        <w:rPr>
          <w:rFonts w:ascii="宋体" w:hAnsi="宋体" w:eastAsia="宋体" w:hint="eastAsia"/>
          <w:spacing w:val="-1"/>
          <w:w w:val="170"/>
          <w:sz w:val="21"/>
        </w:rPr>
        <w:t>„„„„„„„„„„„„„„„„„„„„„„</w:t>
      </w:r>
      <w:r>
        <w:rPr>
          <w:spacing w:val="-1"/>
          <w:w w:val="170"/>
          <w:sz w:val="21"/>
        </w:rPr>
        <w:t>2.1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投保人有解除合同的权利</w:t>
      </w:r>
      <w:r>
        <w:rPr>
          <w:rFonts w:ascii="宋体" w:hAnsi="宋体" w:eastAsia="宋体" w:hint="eastAsia"/>
          <w:spacing w:val="-1"/>
          <w:w w:val="175"/>
          <w:sz w:val="21"/>
        </w:rPr>
        <w:t>„„„„„„„„„„„„„„„„„„„„„„„„„„„</w:t>
      </w:r>
      <w:r>
        <w:rPr>
          <w:spacing w:val="-1"/>
          <w:w w:val="175"/>
          <w:sz w:val="21"/>
        </w:rPr>
        <w:t>7.1</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2"/>
          <w:sz w:val="21"/>
        </w:rPr>
        <w:t>投保人应当特别注意的事项</w:t>
      </w:r>
    </w:p>
    <w:p>
      <w:pPr>
        <w:pStyle w:val="ListParagraph"/>
        <w:numPr>
          <w:ilvl w:val="0"/>
          <w:numId w:val="1"/>
        </w:numPr>
        <w:tabs>
          <w:tab w:pos="1554" w:val="left" w:leader="none"/>
        </w:tabs>
        <w:spacing w:line="240" w:lineRule="auto" w:before="26" w:after="0"/>
        <w:ind w:left="1554" w:right="0" w:hanging="334"/>
        <w:jc w:val="left"/>
        <w:rPr>
          <w:sz w:val="21"/>
        </w:rPr>
      </w:pPr>
      <w:r>
        <w:rPr>
          <w:spacing w:val="-3"/>
          <w:w w:val="105"/>
          <w:sz w:val="21"/>
        </w:rPr>
        <w:t>在某些情况下，我们不承担保险责任</w:t>
      </w:r>
      <w:r>
        <w:rPr>
          <w:rFonts w:ascii="宋体" w:hAnsi="宋体" w:eastAsia="宋体" w:hint="eastAsia"/>
          <w:spacing w:val="-1"/>
          <w:w w:val="105"/>
          <w:sz w:val="21"/>
        </w:rPr>
        <w:t>„„„„„„„„„</w:t>
      </w:r>
      <w:r>
        <w:rPr>
          <w:spacing w:val="-1"/>
          <w:w w:val="105"/>
          <w:sz w:val="21"/>
        </w:rPr>
        <w:t>1.4;2.2;3.2;6.1;8.2;10.3;10.4</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保险事故发生后请投保人及时通知我们</w:t>
      </w:r>
      <w:r>
        <w:rPr>
          <w:rFonts w:ascii="宋体" w:hAnsi="宋体" w:eastAsia="宋体" w:hint="eastAsia"/>
          <w:spacing w:val="-1"/>
          <w:w w:val="170"/>
          <w:sz w:val="21"/>
        </w:rPr>
        <w:t>„„„„„„„„„„„„„„„„„„„„„</w:t>
      </w:r>
      <w:r>
        <w:rPr>
          <w:spacing w:val="-1"/>
          <w:w w:val="170"/>
          <w:sz w:val="21"/>
        </w:rPr>
        <w:t>3.2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投保人应当按时交纳保险费</w:t>
      </w:r>
      <w:r>
        <w:rPr>
          <w:rFonts w:ascii="宋体" w:hAnsi="宋体" w:eastAsia="宋体" w:hint="eastAsia"/>
          <w:spacing w:val="-1"/>
          <w:w w:val="170"/>
          <w:sz w:val="21"/>
        </w:rPr>
        <w:t>„„„„„„„„„„„„„„„„„„„„„„„„„„</w:t>
      </w:r>
      <w:r>
        <w:rPr>
          <w:spacing w:val="-1"/>
          <w:w w:val="170"/>
          <w:sz w:val="21"/>
        </w:rPr>
        <w:t>4.1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解除合同会给投保人造成一定的损失，请投保人慎重决策</w:t>
      </w:r>
      <w:r>
        <w:rPr>
          <w:rFonts w:ascii="宋体" w:hAnsi="宋体" w:eastAsia="宋体" w:hint="eastAsia"/>
          <w:spacing w:val="-1"/>
          <w:w w:val="150"/>
          <w:sz w:val="21"/>
        </w:rPr>
        <w:t>„„„„„„„„„„„„„</w:t>
      </w:r>
      <w:r>
        <w:rPr>
          <w:spacing w:val="-1"/>
          <w:w w:val="150"/>
          <w:sz w:val="21"/>
        </w:rPr>
        <w:t>7.1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投保人有如实告知的义务</w:t>
      </w:r>
      <w:r>
        <w:rPr>
          <w:rFonts w:ascii="宋体" w:hAnsi="宋体" w:eastAsia="宋体" w:hint="eastAsia"/>
          <w:spacing w:val="-1"/>
          <w:w w:val="175"/>
          <w:sz w:val="21"/>
        </w:rPr>
        <w:t>„„„„„„„„„„„„„„„„„„„„„„„„„„„</w:t>
      </w:r>
      <w:r>
        <w:rPr>
          <w:spacing w:val="-1"/>
          <w:w w:val="175"/>
          <w:sz w:val="21"/>
        </w:rPr>
        <w:t>8.2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我们对一些重要术语进行了解释，并作了显著标识，请投保人注意</w:t>
      </w:r>
      <w:r>
        <w:rPr>
          <w:rFonts w:ascii="宋体" w:hAnsi="宋体" w:eastAsia="宋体" w:hint="eastAsia"/>
          <w:w w:val="130"/>
          <w:sz w:val="21"/>
        </w:rPr>
        <w:t>„„„„„„„„„</w:t>
      </w:r>
      <w:r>
        <w:rPr>
          <w:w w:val="130"/>
          <w:sz w:val="21"/>
        </w:rPr>
        <w:t>10</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3"/>
          <w:sz w:val="21"/>
        </w:rPr>
        <w:t>条款是保险合同的重要内容，为充分保障投保人的权益，请投保人仔细阅读本条款。</w:t>
      </w:r>
    </w:p>
    <w:p>
      <w:pPr>
        <w:tabs>
          <w:tab w:pos="1258" w:val="left" w:leader="none"/>
        </w:tabs>
        <w:spacing w:before="26"/>
        <w:ind w:left="247"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440" w:bottom="280" w:left="700" w:right="400"/>
        </w:sectPr>
      </w:pPr>
    </w:p>
    <w:p>
      <w:pPr>
        <w:spacing w:line="273" w:lineRule="exact" w:before="0"/>
        <w:ind w:left="951" w:right="0" w:firstLine="0"/>
        <w:jc w:val="left"/>
        <w:rPr>
          <w:rFonts w:ascii="仿宋" w:eastAsia="仿宋" w:hint="eastAsia"/>
          <w:b/>
          <w:sz w:val="21"/>
        </w:rPr>
      </w:pPr>
      <w:r>
        <w:rPr>
          <w:rFonts w:ascii="仿宋" w:eastAsia="仿宋" w:hint="eastAsia"/>
          <w:b/>
          <w:sz w:val="21"/>
        </w:rPr>
        <w:t>1.投保人与我们订立的合同</w:t>
      </w:r>
    </w:p>
    <w:p>
      <w:pPr>
        <w:pStyle w:val="ListParagraph"/>
        <w:numPr>
          <w:ilvl w:val="1"/>
          <w:numId w:val="2"/>
        </w:numPr>
        <w:tabs>
          <w:tab w:pos="1586" w:val="left" w:leader="none"/>
        </w:tabs>
        <w:spacing w:line="240" w:lineRule="auto" w:before="37" w:after="0"/>
        <w:ind w:left="1585" w:right="0" w:hanging="423"/>
        <w:jc w:val="left"/>
        <w:rPr>
          <w:sz w:val="21"/>
        </w:rPr>
      </w:pPr>
      <w:r>
        <w:rPr>
          <w:spacing w:val="-3"/>
          <w:sz w:val="21"/>
        </w:rPr>
        <w:t>合同构成</w:t>
      </w:r>
    </w:p>
    <w:p>
      <w:pPr>
        <w:pStyle w:val="ListParagraph"/>
        <w:numPr>
          <w:ilvl w:val="1"/>
          <w:numId w:val="2"/>
        </w:numPr>
        <w:tabs>
          <w:tab w:pos="1583" w:val="left" w:leader="none"/>
        </w:tabs>
        <w:spacing w:line="240" w:lineRule="auto" w:before="37" w:after="0"/>
        <w:ind w:left="1582" w:right="0" w:hanging="420"/>
        <w:jc w:val="left"/>
        <w:rPr>
          <w:sz w:val="21"/>
        </w:rPr>
      </w:pPr>
      <w:r>
        <w:rPr>
          <w:spacing w:val="-3"/>
          <w:sz w:val="21"/>
        </w:rPr>
        <w:t>合同成立与生效</w:t>
      </w:r>
    </w:p>
    <w:p>
      <w:pPr>
        <w:pStyle w:val="ListParagraph"/>
        <w:numPr>
          <w:ilvl w:val="1"/>
          <w:numId w:val="2"/>
        </w:numPr>
        <w:tabs>
          <w:tab w:pos="1583" w:val="left" w:leader="none"/>
        </w:tabs>
        <w:spacing w:line="240" w:lineRule="auto" w:before="37" w:after="0"/>
        <w:ind w:left="1582" w:right="0" w:hanging="420"/>
        <w:jc w:val="left"/>
        <w:rPr>
          <w:sz w:val="21"/>
        </w:rPr>
      </w:pPr>
      <w:r>
        <w:rPr>
          <w:spacing w:val="-2"/>
          <w:sz w:val="21"/>
        </w:rPr>
        <w:t>投保范围</w:t>
      </w:r>
    </w:p>
    <w:p>
      <w:pPr>
        <w:pStyle w:val="ListParagraph"/>
        <w:numPr>
          <w:ilvl w:val="1"/>
          <w:numId w:val="2"/>
        </w:numPr>
        <w:tabs>
          <w:tab w:pos="1583" w:val="left" w:leader="none"/>
        </w:tabs>
        <w:spacing w:line="240" w:lineRule="auto" w:before="37" w:after="0"/>
        <w:ind w:left="1582" w:right="0" w:hanging="420"/>
        <w:jc w:val="left"/>
        <w:rPr>
          <w:sz w:val="21"/>
        </w:rPr>
      </w:pPr>
      <w:r>
        <w:rPr>
          <w:spacing w:val="-3"/>
          <w:sz w:val="21"/>
        </w:rPr>
        <w:t>犹豫期</w:t>
      </w:r>
    </w:p>
    <w:p>
      <w:pPr>
        <w:spacing w:before="37"/>
        <w:ind w:left="951" w:right="0" w:firstLine="0"/>
        <w:jc w:val="left"/>
        <w:rPr>
          <w:rFonts w:ascii="仿宋" w:eastAsia="仿宋" w:hint="eastAsia"/>
          <w:b/>
          <w:sz w:val="21"/>
        </w:rPr>
      </w:pPr>
      <w:r>
        <w:rPr>
          <w:rFonts w:ascii="仿宋" w:eastAsia="仿宋" w:hint="eastAsia"/>
          <w:b/>
          <w:sz w:val="21"/>
        </w:rPr>
        <w:t>2.我们提供的保障</w:t>
      </w:r>
    </w:p>
    <w:p>
      <w:pPr>
        <w:pStyle w:val="ListParagraph"/>
        <w:numPr>
          <w:ilvl w:val="1"/>
          <w:numId w:val="3"/>
        </w:numPr>
        <w:tabs>
          <w:tab w:pos="1586" w:val="left" w:leader="none"/>
        </w:tabs>
        <w:spacing w:line="240" w:lineRule="auto" w:before="37" w:after="0"/>
        <w:ind w:left="1582" w:right="0" w:hanging="420"/>
        <w:jc w:val="left"/>
        <w:rPr>
          <w:sz w:val="21"/>
        </w:rPr>
      </w:pPr>
      <w:r>
        <w:rPr>
          <w:spacing w:val="-3"/>
          <w:sz w:val="21"/>
        </w:rPr>
        <w:t>保险责任</w:t>
      </w:r>
    </w:p>
    <w:p>
      <w:pPr>
        <w:pStyle w:val="ListParagraph"/>
        <w:numPr>
          <w:ilvl w:val="1"/>
          <w:numId w:val="3"/>
        </w:numPr>
        <w:tabs>
          <w:tab w:pos="1586" w:val="left" w:leader="none"/>
        </w:tabs>
        <w:spacing w:line="240" w:lineRule="auto" w:before="37" w:after="0"/>
        <w:ind w:left="1582" w:right="0" w:hanging="420"/>
        <w:jc w:val="left"/>
        <w:rPr>
          <w:sz w:val="21"/>
        </w:rPr>
      </w:pPr>
      <w:r>
        <w:rPr>
          <w:spacing w:val="-3"/>
          <w:sz w:val="21"/>
        </w:rPr>
        <w:t>责任免除</w:t>
      </w:r>
    </w:p>
    <w:p>
      <w:pPr>
        <w:pStyle w:val="ListParagraph"/>
        <w:numPr>
          <w:ilvl w:val="1"/>
          <w:numId w:val="3"/>
        </w:numPr>
        <w:tabs>
          <w:tab w:pos="1586" w:val="left" w:leader="none"/>
        </w:tabs>
        <w:spacing w:line="240" w:lineRule="auto" w:before="37" w:after="0"/>
        <w:ind w:left="1582" w:right="0" w:hanging="420"/>
        <w:jc w:val="left"/>
        <w:rPr>
          <w:sz w:val="21"/>
        </w:rPr>
      </w:pPr>
      <w:r>
        <w:rPr>
          <w:spacing w:val="-3"/>
          <w:sz w:val="21"/>
        </w:rPr>
        <w:t>保险金额</w:t>
      </w:r>
    </w:p>
    <w:p>
      <w:pPr>
        <w:pStyle w:val="ListParagraph"/>
        <w:numPr>
          <w:ilvl w:val="1"/>
          <w:numId w:val="3"/>
        </w:numPr>
        <w:tabs>
          <w:tab w:pos="1588" w:val="left" w:leader="none"/>
        </w:tabs>
        <w:spacing w:line="273" w:lineRule="auto" w:before="37" w:after="0"/>
        <w:ind w:left="1582" w:right="0" w:hanging="420"/>
        <w:jc w:val="left"/>
        <w:rPr>
          <w:sz w:val="21"/>
        </w:rPr>
      </w:pPr>
      <w:r>
        <w:rPr>
          <w:sz w:val="21"/>
        </w:rPr>
        <w:t>未成年人身故保险金限制</w:t>
      </w:r>
    </w:p>
    <w:p>
      <w:pPr>
        <w:pStyle w:val="ListParagraph"/>
        <w:numPr>
          <w:ilvl w:val="1"/>
          <w:numId w:val="3"/>
        </w:numPr>
        <w:tabs>
          <w:tab w:pos="1586" w:val="left" w:leader="none"/>
        </w:tabs>
        <w:spacing w:line="240" w:lineRule="auto" w:before="7" w:after="0"/>
        <w:ind w:left="1582" w:right="0" w:hanging="420"/>
        <w:jc w:val="left"/>
        <w:rPr>
          <w:sz w:val="21"/>
        </w:rPr>
      </w:pPr>
      <w:r>
        <w:rPr>
          <w:spacing w:val="-3"/>
          <w:sz w:val="21"/>
        </w:rPr>
        <w:t>保险期间</w:t>
      </w:r>
    </w:p>
    <w:p>
      <w:pPr>
        <w:spacing w:before="37"/>
        <w:ind w:left="951" w:right="0" w:firstLine="0"/>
        <w:jc w:val="left"/>
        <w:rPr>
          <w:rFonts w:ascii="仿宋" w:eastAsia="仿宋" w:hint="eastAsia"/>
          <w:b/>
          <w:sz w:val="21"/>
        </w:rPr>
      </w:pPr>
      <w:r>
        <w:rPr>
          <w:rFonts w:ascii="仿宋" w:eastAsia="仿宋" w:hint="eastAsia"/>
          <w:b/>
          <w:sz w:val="21"/>
        </w:rPr>
        <w:t>3.保险金的申请</w:t>
      </w:r>
    </w:p>
    <w:p>
      <w:pPr>
        <w:pStyle w:val="ListParagraph"/>
        <w:numPr>
          <w:ilvl w:val="1"/>
          <w:numId w:val="4"/>
        </w:numPr>
        <w:tabs>
          <w:tab w:pos="1586" w:val="left" w:leader="none"/>
        </w:tabs>
        <w:spacing w:line="240" w:lineRule="auto" w:before="37" w:after="0"/>
        <w:ind w:left="1585" w:right="0" w:hanging="423"/>
        <w:jc w:val="left"/>
        <w:rPr>
          <w:sz w:val="21"/>
        </w:rPr>
      </w:pPr>
      <w:r>
        <w:rPr>
          <w:spacing w:val="-2"/>
          <w:sz w:val="21"/>
        </w:rPr>
        <w:t>受益人</w:t>
      </w:r>
    </w:p>
    <w:p>
      <w:pPr>
        <w:pStyle w:val="ListParagraph"/>
        <w:numPr>
          <w:ilvl w:val="1"/>
          <w:numId w:val="4"/>
        </w:numPr>
        <w:tabs>
          <w:tab w:pos="1586" w:val="left" w:leader="none"/>
        </w:tabs>
        <w:spacing w:line="240" w:lineRule="auto" w:before="37" w:after="0"/>
        <w:ind w:left="1585" w:right="0" w:hanging="423"/>
        <w:jc w:val="left"/>
        <w:rPr>
          <w:sz w:val="21"/>
        </w:rPr>
      </w:pPr>
      <w:r>
        <w:rPr>
          <w:spacing w:val="-3"/>
          <w:sz w:val="21"/>
        </w:rPr>
        <w:t>保险事故通知</w:t>
      </w:r>
    </w:p>
    <w:p>
      <w:pPr>
        <w:pStyle w:val="ListParagraph"/>
        <w:numPr>
          <w:ilvl w:val="1"/>
          <w:numId w:val="4"/>
        </w:numPr>
        <w:tabs>
          <w:tab w:pos="880" w:val="left" w:leader="none"/>
        </w:tabs>
        <w:spacing w:line="273" w:lineRule="exact" w:before="0" w:after="0"/>
        <w:ind w:left="879" w:right="0" w:hanging="422"/>
        <w:jc w:val="left"/>
        <w:rPr>
          <w:sz w:val="21"/>
        </w:rPr>
      </w:pPr>
      <w:r>
        <w:rPr>
          <w:spacing w:val="-3"/>
          <w:w w:val="100"/>
          <w:sz w:val="21"/>
        </w:rPr>
        <w:br w:type="column"/>
      </w:r>
      <w:r>
        <w:rPr>
          <w:spacing w:val="-3"/>
          <w:sz w:val="21"/>
        </w:rPr>
        <w:t>保险金的申请</w:t>
      </w:r>
    </w:p>
    <w:p>
      <w:pPr>
        <w:pStyle w:val="ListParagraph"/>
        <w:numPr>
          <w:ilvl w:val="1"/>
          <w:numId w:val="4"/>
        </w:numPr>
        <w:tabs>
          <w:tab w:pos="880" w:val="left" w:leader="none"/>
        </w:tabs>
        <w:spacing w:line="240" w:lineRule="auto" w:before="37" w:after="0"/>
        <w:ind w:left="879" w:right="0" w:hanging="422"/>
        <w:jc w:val="left"/>
        <w:rPr>
          <w:sz w:val="21"/>
        </w:rPr>
      </w:pPr>
      <w:r>
        <w:rPr>
          <w:spacing w:val="-3"/>
          <w:sz w:val="21"/>
        </w:rPr>
        <w:t>宣告死亡的处理</w:t>
      </w:r>
    </w:p>
    <w:p>
      <w:pPr>
        <w:pStyle w:val="ListParagraph"/>
        <w:numPr>
          <w:ilvl w:val="1"/>
          <w:numId w:val="4"/>
        </w:numPr>
        <w:tabs>
          <w:tab w:pos="880" w:val="left" w:leader="none"/>
        </w:tabs>
        <w:spacing w:line="240" w:lineRule="auto" w:before="37" w:after="0"/>
        <w:ind w:left="879" w:right="0" w:hanging="422"/>
        <w:jc w:val="left"/>
        <w:rPr>
          <w:sz w:val="21"/>
        </w:rPr>
      </w:pPr>
      <w:r>
        <w:rPr>
          <w:spacing w:val="-3"/>
          <w:sz w:val="21"/>
        </w:rPr>
        <w:t>保险金的给付</w:t>
      </w:r>
    </w:p>
    <w:p>
      <w:pPr>
        <w:pStyle w:val="ListParagraph"/>
        <w:numPr>
          <w:ilvl w:val="1"/>
          <w:numId w:val="4"/>
        </w:numPr>
        <w:tabs>
          <w:tab w:pos="880" w:val="left" w:leader="none"/>
        </w:tabs>
        <w:spacing w:line="240" w:lineRule="auto" w:before="37" w:after="0"/>
        <w:ind w:left="879" w:right="0" w:hanging="422"/>
        <w:jc w:val="left"/>
        <w:rPr>
          <w:sz w:val="21"/>
        </w:rPr>
      </w:pPr>
      <w:r>
        <w:rPr>
          <w:spacing w:val="-3"/>
          <w:sz w:val="21"/>
        </w:rPr>
        <w:t>诉讼时效</w:t>
      </w:r>
    </w:p>
    <w:p>
      <w:pPr>
        <w:spacing w:before="37"/>
        <w:ind w:left="246" w:right="0" w:firstLine="0"/>
        <w:jc w:val="left"/>
        <w:rPr>
          <w:rFonts w:ascii="仿宋" w:eastAsia="仿宋" w:hint="eastAsia"/>
          <w:b/>
          <w:sz w:val="21"/>
        </w:rPr>
      </w:pPr>
      <w:r>
        <w:rPr>
          <w:rFonts w:ascii="仿宋" w:eastAsia="仿宋" w:hint="eastAsia"/>
          <w:b/>
          <w:sz w:val="21"/>
        </w:rPr>
        <w:t>4.保险费的交纳</w:t>
      </w:r>
    </w:p>
    <w:p>
      <w:pPr>
        <w:pStyle w:val="ListParagraph"/>
        <w:numPr>
          <w:ilvl w:val="1"/>
          <w:numId w:val="5"/>
        </w:numPr>
        <w:tabs>
          <w:tab w:pos="878" w:val="left" w:leader="none"/>
        </w:tabs>
        <w:spacing w:line="240" w:lineRule="auto" w:before="37" w:after="0"/>
        <w:ind w:left="877" w:right="0" w:hanging="420"/>
        <w:jc w:val="left"/>
        <w:rPr>
          <w:sz w:val="21"/>
        </w:rPr>
      </w:pPr>
      <w:r>
        <w:rPr>
          <w:spacing w:val="-3"/>
          <w:sz w:val="21"/>
        </w:rPr>
        <w:t>保险费的交纳</w:t>
      </w:r>
    </w:p>
    <w:p>
      <w:pPr>
        <w:pStyle w:val="ListParagraph"/>
        <w:numPr>
          <w:ilvl w:val="1"/>
          <w:numId w:val="5"/>
        </w:numPr>
        <w:tabs>
          <w:tab w:pos="878" w:val="left" w:leader="none"/>
        </w:tabs>
        <w:spacing w:line="240" w:lineRule="auto" w:before="37" w:after="0"/>
        <w:ind w:left="877" w:right="0" w:hanging="420"/>
        <w:jc w:val="left"/>
        <w:rPr>
          <w:sz w:val="21"/>
        </w:rPr>
      </w:pPr>
      <w:r>
        <w:rPr>
          <w:spacing w:val="-2"/>
          <w:sz w:val="21"/>
        </w:rPr>
        <w:t>宽限期</w:t>
      </w:r>
    </w:p>
    <w:p>
      <w:pPr>
        <w:spacing w:before="37"/>
        <w:ind w:left="246" w:right="0" w:firstLine="0"/>
        <w:jc w:val="left"/>
        <w:rPr>
          <w:rFonts w:ascii="仿宋" w:eastAsia="仿宋" w:hint="eastAsia"/>
          <w:b/>
          <w:sz w:val="21"/>
        </w:rPr>
      </w:pPr>
      <w:r>
        <w:rPr>
          <w:rFonts w:ascii="仿宋" w:eastAsia="仿宋" w:hint="eastAsia"/>
          <w:b/>
          <w:sz w:val="21"/>
        </w:rPr>
        <w:t>5.被保险人的变动</w:t>
      </w:r>
    </w:p>
    <w:p>
      <w:pPr>
        <w:pStyle w:val="ListParagraph"/>
        <w:numPr>
          <w:ilvl w:val="1"/>
          <w:numId w:val="6"/>
        </w:numPr>
        <w:tabs>
          <w:tab w:pos="878" w:val="left" w:leader="none"/>
        </w:tabs>
        <w:spacing w:line="240" w:lineRule="auto" w:before="37" w:after="0"/>
        <w:ind w:left="877" w:right="0" w:hanging="420"/>
        <w:jc w:val="left"/>
        <w:rPr>
          <w:sz w:val="21"/>
        </w:rPr>
      </w:pPr>
      <w:r>
        <w:rPr>
          <w:spacing w:val="-3"/>
          <w:sz w:val="21"/>
        </w:rPr>
        <w:t>增加被保险人</w:t>
      </w:r>
    </w:p>
    <w:p>
      <w:pPr>
        <w:pStyle w:val="ListParagraph"/>
        <w:numPr>
          <w:ilvl w:val="1"/>
          <w:numId w:val="6"/>
        </w:numPr>
        <w:tabs>
          <w:tab w:pos="880" w:val="left" w:leader="none"/>
        </w:tabs>
        <w:spacing w:line="240" w:lineRule="auto" w:before="37" w:after="0"/>
        <w:ind w:left="879" w:right="0" w:hanging="422"/>
        <w:jc w:val="left"/>
        <w:rPr>
          <w:sz w:val="21"/>
        </w:rPr>
      </w:pPr>
      <w:r>
        <w:rPr>
          <w:spacing w:val="-3"/>
          <w:sz w:val="21"/>
        </w:rPr>
        <w:t>减少被保险人</w:t>
      </w:r>
    </w:p>
    <w:p>
      <w:pPr>
        <w:pStyle w:val="ListParagraph"/>
        <w:numPr>
          <w:ilvl w:val="1"/>
          <w:numId w:val="6"/>
        </w:numPr>
        <w:tabs>
          <w:tab w:pos="880" w:val="left" w:leader="none"/>
        </w:tabs>
        <w:spacing w:line="240" w:lineRule="auto" w:before="37" w:after="0"/>
        <w:ind w:left="879" w:right="0" w:hanging="422"/>
        <w:jc w:val="left"/>
        <w:rPr>
          <w:sz w:val="21"/>
        </w:rPr>
      </w:pPr>
      <w:r>
        <w:rPr>
          <w:spacing w:val="-3"/>
          <w:sz w:val="21"/>
        </w:rPr>
        <w:t>对合同效力的影响</w:t>
      </w:r>
    </w:p>
    <w:p>
      <w:pPr>
        <w:spacing w:before="37"/>
        <w:ind w:left="246" w:right="0" w:firstLine="0"/>
        <w:jc w:val="left"/>
        <w:rPr>
          <w:rFonts w:ascii="仿宋" w:eastAsia="仿宋" w:hint="eastAsia"/>
          <w:b/>
          <w:sz w:val="21"/>
        </w:rPr>
      </w:pPr>
      <w:r>
        <w:rPr>
          <w:rFonts w:ascii="仿宋" w:eastAsia="仿宋" w:hint="eastAsia"/>
          <w:b/>
          <w:sz w:val="21"/>
        </w:rPr>
        <w:t>6.合同中止和复效</w:t>
      </w:r>
    </w:p>
    <w:p>
      <w:pPr>
        <w:pStyle w:val="ListParagraph"/>
        <w:numPr>
          <w:ilvl w:val="1"/>
          <w:numId w:val="7"/>
        </w:numPr>
        <w:tabs>
          <w:tab w:pos="880" w:val="left" w:leader="none"/>
        </w:tabs>
        <w:spacing w:line="240" w:lineRule="auto" w:before="37" w:after="0"/>
        <w:ind w:left="879" w:right="0" w:hanging="422"/>
        <w:jc w:val="left"/>
        <w:rPr>
          <w:sz w:val="21"/>
        </w:rPr>
      </w:pPr>
      <w:r>
        <w:rPr>
          <w:spacing w:val="-3"/>
          <w:sz w:val="21"/>
        </w:rPr>
        <w:t>合同中止</w:t>
      </w:r>
    </w:p>
    <w:p>
      <w:pPr>
        <w:pStyle w:val="ListParagraph"/>
        <w:numPr>
          <w:ilvl w:val="1"/>
          <w:numId w:val="7"/>
        </w:numPr>
        <w:tabs>
          <w:tab w:pos="880" w:val="left" w:leader="none"/>
        </w:tabs>
        <w:spacing w:line="240" w:lineRule="auto" w:before="36" w:after="0"/>
        <w:ind w:left="879" w:right="0" w:hanging="422"/>
        <w:jc w:val="left"/>
        <w:rPr>
          <w:sz w:val="21"/>
        </w:rPr>
      </w:pPr>
      <w:r>
        <w:rPr>
          <w:spacing w:val="-3"/>
          <w:sz w:val="21"/>
        </w:rPr>
        <w:t>合同复效</w:t>
      </w:r>
    </w:p>
    <w:p>
      <w:pPr>
        <w:spacing w:before="36"/>
        <w:ind w:left="246" w:right="0" w:firstLine="0"/>
        <w:jc w:val="left"/>
        <w:rPr>
          <w:rFonts w:ascii="仿宋" w:eastAsia="仿宋" w:hint="eastAsia"/>
          <w:b/>
          <w:sz w:val="21"/>
        </w:rPr>
      </w:pPr>
      <w:r>
        <w:rPr>
          <w:rFonts w:ascii="仿宋" w:eastAsia="仿宋" w:hint="eastAsia"/>
          <w:b/>
          <w:sz w:val="21"/>
        </w:rPr>
        <w:t>7.合同解除和变更</w:t>
      </w:r>
    </w:p>
    <w:p>
      <w:pPr>
        <w:pStyle w:val="ListParagraph"/>
        <w:numPr>
          <w:ilvl w:val="1"/>
          <w:numId w:val="8"/>
        </w:numPr>
        <w:tabs>
          <w:tab w:pos="1230" w:val="left" w:leader="none"/>
        </w:tabs>
        <w:spacing w:line="213" w:lineRule="exact" w:before="0" w:after="0"/>
        <w:ind w:left="1229" w:right="0" w:hanging="422"/>
        <w:jc w:val="left"/>
        <w:rPr>
          <w:sz w:val="21"/>
        </w:rPr>
      </w:pPr>
      <w:r>
        <w:rPr>
          <w:w w:val="100"/>
          <w:sz w:val="21"/>
        </w:rPr>
        <w:br w:type="column"/>
      </w:r>
      <w:r>
        <w:rPr>
          <w:sz w:val="21"/>
        </w:rPr>
        <w:t>投保人解除合同的手续及</w:t>
      </w:r>
    </w:p>
    <w:p>
      <w:pPr>
        <w:pStyle w:val="BodyText"/>
        <w:ind w:left="1227" w:firstLine="0"/>
      </w:pPr>
      <w:r>
        <w:rPr/>
        <w:t>风险</w:t>
      </w:r>
    </w:p>
    <w:p>
      <w:pPr>
        <w:pStyle w:val="ListParagraph"/>
        <w:numPr>
          <w:ilvl w:val="1"/>
          <w:numId w:val="8"/>
        </w:numPr>
        <w:tabs>
          <w:tab w:pos="1235" w:val="left" w:leader="none"/>
        </w:tabs>
        <w:spacing w:line="240" w:lineRule="auto" w:before="37" w:after="0"/>
        <w:ind w:left="1234" w:right="0" w:hanging="422"/>
        <w:jc w:val="left"/>
        <w:rPr>
          <w:sz w:val="21"/>
        </w:rPr>
      </w:pPr>
      <w:r>
        <w:rPr>
          <w:spacing w:val="-3"/>
          <w:sz w:val="21"/>
        </w:rPr>
        <w:t>合同变更</w:t>
      </w:r>
    </w:p>
    <w:p>
      <w:pPr>
        <w:pStyle w:val="ListParagraph"/>
        <w:numPr>
          <w:ilvl w:val="1"/>
          <w:numId w:val="8"/>
        </w:numPr>
        <w:tabs>
          <w:tab w:pos="1235" w:val="left" w:leader="none"/>
        </w:tabs>
        <w:spacing w:line="240" w:lineRule="auto" w:before="37" w:after="0"/>
        <w:ind w:left="1234" w:right="0" w:hanging="422"/>
        <w:jc w:val="left"/>
        <w:rPr>
          <w:sz w:val="21"/>
        </w:rPr>
      </w:pPr>
      <w:r>
        <w:rPr>
          <w:spacing w:val="-3"/>
          <w:sz w:val="21"/>
        </w:rPr>
        <w:t>联系方式变更</w:t>
      </w:r>
    </w:p>
    <w:p>
      <w:pPr>
        <w:spacing w:before="37"/>
        <w:ind w:left="600" w:right="0" w:firstLine="0"/>
        <w:jc w:val="left"/>
        <w:rPr>
          <w:rFonts w:ascii="仿宋" w:eastAsia="仿宋" w:hint="eastAsia"/>
          <w:b/>
          <w:sz w:val="21"/>
        </w:rPr>
      </w:pPr>
      <w:r>
        <w:rPr>
          <w:b/>
          <w:sz w:val="21"/>
        </w:rPr>
        <w:t>8.</w:t>
      </w:r>
      <w:r>
        <w:rPr>
          <w:rFonts w:ascii="仿宋" w:eastAsia="仿宋" w:hint="eastAsia"/>
          <w:b/>
          <w:sz w:val="21"/>
        </w:rPr>
        <w:t>明确说明与如实告知</w:t>
      </w:r>
    </w:p>
    <w:p>
      <w:pPr>
        <w:pStyle w:val="ListParagraph"/>
        <w:numPr>
          <w:ilvl w:val="1"/>
          <w:numId w:val="9"/>
        </w:numPr>
        <w:tabs>
          <w:tab w:pos="1235" w:val="left" w:leader="none"/>
        </w:tabs>
        <w:spacing w:line="240" w:lineRule="auto" w:before="37" w:after="0"/>
        <w:ind w:left="1234" w:right="0" w:hanging="422"/>
        <w:jc w:val="left"/>
        <w:rPr>
          <w:sz w:val="21"/>
        </w:rPr>
      </w:pPr>
      <w:r>
        <w:rPr>
          <w:spacing w:val="-3"/>
          <w:sz w:val="21"/>
        </w:rPr>
        <w:t>明确说明</w:t>
      </w:r>
    </w:p>
    <w:p>
      <w:pPr>
        <w:pStyle w:val="ListParagraph"/>
        <w:numPr>
          <w:ilvl w:val="1"/>
          <w:numId w:val="9"/>
        </w:numPr>
        <w:tabs>
          <w:tab w:pos="1235" w:val="left" w:leader="none"/>
        </w:tabs>
        <w:spacing w:line="240" w:lineRule="auto" w:before="37" w:after="0"/>
        <w:ind w:left="1234" w:right="0" w:hanging="422"/>
        <w:jc w:val="left"/>
        <w:rPr>
          <w:sz w:val="21"/>
        </w:rPr>
      </w:pPr>
      <w:r>
        <w:rPr>
          <w:spacing w:val="-3"/>
          <w:sz w:val="21"/>
        </w:rPr>
        <w:t>如实告知</w:t>
      </w:r>
    </w:p>
    <w:p>
      <w:pPr>
        <w:pStyle w:val="ListParagraph"/>
        <w:numPr>
          <w:ilvl w:val="1"/>
          <w:numId w:val="9"/>
        </w:numPr>
        <w:tabs>
          <w:tab w:pos="1235" w:val="left" w:leader="none"/>
        </w:tabs>
        <w:spacing w:line="240" w:lineRule="auto" w:before="37" w:after="0"/>
        <w:ind w:left="1234" w:right="0" w:hanging="422"/>
        <w:jc w:val="left"/>
        <w:rPr>
          <w:sz w:val="21"/>
        </w:rPr>
      </w:pPr>
      <w:r>
        <w:rPr>
          <w:spacing w:val="-3"/>
          <w:sz w:val="21"/>
        </w:rPr>
        <w:t>本公司合同解除权的限制</w:t>
      </w:r>
    </w:p>
    <w:p>
      <w:pPr>
        <w:spacing w:before="37"/>
        <w:ind w:left="600" w:right="0" w:firstLine="0"/>
        <w:jc w:val="left"/>
        <w:rPr>
          <w:rFonts w:ascii="仿宋" w:eastAsia="仿宋" w:hint="eastAsia"/>
          <w:b/>
          <w:sz w:val="21"/>
        </w:rPr>
      </w:pPr>
      <w:r>
        <w:rPr>
          <w:b/>
          <w:sz w:val="21"/>
        </w:rPr>
        <w:t>9.</w:t>
      </w:r>
      <w:r>
        <w:rPr>
          <w:rFonts w:ascii="仿宋" w:eastAsia="仿宋" w:hint="eastAsia"/>
          <w:b/>
          <w:sz w:val="21"/>
        </w:rPr>
        <w:t>其他需要关注的事项</w:t>
      </w:r>
    </w:p>
    <w:p>
      <w:pPr>
        <w:pStyle w:val="ListParagraph"/>
        <w:numPr>
          <w:ilvl w:val="1"/>
          <w:numId w:val="10"/>
        </w:numPr>
        <w:tabs>
          <w:tab w:pos="1235" w:val="left" w:leader="none"/>
        </w:tabs>
        <w:spacing w:line="240" w:lineRule="auto" w:before="37" w:after="0"/>
        <w:ind w:left="1234" w:right="0" w:hanging="422"/>
        <w:jc w:val="left"/>
        <w:rPr>
          <w:sz w:val="21"/>
        </w:rPr>
      </w:pPr>
      <w:r>
        <w:rPr>
          <w:spacing w:val="-3"/>
          <w:sz w:val="21"/>
        </w:rPr>
        <w:t>年龄错误</w:t>
      </w:r>
    </w:p>
    <w:p>
      <w:pPr>
        <w:pStyle w:val="ListParagraph"/>
        <w:numPr>
          <w:ilvl w:val="1"/>
          <w:numId w:val="10"/>
        </w:numPr>
        <w:tabs>
          <w:tab w:pos="1235" w:val="left" w:leader="none"/>
        </w:tabs>
        <w:spacing w:line="240" w:lineRule="auto" w:before="37" w:after="0"/>
        <w:ind w:left="1234" w:right="0" w:hanging="422"/>
        <w:jc w:val="left"/>
        <w:rPr>
          <w:sz w:val="21"/>
        </w:rPr>
      </w:pPr>
      <w:r>
        <w:rPr>
          <w:spacing w:val="-3"/>
          <w:sz w:val="21"/>
        </w:rPr>
        <w:t>减额交清</w:t>
      </w:r>
    </w:p>
    <w:p>
      <w:pPr>
        <w:pStyle w:val="ListParagraph"/>
        <w:numPr>
          <w:ilvl w:val="1"/>
          <w:numId w:val="10"/>
        </w:numPr>
        <w:tabs>
          <w:tab w:pos="1235" w:val="left" w:leader="none"/>
        </w:tabs>
        <w:spacing w:line="240" w:lineRule="auto" w:before="37" w:after="0"/>
        <w:ind w:left="1234" w:right="0" w:hanging="422"/>
        <w:jc w:val="left"/>
        <w:rPr>
          <w:sz w:val="21"/>
        </w:rPr>
      </w:pPr>
      <w:r>
        <w:rPr>
          <w:spacing w:val="-3"/>
          <w:sz w:val="21"/>
        </w:rPr>
        <w:t>被保险人资料</w:t>
      </w:r>
    </w:p>
    <w:p>
      <w:pPr>
        <w:pStyle w:val="ListParagraph"/>
        <w:numPr>
          <w:ilvl w:val="1"/>
          <w:numId w:val="10"/>
        </w:numPr>
        <w:tabs>
          <w:tab w:pos="1235" w:val="left" w:leader="none"/>
        </w:tabs>
        <w:spacing w:line="240" w:lineRule="auto" w:before="37" w:after="0"/>
        <w:ind w:left="1234" w:right="0" w:hanging="422"/>
        <w:jc w:val="left"/>
        <w:rPr>
          <w:sz w:val="21"/>
        </w:rPr>
      </w:pPr>
      <w:r>
        <w:rPr>
          <w:spacing w:val="-3"/>
          <w:sz w:val="21"/>
        </w:rPr>
        <w:t>未还款项</w:t>
      </w:r>
    </w:p>
    <w:p>
      <w:pPr>
        <w:pStyle w:val="ListParagraph"/>
        <w:numPr>
          <w:ilvl w:val="1"/>
          <w:numId w:val="10"/>
        </w:numPr>
        <w:tabs>
          <w:tab w:pos="1235" w:val="left" w:leader="none"/>
        </w:tabs>
        <w:spacing w:line="240" w:lineRule="auto" w:before="36" w:after="0"/>
        <w:ind w:left="1234" w:right="0" w:hanging="422"/>
        <w:jc w:val="left"/>
        <w:rPr>
          <w:sz w:val="21"/>
        </w:rPr>
      </w:pPr>
      <w:r>
        <w:rPr>
          <w:spacing w:val="-3"/>
          <w:sz w:val="21"/>
        </w:rPr>
        <w:t>争议处理</w:t>
      </w:r>
    </w:p>
    <w:p>
      <w:pPr>
        <w:spacing w:before="36"/>
        <w:ind w:left="600" w:right="0" w:firstLine="0"/>
        <w:jc w:val="left"/>
        <w:rPr>
          <w:rFonts w:ascii="仿宋" w:eastAsia="仿宋" w:hint="eastAsia"/>
          <w:b/>
          <w:sz w:val="21"/>
        </w:rPr>
      </w:pPr>
      <w:r>
        <w:rPr>
          <w:rFonts w:ascii="仿宋" w:eastAsia="仿宋" w:hint="eastAsia"/>
          <w:b/>
          <w:sz w:val="21"/>
        </w:rPr>
        <w:t>10.释义</w:t>
      </w:r>
    </w:p>
    <w:p>
      <w:pPr>
        <w:spacing w:after="0"/>
        <w:jc w:val="left"/>
        <w:rPr>
          <w:rFonts w:ascii="仿宋" w:eastAsia="仿宋" w:hint="eastAsia"/>
          <w:sz w:val="21"/>
        </w:rPr>
        <w:sectPr>
          <w:type w:val="continuous"/>
          <w:pgSz w:w="11910" w:h="16840"/>
          <w:pgMar w:top="440" w:bottom="280" w:left="700" w:right="400"/>
          <w:cols w:num="3" w:equalWidth="0">
            <w:col w:w="3719" w:space="40"/>
            <w:col w:w="2561" w:space="39"/>
            <w:col w:w="4451"/>
          </w:cols>
        </w:sectPr>
      </w:pPr>
    </w:p>
    <w:p>
      <w:pPr>
        <w:pStyle w:val="Heading1"/>
        <w:spacing w:line="524" w:lineRule="exact" w:before="0"/>
        <w:ind w:right="371"/>
      </w:pPr>
      <w:r>
        <w:rPr>
          <w:w w:val="95"/>
        </w:rPr>
        <w:t>华夏人寿保险股份有限公司</w:t>
      </w:r>
    </w:p>
    <w:p>
      <w:pPr>
        <w:spacing w:before="48"/>
        <w:ind w:left="370" w:right="370" w:firstLine="0"/>
        <w:jc w:val="center"/>
        <w:rPr>
          <w:b/>
          <w:sz w:val="44"/>
        </w:rPr>
      </w:pPr>
      <w:r>
        <w:rPr>
          <w:b/>
          <w:w w:val="95"/>
          <w:sz w:val="44"/>
        </w:rPr>
        <w:t>常青树团体终身重大疾病保险条款</w:t>
      </w:r>
    </w:p>
    <w:p>
      <w:pPr>
        <w:spacing w:line="240" w:lineRule="auto" w:before="6"/>
        <w:rPr>
          <w:b/>
          <w:sz w:val="51"/>
        </w:rPr>
      </w:pPr>
    </w:p>
    <w:p>
      <w:pPr>
        <w:pStyle w:val="BodyText"/>
        <w:spacing w:before="0"/>
        <w:ind w:left="370" w:right="462" w:firstLine="0"/>
        <w:jc w:val="center"/>
        <w:rPr>
          <w:rFonts w:ascii="宋体" w:hAnsi="宋体" w:eastAsia="宋体" w:hint="eastAsia"/>
        </w:rPr>
      </w:pPr>
      <w:r>
        <w:rPr>
          <w:rFonts w:ascii="宋体" w:hAnsi="宋体" w:eastAsia="宋体" w:hint="eastAsia"/>
          <w:spacing w:val="-7"/>
          <w:w w:val="100"/>
        </w:rPr>
        <w:t>在本条款中，“我们”和“本公司”指华夏人寿保险股份有限公司，“本合同”指投保人与我们之间订立的</w:t>
      </w:r>
    </w:p>
    <w:p>
      <w:pPr>
        <w:pStyle w:val="BodyText"/>
        <w:spacing w:before="36"/>
        <w:ind w:left="300" w:firstLine="0"/>
        <w:rPr>
          <w:rFonts w:ascii="宋体" w:hAnsi="宋体" w:eastAsia="宋体" w:hint="eastAsia"/>
        </w:rPr>
      </w:pPr>
      <w:r>
        <w:rPr>
          <w:rFonts w:ascii="宋体" w:hAnsi="宋体" w:eastAsia="宋体" w:hint="eastAsia"/>
        </w:rPr>
        <w:t>“华夏常青树团体终身重大疾病保险合同”。</w:t>
      </w:r>
    </w:p>
    <w:p>
      <w:pPr>
        <w:spacing w:line="240" w:lineRule="auto" w:before="0"/>
        <w:rPr>
          <w:sz w:val="20"/>
        </w:rPr>
      </w:pPr>
    </w:p>
    <w:p>
      <w:pPr>
        <w:spacing w:line="240" w:lineRule="auto" w:before="8" w:after="1"/>
        <w:rPr>
          <w:sz w:val="1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021"/>
        <w:gridCol w:w="7546"/>
      </w:tblGrid>
      <w:tr>
        <w:trPr>
          <w:trHeight w:val="522" w:hRule="atLeast"/>
        </w:trPr>
        <w:tc>
          <w:tcPr>
            <w:tcW w:w="683"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567" w:type="dxa"/>
            <w:gridSpan w:val="2"/>
            <w:tcBorders>
              <w:bottom w:val="single" w:sz="8" w:space="0" w:color="000000"/>
            </w:tcBorders>
          </w:tcPr>
          <w:p>
            <w:pPr>
              <w:pStyle w:val="TableParagraph"/>
              <w:spacing w:before="14"/>
              <w:ind w:left="217"/>
              <w:rPr>
                <w:b/>
                <w:sz w:val="24"/>
              </w:rPr>
            </w:pPr>
            <w:r>
              <w:rPr>
                <w:b/>
                <w:w w:val="95"/>
                <w:sz w:val="24"/>
              </w:rPr>
              <w:t>投保人与我们订立的合同</w:t>
            </w:r>
          </w:p>
        </w:tc>
      </w:tr>
      <w:tr>
        <w:trPr>
          <w:trHeight w:val="1258" w:hRule="atLeast"/>
        </w:trPr>
        <w:tc>
          <w:tcPr>
            <w:tcW w:w="683"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1.1</w:t>
            </w:r>
          </w:p>
        </w:tc>
        <w:tc>
          <w:tcPr>
            <w:tcW w:w="2021" w:type="dxa"/>
            <w:tcBorders>
              <w:top w:val="single" w:sz="8" w:space="0" w:color="000000"/>
            </w:tcBorders>
          </w:tcPr>
          <w:p>
            <w:pPr>
              <w:pStyle w:val="TableParagraph"/>
              <w:spacing w:before="12"/>
              <w:ind w:left="0"/>
              <w:rPr>
                <w:sz w:val="14"/>
              </w:rPr>
            </w:pPr>
          </w:p>
          <w:p>
            <w:pPr>
              <w:pStyle w:val="TableParagraph"/>
              <w:ind w:left="217"/>
              <w:rPr>
                <w:b/>
                <w:sz w:val="21"/>
              </w:rPr>
            </w:pPr>
            <w:r>
              <w:rPr>
                <w:b/>
                <w:sz w:val="21"/>
              </w:rPr>
              <w:t>合同构成</w:t>
            </w:r>
          </w:p>
        </w:tc>
        <w:tc>
          <w:tcPr>
            <w:tcW w:w="7546" w:type="dxa"/>
            <w:tcBorders>
              <w:top w:val="single" w:sz="8" w:space="0" w:color="000000"/>
            </w:tcBorders>
          </w:tcPr>
          <w:p>
            <w:pPr>
              <w:pStyle w:val="TableParagraph"/>
              <w:spacing w:before="12"/>
              <w:ind w:left="0"/>
              <w:rPr>
                <w:sz w:val="14"/>
              </w:rPr>
            </w:pPr>
          </w:p>
          <w:p>
            <w:pPr>
              <w:pStyle w:val="TableParagraph"/>
              <w:spacing w:line="273" w:lineRule="auto"/>
              <w:ind w:left="121" w:right="101"/>
              <w:jc w:val="both"/>
              <w:rPr>
                <w:sz w:val="21"/>
              </w:rPr>
            </w:pPr>
            <w:r>
              <w:rPr>
                <w:spacing w:val="-5"/>
                <w:sz w:val="21"/>
              </w:rPr>
              <w:t>本合同是投保人与我们约定保险权利义务关系的协议，包括本保险条款、保险单</w:t>
            </w:r>
            <w:r>
              <w:rPr>
                <w:spacing w:val="-9"/>
                <w:sz w:val="21"/>
              </w:rPr>
              <w:t>或其他保险凭证、投保单、与保险合同有关的投保文件、合法有效的声明、健康</w:t>
            </w:r>
            <w:r>
              <w:rPr>
                <w:spacing w:val="-3"/>
                <w:sz w:val="21"/>
              </w:rPr>
              <w:t>告知书、变更申请书、批注、批单及其他投保人与我们共同认可的书面协议。</w:t>
            </w:r>
          </w:p>
        </w:tc>
      </w:tr>
      <w:tr>
        <w:trPr>
          <w:trHeight w:val="851" w:hRule="atLeast"/>
        </w:trPr>
        <w:tc>
          <w:tcPr>
            <w:tcW w:w="683" w:type="dxa"/>
          </w:tcPr>
          <w:p>
            <w:pPr>
              <w:pStyle w:val="TableParagraph"/>
              <w:spacing w:before="99"/>
              <w:ind w:left="107"/>
              <w:rPr>
                <w:b/>
                <w:sz w:val="21"/>
              </w:rPr>
            </w:pPr>
            <w:r>
              <w:rPr>
                <w:b/>
                <w:sz w:val="21"/>
              </w:rPr>
              <w:t>1.2</w:t>
            </w:r>
          </w:p>
        </w:tc>
        <w:tc>
          <w:tcPr>
            <w:tcW w:w="2021" w:type="dxa"/>
          </w:tcPr>
          <w:p>
            <w:pPr>
              <w:pStyle w:val="TableParagraph"/>
              <w:spacing w:before="99"/>
              <w:ind w:left="217"/>
              <w:rPr>
                <w:b/>
                <w:sz w:val="21"/>
              </w:rPr>
            </w:pPr>
            <w:r>
              <w:rPr>
                <w:b/>
                <w:sz w:val="21"/>
              </w:rPr>
              <w:t>合同成立与生效</w:t>
            </w:r>
          </w:p>
        </w:tc>
        <w:tc>
          <w:tcPr>
            <w:tcW w:w="7546" w:type="dxa"/>
          </w:tcPr>
          <w:p>
            <w:pPr>
              <w:pStyle w:val="TableParagraph"/>
              <w:spacing w:line="273" w:lineRule="auto" w:before="99"/>
              <w:ind w:left="121" w:right="2168"/>
              <w:rPr>
                <w:sz w:val="21"/>
              </w:rPr>
            </w:pPr>
            <w:r>
              <w:rPr>
                <w:sz w:val="21"/>
              </w:rPr>
              <w:t>一、投保人提出保险申请、我们同意承保，本合同成立。二、本合同生效日在保险单上载明。</w:t>
            </w:r>
          </w:p>
        </w:tc>
      </w:tr>
      <w:tr>
        <w:trPr>
          <w:trHeight w:val="3035" w:hRule="atLeast"/>
        </w:trPr>
        <w:tc>
          <w:tcPr>
            <w:tcW w:w="683" w:type="dxa"/>
          </w:tcPr>
          <w:p>
            <w:pPr>
              <w:pStyle w:val="TableParagraph"/>
              <w:spacing w:before="100"/>
              <w:ind w:left="107"/>
              <w:rPr>
                <w:b/>
                <w:sz w:val="21"/>
              </w:rPr>
            </w:pPr>
            <w:r>
              <w:rPr>
                <w:b/>
                <w:sz w:val="21"/>
              </w:rPr>
              <w:t>1.3</w:t>
            </w:r>
          </w:p>
        </w:tc>
        <w:tc>
          <w:tcPr>
            <w:tcW w:w="2021" w:type="dxa"/>
          </w:tcPr>
          <w:p>
            <w:pPr>
              <w:pStyle w:val="TableParagraph"/>
              <w:spacing w:before="100"/>
              <w:ind w:left="217"/>
              <w:rPr>
                <w:b/>
                <w:sz w:val="21"/>
              </w:rPr>
            </w:pPr>
            <w:r>
              <w:rPr>
                <w:b/>
                <w:sz w:val="21"/>
              </w:rPr>
              <w:t>投保范围</w:t>
            </w:r>
          </w:p>
        </w:tc>
        <w:tc>
          <w:tcPr>
            <w:tcW w:w="7546" w:type="dxa"/>
          </w:tcPr>
          <w:p>
            <w:pPr>
              <w:pStyle w:val="TableParagraph"/>
              <w:spacing w:line="273" w:lineRule="auto" w:before="100"/>
              <w:ind w:left="541" w:right="101" w:hanging="421"/>
              <w:rPr>
                <w:sz w:val="21"/>
              </w:rPr>
            </w:pPr>
            <w:r>
              <w:rPr>
                <w:spacing w:val="-7"/>
                <w:sz w:val="21"/>
              </w:rPr>
              <w:t>一、特定团体范围：法人、非法人组织以及其他不以购买保险为目的而组成的团体。</w:t>
            </w:r>
          </w:p>
          <w:p>
            <w:pPr>
              <w:pStyle w:val="TableParagraph"/>
              <w:spacing w:line="273" w:lineRule="auto" w:before="7"/>
              <w:ind w:left="541" w:right="-15" w:hanging="421"/>
              <w:rPr>
                <w:sz w:val="21"/>
              </w:rPr>
            </w:pPr>
            <w:r>
              <w:rPr>
                <w:sz w:val="21"/>
              </w:rPr>
              <w:t>二、被保险人范围：凡年满0</w:t>
            </w:r>
            <w:r>
              <w:rPr>
                <w:b/>
                <w:sz w:val="21"/>
              </w:rPr>
              <w:t>周岁</w:t>
            </w:r>
            <w:r>
              <w:rPr>
                <w:sz w:val="21"/>
              </w:rPr>
              <w:t>（出生且出院满28日）至65周岁、身体健康的</w:t>
            </w:r>
            <w:r>
              <w:rPr>
                <w:spacing w:val="-13"/>
                <w:sz w:val="21"/>
              </w:rPr>
              <w:t>特定团体成员，可作为被保险人参加本保险。被保险人的配偶、子女和父母， </w:t>
            </w:r>
            <w:r>
              <w:rPr>
                <w:spacing w:val="-6"/>
                <w:sz w:val="21"/>
              </w:rPr>
              <w:t>经我们审核同意，可作为附属被保险人参加本保险。</w:t>
            </w:r>
          </w:p>
          <w:p>
            <w:pPr>
              <w:pStyle w:val="TableParagraph"/>
              <w:spacing w:line="273" w:lineRule="auto" w:before="7"/>
              <w:ind w:left="541" w:right="103" w:hanging="421"/>
              <w:jc w:val="both"/>
              <w:rPr>
                <w:sz w:val="21"/>
              </w:rPr>
            </w:pPr>
            <w:r>
              <w:rPr>
                <w:spacing w:val="-6"/>
                <w:sz w:val="21"/>
              </w:rPr>
              <w:t>三、投保人范围：特定团体属于法人或非法人组织的，投保人应为该法人或非法</w:t>
            </w:r>
            <w:r>
              <w:rPr>
                <w:spacing w:val="-8"/>
                <w:sz w:val="21"/>
              </w:rPr>
              <w:t>人组织；特定团体属于其他不以购买保险为目的而组成的团体的，投保人可</w:t>
            </w:r>
            <w:r>
              <w:rPr>
                <w:spacing w:val="-7"/>
                <w:sz w:val="21"/>
              </w:rPr>
              <w:t>以是特定团体中的自然人。投保时投保团体的成员人数</w:t>
            </w:r>
            <w:r>
              <w:rPr>
                <w:sz w:val="21"/>
              </w:rPr>
              <w:t>（</w:t>
            </w:r>
            <w:r>
              <w:rPr>
                <w:spacing w:val="-3"/>
                <w:sz w:val="21"/>
              </w:rPr>
              <w:t>可包括成员配偶和子女）须符合国务院保险监督管理机构的规定。</w:t>
            </w:r>
          </w:p>
        </w:tc>
      </w:tr>
      <w:tr>
        <w:trPr>
          <w:trHeight w:val="3060" w:hRule="atLeast"/>
        </w:trPr>
        <w:tc>
          <w:tcPr>
            <w:tcW w:w="683" w:type="dxa"/>
          </w:tcPr>
          <w:p>
            <w:pPr>
              <w:pStyle w:val="TableParagraph"/>
              <w:spacing w:before="99"/>
              <w:ind w:left="107"/>
              <w:rPr>
                <w:b/>
                <w:sz w:val="21"/>
              </w:rPr>
            </w:pPr>
            <w:r>
              <w:rPr>
                <w:b/>
                <w:sz w:val="21"/>
              </w:rPr>
              <w:t>1.4</w:t>
            </w:r>
          </w:p>
        </w:tc>
        <w:tc>
          <w:tcPr>
            <w:tcW w:w="2021" w:type="dxa"/>
          </w:tcPr>
          <w:p>
            <w:pPr>
              <w:pStyle w:val="TableParagraph"/>
              <w:spacing w:before="99"/>
              <w:ind w:left="217"/>
              <w:rPr>
                <w:b/>
                <w:sz w:val="21"/>
              </w:rPr>
            </w:pPr>
            <w:r>
              <w:rPr>
                <w:b/>
                <w:sz w:val="21"/>
              </w:rPr>
              <w:t>犹豫期</w:t>
            </w:r>
          </w:p>
        </w:tc>
        <w:tc>
          <w:tcPr>
            <w:tcW w:w="7546" w:type="dxa"/>
          </w:tcPr>
          <w:p>
            <w:pPr>
              <w:pStyle w:val="TableParagraph"/>
              <w:spacing w:line="273" w:lineRule="auto" w:before="99"/>
              <w:ind w:left="541" w:right="101" w:hanging="421"/>
              <w:rPr>
                <w:sz w:val="21"/>
              </w:rPr>
            </w:pPr>
            <w:r>
              <w:rPr>
                <w:spacing w:val="-6"/>
                <w:sz w:val="21"/>
              </w:rPr>
              <w:t>一、投保人收到本合同并书面签收之日起 </w:t>
            </w:r>
            <w:r>
              <w:rPr>
                <w:sz w:val="21"/>
              </w:rPr>
              <w:t>15</w:t>
            </w:r>
            <w:r>
              <w:rPr>
                <w:spacing w:val="-23"/>
                <w:sz w:val="21"/>
              </w:rPr>
              <w:t> 日内</w:t>
            </w:r>
            <w:r>
              <w:rPr>
                <w:sz w:val="21"/>
              </w:rPr>
              <w:t>（</w:t>
            </w:r>
            <w:r>
              <w:rPr>
                <w:spacing w:val="-17"/>
                <w:sz w:val="21"/>
              </w:rPr>
              <w:t>含第 </w:t>
            </w:r>
            <w:r>
              <w:rPr>
                <w:sz w:val="21"/>
              </w:rPr>
              <w:t>15</w:t>
            </w:r>
            <w:r>
              <w:rPr>
                <w:spacing w:val="-9"/>
                <w:sz w:val="21"/>
              </w:rPr>
              <w:t> 日，保险监督管理机</w:t>
            </w:r>
            <w:r>
              <w:rPr>
                <w:spacing w:val="-6"/>
                <w:sz w:val="21"/>
              </w:rPr>
              <w:t>构对犹豫期天数另有规定的，从其规定</w:t>
            </w:r>
            <w:r>
              <w:rPr>
                <w:spacing w:val="-13"/>
                <w:sz w:val="21"/>
              </w:rPr>
              <w:t>）</w:t>
            </w:r>
            <w:r>
              <w:rPr>
                <w:spacing w:val="-5"/>
                <w:sz w:val="21"/>
              </w:rPr>
              <w:t>为犹豫期，在此期间请投保人仔细</w:t>
            </w:r>
            <w:r>
              <w:rPr>
                <w:spacing w:val="-7"/>
                <w:sz w:val="21"/>
              </w:rPr>
              <w:t>审阅本合同的各项内容，特别是责任免除条款、合同解除条款以及如实告知</w:t>
            </w:r>
            <w:r>
              <w:rPr>
                <w:spacing w:val="-8"/>
                <w:sz w:val="21"/>
              </w:rPr>
              <w:t>等内容。若投保人认为本合同与投保人的需求不相符，投保人可以在此期间提出解除本合同，我们将在扣除不超过 </w:t>
            </w:r>
            <w:r>
              <w:rPr>
                <w:sz w:val="21"/>
              </w:rPr>
              <w:t>10</w:t>
            </w:r>
            <w:r>
              <w:rPr>
                <w:spacing w:val="-8"/>
                <w:sz w:val="21"/>
              </w:rPr>
              <w:t> 元的工本费后无息退还投保人所</w:t>
            </w:r>
            <w:r>
              <w:rPr>
                <w:spacing w:val="-5"/>
                <w:sz w:val="21"/>
              </w:rPr>
              <w:t>交纳的保险费。</w:t>
            </w:r>
          </w:p>
          <w:p>
            <w:pPr>
              <w:pStyle w:val="TableParagraph"/>
              <w:spacing w:line="261" w:lineRule="auto" w:before="7"/>
              <w:ind w:left="541" w:right="101" w:hanging="421"/>
              <w:jc w:val="both"/>
              <w:rPr>
                <w:rFonts w:ascii="黑体" w:eastAsia="黑体" w:hint="eastAsia"/>
                <w:b/>
                <w:i/>
                <w:sz w:val="22"/>
              </w:rPr>
            </w:pPr>
            <w:r>
              <w:rPr>
                <w:spacing w:val="-5"/>
                <w:sz w:val="21"/>
              </w:rPr>
              <w:t>二、投保人在犹豫期内提出解除合同时需提供解除合同申请书、保险合同及投保</w:t>
            </w:r>
            <w:r>
              <w:rPr>
                <w:spacing w:val="-5"/>
                <w:w w:val="95"/>
                <w:sz w:val="21"/>
              </w:rPr>
              <w:t>人的证明文件。</w:t>
            </w:r>
            <w:r>
              <w:rPr>
                <w:rFonts w:ascii="黑体" w:eastAsia="黑体" w:hint="eastAsia"/>
                <w:b/>
                <w:i/>
                <w:spacing w:val="-5"/>
                <w:w w:val="95"/>
                <w:sz w:val="22"/>
              </w:rPr>
              <w:t>自我们收到解除合同申请书时起，本合同即被解除，对于合同解除前发Th</w:t>
            </w:r>
            <w:r>
              <w:rPr>
                <w:rFonts w:ascii="黑体" w:eastAsia="黑体" w:hint="eastAsia"/>
                <w:b/>
                <w:i/>
                <w:spacing w:val="-4"/>
                <w:w w:val="95"/>
                <w:sz w:val="22"/>
              </w:rPr>
              <w:t>的保险事故，我们不承担保险责任。</w:t>
            </w:r>
          </w:p>
        </w:tc>
      </w:tr>
      <w:tr>
        <w:trPr>
          <w:trHeight w:val="711" w:hRule="atLeast"/>
        </w:trPr>
        <w:tc>
          <w:tcPr>
            <w:tcW w:w="683" w:type="dxa"/>
            <w:tcBorders>
              <w:bottom w:val="single" w:sz="8" w:space="0" w:color="000000"/>
            </w:tcBorders>
          </w:tcPr>
          <w:p>
            <w:pPr>
              <w:pStyle w:val="TableParagraph"/>
              <w:spacing w:before="151"/>
              <w:ind w:left="107"/>
              <w:rPr>
                <w:rFonts w:ascii="Arial" w:hAnsi="Arial"/>
                <w:b/>
                <w:sz w:val="40"/>
              </w:rPr>
            </w:pPr>
            <w:r>
              <w:rPr>
                <w:rFonts w:ascii="Arial" w:hAnsi="Arial"/>
                <w:b/>
                <w:w w:val="119"/>
                <w:sz w:val="40"/>
              </w:rPr>
              <w:t></w:t>
            </w:r>
          </w:p>
        </w:tc>
        <w:tc>
          <w:tcPr>
            <w:tcW w:w="2021" w:type="dxa"/>
            <w:tcBorders>
              <w:bottom w:val="single" w:sz="8" w:space="0" w:color="000000"/>
            </w:tcBorders>
          </w:tcPr>
          <w:p>
            <w:pPr>
              <w:pStyle w:val="TableParagraph"/>
              <w:spacing w:before="203"/>
              <w:ind w:left="217"/>
              <w:rPr>
                <w:b/>
                <w:sz w:val="24"/>
              </w:rPr>
            </w:pPr>
            <w:r>
              <w:rPr>
                <w:b/>
                <w:w w:val="95"/>
                <w:sz w:val="24"/>
              </w:rPr>
              <w:t>我们提供的保障</w:t>
            </w:r>
          </w:p>
        </w:tc>
        <w:tc>
          <w:tcPr>
            <w:tcW w:w="7546" w:type="dxa"/>
            <w:tcBorders>
              <w:bottom w:val="single" w:sz="8" w:space="0" w:color="000000"/>
            </w:tcBorders>
          </w:tcPr>
          <w:p>
            <w:pPr>
              <w:pStyle w:val="TableParagraph"/>
              <w:ind w:left="0"/>
              <w:rPr>
                <w:rFonts w:ascii="Times New Roman"/>
                <w:sz w:val="20"/>
              </w:rPr>
            </w:pPr>
          </w:p>
        </w:tc>
      </w:tr>
      <w:tr>
        <w:trPr>
          <w:trHeight w:val="652" w:hRule="atLeast"/>
        </w:trPr>
        <w:tc>
          <w:tcPr>
            <w:tcW w:w="683" w:type="dxa"/>
            <w:tcBorders>
              <w:top w:val="single" w:sz="8" w:space="0" w:color="000000"/>
            </w:tcBorders>
          </w:tcPr>
          <w:p>
            <w:pPr>
              <w:pStyle w:val="TableParagraph"/>
              <w:spacing w:before="3"/>
              <w:ind w:left="0"/>
              <w:rPr>
                <w:sz w:val="16"/>
              </w:rPr>
            </w:pPr>
          </w:p>
          <w:p>
            <w:pPr>
              <w:pStyle w:val="TableParagraph"/>
              <w:ind w:left="107"/>
              <w:rPr>
                <w:b/>
                <w:sz w:val="21"/>
              </w:rPr>
            </w:pPr>
            <w:r>
              <w:rPr>
                <w:b/>
                <w:sz w:val="21"/>
              </w:rPr>
              <w:t>2.1</w:t>
            </w:r>
          </w:p>
        </w:tc>
        <w:tc>
          <w:tcPr>
            <w:tcW w:w="2021" w:type="dxa"/>
            <w:tcBorders>
              <w:top w:val="single" w:sz="8" w:space="0" w:color="000000"/>
            </w:tcBorders>
          </w:tcPr>
          <w:p>
            <w:pPr>
              <w:pStyle w:val="TableParagraph"/>
              <w:spacing w:before="3"/>
              <w:ind w:left="0"/>
              <w:rPr>
                <w:sz w:val="16"/>
              </w:rPr>
            </w:pPr>
          </w:p>
          <w:p>
            <w:pPr>
              <w:pStyle w:val="TableParagraph"/>
              <w:ind w:left="217"/>
              <w:rPr>
                <w:b/>
                <w:sz w:val="21"/>
              </w:rPr>
            </w:pPr>
            <w:r>
              <w:rPr>
                <w:b/>
                <w:sz w:val="21"/>
              </w:rPr>
              <w:t>保险责任</w:t>
            </w:r>
          </w:p>
        </w:tc>
        <w:tc>
          <w:tcPr>
            <w:tcW w:w="7546" w:type="dxa"/>
            <w:tcBorders>
              <w:top w:val="single" w:sz="8" w:space="0" w:color="000000"/>
            </w:tcBorders>
          </w:tcPr>
          <w:p>
            <w:pPr>
              <w:pStyle w:val="TableParagraph"/>
              <w:spacing w:before="3"/>
              <w:ind w:left="0"/>
              <w:rPr>
                <w:sz w:val="16"/>
              </w:rPr>
            </w:pPr>
          </w:p>
          <w:p>
            <w:pPr>
              <w:pStyle w:val="TableParagraph"/>
              <w:ind w:left="121"/>
              <w:rPr>
                <w:sz w:val="21"/>
              </w:rPr>
            </w:pPr>
            <w:r>
              <w:rPr>
                <w:sz w:val="21"/>
              </w:rPr>
              <w:t>在本合同有效期间内，我们按照以下约定承担保险责任：</w:t>
            </w:r>
          </w:p>
        </w:tc>
      </w:tr>
      <w:tr>
        <w:trPr>
          <w:trHeight w:val="1311" w:hRule="atLeast"/>
        </w:trPr>
        <w:tc>
          <w:tcPr>
            <w:tcW w:w="683" w:type="dxa"/>
          </w:tcPr>
          <w:p>
            <w:pPr>
              <w:pStyle w:val="TableParagraph"/>
              <w:ind w:left="0"/>
              <w:rPr>
                <w:rFonts w:ascii="Times New Roman"/>
                <w:sz w:val="20"/>
              </w:rPr>
            </w:pPr>
          </w:p>
        </w:tc>
        <w:tc>
          <w:tcPr>
            <w:tcW w:w="2021" w:type="dxa"/>
          </w:tcPr>
          <w:p>
            <w:pPr>
              <w:pStyle w:val="TableParagraph"/>
              <w:spacing w:before="98"/>
              <w:ind w:left="217"/>
              <w:rPr>
                <w:rFonts w:ascii="等线" w:eastAsia="等线" w:hint="eastAsia"/>
                <w:b/>
                <w:sz w:val="24"/>
              </w:rPr>
            </w:pPr>
            <w:r>
              <w:rPr>
                <w:rFonts w:ascii="等线" w:eastAsia="等线" w:hint="eastAsia"/>
                <w:b/>
                <w:sz w:val="24"/>
              </w:rPr>
              <w:t>重大疾病保险金</w:t>
            </w:r>
          </w:p>
        </w:tc>
        <w:tc>
          <w:tcPr>
            <w:tcW w:w="7546" w:type="dxa"/>
          </w:tcPr>
          <w:p>
            <w:pPr>
              <w:pStyle w:val="TableParagraph"/>
              <w:spacing w:line="310" w:lineRule="atLeast" w:before="65"/>
              <w:ind w:left="541" w:right="101" w:hanging="421"/>
              <w:jc w:val="both"/>
              <w:rPr>
                <w:sz w:val="21"/>
              </w:rPr>
            </w:pPr>
            <w:r>
              <w:rPr>
                <w:spacing w:val="-4"/>
                <w:sz w:val="21"/>
              </w:rPr>
              <w:t>一、若被保险人于本合同生效</w:t>
            </w:r>
            <w:r>
              <w:rPr>
                <w:sz w:val="21"/>
              </w:rPr>
              <w:t>（</w:t>
            </w:r>
            <w:r>
              <w:rPr>
                <w:spacing w:val="-6"/>
                <w:sz w:val="21"/>
              </w:rPr>
              <w:t>若曾复效，则自本合同最后复效；若为本合同生效后新增被保险人，则自本公司对该新增被保险人承担保险责任的起始</w:t>
            </w:r>
            <w:r>
              <w:rPr>
                <w:spacing w:val="-20"/>
                <w:sz w:val="21"/>
              </w:rPr>
              <w:t>）</w:t>
            </w:r>
            <w:r>
              <w:rPr>
                <w:sz w:val="21"/>
              </w:rPr>
              <w:t>之</w:t>
            </w:r>
            <w:r>
              <w:rPr>
                <w:spacing w:val="-16"/>
                <w:sz w:val="21"/>
              </w:rPr>
              <w:t>日起 </w:t>
            </w:r>
            <w:r>
              <w:rPr>
                <w:sz w:val="21"/>
              </w:rPr>
              <w:t>90</w:t>
            </w:r>
            <w:r>
              <w:rPr>
                <w:spacing w:val="-26"/>
                <w:sz w:val="21"/>
              </w:rPr>
              <w:t> 日内</w:t>
            </w:r>
            <w:r>
              <w:rPr>
                <w:sz w:val="21"/>
              </w:rPr>
              <w:t>（</w:t>
            </w:r>
            <w:r>
              <w:rPr>
                <w:spacing w:val="-18"/>
                <w:sz w:val="21"/>
              </w:rPr>
              <w:t>含第 </w:t>
            </w:r>
            <w:r>
              <w:rPr>
                <w:sz w:val="21"/>
              </w:rPr>
              <w:t>90</w:t>
            </w:r>
            <w:r>
              <w:rPr>
                <w:spacing w:val="-27"/>
                <w:sz w:val="21"/>
              </w:rPr>
              <w:t> 日</w:t>
            </w:r>
            <w:r>
              <w:rPr>
                <w:spacing w:val="-22"/>
                <w:sz w:val="21"/>
              </w:rPr>
              <w:t>）</w:t>
            </w:r>
            <w:r>
              <w:rPr>
                <w:spacing w:val="-3"/>
                <w:sz w:val="21"/>
              </w:rPr>
              <w:t>因</w:t>
            </w:r>
            <w:r>
              <w:rPr>
                <w:b/>
                <w:sz w:val="21"/>
              </w:rPr>
              <w:t>意外伤害</w:t>
            </w:r>
            <w:r>
              <w:rPr>
                <w:spacing w:val="-3"/>
                <w:sz w:val="21"/>
              </w:rPr>
              <w:t>以外的原因导致</w:t>
            </w:r>
            <w:r>
              <w:rPr>
                <w:b/>
                <w:sz w:val="21"/>
              </w:rPr>
              <w:t>初次患本合同所列的</w:t>
            </w:r>
            <w:r>
              <w:rPr>
                <w:b/>
                <w:spacing w:val="-1"/>
                <w:sz w:val="21"/>
              </w:rPr>
              <w:t>重大疾病</w:t>
            </w:r>
            <w:r>
              <w:rPr>
                <w:spacing w:val="-8"/>
                <w:sz w:val="21"/>
              </w:rPr>
              <w:t>的一种或多种，我们将按投保人为该被保险人已交纳的保险费给付</w:t>
            </w:r>
          </w:p>
        </w:tc>
      </w:tr>
    </w:tbl>
    <w:p>
      <w:pPr>
        <w:spacing w:after="0" w:line="310" w:lineRule="atLeast"/>
        <w:jc w:val="both"/>
        <w:rPr>
          <w:sz w:val="21"/>
        </w:rPr>
        <w:sectPr>
          <w:footerReference w:type="default" r:id="rId7"/>
          <w:pgSz w:w="11910" w:h="16840"/>
          <w:pgMar w:footer="353" w:header="0" w:top="1120" w:bottom="540" w:left="720" w:right="720"/>
          <w:pgNumType w:start="2"/>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2034"/>
        <w:gridCol w:w="7748"/>
      </w:tblGrid>
      <w:tr>
        <w:trPr>
          <w:trHeight w:val="1936" w:hRule="atLeast"/>
        </w:trPr>
        <w:tc>
          <w:tcPr>
            <w:tcW w:w="759" w:type="dxa"/>
          </w:tcPr>
          <w:p>
            <w:pPr>
              <w:pStyle w:val="TableParagraph"/>
              <w:ind w:left="0"/>
              <w:rPr>
                <w:rFonts w:ascii="Times New Roman"/>
                <w:sz w:val="20"/>
              </w:rPr>
            </w:pPr>
          </w:p>
        </w:tc>
        <w:tc>
          <w:tcPr>
            <w:tcW w:w="2034" w:type="dxa"/>
          </w:tcPr>
          <w:p>
            <w:pPr>
              <w:pStyle w:val="TableParagraph"/>
              <w:ind w:left="0"/>
              <w:rPr>
                <w:rFonts w:ascii="Times New Roman"/>
                <w:sz w:val="20"/>
              </w:rPr>
            </w:pPr>
          </w:p>
        </w:tc>
        <w:tc>
          <w:tcPr>
            <w:tcW w:w="7748" w:type="dxa"/>
          </w:tcPr>
          <w:p>
            <w:pPr>
              <w:pStyle w:val="TableParagraph"/>
              <w:spacing w:line="211" w:lineRule="exact"/>
              <w:ind w:left="544"/>
              <w:rPr>
                <w:sz w:val="21"/>
              </w:rPr>
            </w:pPr>
            <w:r>
              <w:rPr>
                <w:sz w:val="21"/>
              </w:rPr>
              <w:t>重大疾病保险金，同时我们对该被保险人的保险责任终止。</w:t>
            </w:r>
          </w:p>
          <w:p>
            <w:pPr>
              <w:pStyle w:val="TableParagraph"/>
              <w:spacing w:line="273" w:lineRule="auto" w:before="37"/>
              <w:ind w:left="544" w:right="197" w:hanging="421"/>
              <w:rPr>
                <w:sz w:val="21"/>
              </w:rPr>
            </w:pPr>
            <w:r>
              <w:rPr>
                <w:spacing w:val="-10"/>
                <w:sz w:val="21"/>
              </w:rPr>
              <w:t>二、若被保险人因意外伤害，或于本合同生效</w:t>
            </w:r>
            <w:r>
              <w:rPr>
                <w:spacing w:val="-3"/>
                <w:sz w:val="21"/>
              </w:rPr>
              <w:t>（</w:t>
            </w:r>
            <w:r>
              <w:rPr>
                <w:spacing w:val="-8"/>
                <w:sz w:val="21"/>
              </w:rPr>
              <w:t>若曾复效，则自本合同最后复效； 若为本合同生效后新增被保险人，则自我们对该新增被保险人承担保险责任</w:t>
            </w:r>
            <w:r>
              <w:rPr>
                <w:spacing w:val="-7"/>
                <w:sz w:val="21"/>
              </w:rPr>
              <w:t>的起始</w:t>
            </w:r>
            <w:r>
              <w:rPr>
                <w:sz w:val="21"/>
              </w:rPr>
              <w:t>）</w:t>
            </w:r>
            <w:r>
              <w:rPr>
                <w:spacing w:val="-4"/>
                <w:sz w:val="21"/>
              </w:rPr>
              <w:t>之日起 </w:t>
            </w:r>
            <w:r>
              <w:rPr>
                <w:sz w:val="21"/>
              </w:rPr>
              <w:t>90</w:t>
            </w:r>
            <w:r>
              <w:rPr>
                <w:spacing w:val="-4"/>
                <w:sz w:val="21"/>
              </w:rPr>
              <w:t> 日后因意外伤害以外的原因，导致初次患本合同所列</w:t>
            </w:r>
            <w:r>
              <w:rPr>
                <w:b/>
                <w:sz w:val="21"/>
              </w:rPr>
              <w:t>重大疾病</w:t>
            </w:r>
            <w:r>
              <w:rPr>
                <w:spacing w:val="-8"/>
                <w:sz w:val="21"/>
              </w:rPr>
              <w:t>的一种或多种，我们将按本合同下该被保险人的基本保险金额给付重</w:t>
            </w:r>
            <w:r>
              <w:rPr>
                <w:spacing w:val="-3"/>
                <w:sz w:val="21"/>
              </w:rPr>
              <w:t>大疾病保险金，同时我们对该被保险人的保险责任终止。</w:t>
            </w:r>
          </w:p>
        </w:tc>
      </w:tr>
      <w:tr>
        <w:trPr>
          <w:trHeight w:val="3348" w:hRule="atLeast"/>
        </w:trPr>
        <w:tc>
          <w:tcPr>
            <w:tcW w:w="759" w:type="dxa"/>
          </w:tcPr>
          <w:p>
            <w:pPr>
              <w:pStyle w:val="TableParagraph"/>
              <w:ind w:left="0"/>
              <w:rPr>
                <w:rFonts w:ascii="Times New Roman"/>
                <w:sz w:val="20"/>
              </w:rPr>
            </w:pPr>
          </w:p>
        </w:tc>
        <w:tc>
          <w:tcPr>
            <w:tcW w:w="2034" w:type="dxa"/>
          </w:tcPr>
          <w:p>
            <w:pPr>
              <w:pStyle w:val="TableParagraph"/>
              <w:spacing w:before="98"/>
              <w:ind w:left="233"/>
              <w:rPr>
                <w:rFonts w:ascii="等线" w:eastAsia="等线" w:hint="eastAsia"/>
                <w:b/>
                <w:sz w:val="24"/>
              </w:rPr>
            </w:pPr>
            <w:r>
              <w:rPr>
                <w:rFonts w:ascii="等线" w:eastAsia="等线" w:hint="eastAsia"/>
                <w:b/>
                <w:sz w:val="24"/>
              </w:rPr>
              <w:t>身故保险金</w:t>
            </w:r>
          </w:p>
        </w:tc>
        <w:tc>
          <w:tcPr>
            <w:tcW w:w="7748" w:type="dxa"/>
          </w:tcPr>
          <w:p>
            <w:pPr>
              <w:pStyle w:val="TableParagraph"/>
              <w:spacing w:line="273" w:lineRule="auto" w:before="100"/>
              <w:ind w:left="544" w:right="300" w:hanging="421"/>
              <w:jc w:val="both"/>
              <w:rPr>
                <w:sz w:val="21"/>
              </w:rPr>
            </w:pPr>
            <w:r>
              <w:rPr>
                <w:spacing w:val="-4"/>
                <w:sz w:val="21"/>
              </w:rPr>
              <w:t>一、若被保险人于本合同生效</w:t>
            </w:r>
            <w:r>
              <w:rPr>
                <w:sz w:val="21"/>
              </w:rPr>
              <w:t>（</w:t>
            </w:r>
            <w:r>
              <w:rPr>
                <w:spacing w:val="-6"/>
                <w:sz w:val="21"/>
              </w:rPr>
              <w:t>若曾复效，则自本合同最后复效；若为本合同生效后新增被保险人，则自本公司对该新增被保险人承担保险责任的起始</w:t>
            </w:r>
            <w:r>
              <w:rPr>
                <w:spacing w:val="-20"/>
                <w:sz w:val="21"/>
              </w:rPr>
              <w:t>）</w:t>
            </w:r>
            <w:r>
              <w:rPr>
                <w:sz w:val="21"/>
              </w:rPr>
              <w:t>之</w:t>
            </w:r>
            <w:r>
              <w:rPr>
                <w:spacing w:val="-16"/>
                <w:sz w:val="21"/>
              </w:rPr>
              <w:t>日起 </w:t>
            </w:r>
            <w:r>
              <w:rPr>
                <w:sz w:val="21"/>
              </w:rPr>
              <w:t>90</w:t>
            </w:r>
            <w:r>
              <w:rPr>
                <w:spacing w:val="-21"/>
                <w:sz w:val="21"/>
              </w:rPr>
              <w:t> 日内</w:t>
            </w:r>
            <w:r>
              <w:rPr>
                <w:sz w:val="21"/>
              </w:rPr>
              <w:t>（</w:t>
            </w:r>
            <w:r>
              <w:rPr>
                <w:spacing w:val="-17"/>
                <w:sz w:val="21"/>
              </w:rPr>
              <w:t>含第 </w:t>
            </w:r>
            <w:r>
              <w:rPr>
                <w:sz w:val="21"/>
              </w:rPr>
              <w:t>90</w:t>
            </w:r>
            <w:r>
              <w:rPr>
                <w:spacing w:val="-25"/>
                <w:sz w:val="21"/>
              </w:rPr>
              <w:t> 日</w:t>
            </w:r>
            <w:r>
              <w:rPr>
                <w:spacing w:val="-13"/>
                <w:sz w:val="21"/>
              </w:rPr>
              <w:t>）</w:t>
            </w:r>
            <w:r>
              <w:rPr>
                <w:spacing w:val="-4"/>
                <w:sz w:val="21"/>
              </w:rPr>
              <w:t>因意外伤害以外的原因导致身故，我们将按投保</w:t>
            </w:r>
            <w:r>
              <w:rPr>
                <w:spacing w:val="-5"/>
                <w:sz w:val="21"/>
              </w:rPr>
              <w:t>人为该被保险人已交纳的保险费给付身故保险金，同时我们对该被保险人的</w:t>
            </w:r>
            <w:r>
              <w:rPr>
                <w:spacing w:val="-3"/>
                <w:sz w:val="21"/>
              </w:rPr>
              <w:t>保险责任终止。</w:t>
            </w:r>
          </w:p>
          <w:p>
            <w:pPr>
              <w:pStyle w:val="TableParagraph"/>
              <w:spacing w:line="273" w:lineRule="auto" w:before="7"/>
              <w:ind w:left="544" w:right="266" w:hanging="421"/>
              <w:rPr>
                <w:sz w:val="21"/>
              </w:rPr>
            </w:pPr>
            <w:r>
              <w:rPr>
                <w:spacing w:val="-3"/>
                <w:sz w:val="21"/>
              </w:rPr>
              <w:t>二、若被保险人因意外伤害或于本合同生效（若曾复效，则自本合同最后复效； </w:t>
            </w:r>
            <w:r>
              <w:rPr>
                <w:spacing w:val="-6"/>
                <w:sz w:val="21"/>
              </w:rPr>
              <w:t>若为本合同生效后新增被保险人，则自本公司对该新增被保险人承担保险责</w:t>
            </w:r>
            <w:r>
              <w:rPr>
                <w:spacing w:val="-4"/>
                <w:sz w:val="21"/>
              </w:rPr>
              <w:t>任的起始</w:t>
            </w:r>
            <w:r>
              <w:rPr>
                <w:spacing w:val="-3"/>
                <w:sz w:val="21"/>
              </w:rPr>
              <w:t>）</w:t>
            </w:r>
            <w:r>
              <w:rPr>
                <w:spacing w:val="-13"/>
                <w:sz w:val="21"/>
              </w:rPr>
              <w:t>之日起 </w:t>
            </w:r>
            <w:r>
              <w:rPr>
                <w:sz w:val="21"/>
              </w:rPr>
              <w:t>90</w:t>
            </w:r>
            <w:r>
              <w:rPr>
                <w:spacing w:val="-9"/>
                <w:sz w:val="21"/>
              </w:rPr>
              <w:t> 日后因意外伤害以外的原因导致身故，我们将按本合</w:t>
            </w:r>
            <w:r>
              <w:rPr>
                <w:spacing w:val="-5"/>
                <w:sz w:val="21"/>
              </w:rPr>
              <w:t>同下该被保险人的基本保险金额给付身故保险金，同时我们对该被保险人的</w:t>
            </w:r>
            <w:r>
              <w:rPr>
                <w:spacing w:val="-3"/>
                <w:sz w:val="21"/>
              </w:rPr>
              <w:t>保险责任终止。</w:t>
            </w:r>
          </w:p>
        </w:tc>
      </w:tr>
      <w:tr>
        <w:trPr>
          <w:trHeight w:val="528" w:hRule="atLeast"/>
        </w:trPr>
        <w:tc>
          <w:tcPr>
            <w:tcW w:w="759" w:type="dxa"/>
          </w:tcPr>
          <w:p>
            <w:pPr>
              <w:pStyle w:val="TableParagraph"/>
              <w:ind w:left="0"/>
              <w:rPr>
                <w:rFonts w:ascii="Times New Roman"/>
                <w:sz w:val="20"/>
              </w:rPr>
            </w:pPr>
          </w:p>
        </w:tc>
        <w:tc>
          <w:tcPr>
            <w:tcW w:w="2034" w:type="dxa"/>
          </w:tcPr>
          <w:p>
            <w:pPr>
              <w:pStyle w:val="TableParagraph"/>
              <w:ind w:left="0"/>
              <w:rPr>
                <w:rFonts w:ascii="Times New Roman"/>
                <w:sz w:val="20"/>
              </w:rPr>
            </w:pPr>
          </w:p>
        </w:tc>
        <w:tc>
          <w:tcPr>
            <w:tcW w:w="7748" w:type="dxa"/>
          </w:tcPr>
          <w:p>
            <w:pPr>
              <w:pStyle w:val="TableParagraph"/>
              <w:spacing w:before="100"/>
              <w:ind w:left="124"/>
              <w:rPr>
                <w:b/>
                <w:sz w:val="21"/>
              </w:rPr>
            </w:pPr>
            <w:r>
              <w:rPr>
                <w:b/>
                <w:sz w:val="21"/>
              </w:rPr>
              <w:t>重大疾病保险金与身故保险金，我们仅给付其中一项。</w:t>
            </w:r>
          </w:p>
        </w:tc>
      </w:tr>
      <w:tr>
        <w:trPr>
          <w:trHeight w:val="6189" w:hRule="atLeast"/>
        </w:trPr>
        <w:tc>
          <w:tcPr>
            <w:tcW w:w="759" w:type="dxa"/>
          </w:tcPr>
          <w:p>
            <w:pPr>
              <w:pStyle w:val="TableParagraph"/>
              <w:spacing w:before="110"/>
              <w:ind w:left="171" w:right="211"/>
              <w:jc w:val="center"/>
              <w:rPr>
                <w:rFonts w:ascii="黑体"/>
                <w:b/>
                <w:sz w:val="21"/>
              </w:rPr>
            </w:pPr>
            <w:r>
              <w:rPr>
                <w:rFonts w:ascii="黑体"/>
                <w:b/>
                <w:sz w:val="21"/>
              </w:rPr>
              <w:t>2.2</w:t>
            </w:r>
          </w:p>
        </w:tc>
        <w:tc>
          <w:tcPr>
            <w:tcW w:w="2034" w:type="dxa"/>
          </w:tcPr>
          <w:p>
            <w:pPr>
              <w:pStyle w:val="TableParagraph"/>
              <w:spacing w:before="88"/>
              <w:ind w:left="233"/>
              <w:rPr>
                <w:rFonts w:ascii="黑体" w:eastAsia="黑体" w:hint="eastAsia"/>
                <w:b/>
                <w:sz w:val="21"/>
              </w:rPr>
            </w:pPr>
            <w:r>
              <w:rPr>
                <w:rFonts w:ascii="黑体" w:eastAsia="黑体" w:hint="eastAsia"/>
                <w:b/>
                <w:sz w:val="21"/>
              </w:rPr>
              <w:t>责任免除</w:t>
            </w:r>
          </w:p>
        </w:tc>
        <w:tc>
          <w:tcPr>
            <w:tcW w:w="7748" w:type="dxa"/>
          </w:tcPr>
          <w:p>
            <w:pPr>
              <w:pStyle w:val="TableParagraph"/>
              <w:spacing w:line="259" w:lineRule="auto" w:before="98"/>
              <w:ind w:left="544" w:right="300" w:hanging="421"/>
              <w:jc w:val="both"/>
              <w:rPr>
                <w:rFonts w:ascii="黑体" w:eastAsia="黑体" w:hint="eastAsia"/>
                <w:i/>
                <w:sz w:val="22"/>
              </w:rPr>
            </w:pPr>
            <w:r>
              <w:rPr>
                <w:rFonts w:ascii="黑体" w:eastAsia="黑体" w:hint="eastAsia"/>
                <w:i/>
                <w:spacing w:val="-7"/>
                <w:w w:val="95"/>
                <w:sz w:val="22"/>
              </w:rPr>
              <w:t>一、因下列情形之一在本合同有效期内导致被保险人身故或患本合同所列的重大</w:t>
            </w:r>
            <w:r>
              <w:rPr>
                <w:rFonts w:ascii="黑体" w:eastAsia="黑体" w:hint="eastAsia"/>
                <w:i/>
                <w:spacing w:val="-3"/>
                <w:w w:val="95"/>
                <w:sz w:val="22"/>
              </w:rPr>
              <w:t>疾病的，我们不承担给付各项保险金的责任：</w:t>
            </w:r>
          </w:p>
          <w:p>
            <w:pPr>
              <w:pStyle w:val="TableParagraph"/>
              <w:spacing w:before="6"/>
              <w:ind w:left="616"/>
              <w:rPr>
                <w:rFonts w:ascii="黑体" w:eastAsia="黑体" w:hint="eastAsia"/>
                <w:i/>
                <w:sz w:val="22"/>
              </w:rPr>
            </w:pPr>
            <w:r>
              <w:rPr>
                <w:rFonts w:ascii="黑体" w:eastAsia="黑体" w:hint="eastAsia"/>
                <w:i/>
                <w:w w:val="95"/>
                <w:sz w:val="22"/>
              </w:rPr>
              <w:t>(一) 投保人对被保险人的故意杀害、故意伤害；</w:t>
            </w:r>
          </w:p>
          <w:p>
            <w:pPr>
              <w:pStyle w:val="TableParagraph"/>
              <w:spacing w:before="24"/>
              <w:ind w:left="616"/>
              <w:rPr>
                <w:rFonts w:ascii="黑体" w:eastAsia="黑体" w:hint="eastAsia"/>
                <w:i/>
                <w:sz w:val="22"/>
              </w:rPr>
            </w:pPr>
            <w:r>
              <w:rPr>
                <w:rFonts w:ascii="黑体" w:eastAsia="黑体" w:hint="eastAsia"/>
                <w:i/>
                <w:w w:val="95"/>
                <w:sz w:val="22"/>
              </w:rPr>
              <w:t>(二) 被保险人故意犯罪或抗拒依法采取的刑事强制措施；</w:t>
            </w:r>
          </w:p>
          <w:p>
            <w:pPr>
              <w:pStyle w:val="TableParagraph"/>
              <w:spacing w:before="24"/>
              <w:ind w:left="616"/>
              <w:rPr>
                <w:rFonts w:ascii="黑体" w:eastAsia="黑体" w:hint="eastAsia"/>
                <w:i/>
                <w:sz w:val="22"/>
              </w:rPr>
            </w:pPr>
            <w:r>
              <w:rPr>
                <w:rFonts w:ascii="黑体" w:eastAsia="黑体" w:hint="eastAsia"/>
                <w:i/>
                <w:w w:val="95"/>
                <w:sz w:val="22"/>
              </w:rPr>
              <w:t>(三) 被保险人主动吸食或注射</w:t>
            </w:r>
            <w:r>
              <w:rPr>
                <w:rFonts w:ascii="黑体" w:eastAsia="黑体" w:hint="eastAsia"/>
                <w:b/>
                <w:i/>
                <w:w w:val="95"/>
                <w:sz w:val="22"/>
              </w:rPr>
              <w:t>毒品</w:t>
            </w:r>
            <w:r>
              <w:rPr>
                <w:rFonts w:ascii="黑体" w:eastAsia="黑体" w:hint="eastAsia"/>
                <w:i/>
                <w:w w:val="95"/>
                <w:sz w:val="22"/>
              </w:rPr>
              <w:t>；</w:t>
            </w:r>
          </w:p>
          <w:p>
            <w:pPr>
              <w:pStyle w:val="TableParagraph"/>
              <w:spacing w:before="24"/>
              <w:ind w:left="616"/>
              <w:rPr>
                <w:rFonts w:ascii="黑体" w:eastAsia="黑体" w:hint="eastAsia"/>
                <w:i/>
                <w:sz w:val="22"/>
              </w:rPr>
            </w:pPr>
            <w:r>
              <w:rPr>
                <w:rFonts w:ascii="黑体" w:eastAsia="黑体" w:hint="eastAsia"/>
                <w:i/>
                <w:w w:val="95"/>
                <w:sz w:val="22"/>
              </w:rPr>
              <w:t>(四) 被保险人故意自伤；</w:t>
            </w:r>
          </w:p>
          <w:p>
            <w:pPr>
              <w:pStyle w:val="TableParagraph"/>
              <w:spacing w:line="261" w:lineRule="auto" w:before="24"/>
              <w:ind w:left="1094" w:right="305" w:hanging="478"/>
              <w:rPr>
                <w:rFonts w:ascii="黑体" w:eastAsia="黑体" w:hint="eastAsia"/>
                <w:i/>
                <w:sz w:val="22"/>
              </w:rPr>
            </w:pPr>
            <w:r>
              <w:rPr>
                <w:rFonts w:ascii="黑体" w:eastAsia="黑体" w:hint="eastAsia"/>
                <w:i/>
                <w:w w:val="95"/>
                <w:sz w:val="22"/>
              </w:rPr>
              <w:t>(五)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的机动车；</w:t>
            </w:r>
          </w:p>
          <w:p>
            <w:pPr>
              <w:pStyle w:val="TableParagraph"/>
              <w:spacing w:line="259" w:lineRule="auto" w:before="4"/>
              <w:ind w:left="1094" w:right="302" w:hanging="478"/>
              <w:rPr>
                <w:rFonts w:ascii="黑体" w:eastAsia="黑体" w:hint="eastAsia"/>
                <w:i/>
                <w:sz w:val="22"/>
              </w:rPr>
            </w:pPr>
            <w:r>
              <w:rPr>
                <w:rFonts w:ascii="黑体" w:eastAsia="黑体" w:hint="eastAsia"/>
                <w:i/>
                <w:spacing w:val="-7"/>
                <w:w w:val="95"/>
                <w:sz w:val="22"/>
              </w:rPr>
              <w:t>(六) 被保险人</w:t>
            </w:r>
            <w:r>
              <w:rPr>
                <w:rFonts w:ascii="黑体" w:eastAsia="黑体" w:hint="eastAsia"/>
                <w:b/>
                <w:i/>
                <w:spacing w:val="-4"/>
                <w:w w:val="95"/>
                <w:sz w:val="22"/>
              </w:rPr>
              <w:t>感染艾滋病病毒或患艾滋病</w:t>
            </w:r>
            <w:r>
              <w:rPr>
                <w:rFonts w:ascii="黑体" w:eastAsia="黑体" w:hint="eastAsia"/>
                <w:i/>
                <w:spacing w:val="-3"/>
                <w:w w:val="95"/>
                <w:sz w:val="22"/>
              </w:rPr>
              <w:t>（</w:t>
            </w:r>
            <w:r>
              <w:rPr>
                <w:rFonts w:ascii="黑体" w:eastAsia="黑体" w:hint="eastAsia"/>
                <w:i/>
                <w:spacing w:val="-8"/>
                <w:w w:val="95"/>
                <w:sz w:val="22"/>
              </w:rPr>
              <w:t>本合同所列第 </w:t>
            </w:r>
            <w:r>
              <w:rPr>
                <w:rFonts w:ascii="黑体" w:eastAsia="黑体" w:hint="eastAsia"/>
                <w:i/>
                <w:w w:val="95"/>
                <w:sz w:val="22"/>
              </w:rPr>
              <w:t>27</w:t>
            </w:r>
            <w:r>
              <w:rPr>
                <w:rFonts w:ascii="黑体" w:eastAsia="黑体" w:hint="eastAsia"/>
                <w:i/>
                <w:spacing w:val="-34"/>
                <w:w w:val="95"/>
                <w:sz w:val="22"/>
              </w:rPr>
              <w:t>、</w:t>
            </w:r>
            <w:r>
              <w:rPr>
                <w:rFonts w:ascii="黑体" w:eastAsia="黑体" w:hint="eastAsia"/>
                <w:i/>
                <w:w w:val="95"/>
                <w:sz w:val="22"/>
              </w:rPr>
              <w:t>42</w:t>
            </w:r>
            <w:r>
              <w:rPr>
                <w:rFonts w:ascii="黑体" w:eastAsia="黑体" w:hint="eastAsia"/>
                <w:i/>
                <w:spacing w:val="-10"/>
                <w:w w:val="95"/>
                <w:sz w:val="22"/>
              </w:rPr>
              <w:t> 种重大疾</w:t>
            </w:r>
            <w:r>
              <w:rPr>
                <w:rFonts w:ascii="黑体" w:eastAsia="黑体" w:hint="eastAsia"/>
                <w:i/>
                <w:spacing w:val="-8"/>
                <w:w w:val="96"/>
                <w:sz w:val="22"/>
              </w:rPr>
              <w:t>病除外</w:t>
            </w:r>
            <w:r>
              <w:rPr>
                <w:rFonts w:ascii="黑体" w:eastAsia="黑体" w:hint="eastAsia"/>
                <w:i/>
                <w:spacing w:val="-106"/>
                <w:w w:val="96"/>
                <w:sz w:val="22"/>
              </w:rPr>
              <w:t>）</w:t>
            </w:r>
            <w:r>
              <w:rPr>
                <w:rFonts w:ascii="黑体" w:eastAsia="黑体" w:hint="eastAsia"/>
                <w:i/>
                <w:w w:val="96"/>
                <w:sz w:val="22"/>
              </w:rPr>
              <w:t>；</w:t>
            </w:r>
          </w:p>
          <w:p>
            <w:pPr>
              <w:pStyle w:val="TableParagraph"/>
              <w:spacing w:before="6"/>
              <w:ind w:left="616"/>
              <w:rPr>
                <w:rFonts w:ascii="黑体" w:eastAsia="黑体" w:hint="eastAsia"/>
                <w:i/>
                <w:sz w:val="22"/>
              </w:rPr>
            </w:pPr>
            <w:r>
              <w:rPr>
                <w:rFonts w:ascii="黑体" w:eastAsia="黑体" w:hint="eastAsia"/>
                <w:i/>
                <w:w w:val="95"/>
                <w:sz w:val="22"/>
              </w:rPr>
              <w:t>(七) 战争、军事冲突、暴乱或武装叛乱；</w:t>
            </w:r>
          </w:p>
          <w:p>
            <w:pPr>
              <w:pStyle w:val="TableParagraph"/>
              <w:spacing w:before="24"/>
              <w:ind w:left="616"/>
              <w:rPr>
                <w:rFonts w:ascii="黑体" w:eastAsia="黑体" w:hint="eastAsia"/>
                <w:i/>
                <w:sz w:val="22"/>
              </w:rPr>
            </w:pPr>
            <w:r>
              <w:rPr>
                <w:rFonts w:ascii="黑体" w:eastAsia="黑体" w:hint="eastAsia"/>
                <w:i/>
                <w:w w:val="95"/>
                <w:sz w:val="22"/>
              </w:rPr>
              <w:t>(八) 核爆炸、核辐射或核污染；</w:t>
            </w:r>
          </w:p>
          <w:p>
            <w:pPr>
              <w:pStyle w:val="TableParagraph"/>
              <w:spacing w:before="24"/>
              <w:ind w:left="616"/>
              <w:rPr>
                <w:rFonts w:ascii="黑体" w:eastAsia="黑体" w:hint="eastAsia"/>
                <w:i/>
                <w:sz w:val="22"/>
              </w:rPr>
            </w:pPr>
            <w:r>
              <w:rPr>
                <w:rFonts w:ascii="黑体" w:eastAsia="黑体" w:hint="eastAsia"/>
                <w:i/>
                <w:w w:val="95"/>
                <w:sz w:val="22"/>
              </w:rPr>
              <w:t>(九) </w:t>
            </w:r>
            <w:r>
              <w:rPr>
                <w:rFonts w:ascii="黑体" w:eastAsia="黑体" w:hint="eastAsia"/>
                <w:b/>
                <w:i/>
                <w:w w:val="95"/>
                <w:sz w:val="22"/>
              </w:rPr>
              <w:t>遗传性疾病</w:t>
            </w:r>
            <w:r>
              <w:rPr>
                <w:rFonts w:ascii="黑体" w:eastAsia="黑体" w:hint="eastAsia"/>
                <w:i/>
                <w:w w:val="95"/>
                <w:sz w:val="22"/>
              </w:rPr>
              <w:t>，</w:t>
            </w:r>
            <w:r>
              <w:rPr>
                <w:rFonts w:ascii="黑体" w:eastAsia="黑体" w:hint="eastAsia"/>
                <w:b/>
                <w:i/>
                <w:w w:val="95"/>
                <w:sz w:val="22"/>
              </w:rPr>
              <w:t>先天性畸形</w:t>
            </w:r>
            <w:r>
              <w:rPr>
                <w:rFonts w:ascii="黑体" w:eastAsia="黑体" w:hint="eastAsia"/>
                <w:i/>
                <w:w w:val="95"/>
                <w:sz w:val="22"/>
              </w:rPr>
              <w:t>、</w:t>
            </w:r>
            <w:r>
              <w:rPr>
                <w:rFonts w:ascii="黑体" w:eastAsia="黑体" w:hint="eastAsia"/>
                <w:b/>
                <w:i/>
                <w:w w:val="95"/>
                <w:sz w:val="22"/>
              </w:rPr>
              <w:t>变形或染色体异常</w:t>
            </w:r>
            <w:r>
              <w:rPr>
                <w:rFonts w:ascii="黑体" w:eastAsia="黑体" w:hint="eastAsia"/>
                <w:i/>
                <w:w w:val="95"/>
                <w:sz w:val="22"/>
              </w:rPr>
              <w:t>。</w:t>
            </w:r>
          </w:p>
          <w:p>
            <w:pPr>
              <w:pStyle w:val="TableParagraph"/>
              <w:spacing w:line="259" w:lineRule="auto" w:before="24"/>
              <w:ind w:left="544" w:right="266" w:hanging="421"/>
              <w:jc w:val="both"/>
              <w:rPr>
                <w:rFonts w:ascii="黑体" w:eastAsia="黑体" w:hint="eastAsia"/>
                <w:i/>
                <w:sz w:val="22"/>
              </w:rPr>
            </w:pPr>
            <w:r>
              <w:rPr>
                <w:rFonts w:ascii="黑体" w:eastAsia="黑体" w:hint="eastAsia"/>
                <w:i/>
                <w:spacing w:val="-1"/>
                <w:w w:val="95"/>
                <w:sz w:val="22"/>
              </w:rPr>
              <w:t>二、发</w:t>
            </w:r>
            <w:r>
              <w:rPr>
                <w:rFonts w:ascii="黑体" w:eastAsia="黑体" w:hint="eastAsia"/>
                <w:i/>
                <w:w w:val="95"/>
                <w:sz w:val="22"/>
              </w:rPr>
              <w:t>Th</w:t>
            </w:r>
            <w:r>
              <w:rPr>
                <w:rFonts w:ascii="黑体" w:eastAsia="黑体" w:hint="eastAsia"/>
                <w:i/>
                <w:spacing w:val="-3"/>
                <w:w w:val="95"/>
                <w:sz w:val="22"/>
              </w:rPr>
              <w:t>上述第</w:t>
            </w:r>
            <w:r>
              <w:rPr>
                <w:rFonts w:ascii="黑体" w:eastAsia="黑体" w:hint="eastAsia"/>
                <w:i/>
                <w:w w:val="95"/>
                <w:sz w:val="22"/>
              </w:rPr>
              <w:t>（</w:t>
            </w:r>
            <w:r>
              <w:rPr>
                <w:rFonts w:ascii="黑体" w:eastAsia="黑体" w:hint="eastAsia"/>
                <w:i/>
                <w:spacing w:val="-3"/>
                <w:w w:val="95"/>
                <w:sz w:val="22"/>
              </w:rPr>
              <w:t>一</w:t>
            </w:r>
            <w:r>
              <w:rPr>
                <w:rFonts w:ascii="黑体" w:eastAsia="黑体" w:hint="eastAsia"/>
                <w:i/>
                <w:w w:val="95"/>
                <w:sz w:val="22"/>
              </w:rPr>
              <w:t>）</w:t>
            </w:r>
            <w:r>
              <w:rPr>
                <w:rFonts w:ascii="黑体" w:eastAsia="黑体" w:hint="eastAsia"/>
                <w:i/>
                <w:spacing w:val="-3"/>
                <w:w w:val="95"/>
                <w:sz w:val="22"/>
              </w:rPr>
              <w:t>种情形导致被保险人身故或患本合同所列的重大疾病的， </w:t>
            </w:r>
            <w:r>
              <w:rPr>
                <w:rFonts w:ascii="黑体" w:eastAsia="黑体" w:hint="eastAsia"/>
                <w:i/>
                <w:spacing w:val="-6"/>
                <w:w w:val="95"/>
                <w:sz w:val="22"/>
              </w:rPr>
              <w:t>我们对该被保险人的保险责任终止，投保人已交足 </w:t>
            </w:r>
            <w:r>
              <w:rPr>
                <w:rFonts w:ascii="黑体" w:eastAsia="黑体" w:hint="eastAsia"/>
                <w:i/>
                <w:w w:val="95"/>
                <w:sz w:val="22"/>
              </w:rPr>
              <w:t>2</w:t>
            </w:r>
            <w:r>
              <w:rPr>
                <w:rFonts w:ascii="黑体" w:eastAsia="黑体" w:hint="eastAsia"/>
                <w:i/>
                <w:spacing w:val="-9"/>
                <w:w w:val="95"/>
                <w:sz w:val="22"/>
              </w:rPr>
              <w:t> 年以上保费的，我们向</w:t>
            </w:r>
            <w:r>
              <w:rPr>
                <w:rFonts w:ascii="黑体" w:eastAsia="黑体" w:hint="eastAsia"/>
                <w:i/>
                <w:spacing w:val="-3"/>
                <w:w w:val="95"/>
                <w:sz w:val="22"/>
              </w:rPr>
              <w:t>保险金受益人退还本合同下该被保险人的</w:t>
            </w:r>
            <w:r>
              <w:rPr>
                <w:rFonts w:ascii="黑体" w:eastAsia="黑体" w:hint="eastAsia"/>
                <w:b/>
                <w:i/>
                <w:spacing w:val="-1"/>
                <w:w w:val="95"/>
                <w:sz w:val="22"/>
              </w:rPr>
              <w:t>现金价值</w:t>
            </w:r>
            <w:r>
              <w:rPr>
                <w:rFonts w:ascii="黑体" w:eastAsia="黑体" w:hint="eastAsia"/>
                <w:i/>
                <w:w w:val="95"/>
                <w:sz w:val="22"/>
              </w:rPr>
              <w:t>。</w:t>
            </w:r>
          </w:p>
          <w:p>
            <w:pPr>
              <w:pStyle w:val="TableParagraph"/>
              <w:spacing w:line="259" w:lineRule="auto" w:before="6"/>
              <w:ind w:left="544" w:right="300" w:hanging="421"/>
              <w:jc w:val="both"/>
              <w:rPr>
                <w:rFonts w:ascii="黑体" w:eastAsia="黑体" w:hint="eastAsia"/>
                <w:i/>
                <w:sz w:val="22"/>
              </w:rPr>
            </w:pPr>
            <w:r>
              <w:rPr>
                <w:rFonts w:ascii="黑体" w:eastAsia="黑体" w:hint="eastAsia"/>
                <w:i/>
                <w:spacing w:val="-7"/>
                <w:w w:val="95"/>
                <w:sz w:val="22"/>
              </w:rPr>
              <w:t>三、发</w:t>
            </w:r>
            <w:r>
              <w:rPr>
                <w:rFonts w:ascii="黑体" w:eastAsia="黑体" w:hint="eastAsia"/>
                <w:i/>
                <w:w w:val="95"/>
                <w:sz w:val="22"/>
              </w:rPr>
              <w:t>Th</w:t>
            </w:r>
            <w:r>
              <w:rPr>
                <w:rFonts w:ascii="黑体" w:eastAsia="黑体" w:hint="eastAsia"/>
                <w:i/>
                <w:spacing w:val="-4"/>
                <w:w w:val="95"/>
                <w:sz w:val="22"/>
              </w:rPr>
              <w:t>上述其他情形导致被保险人身故或患本合同所列的重大疾病的，我们对</w:t>
            </w:r>
            <w:r>
              <w:rPr>
                <w:rFonts w:ascii="黑体" w:eastAsia="黑体" w:hint="eastAsia"/>
                <w:i/>
                <w:spacing w:val="-6"/>
                <w:w w:val="95"/>
                <w:sz w:val="22"/>
              </w:rPr>
              <w:t>该被保险人的保险责任终止，我们向投保人退还本合同下该被保险人的现金价值。</w:t>
            </w:r>
          </w:p>
        </w:tc>
      </w:tr>
      <w:tr>
        <w:trPr>
          <w:trHeight w:val="1506" w:hRule="atLeast"/>
        </w:trPr>
        <w:tc>
          <w:tcPr>
            <w:tcW w:w="759" w:type="dxa"/>
          </w:tcPr>
          <w:p>
            <w:pPr>
              <w:pStyle w:val="TableParagraph"/>
              <w:spacing w:before="123"/>
              <w:ind w:left="171" w:right="211"/>
              <w:jc w:val="center"/>
              <w:rPr>
                <w:b/>
                <w:sz w:val="21"/>
              </w:rPr>
            </w:pPr>
            <w:r>
              <w:rPr>
                <w:b/>
                <w:sz w:val="21"/>
              </w:rPr>
              <w:t>2.3</w:t>
            </w:r>
          </w:p>
        </w:tc>
        <w:tc>
          <w:tcPr>
            <w:tcW w:w="2034" w:type="dxa"/>
          </w:tcPr>
          <w:p>
            <w:pPr>
              <w:pStyle w:val="TableParagraph"/>
              <w:spacing w:before="123"/>
              <w:ind w:left="233"/>
              <w:rPr>
                <w:b/>
                <w:sz w:val="21"/>
              </w:rPr>
            </w:pPr>
            <w:r>
              <w:rPr>
                <w:b/>
                <w:sz w:val="21"/>
              </w:rPr>
              <w:t>保险金额</w:t>
            </w:r>
          </w:p>
        </w:tc>
        <w:tc>
          <w:tcPr>
            <w:tcW w:w="7748" w:type="dxa"/>
          </w:tcPr>
          <w:p>
            <w:pPr>
              <w:pStyle w:val="TableParagraph"/>
              <w:spacing w:line="273" w:lineRule="auto" w:before="123"/>
              <w:ind w:left="124" w:right="299"/>
              <w:jc w:val="both"/>
              <w:rPr>
                <w:sz w:val="21"/>
              </w:rPr>
            </w:pPr>
            <w:r>
              <w:rPr>
                <w:spacing w:val="-1"/>
                <w:sz w:val="21"/>
              </w:rPr>
              <w:t>本合同下各被保险人的保险金额按本条款第</w:t>
            </w:r>
            <w:r>
              <w:rPr>
                <w:sz w:val="21"/>
              </w:rPr>
              <w:t>2.1</w:t>
            </w:r>
            <w:r>
              <w:rPr>
                <w:spacing w:val="-8"/>
                <w:sz w:val="21"/>
              </w:rPr>
              <w:t> 条规定，根据本合同下该被保险</w:t>
            </w:r>
            <w:r>
              <w:rPr>
                <w:sz w:val="21"/>
              </w:rPr>
              <w:t>人的基本保险金额进行计算确定。本合同下各被保险人的基本保险金额由投保人和本公司在投保时约定，但须符合本公司当时的投保规定，约定的基本保险</w:t>
            </w:r>
            <w:r>
              <w:rPr>
                <w:spacing w:val="-3"/>
                <w:sz w:val="21"/>
              </w:rPr>
              <w:t>金额将在保险单上载明，若基本保险金额发生变更，则以变更后金额为准。</w:t>
            </w:r>
          </w:p>
        </w:tc>
      </w:tr>
      <w:tr>
        <w:trPr>
          <w:trHeight w:val="695" w:hRule="atLeast"/>
        </w:trPr>
        <w:tc>
          <w:tcPr>
            <w:tcW w:w="759" w:type="dxa"/>
          </w:tcPr>
          <w:p>
            <w:pPr>
              <w:pStyle w:val="TableParagraph"/>
              <w:spacing w:before="109"/>
              <w:ind w:left="180" w:right="202"/>
              <w:jc w:val="center"/>
              <w:rPr>
                <w:b/>
                <w:sz w:val="21"/>
              </w:rPr>
            </w:pPr>
            <w:r>
              <w:rPr>
                <w:b/>
                <w:sz w:val="21"/>
              </w:rPr>
              <w:t>2.4</w:t>
            </w:r>
          </w:p>
        </w:tc>
        <w:tc>
          <w:tcPr>
            <w:tcW w:w="2034" w:type="dxa"/>
          </w:tcPr>
          <w:p>
            <w:pPr>
              <w:pStyle w:val="TableParagraph"/>
              <w:spacing w:line="310" w:lineRule="atLeast" w:before="73"/>
              <w:ind w:left="233" w:right="108"/>
              <w:rPr>
                <w:b/>
                <w:sz w:val="21"/>
              </w:rPr>
            </w:pPr>
            <w:r>
              <w:rPr>
                <w:b/>
                <w:sz w:val="21"/>
              </w:rPr>
              <w:t>未成年人身故保险金限制</w:t>
            </w:r>
          </w:p>
        </w:tc>
        <w:tc>
          <w:tcPr>
            <w:tcW w:w="7748" w:type="dxa"/>
          </w:tcPr>
          <w:p>
            <w:pPr>
              <w:pStyle w:val="TableParagraph"/>
              <w:spacing w:line="310" w:lineRule="atLeast" w:before="73"/>
              <w:ind w:left="112" w:right="338"/>
              <w:rPr>
                <w:sz w:val="21"/>
              </w:rPr>
            </w:pPr>
            <w:r>
              <w:rPr>
                <w:spacing w:val="-8"/>
                <w:sz w:val="21"/>
              </w:rPr>
              <w:t>为未成年子女投保的人身保险，因被保险人身故给付的保险金总和不得超过国务</w:t>
            </w:r>
            <w:r>
              <w:rPr>
                <w:spacing w:val="-9"/>
                <w:sz w:val="21"/>
              </w:rPr>
              <w:t>院保险监督管理机构规定的限额，身故给付的保险金额总和约定也不得超过前述</w:t>
            </w:r>
          </w:p>
        </w:tc>
      </w:tr>
    </w:tbl>
    <w:p>
      <w:pPr>
        <w:spacing w:after="0" w:line="310" w:lineRule="atLeast"/>
        <w:rPr>
          <w:sz w:val="21"/>
        </w:rPr>
        <w:sectPr>
          <w:pgSz w:w="11910" w:h="16840"/>
          <w:pgMar w:header="0" w:footer="353" w:top="1160" w:bottom="540" w:left="6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020"/>
        <w:gridCol w:w="7550"/>
      </w:tblGrid>
      <w:tr>
        <w:trPr>
          <w:trHeight w:val="385" w:hRule="atLeast"/>
        </w:trPr>
        <w:tc>
          <w:tcPr>
            <w:tcW w:w="683" w:type="dxa"/>
          </w:tcPr>
          <w:p>
            <w:pPr>
              <w:pStyle w:val="TableParagraph"/>
              <w:ind w:left="0"/>
              <w:rPr>
                <w:rFonts w:ascii="Times New Roman"/>
                <w:sz w:val="20"/>
              </w:rPr>
            </w:pPr>
          </w:p>
        </w:tc>
        <w:tc>
          <w:tcPr>
            <w:tcW w:w="2020" w:type="dxa"/>
          </w:tcPr>
          <w:p>
            <w:pPr>
              <w:pStyle w:val="TableParagraph"/>
              <w:ind w:left="0"/>
              <w:rPr>
                <w:rFonts w:ascii="Times New Roman"/>
                <w:sz w:val="20"/>
              </w:rPr>
            </w:pPr>
          </w:p>
        </w:tc>
        <w:tc>
          <w:tcPr>
            <w:tcW w:w="7550" w:type="dxa"/>
          </w:tcPr>
          <w:p>
            <w:pPr>
              <w:pStyle w:val="TableParagraph"/>
              <w:spacing w:line="211" w:lineRule="exact"/>
              <w:ind w:left="110"/>
              <w:rPr>
                <w:sz w:val="21"/>
              </w:rPr>
            </w:pPr>
            <w:r>
              <w:rPr>
                <w:sz w:val="21"/>
              </w:rPr>
              <w:t>限额。</w:t>
            </w:r>
          </w:p>
        </w:tc>
      </w:tr>
      <w:tr>
        <w:trPr>
          <w:trHeight w:val="602" w:hRule="atLeast"/>
        </w:trPr>
        <w:tc>
          <w:tcPr>
            <w:tcW w:w="683" w:type="dxa"/>
          </w:tcPr>
          <w:p>
            <w:pPr>
              <w:pStyle w:val="TableParagraph"/>
              <w:spacing w:before="110"/>
              <w:ind w:left="107"/>
              <w:rPr>
                <w:b/>
                <w:sz w:val="21"/>
              </w:rPr>
            </w:pPr>
            <w:r>
              <w:rPr>
                <w:b/>
                <w:sz w:val="21"/>
              </w:rPr>
              <w:t>2.5</w:t>
            </w:r>
          </w:p>
        </w:tc>
        <w:tc>
          <w:tcPr>
            <w:tcW w:w="2020" w:type="dxa"/>
          </w:tcPr>
          <w:p>
            <w:pPr>
              <w:pStyle w:val="TableParagraph"/>
              <w:spacing w:before="110"/>
              <w:ind w:left="217"/>
              <w:rPr>
                <w:b/>
                <w:sz w:val="21"/>
              </w:rPr>
            </w:pPr>
            <w:r>
              <w:rPr>
                <w:b/>
                <w:sz w:val="21"/>
              </w:rPr>
              <w:t>保险期间</w:t>
            </w:r>
          </w:p>
        </w:tc>
        <w:tc>
          <w:tcPr>
            <w:tcW w:w="7550" w:type="dxa"/>
          </w:tcPr>
          <w:p>
            <w:pPr>
              <w:pStyle w:val="TableParagraph"/>
              <w:spacing w:before="110"/>
              <w:ind w:left="122"/>
              <w:rPr>
                <w:sz w:val="21"/>
              </w:rPr>
            </w:pPr>
            <w:r>
              <w:rPr>
                <w:sz w:val="21"/>
              </w:rPr>
              <w:t>本合同的保险期间为终身，自本合同生效日零时起算。</w:t>
            </w:r>
          </w:p>
        </w:tc>
      </w:tr>
      <w:tr>
        <w:trPr>
          <w:trHeight w:val="736" w:hRule="atLeast"/>
        </w:trPr>
        <w:tc>
          <w:tcPr>
            <w:tcW w:w="683" w:type="dxa"/>
            <w:tcBorders>
              <w:bottom w:val="single" w:sz="8" w:space="0" w:color="000000"/>
            </w:tcBorders>
          </w:tcPr>
          <w:p>
            <w:pPr>
              <w:pStyle w:val="TableParagraph"/>
              <w:spacing w:before="179"/>
              <w:ind w:left="107"/>
              <w:rPr>
                <w:rFonts w:ascii="Arial" w:hAnsi="Arial"/>
                <w:b/>
                <w:sz w:val="40"/>
              </w:rPr>
            </w:pPr>
            <w:r>
              <w:rPr>
                <w:rFonts w:ascii="Arial" w:hAnsi="Arial"/>
                <w:b/>
                <w:w w:val="119"/>
                <w:sz w:val="40"/>
              </w:rPr>
              <w:t></w:t>
            </w:r>
          </w:p>
        </w:tc>
        <w:tc>
          <w:tcPr>
            <w:tcW w:w="2020" w:type="dxa"/>
            <w:tcBorders>
              <w:bottom w:val="single" w:sz="8" w:space="0" w:color="000000"/>
            </w:tcBorders>
          </w:tcPr>
          <w:p>
            <w:pPr>
              <w:pStyle w:val="TableParagraph"/>
              <w:spacing w:before="6"/>
              <w:ind w:left="0"/>
              <w:rPr>
                <w:sz w:val="17"/>
              </w:rPr>
            </w:pPr>
          </w:p>
          <w:p>
            <w:pPr>
              <w:pStyle w:val="TableParagraph"/>
              <w:ind w:left="217"/>
              <w:rPr>
                <w:b/>
                <w:sz w:val="24"/>
              </w:rPr>
            </w:pPr>
            <w:r>
              <w:rPr>
                <w:b/>
                <w:w w:val="95"/>
                <w:sz w:val="24"/>
              </w:rPr>
              <w:t>保险金的申请</w:t>
            </w:r>
          </w:p>
        </w:tc>
        <w:tc>
          <w:tcPr>
            <w:tcW w:w="7550" w:type="dxa"/>
            <w:tcBorders>
              <w:bottom w:val="single" w:sz="8" w:space="0" w:color="000000"/>
            </w:tcBorders>
          </w:tcPr>
          <w:p>
            <w:pPr>
              <w:pStyle w:val="TableParagraph"/>
              <w:ind w:left="0"/>
              <w:rPr>
                <w:rFonts w:ascii="Times New Roman"/>
                <w:sz w:val="20"/>
              </w:rPr>
            </w:pPr>
          </w:p>
        </w:tc>
      </w:tr>
      <w:tr>
        <w:trPr>
          <w:trHeight w:val="5934" w:hRule="atLeast"/>
        </w:trPr>
        <w:tc>
          <w:tcPr>
            <w:tcW w:w="683" w:type="dxa"/>
            <w:tcBorders>
              <w:top w:val="single" w:sz="8" w:space="0" w:color="000000"/>
            </w:tcBorders>
          </w:tcPr>
          <w:p>
            <w:pPr>
              <w:pStyle w:val="TableParagraph"/>
              <w:spacing w:before="12"/>
              <w:ind w:left="0"/>
              <w:rPr>
                <w:sz w:val="14"/>
              </w:rPr>
            </w:pPr>
          </w:p>
          <w:p>
            <w:pPr>
              <w:pStyle w:val="TableParagraph"/>
              <w:ind w:left="107"/>
              <w:rPr>
                <w:b/>
                <w:sz w:val="21"/>
              </w:rPr>
            </w:pPr>
            <w:r>
              <w:rPr>
                <w:b/>
                <w:sz w:val="21"/>
              </w:rPr>
              <w:t>3.1</w:t>
            </w:r>
          </w:p>
        </w:tc>
        <w:tc>
          <w:tcPr>
            <w:tcW w:w="2020" w:type="dxa"/>
            <w:tcBorders>
              <w:top w:val="single" w:sz="8" w:space="0" w:color="000000"/>
            </w:tcBorders>
          </w:tcPr>
          <w:p>
            <w:pPr>
              <w:pStyle w:val="TableParagraph"/>
              <w:spacing w:before="12"/>
              <w:ind w:left="0"/>
              <w:rPr>
                <w:sz w:val="14"/>
              </w:rPr>
            </w:pPr>
          </w:p>
          <w:p>
            <w:pPr>
              <w:pStyle w:val="TableParagraph"/>
              <w:ind w:left="217"/>
              <w:rPr>
                <w:b/>
                <w:sz w:val="21"/>
              </w:rPr>
            </w:pPr>
            <w:r>
              <w:rPr>
                <w:b/>
                <w:sz w:val="21"/>
              </w:rPr>
              <w:t>受益人</w:t>
            </w:r>
          </w:p>
        </w:tc>
        <w:tc>
          <w:tcPr>
            <w:tcW w:w="7550" w:type="dxa"/>
            <w:tcBorders>
              <w:top w:val="single" w:sz="8" w:space="0" w:color="000000"/>
            </w:tcBorders>
          </w:tcPr>
          <w:p>
            <w:pPr>
              <w:pStyle w:val="TableParagraph"/>
              <w:spacing w:before="12"/>
              <w:ind w:left="0"/>
              <w:rPr>
                <w:sz w:val="14"/>
              </w:rPr>
            </w:pPr>
          </w:p>
          <w:p>
            <w:pPr>
              <w:pStyle w:val="TableParagraph"/>
              <w:spacing w:line="273" w:lineRule="auto"/>
              <w:ind w:left="542" w:right="104" w:hanging="421"/>
              <w:jc w:val="both"/>
              <w:rPr>
                <w:sz w:val="21"/>
              </w:rPr>
            </w:pPr>
            <w:r>
              <w:rPr>
                <w:spacing w:val="-5"/>
                <w:sz w:val="21"/>
              </w:rPr>
              <w:t>一、投保人或被保险人可以指定一人或多人为身故保险金受益人。身故保险金受</w:t>
            </w:r>
            <w:r>
              <w:rPr>
                <w:spacing w:val="-7"/>
                <w:sz w:val="21"/>
              </w:rPr>
              <w:t>益人为多人时，可以确定受益顺序和受益份额；未确定受益顺序和受益份额</w:t>
            </w:r>
            <w:r>
              <w:rPr>
                <w:spacing w:val="-3"/>
                <w:sz w:val="21"/>
              </w:rPr>
              <w:t>的，各受益人按照相同顺序和相等份额享有受益权。</w:t>
            </w:r>
          </w:p>
          <w:p>
            <w:pPr>
              <w:pStyle w:val="TableParagraph"/>
              <w:spacing w:line="273" w:lineRule="auto" w:before="7"/>
              <w:ind w:left="542" w:right="63" w:hanging="421"/>
              <w:rPr>
                <w:sz w:val="21"/>
              </w:rPr>
            </w:pPr>
            <w:r>
              <w:rPr>
                <w:sz w:val="21"/>
              </w:rPr>
              <w:t>二、被保险人为无民事行为能力人或限制民事行为能力人的，可以由其监护人指定受益人。</w:t>
            </w:r>
          </w:p>
          <w:p>
            <w:pPr>
              <w:pStyle w:val="TableParagraph"/>
              <w:spacing w:line="273" w:lineRule="auto" w:before="7"/>
              <w:ind w:left="542" w:right="63" w:hanging="421"/>
              <w:rPr>
                <w:sz w:val="21"/>
              </w:rPr>
            </w:pPr>
            <w:r>
              <w:rPr>
                <w:sz w:val="21"/>
              </w:rPr>
              <w:t>三、投保人或被保险人可以变更身故保险金受益人并书面通知我们。我们收到变更受益人的书面通知后，在保险合同上批注或附贴批单。</w:t>
            </w:r>
          </w:p>
          <w:p>
            <w:pPr>
              <w:pStyle w:val="TableParagraph"/>
              <w:spacing w:before="7"/>
              <w:ind w:left="122"/>
              <w:rPr>
                <w:sz w:val="21"/>
              </w:rPr>
            </w:pPr>
            <w:r>
              <w:rPr>
                <w:sz w:val="21"/>
              </w:rPr>
              <w:t>四、投保人在指定和变更身故保险金受益人时，必须经被保险人同意。</w:t>
            </w:r>
          </w:p>
          <w:p>
            <w:pPr>
              <w:pStyle w:val="TableParagraph"/>
              <w:spacing w:line="273" w:lineRule="auto" w:before="37"/>
              <w:ind w:left="542" w:right="104" w:hanging="421"/>
              <w:rPr>
                <w:sz w:val="21"/>
              </w:rPr>
            </w:pPr>
            <w:r>
              <w:rPr>
                <w:spacing w:val="-6"/>
                <w:sz w:val="21"/>
              </w:rPr>
              <w:t>五、被保险人身故后，遇有下列情形之一的，保险金作为被保险人的遗产，由我</w:t>
            </w:r>
            <w:r>
              <w:rPr>
                <w:spacing w:val="-4"/>
                <w:sz w:val="21"/>
              </w:rPr>
              <w:t>们依照《中华人民共和国继承法》的规定履行给付保险金的义务：</w:t>
            </w:r>
          </w:p>
          <w:p>
            <w:pPr>
              <w:pStyle w:val="TableParagraph"/>
              <w:spacing w:before="7"/>
              <w:ind w:left="542"/>
              <w:rPr>
                <w:sz w:val="21"/>
              </w:rPr>
            </w:pPr>
            <w:r>
              <w:rPr>
                <w:sz w:val="21"/>
              </w:rPr>
              <w:t>(一) 没有指定受益人，或者受益人指定不明无法确定的；</w:t>
            </w:r>
          </w:p>
          <w:p>
            <w:pPr>
              <w:pStyle w:val="TableParagraph"/>
              <w:spacing w:before="37"/>
              <w:ind w:left="542"/>
              <w:rPr>
                <w:sz w:val="21"/>
              </w:rPr>
            </w:pPr>
            <w:r>
              <w:rPr>
                <w:sz w:val="21"/>
              </w:rPr>
              <w:t>(二) 受益人先于被保险人身故，没有其他受益人的；</w:t>
            </w:r>
          </w:p>
          <w:p>
            <w:pPr>
              <w:pStyle w:val="TableParagraph"/>
              <w:spacing w:before="37"/>
              <w:ind w:left="542"/>
              <w:rPr>
                <w:sz w:val="21"/>
              </w:rPr>
            </w:pPr>
            <w:r>
              <w:rPr>
                <w:sz w:val="21"/>
              </w:rPr>
              <w:t>(三) 受益人依法丧失受益权或放弃受益权，没有其他受益人的。</w:t>
            </w:r>
          </w:p>
          <w:p>
            <w:pPr>
              <w:pStyle w:val="TableParagraph"/>
              <w:spacing w:line="273" w:lineRule="auto" w:before="37"/>
              <w:ind w:left="542" w:right="62" w:hanging="421"/>
              <w:rPr>
                <w:sz w:val="21"/>
              </w:rPr>
            </w:pPr>
            <w:r>
              <w:rPr>
                <w:sz w:val="21"/>
              </w:rPr>
              <w:t>六、受益人与被保险人在同一事件中身故，且无法确定身故先后顺序的，推定受益人先于被保险人身故。</w:t>
            </w:r>
          </w:p>
          <w:p>
            <w:pPr>
              <w:pStyle w:val="TableParagraph"/>
              <w:spacing w:line="273" w:lineRule="auto" w:before="7"/>
              <w:ind w:left="542" w:hanging="421"/>
              <w:rPr>
                <w:sz w:val="21"/>
              </w:rPr>
            </w:pPr>
            <w:r>
              <w:rPr>
                <w:spacing w:val="-11"/>
                <w:sz w:val="21"/>
              </w:rPr>
              <w:t>七、受益人故意造成被保险人身故、伤残、疾病的，或故意杀害被保险人未遂的， </w:t>
            </w:r>
            <w:r>
              <w:rPr>
                <w:spacing w:val="-6"/>
                <w:sz w:val="21"/>
              </w:rPr>
              <w:t>该受益人丧失受益权。</w:t>
            </w:r>
          </w:p>
          <w:p>
            <w:pPr>
              <w:pStyle w:val="TableParagraph"/>
              <w:spacing w:before="7"/>
              <w:ind w:left="122"/>
              <w:rPr>
                <w:sz w:val="21"/>
              </w:rPr>
            </w:pPr>
            <w:r>
              <w:rPr>
                <w:sz w:val="21"/>
              </w:rPr>
              <w:t>八、除另有约定外，重大疾病保险金的受益人为被保险人本人。</w:t>
            </w:r>
          </w:p>
        </w:tc>
      </w:tr>
      <w:tr>
        <w:trPr>
          <w:trHeight w:val="1792" w:hRule="atLeast"/>
        </w:trPr>
        <w:tc>
          <w:tcPr>
            <w:tcW w:w="683" w:type="dxa"/>
          </w:tcPr>
          <w:p>
            <w:pPr>
              <w:pStyle w:val="TableParagraph"/>
              <w:spacing w:before="105"/>
              <w:ind w:left="107"/>
              <w:rPr>
                <w:b/>
                <w:sz w:val="21"/>
              </w:rPr>
            </w:pPr>
            <w:r>
              <w:rPr>
                <w:b/>
                <w:sz w:val="21"/>
              </w:rPr>
              <w:t>3.2</w:t>
            </w:r>
          </w:p>
        </w:tc>
        <w:tc>
          <w:tcPr>
            <w:tcW w:w="2020" w:type="dxa"/>
          </w:tcPr>
          <w:p>
            <w:pPr>
              <w:pStyle w:val="TableParagraph"/>
              <w:spacing w:before="105"/>
              <w:ind w:left="217"/>
              <w:rPr>
                <w:b/>
                <w:sz w:val="21"/>
              </w:rPr>
            </w:pPr>
            <w:r>
              <w:rPr>
                <w:b/>
                <w:sz w:val="21"/>
              </w:rPr>
              <w:t>保险事故通知</w:t>
            </w:r>
          </w:p>
        </w:tc>
        <w:tc>
          <w:tcPr>
            <w:tcW w:w="7550" w:type="dxa"/>
          </w:tcPr>
          <w:p>
            <w:pPr>
              <w:pStyle w:val="TableParagraph"/>
              <w:spacing w:line="261" w:lineRule="auto" w:before="94"/>
              <w:ind w:left="122" w:right="104"/>
              <w:rPr>
                <w:sz w:val="21"/>
              </w:rPr>
            </w:pPr>
            <w:r>
              <w:rPr>
                <w:spacing w:val="-5"/>
                <w:sz w:val="21"/>
              </w:rPr>
              <w:t>投保人、被保险人或受益人应于知道保险事故发生之日起 </w:t>
            </w:r>
            <w:r>
              <w:rPr>
                <w:rFonts w:ascii="Times New Roman" w:eastAsia="Times New Roman"/>
                <w:sz w:val="21"/>
              </w:rPr>
              <w:t>10 </w:t>
            </w:r>
            <w:r>
              <w:rPr>
                <w:spacing w:val="-3"/>
                <w:sz w:val="21"/>
              </w:rPr>
              <w:t>日内通知我们。</w:t>
            </w:r>
            <w:r>
              <w:rPr>
                <w:rFonts w:ascii="黑体" w:eastAsia="黑体" w:hint="eastAsia"/>
                <w:b/>
                <w:i/>
                <w:sz w:val="22"/>
              </w:rPr>
              <w:t>若</w:t>
            </w:r>
            <w:r>
              <w:rPr>
                <w:rFonts w:ascii="黑体" w:eastAsia="黑体" w:hint="eastAsia"/>
                <w:b/>
                <w:i/>
                <w:spacing w:val="-6"/>
                <w:w w:val="95"/>
                <w:sz w:val="22"/>
              </w:rPr>
              <w:t>故意或因重大过失未及时通知，致使保险事故的性质、原因、损失程度等难以确</w:t>
            </w:r>
            <w:r>
              <w:rPr>
                <w:rFonts w:ascii="黑体" w:eastAsia="黑体" w:hint="eastAsia"/>
                <w:b/>
                <w:i/>
                <w:spacing w:val="-7"/>
                <w:w w:val="95"/>
                <w:sz w:val="22"/>
              </w:rPr>
              <w:t>定的，我们对无法确定的部分，不承担给付保险金的责任</w:t>
            </w:r>
            <w:r>
              <w:rPr>
                <w:spacing w:val="-5"/>
                <w:w w:val="95"/>
                <w:sz w:val="21"/>
              </w:rPr>
              <w:t>，但我们通过其他途径</w:t>
            </w:r>
            <w:r>
              <w:rPr>
                <w:spacing w:val="-4"/>
                <w:sz w:val="21"/>
              </w:rPr>
              <w:t>已经及时知道或应当及时知道保险事故发生或虽未及时通知但不影响我们确定 </w:t>
            </w:r>
            <w:r>
              <w:rPr>
                <w:spacing w:val="-3"/>
                <w:sz w:val="21"/>
              </w:rPr>
              <w:t>保险事故的性质、原因、损失程度的除外。</w:t>
            </w:r>
          </w:p>
        </w:tc>
      </w:tr>
      <w:tr>
        <w:trPr>
          <w:trHeight w:val="1162" w:hRule="atLeast"/>
        </w:trPr>
        <w:tc>
          <w:tcPr>
            <w:tcW w:w="683" w:type="dxa"/>
          </w:tcPr>
          <w:p>
            <w:pPr>
              <w:pStyle w:val="TableParagraph"/>
              <w:spacing w:before="99"/>
              <w:ind w:left="107"/>
              <w:rPr>
                <w:b/>
                <w:sz w:val="21"/>
              </w:rPr>
            </w:pPr>
            <w:r>
              <w:rPr>
                <w:b/>
                <w:sz w:val="21"/>
              </w:rPr>
              <w:t>3.3</w:t>
            </w:r>
          </w:p>
        </w:tc>
        <w:tc>
          <w:tcPr>
            <w:tcW w:w="2020" w:type="dxa"/>
          </w:tcPr>
          <w:p>
            <w:pPr>
              <w:pStyle w:val="TableParagraph"/>
              <w:spacing w:before="99"/>
              <w:ind w:left="217"/>
              <w:rPr>
                <w:b/>
                <w:sz w:val="21"/>
              </w:rPr>
            </w:pPr>
            <w:r>
              <w:rPr>
                <w:b/>
                <w:sz w:val="21"/>
              </w:rPr>
              <w:t>保险金的申请</w:t>
            </w:r>
          </w:p>
        </w:tc>
        <w:tc>
          <w:tcPr>
            <w:tcW w:w="7550" w:type="dxa"/>
          </w:tcPr>
          <w:p>
            <w:pPr>
              <w:pStyle w:val="TableParagraph"/>
              <w:spacing w:line="273" w:lineRule="auto" w:before="99"/>
              <w:ind w:left="542" w:right="104" w:hanging="421"/>
              <w:jc w:val="both"/>
              <w:rPr>
                <w:sz w:val="21"/>
              </w:rPr>
            </w:pPr>
            <w:r>
              <w:rPr>
                <w:spacing w:val="-6"/>
                <w:sz w:val="21"/>
              </w:rPr>
              <w:t>一、在本合同有效期间内，若发生符合本合同约定的保险金给付情形，受益人或被保险人的继承人可向我们申请给付保险金，但应当按照下列约定的程序和</w:t>
            </w:r>
            <w:r>
              <w:rPr>
                <w:spacing w:val="-2"/>
                <w:sz w:val="21"/>
              </w:rPr>
              <w:t>条件进行：</w:t>
            </w:r>
          </w:p>
        </w:tc>
      </w:tr>
      <w:tr>
        <w:trPr>
          <w:trHeight w:val="2411" w:hRule="atLeast"/>
        </w:trPr>
        <w:tc>
          <w:tcPr>
            <w:tcW w:w="683" w:type="dxa"/>
          </w:tcPr>
          <w:p>
            <w:pPr>
              <w:pStyle w:val="TableParagraph"/>
              <w:ind w:left="0"/>
              <w:rPr>
                <w:rFonts w:ascii="Times New Roman"/>
                <w:sz w:val="20"/>
              </w:rPr>
            </w:pPr>
          </w:p>
        </w:tc>
        <w:tc>
          <w:tcPr>
            <w:tcW w:w="2020" w:type="dxa"/>
          </w:tcPr>
          <w:p>
            <w:pPr>
              <w:pStyle w:val="TableParagraph"/>
              <w:spacing w:line="235" w:lineRule="auto" w:before="105"/>
              <w:ind w:left="217" w:right="118"/>
              <w:rPr>
                <w:rFonts w:ascii="等线" w:eastAsia="等线" w:hint="eastAsia"/>
                <w:b/>
                <w:sz w:val="24"/>
              </w:rPr>
            </w:pPr>
            <w:r>
              <w:rPr>
                <w:rFonts w:ascii="等线" w:eastAsia="等线" w:hint="eastAsia"/>
                <w:b/>
                <w:sz w:val="24"/>
              </w:rPr>
              <w:t>重大疾病保险金申请</w:t>
            </w:r>
          </w:p>
        </w:tc>
        <w:tc>
          <w:tcPr>
            <w:tcW w:w="7550" w:type="dxa"/>
          </w:tcPr>
          <w:p>
            <w:pPr>
              <w:pStyle w:val="TableParagraph"/>
              <w:spacing w:line="273" w:lineRule="auto" w:before="100"/>
              <w:ind w:right="104"/>
              <w:rPr>
                <w:sz w:val="21"/>
              </w:rPr>
            </w:pPr>
            <w:r>
              <w:rPr>
                <w:spacing w:val="-6"/>
                <w:sz w:val="21"/>
              </w:rPr>
              <w:t>申请重大疾病保险金的，申请人须填写保险金给付申请书，并向我们提供下列资料：</w:t>
            </w:r>
          </w:p>
          <w:p>
            <w:pPr>
              <w:pStyle w:val="TableParagraph"/>
              <w:spacing w:before="7"/>
              <w:ind w:left="122"/>
              <w:rPr>
                <w:sz w:val="21"/>
              </w:rPr>
            </w:pPr>
            <w:r>
              <w:rPr>
                <w:sz w:val="21"/>
              </w:rPr>
              <w:t>(一) 保险合同；</w:t>
            </w:r>
          </w:p>
          <w:p>
            <w:pPr>
              <w:pStyle w:val="TableParagraph"/>
              <w:spacing w:before="37"/>
              <w:ind w:left="122"/>
              <w:rPr>
                <w:sz w:val="21"/>
              </w:rPr>
            </w:pPr>
            <w:r>
              <w:rPr>
                <w:sz w:val="21"/>
              </w:rPr>
              <w:t>(二) 申请人的</w:t>
            </w:r>
            <w:r>
              <w:rPr>
                <w:b/>
                <w:sz w:val="21"/>
              </w:rPr>
              <w:t>有效身份证件</w:t>
            </w:r>
            <w:r>
              <w:rPr>
                <w:sz w:val="21"/>
              </w:rPr>
              <w:t>；</w:t>
            </w:r>
          </w:p>
          <w:p>
            <w:pPr>
              <w:pStyle w:val="TableParagraph"/>
              <w:spacing w:line="273" w:lineRule="auto" w:before="37"/>
              <w:ind w:left="554" w:right="104" w:hanging="433"/>
              <w:rPr>
                <w:sz w:val="21"/>
              </w:rPr>
            </w:pPr>
            <w:r>
              <w:rPr>
                <w:sz w:val="21"/>
              </w:rPr>
              <w:t>(三) 由</w:t>
            </w:r>
            <w:r>
              <w:rPr>
                <w:b/>
                <w:sz w:val="21"/>
              </w:rPr>
              <w:t>医疗机构</w:t>
            </w:r>
            <w:r>
              <w:rPr>
                <w:sz w:val="21"/>
              </w:rPr>
              <w:t>出具的可证明被保险人所患疾病的诊断证明和诊断所患疾病必需的检查报告；</w:t>
            </w:r>
          </w:p>
          <w:p>
            <w:pPr>
              <w:pStyle w:val="TableParagraph"/>
              <w:spacing w:before="7"/>
              <w:ind w:left="122"/>
              <w:rPr>
                <w:sz w:val="21"/>
              </w:rPr>
            </w:pPr>
            <w:r>
              <w:rPr>
                <w:sz w:val="21"/>
              </w:rPr>
              <w:t>(四) 所能提供的与确认保险事故的性质、原因、伤害程度等有关的其他资料。</w:t>
            </w:r>
          </w:p>
        </w:tc>
      </w:tr>
      <w:tr>
        <w:trPr>
          <w:trHeight w:val="1310" w:hRule="atLeast"/>
        </w:trPr>
        <w:tc>
          <w:tcPr>
            <w:tcW w:w="683" w:type="dxa"/>
          </w:tcPr>
          <w:p>
            <w:pPr>
              <w:pStyle w:val="TableParagraph"/>
              <w:ind w:left="0"/>
              <w:rPr>
                <w:rFonts w:ascii="Times New Roman"/>
                <w:sz w:val="20"/>
              </w:rPr>
            </w:pPr>
          </w:p>
        </w:tc>
        <w:tc>
          <w:tcPr>
            <w:tcW w:w="2020" w:type="dxa"/>
          </w:tcPr>
          <w:p>
            <w:pPr>
              <w:pStyle w:val="TableParagraph"/>
              <w:spacing w:before="97"/>
              <w:ind w:left="217"/>
              <w:rPr>
                <w:rFonts w:ascii="等线" w:eastAsia="等线" w:hint="eastAsia"/>
                <w:b/>
                <w:sz w:val="24"/>
              </w:rPr>
            </w:pPr>
            <w:r>
              <w:rPr>
                <w:rFonts w:ascii="等线" w:eastAsia="等线" w:hint="eastAsia"/>
                <w:b/>
                <w:sz w:val="24"/>
              </w:rPr>
              <w:t>身故保险金申请</w:t>
            </w:r>
          </w:p>
        </w:tc>
        <w:tc>
          <w:tcPr>
            <w:tcW w:w="7550" w:type="dxa"/>
          </w:tcPr>
          <w:p>
            <w:pPr>
              <w:pStyle w:val="TableParagraph"/>
              <w:spacing w:before="99"/>
              <w:rPr>
                <w:sz w:val="21"/>
              </w:rPr>
            </w:pPr>
            <w:r>
              <w:rPr>
                <w:sz w:val="21"/>
              </w:rPr>
              <w:t>申请身故保险金的，申请人须填写保险金给付申请书，并向我们提供下列资料：</w:t>
            </w:r>
          </w:p>
          <w:p>
            <w:pPr>
              <w:pStyle w:val="TableParagraph"/>
              <w:spacing w:before="36"/>
              <w:ind w:left="122"/>
              <w:rPr>
                <w:sz w:val="21"/>
              </w:rPr>
            </w:pPr>
            <w:r>
              <w:rPr>
                <w:sz w:val="21"/>
              </w:rPr>
              <w:t>(一) 保险合同；</w:t>
            </w:r>
          </w:p>
          <w:p>
            <w:pPr>
              <w:pStyle w:val="TableParagraph"/>
              <w:spacing w:before="36"/>
              <w:ind w:left="122"/>
              <w:rPr>
                <w:sz w:val="21"/>
              </w:rPr>
            </w:pPr>
            <w:r>
              <w:rPr>
                <w:sz w:val="21"/>
              </w:rPr>
              <w:t>(二) 申请人的有效身份证件；</w:t>
            </w:r>
          </w:p>
          <w:p>
            <w:pPr>
              <w:pStyle w:val="TableParagraph"/>
              <w:spacing w:line="255" w:lineRule="exact" w:before="36"/>
              <w:ind w:left="122"/>
              <w:rPr>
                <w:sz w:val="21"/>
              </w:rPr>
            </w:pPr>
            <w:r>
              <w:rPr>
                <w:spacing w:val="-8"/>
                <w:sz w:val="21"/>
              </w:rPr>
              <w:t>(三) 国家卫生行政部门认定的医疗机构、公安部门或其他相关机构出具的被保险</w:t>
            </w:r>
          </w:p>
        </w:tc>
      </w:tr>
    </w:tbl>
    <w:p>
      <w:pPr>
        <w:spacing w:after="0" w:line="255" w:lineRule="exact"/>
        <w:rPr>
          <w:sz w:val="21"/>
        </w:rPr>
        <w:sectPr>
          <w:pgSz w:w="11910" w:h="16840"/>
          <w:pgMar w:header="0" w:footer="353" w:top="1160" w:bottom="540" w:left="720" w:right="7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918"/>
        <w:gridCol w:w="7651"/>
      </w:tblGrid>
      <w:tr>
        <w:trPr>
          <w:trHeight w:val="1312" w:hRule="atLeast"/>
        </w:trPr>
        <w:tc>
          <w:tcPr>
            <w:tcW w:w="697" w:type="dxa"/>
          </w:tcPr>
          <w:p>
            <w:pPr>
              <w:pStyle w:val="TableParagraph"/>
              <w:ind w:left="0"/>
              <w:rPr>
                <w:rFonts w:ascii="Times New Roman"/>
                <w:sz w:val="20"/>
              </w:rPr>
            </w:pPr>
          </w:p>
        </w:tc>
        <w:tc>
          <w:tcPr>
            <w:tcW w:w="1918" w:type="dxa"/>
          </w:tcPr>
          <w:p>
            <w:pPr>
              <w:pStyle w:val="TableParagraph"/>
              <w:ind w:left="0"/>
              <w:rPr>
                <w:rFonts w:ascii="Times New Roman"/>
                <w:sz w:val="20"/>
              </w:rPr>
            </w:pPr>
          </w:p>
        </w:tc>
        <w:tc>
          <w:tcPr>
            <w:tcW w:w="7651" w:type="dxa"/>
          </w:tcPr>
          <w:p>
            <w:pPr>
              <w:pStyle w:val="TableParagraph"/>
              <w:spacing w:line="211" w:lineRule="exact"/>
              <w:ind w:left="690"/>
              <w:rPr>
                <w:sz w:val="21"/>
              </w:rPr>
            </w:pPr>
            <w:r>
              <w:rPr>
                <w:sz w:val="21"/>
              </w:rPr>
              <w:t>人死亡证明；</w:t>
            </w:r>
          </w:p>
          <w:p>
            <w:pPr>
              <w:pStyle w:val="TableParagraph"/>
              <w:spacing w:before="37"/>
              <w:ind w:left="224"/>
              <w:rPr>
                <w:sz w:val="21"/>
              </w:rPr>
            </w:pPr>
            <w:r>
              <w:rPr>
                <w:sz w:val="21"/>
              </w:rPr>
              <w:t>(四) 被保险人因意外伤害导致身故的，需提供相关意外伤害的证明和资料；</w:t>
            </w:r>
          </w:p>
          <w:p>
            <w:pPr>
              <w:pStyle w:val="TableParagraph"/>
              <w:spacing w:before="37"/>
              <w:ind w:left="224"/>
              <w:rPr>
                <w:sz w:val="21"/>
              </w:rPr>
            </w:pPr>
            <w:r>
              <w:rPr>
                <w:sz w:val="21"/>
              </w:rPr>
              <w:t>(五) 被保险人的户籍注销证明；</w:t>
            </w:r>
          </w:p>
          <w:p>
            <w:pPr>
              <w:pStyle w:val="TableParagraph"/>
              <w:spacing w:before="36"/>
              <w:ind w:left="224"/>
              <w:rPr>
                <w:sz w:val="21"/>
              </w:rPr>
            </w:pPr>
            <w:r>
              <w:rPr>
                <w:sz w:val="21"/>
              </w:rPr>
              <w:t>(六) 所能提供的与确认保险事故的性质、原因等有关的其他资料。</w:t>
            </w:r>
          </w:p>
        </w:tc>
      </w:tr>
      <w:tr>
        <w:trPr>
          <w:trHeight w:val="737" w:hRule="atLeast"/>
        </w:trPr>
        <w:tc>
          <w:tcPr>
            <w:tcW w:w="697" w:type="dxa"/>
          </w:tcPr>
          <w:p>
            <w:pPr>
              <w:pStyle w:val="TableParagraph"/>
              <w:ind w:left="0"/>
              <w:rPr>
                <w:rFonts w:ascii="Times New Roman"/>
                <w:sz w:val="20"/>
              </w:rPr>
            </w:pPr>
          </w:p>
        </w:tc>
        <w:tc>
          <w:tcPr>
            <w:tcW w:w="1918" w:type="dxa"/>
          </w:tcPr>
          <w:p>
            <w:pPr>
              <w:pStyle w:val="TableParagraph"/>
              <w:ind w:left="0"/>
              <w:rPr>
                <w:rFonts w:ascii="Times New Roman"/>
                <w:sz w:val="20"/>
              </w:rPr>
            </w:pPr>
          </w:p>
        </w:tc>
        <w:tc>
          <w:tcPr>
            <w:tcW w:w="7651" w:type="dxa"/>
          </w:tcPr>
          <w:p>
            <w:pPr>
              <w:pStyle w:val="TableParagraph"/>
              <w:spacing w:line="273" w:lineRule="auto" w:before="100"/>
              <w:ind w:left="645" w:right="102" w:hanging="421"/>
              <w:rPr>
                <w:sz w:val="21"/>
              </w:rPr>
            </w:pPr>
            <w:r>
              <w:rPr>
                <w:spacing w:val="-6"/>
                <w:sz w:val="21"/>
              </w:rPr>
              <w:t>二、保险金作为被保险人遗产时，申请人还须提供可证明合法继承权的相关权利文件。</w:t>
            </w:r>
          </w:p>
        </w:tc>
      </w:tr>
      <w:tr>
        <w:trPr>
          <w:trHeight w:val="429" w:hRule="atLeast"/>
        </w:trPr>
        <w:tc>
          <w:tcPr>
            <w:tcW w:w="697" w:type="dxa"/>
          </w:tcPr>
          <w:p>
            <w:pPr>
              <w:pStyle w:val="TableParagraph"/>
              <w:ind w:left="0"/>
              <w:rPr>
                <w:rFonts w:ascii="Times New Roman"/>
                <w:sz w:val="20"/>
              </w:rPr>
            </w:pPr>
          </w:p>
        </w:tc>
        <w:tc>
          <w:tcPr>
            <w:tcW w:w="1918" w:type="dxa"/>
          </w:tcPr>
          <w:p>
            <w:pPr>
              <w:pStyle w:val="TableParagraph"/>
              <w:ind w:left="0"/>
              <w:rPr>
                <w:rFonts w:ascii="Times New Roman"/>
                <w:sz w:val="20"/>
              </w:rPr>
            </w:pPr>
          </w:p>
        </w:tc>
        <w:tc>
          <w:tcPr>
            <w:tcW w:w="7651" w:type="dxa"/>
          </w:tcPr>
          <w:p>
            <w:pPr>
              <w:pStyle w:val="TableParagraph"/>
              <w:spacing w:line="261" w:lineRule="exact"/>
              <w:ind w:left="224"/>
              <w:rPr>
                <w:sz w:val="21"/>
              </w:rPr>
            </w:pPr>
            <w:r>
              <w:rPr>
                <w:sz w:val="21"/>
              </w:rPr>
              <w:t>三、上述申请资料不完整的，我们将及时一次性通知申请人补充提供有关资料。</w:t>
            </w:r>
          </w:p>
        </w:tc>
      </w:tr>
      <w:tr>
        <w:trPr>
          <w:trHeight w:val="3027" w:hRule="atLeast"/>
        </w:trPr>
        <w:tc>
          <w:tcPr>
            <w:tcW w:w="697" w:type="dxa"/>
          </w:tcPr>
          <w:p>
            <w:pPr>
              <w:pStyle w:val="TableParagraph"/>
              <w:spacing w:before="104"/>
              <w:ind w:left="122"/>
              <w:rPr>
                <w:b/>
                <w:sz w:val="21"/>
              </w:rPr>
            </w:pPr>
            <w:r>
              <w:rPr>
                <w:b/>
                <w:sz w:val="21"/>
              </w:rPr>
              <w:t>3.4</w:t>
            </w:r>
          </w:p>
        </w:tc>
        <w:tc>
          <w:tcPr>
            <w:tcW w:w="1918" w:type="dxa"/>
          </w:tcPr>
          <w:p>
            <w:pPr>
              <w:pStyle w:val="TableParagraph"/>
              <w:spacing w:before="104"/>
              <w:ind w:left="217"/>
              <w:rPr>
                <w:b/>
                <w:sz w:val="21"/>
              </w:rPr>
            </w:pPr>
            <w:r>
              <w:rPr>
                <w:b/>
                <w:sz w:val="21"/>
              </w:rPr>
              <w:t>宣告死亡的处理</w:t>
            </w:r>
          </w:p>
        </w:tc>
        <w:tc>
          <w:tcPr>
            <w:tcW w:w="7651" w:type="dxa"/>
          </w:tcPr>
          <w:p>
            <w:pPr>
              <w:pStyle w:val="TableParagraph"/>
              <w:spacing w:line="273" w:lineRule="auto" w:before="104"/>
              <w:ind w:left="645" w:right="105" w:hanging="423"/>
              <w:rPr>
                <w:b/>
                <w:sz w:val="21"/>
              </w:rPr>
            </w:pPr>
            <w:r>
              <w:rPr>
                <w:b/>
                <w:spacing w:val="-7"/>
                <w:sz w:val="21"/>
              </w:rPr>
              <w:t>一、若被保险人在本合同有效期间内被人民法院宣告死亡，保险金申请人在申请身故保险金时还须提供人民法院出具的具有最终法律效力的宣告死亡证明文件。</w:t>
            </w:r>
          </w:p>
          <w:p>
            <w:pPr>
              <w:pStyle w:val="TableParagraph"/>
              <w:spacing w:line="273" w:lineRule="auto" w:before="7"/>
              <w:ind w:left="645" w:right="106" w:hanging="423"/>
              <w:rPr>
                <w:b/>
                <w:sz w:val="21"/>
              </w:rPr>
            </w:pPr>
            <w:r>
              <w:rPr>
                <w:b/>
                <w:spacing w:val="-7"/>
                <w:sz w:val="21"/>
              </w:rPr>
              <w:t>二、被保险人在本合同有效期间内被人民法院宣告死亡的，我们将以人民法院出具的具有最终法律效力的宣告死亡证明文件所确定的死亡日期为被保险人身故日。</w:t>
            </w:r>
          </w:p>
          <w:p>
            <w:pPr>
              <w:pStyle w:val="TableParagraph"/>
              <w:spacing w:line="273" w:lineRule="auto" w:before="8"/>
              <w:ind w:left="570" w:right="108" w:hanging="347"/>
              <w:rPr>
                <w:b/>
                <w:sz w:val="21"/>
              </w:rPr>
            </w:pPr>
            <w:r>
              <w:rPr>
                <w:b/>
                <w:spacing w:val="-7"/>
                <w:sz w:val="21"/>
              </w:rPr>
              <w:t>三、若被保险人在人民法院宣告死亡之后重新出现或确知其没有死亡，保险金申</w:t>
            </w:r>
            <w:r>
              <w:rPr>
                <w:b/>
                <w:spacing w:val="-10"/>
                <w:sz w:val="21"/>
              </w:rPr>
              <w:t>请人应于知道或应当知道被保险人生还消息之日起 </w:t>
            </w:r>
            <w:r>
              <w:rPr>
                <w:b/>
                <w:sz w:val="21"/>
              </w:rPr>
              <w:t>30</w:t>
            </w:r>
            <w:r>
              <w:rPr>
                <w:b/>
                <w:spacing w:val="-8"/>
                <w:sz w:val="21"/>
              </w:rPr>
              <w:t> 日内将已领取的身故保险金一次性返还给我们。</w:t>
            </w:r>
          </w:p>
        </w:tc>
      </w:tr>
      <w:tr>
        <w:trPr>
          <w:trHeight w:val="3335" w:hRule="atLeast"/>
        </w:trPr>
        <w:tc>
          <w:tcPr>
            <w:tcW w:w="697" w:type="dxa"/>
          </w:tcPr>
          <w:p>
            <w:pPr>
              <w:pStyle w:val="TableParagraph"/>
              <w:spacing w:before="87"/>
              <w:ind w:left="122"/>
              <w:rPr>
                <w:b/>
                <w:sz w:val="21"/>
              </w:rPr>
            </w:pPr>
            <w:r>
              <w:rPr>
                <w:b/>
                <w:sz w:val="21"/>
              </w:rPr>
              <w:t>3.5</w:t>
            </w:r>
          </w:p>
        </w:tc>
        <w:tc>
          <w:tcPr>
            <w:tcW w:w="1918" w:type="dxa"/>
          </w:tcPr>
          <w:p>
            <w:pPr>
              <w:pStyle w:val="TableParagraph"/>
              <w:spacing w:before="87"/>
              <w:ind w:left="217"/>
              <w:rPr>
                <w:b/>
                <w:sz w:val="21"/>
              </w:rPr>
            </w:pPr>
            <w:r>
              <w:rPr>
                <w:b/>
                <w:sz w:val="21"/>
              </w:rPr>
              <w:t>保险金的给付</w:t>
            </w:r>
          </w:p>
        </w:tc>
        <w:tc>
          <w:tcPr>
            <w:tcW w:w="7651" w:type="dxa"/>
          </w:tcPr>
          <w:p>
            <w:pPr>
              <w:pStyle w:val="TableParagraph"/>
              <w:spacing w:before="87"/>
              <w:ind w:left="224" w:right="-15"/>
              <w:rPr>
                <w:sz w:val="21"/>
              </w:rPr>
            </w:pPr>
            <w:r>
              <w:rPr>
                <w:spacing w:val="-6"/>
                <w:sz w:val="21"/>
              </w:rPr>
              <w:t>一、我们在收到保险金给付申请书及本合同约定的资料后，将在</w:t>
            </w:r>
            <w:r>
              <w:rPr>
                <w:sz w:val="21"/>
              </w:rPr>
              <w:t>5</w:t>
            </w:r>
            <w:r>
              <w:rPr>
                <w:spacing w:val="-7"/>
                <w:sz w:val="21"/>
              </w:rPr>
              <w:t> 日内作出核定；</w:t>
            </w:r>
          </w:p>
          <w:p>
            <w:pPr>
              <w:pStyle w:val="TableParagraph"/>
              <w:spacing w:before="36"/>
              <w:ind w:left="645"/>
              <w:rPr>
                <w:sz w:val="21"/>
              </w:rPr>
            </w:pPr>
            <w:r>
              <w:rPr>
                <w:sz w:val="21"/>
              </w:rPr>
              <w:t>情形复杂的，在 30 日内作出核定。对属于保险责任的，我们在与受益人达</w:t>
            </w:r>
          </w:p>
          <w:p>
            <w:pPr>
              <w:pStyle w:val="TableParagraph"/>
              <w:spacing w:before="36"/>
              <w:ind w:left="645"/>
              <w:rPr>
                <w:sz w:val="21"/>
              </w:rPr>
            </w:pPr>
            <w:r>
              <w:rPr>
                <w:sz w:val="21"/>
              </w:rPr>
              <w:t>成给付保险金的协议后 10 日内，履行给付保险金义务。</w:t>
            </w:r>
          </w:p>
          <w:p>
            <w:pPr>
              <w:pStyle w:val="TableParagraph"/>
              <w:spacing w:line="273" w:lineRule="auto" w:before="36"/>
              <w:ind w:left="645" w:right="102" w:hanging="421"/>
              <w:jc w:val="both"/>
              <w:rPr>
                <w:sz w:val="21"/>
              </w:rPr>
            </w:pPr>
            <w:r>
              <w:rPr>
                <w:spacing w:val="-6"/>
                <w:sz w:val="21"/>
              </w:rPr>
              <w:t>二、我们未及时履行前款规定义务的，除支付保险金外，应当赔偿受益人因此受</w:t>
            </w:r>
            <w:r>
              <w:rPr>
                <w:spacing w:val="-4"/>
                <w:sz w:val="21"/>
              </w:rPr>
              <w:t>到的损失。</w:t>
            </w:r>
          </w:p>
          <w:p>
            <w:pPr>
              <w:pStyle w:val="TableParagraph"/>
              <w:spacing w:line="273" w:lineRule="auto" w:before="7"/>
              <w:ind w:left="645" w:right="102" w:hanging="421"/>
              <w:jc w:val="both"/>
              <w:rPr>
                <w:sz w:val="21"/>
              </w:rPr>
            </w:pPr>
            <w:r>
              <w:rPr>
                <w:spacing w:val="-9"/>
                <w:sz w:val="21"/>
              </w:rPr>
              <w:t>三、对不属于保险责任的，我们自作出核定之日起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73" w:lineRule="auto" w:before="7"/>
              <w:ind w:left="645" w:right="102" w:hanging="421"/>
              <w:jc w:val="both"/>
              <w:rPr>
                <w:sz w:val="21"/>
              </w:rPr>
            </w:pPr>
            <w:r>
              <w:rPr>
                <w:spacing w:val="-3"/>
                <w:sz w:val="21"/>
              </w:rPr>
              <w:t>四、我们在收到保险金给付申请书及本合同约定的资料之日起 </w:t>
            </w:r>
            <w:r>
              <w:rPr>
                <w:sz w:val="21"/>
              </w:rPr>
              <w:t>60</w:t>
            </w:r>
            <w:r>
              <w:rPr>
                <w:spacing w:val="-3"/>
                <w:sz w:val="21"/>
              </w:rPr>
              <w:t> 日内，对给付</w:t>
            </w:r>
            <w:r>
              <w:rPr>
                <w:spacing w:val="-6"/>
                <w:sz w:val="21"/>
              </w:rPr>
              <w:t>保险金的数额不能确定的，根据已有资料可以确定的数额先予支付；我们最</w:t>
            </w:r>
            <w:r>
              <w:rPr>
                <w:spacing w:val="-4"/>
                <w:sz w:val="21"/>
              </w:rPr>
              <w:t>终确定给付保险金的数额后，再给付相应的差额。</w:t>
            </w:r>
          </w:p>
        </w:tc>
      </w:tr>
      <w:tr>
        <w:trPr>
          <w:trHeight w:val="875" w:hRule="atLeast"/>
        </w:trPr>
        <w:tc>
          <w:tcPr>
            <w:tcW w:w="697" w:type="dxa"/>
          </w:tcPr>
          <w:p>
            <w:pPr>
              <w:pStyle w:val="TableParagraph"/>
              <w:spacing w:before="100"/>
              <w:ind w:left="122"/>
              <w:rPr>
                <w:b/>
                <w:sz w:val="21"/>
              </w:rPr>
            </w:pPr>
            <w:r>
              <w:rPr>
                <w:b/>
                <w:sz w:val="21"/>
              </w:rPr>
              <w:t>3.6</w:t>
            </w:r>
          </w:p>
        </w:tc>
        <w:tc>
          <w:tcPr>
            <w:tcW w:w="1918" w:type="dxa"/>
          </w:tcPr>
          <w:p>
            <w:pPr>
              <w:pStyle w:val="TableParagraph"/>
              <w:spacing w:before="100"/>
              <w:ind w:left="217"/>
              <w:rPr>
                <w:b/>
                <w:sz w:val="21"/>
              </w:rPr>
            </w:pPr>
            <w:r>
              <w:rPr>
                <w:b/>
                <w:sz w:val="21"/>
              </w:rPr>
              <w:t>诉讼时效</w:t>
            </w:r>
          </w:p>
        </w:tc>
        <w:tc>
          <w:tcPr>
            <w:tcW w:w="7651" w:type="dxa"/>
          </w:tcPr>
          <w:p>
            <w:pPr>
              <w:pStyle w:val="TableParagraph"/>
              <w:spacing w:line="273" w:lineRule="auto" w:before="100"/>
              <w:ind w:left="224" w:right="102"/>
              <w:rPr>
                <w:sz w:val="21"/>
              </w:rPr>
            </w:pPr>
            <w:r>
              <w:rPr>
                <w:spacing w:val="-5"/>
                <w:sz w:val="21"/>
              </w:rPr>
              <w:t>申请人向我们请求给付保险金的诉讼时效期间为 </w:t>
            </w:r>
            <w:r>
              <w:rPr>
                <w:sz w:val="21"/>
              </w:rPr>
              <w:t>2</w:t>
            </w:r>
            <w:r>
              <w:rPr>
                <w:spacing w:val="-10"/>
                <w:sz w:val="21"/>
              </w:rPr>
              <w:t> 年，自其知道或应当知道保险</w:t>
            </w:r>
            <w:r>
              <w:rPr>
                <w:spacing w:val="-5"/>
                <w:sz w:val="21"/>
              </w:rPr>
              <w:t>事故发生之日起计算。</w:t>
            </w:r>
          </w:p>
        </w:tc>
      </w:tr>
      <w:tr>
        <w:trPr>
          <w:trHeight w:val="710" w:hRule="atLeast"/>
        </w:trPr>
        <w:tc>
          <w:tcPr>
            <w:tcW w:w="697" w:type="dxa"/>
            <w:tcBorders>
              <w:bottom w:val="single" w:sz="8" w:space="0" w:color="000000"/>
            </w:tcBorders>
          </w:tcPr>
          <w:p>
            <w:pPr>
              <w:pStyle w:val="TableParagraph"/>
              <w:spacing w:before="151"/>
              <w:ind w:left="122"/>
              <w:rPr>
                <w:rFonts w:ascii="Arial" w:hAnsi="Arial"/>
                <w:b/>
                <w:sz w:val="40"/>
              </w:rPr>
            </w:pPr>
            <w:r>
              <w:rPr>
                <w:rFonts w:ascii="Arial" w:hAnsi="Arial"/>
                <w:b/>
                <w:w w:val="119"/>
                <w:sz w:val="40"/>
              </w:rPr>
              <w:t></w:t>
            </w:r>
          </w:p>
        </w:tc>
        <w:tc>
          <w:tcPr>
            <w:tcW w:w="1918" w:type="dxa"/>
            <w:tcBorders>
              <w:bottom w:val="single" w:sz="8" w:space="0" w:color="000000"/>
            </w:tcBorders>
          </w:tcPr>
          <w:p>
            <w:pPr>
              <w:pStyle w:val="TableParagraph"/>
              <w:spacing w:before="202"/>
              <w:ind w:left="217"/>
              <w:rPr>
                <w:b/>
                <w:sz w:val="24"/>
              </w:rPr>
            </w:pPr>
            <w:r>
              <w:rPr>
                <w:b/>
                <w:w w:val="95"/>
                <w:sz w:val="24"/>
              </w:rPr>
              <w:t>保险费的交纳</w:t>
            </w:r>
          </w:p>
        </w:tc>
        <w:tc>
          <w:tcPr>
            <w:tcW w:w="7651" w:type="dxa"/>
            <w:tcBorders>
              <w:bottom w:val="single" w:sz="8" w:space="0" w:color="000000"/>
            </w:tcBorders>
          </w:tcPr>
          <w:p>
            <w:pPr>
              <w:pStyle w:val="TableParagraph"/>
              <w:ind w:left="0"/>
              <w:rPr>
                <w:rFonts w:ascii="Times New Roman"/>
                <w:sz w:val="20"/>
              </w:rPr>
            </w:pPr>
          </w:p>
        </w:tc>
      </w:tr>
      <w:tr>
        <w:trPr>
          <w:trHeight w:val="1258" w:hRule="atLeast"/>
        </w:trPr>
        <w:tc>
          <w:tcPr>
            <w:tcW w:w="697" w:type="dxa"/>
            <w:tcBorders>
              <w:top w:val="single" w:sz="8" w:space="0" w:color="000000"/>
            </w:tcBorders>
          </w:tcPr>
          <w:p>
            <w:pPr>
              <w:pStyle w:val="TableParagraph"/>
              <w:spacing w:before="12"/>
              <w:ind w:left="0"/>
              <w:rPr>
                <w:sz w:val="14"/>
              </w:rPr>
            </w:pPr>
          </w:p>
          <w:p>
            <w:pPr>
              <w:pStyle w:val="TableParagraph"/>
              <w:ind w:left="122"/>
              <w:rPr>
                <w:b/>
                <w:sz w:val="21"/>
              </w:rPr>
            </w:pPr>
            <w:r>
              <w:rPr>
                <w:b/>
                <w:sz w:val="21"/>
              </w:rPr>
              <w:t>4.1</w:t>
            </w:r>
          </w:p>
        </w:tc>
        <w:tc>
          <w:tcPr>
            <w:tcW w:w="1918" w:type="dxa"/>
            <w:tcBorders>
              <w:top w:val="single" w:sz="8" w:space="0" w:color="000000"/>
            </w:tcBorders>
          </w:tcPr>
          <w:p>
            <w:pPr>
              <w:pStyle w:val="TableParagraph"/>
              <w:spacing w:before="12"/>
              <w:ind w:left="0"/>
              <w:rPr>
                <w:sz w:val="14"/>
              </w:rPr>
            </w:pPr>
          </w:p>
          <w:p>
            <w:pPr>
              <w:pStyle w:val="TableParagraph"/>
              <w:ind w:left="217"/>
              <w:rPr>
                <w:b/>
                <w:sz w:val="21"/>
              </w:rPr>
            </w:pPr>
            <w:r>
              <w:rPr>
                <w:b/>
                <w:sz w:val="21"/>
              </w:rPr>
              <w:t>保险费的交纳</w:t>
            </w:r>
          </w:p>
        </w:tc>
        <w:tc>
          <w:tcPr>
            <w:tcW w:w="7651" w:type="dxa"/>
            <w:tcBorders>
              <w:top w:val="single" w:sz="8" w:space="0" w:color="000000"/>
            </w:tcBorders>
          </w:tcPr>
          <w:p>
            <w:pPr>
              <w:pStyle w:val="TableParagraph"/>
              <w:spacing w:before="12"/>
              <w:ind w:left="0"/>
              <w:rPr>
                <w:sz w:val="14"/>
              </w:rPr>
            </w:pPr>
          </w:p>
          <w:p>
            <w:pPr>
              <w:pStyle w:val="TableParagraph"/>
              <w:ind w:left="224"/>
              <w:rPr>
                <w:sz w:val="21"/>
              </w:rPr>
            </w:pPr>
            <w:r>
              <w:rPr>
                <w:sz w:val="21"/>
              </w:rPr>
              <w:t>一、本合同的交费方式和交费期间由投保人和我们约定并在保险单上载明。</w:t>
            </w:r>
          </w:p>
          <w:p>
            <w:pPr>
              <w:pStyle w:val="TableParagraph"/>
              <w:spacing w:line="273" w:lineRule="auto" w:before="36"/>
              <w:ind w:left="630" w:right="68" w:hanging="407"/>
              <w:rPr>
                <w:sz w:val="21"/>
              </w:rPr>
            </w:pPr>
            <w:r>
              <w:rPr>
                <w:sz w:val="21"/>
              </w:rPr>
              <w:t>二、分期交付保险费的，在交纳首期保险费后，投保人应当在每个</w:t>
            </w:r>
            <w:r>
              <w:rPr>
                <w:b/>
                <w:sz w:val="21"/>
              </w:rPr>
              <w:t>保险费约定支付日</w:t>
            </w:r>
            <w:r>
              <w:rPr>
                <w:sz w:val="21"/>
              </w:rPr>
              <w:t>之前交纳当期保险费。</w:t>
            </w:r>
          </w:p>
        </w:tc>
      </w:tr>
      <w:tr>
        <w:trPr>
          <w:trHeight w:val="2124" w:hRule="atLeast"/>
        </w:trPr>
        <w:tc>
          <w:tcPr>
            <w:tcW w:w="697" w:type="dxa"/>
          </w:tcPr>
          <w:p>
            <w:pPr>
              <w:pStyle w:val="TableParagraph"/>
              <w:spacing w:before="99"/>
              <w:ind w:left="122"/>
              <w:rPr>
                <w:b/>
                <w:sz w:val="21"/>
              </w:rPr>
            </w:pPr>
            <w:r>
              <w:rPr>
                <w:b/>
                <w:sz w:val="21"/>
              </w:rPr>
              <w:t>4.2</w:t>
            </w:r>
          </w:p>
        </w:tc>
        <w:tc>
          <w:tcPr>
            <w:tcW w:w="1918" w:type="dxa"/>
          </w:tcPr>
          <w:p>
            <w:pPr>
              <w:pStyle w:val="TableParagraph"/>
              <w:spacing w:before="99"/>
              <w:ind w:left="217"/>
              <w:rPr>
                <w:b/>
                <w:sz w:val="21"/>
              </w:rPr>
            </w:pPr>
            <w:r>
              <w:rPr>
                <w:b/>
                <w:sz w:val="21"/>
              </w:rPr>
              <w:t>宽限期</w:t>
            </w:r>
          </w:p>
        </w:tc>
        <w:tc>
          <w:tcPr>
            <w:tcW w:w="7651" w:type="dxa"/>
          </w:tcPr>
          <w:p>
            <w:pPr>
              <w:pStyle w:val="TableParagraph"/>
              <w:spacing w:line="273" w:lineRule="auto" w:before="99"/>
              <w:ind w:left="678" w:right="105" w:hanging="421"/>
              <w:jc w:val="both"/>
              <w:rPr>
                <w:sz w:val="21"/>
              </w:rPr>
            </w:pPr>
            <w:r>
              <w:rPr>
                <w:spacing w:val="-7"/>
                <w:sz w:val="21"/>
              </w:rPr>
              <w:t>一、分期支付保险费的，投保人在支付首期保险费后，除本合同另有约定外，若投保人到期未支付保险费，自保险费约定支付日的次日零时起 </w:t>
            </w:r>
            <w:r>
              <w:rPr>
                <w:sz w:val="21"/>
              </w:rPr>
              <w:t>60</w:t>
            </w:r>
            <w:r>
              <w:rPr>
                <w:spacing w:val="-10"/>
                <w:sz w:val="21"/>
              </w:rPr>
              <w:t> 日为宽限期。宽限期内发生的保险事故，我们仍会承担保险责任，但在给付保险金时</w:t>
            </w:r>
            <w:r>
              <w:rPr>
                <w:spacing w:val="-3"/>
                <w:sz w:val="21"/>
              </w:rPr>
              <w:t>会扣减投保人欠交的保险费。</w:t>
            </w:r>
          </w:p>
          <w:p>
            <w:pPr>
              <w:pStyle w:val="TableParagraph"/>
              <w:spacing w:line="273" w:lineRule="auto" w:before="7"/>
              <w:ind w:left="678" w:right="102" w:hanging="421"/>
              <w:jc w:val="both"/>
              <w:rPr>
                <w:sz w:val="21"/>
              </w:rPr>
            </w:pPr>
            <w:r>
              <w:rPr>
                <w:spacing w:val="-7"/>
                <w:sz w:val="21"/>
              </w:rPr>
              <w:t>二、若投保人宽限期结束之后仍未支付保险费，则本合同自宽限期满的次日零时</w:t>
            </w:r>
            <w:r>
              <w:rPr>
                <w:spacing w:val="-5"/>
                <w:sz w:val="21"/>
              </w:rPr>
              <w:t>起中止。</w:t>
            </w:r>
          </w:p>
        </w:tc>
      </w:tr>
      <w:tr>
        <w:trPr>
          <w:trHeight w:val="711" w:hRule="atLeast"/>
        </w:trPr>
        <w:tc>
          <w:tcPr>
            <w:tcW w:w="697" w:type="dxa"/>
            <w:tcBorders>
              <w:bottom w:val="single" w:sz="8" w:space="0" w:color="000000"/>
            </w:tcBorders>
          </w:tcPr>
          <w:p>
            <w:pPr>
              <w:pStyle w:val="TableParagraph"/>
              <w:spacing w:before="152"/>
              <w:ind w:left="122"/>
              <w:rPr>
                <w:rFonts w:ascii="Arial" w:hAnsi="Arial"/>
                <w:b/>
                <w:sz w:val="40"/>
              </w:rPr>
            </w:pPr>
            <w:r>
              <w:rPr>
                <w:rFonts w:ascii="Arial" w:hAnsi="Arial"/>
                <w:b/>
                <w:w w:val="119"/>
                <w:sz w:val="40"/>
              </w:rPr>
              <w:t></w:t>
            </w:r>
          </w:p>
        </w:tc>
        <w:tc>
          <w:tcPr>
            <w:tcW w:w="1918" w:type="dxa"/>
            <w:tcBorders>
              <w:bottom w:val="single" w:sz="8" w:space="0" w:color="000000"/>
            </w:tcBorders>
          </w:tcPr>
          <w:p>
            <w:pPr>
              <w:pStyle w:val="TableParagraph"/>
              <w:spacing w:before="203"/>
              <w:ind w:left="217"/>
              <w:rPr>
                <w:b/>
                <w:sz w:val="24"/>
              </w:rPr>
            </w:pPr>
            <w:r>
              <w:rPr>
                <w:b/>
                <w:w w:val="95"/>
                <w:sz w:val="24"/>
              </w:rPr>
              <w:t>被保险人的变动</w:t>
            </w:r>
          </w:p>
        </w:tc>
        <w:tc>
          <w:tcPr>
            <w:tcW w:w="7651" w:type="dxa"/>
            <w:tcBorders>
              <w:bottom w:val="single" w:sz="8" w:space="0" w:color="000000"/>
            </w:tcBorders>
          </w:tcPr>
          <w:p>
            <w:pPr>
              <w:pStyle w:val="TableParagraph"/>
              <w:ind w:left="0"/>
              <w:rPr>
                <w:rFonts w:ascii="Times New Roman"/>
                <w:sz w:val="20"/>
              </w:rPr>
            </w:pPr>
          </w:p>
        </w:tc>
      </w:tr>
    </w:tbl>
    <w:p>
      <w:pPr>
        <w:spacing w:after="0"/>
        <w:rPr>
          <w:rFonts w:ascii="Times New Roman"/>
          <w:sz w:val="20"/>
        </w:rPr>
        <w:sectPr>
          <w:pgSz w:w="11910" w:h="16840"/>
          <w:pgMar w:header="0" w:footer="353" w:top="1160" w:bottom="540" w:left="70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025"/>
        <w:gridCol w:w="7543"/>
      </w:tblGrid>
      <w:tr>
        <w:trPr>
          <w:trHeight w:val="1259" w:hRule="atLeast"/>
        </w:trPr>
        <w:tc>
          <w:tcPr>
            <w:tcW w:w="683" w:type="dxa"/>
            <w:tcBorders>
              <w:top w:val="single" w:sz="8" w:space="0" w:color="000000"/>
            </w:tcBorders>
          </w:tcPr>
          <w:p>
            <w:pPr>
              <w:pStyle w:val="TableParagraph"/>
              <w:spacing w:before="7"/>
              <w:ind w:left="0"/>
              <w:rPr>
                <w:sz w:val="14"/>
              </w:rPr>
            </w:pPr>
          </w:p>
          <w:p>
            <w:pPr>
              <w:pStyle w:val="TableParagraph"/>
              <w:ind w:left="107"/>
              <w:rPr>
                <w:b/>
                <w:sz w:val="21"/>
              </w:rPr>
            </w:pPr>
            <w:r>
              <w:rPr>
                <w:b/>
                <w:sz w:val="21"/>
              </w:rPr>
              <w:t>5.1</w:t>
            </w:r>
          </w:p>
        </w:tc>
        <w:tc>
          <w:tcPr>
            <w:tcW w:w="2025" w:type="dxa"/>
            <w:tcBorders>
              <w:top w:val="single" w:sz="8" w:space="0" w:color="000000"/>
            </w:tcBorders>
          </w:tcPr>
          <w:p>
            <w:pPr>
              <w:pStyle w:val="TableParagraph"/>
              <w:spacing w:before="7"/>
              <w:ind w:left="0"/>
              <w:rPr>
                <w:sz w:val="14"/>
              </w:rPr>
            </w:pPr>
          </w:p>
          <w:p>
            <w:pPr>
              <w:pStyle w:val="TableParagraph"/>
              <w:ind w:left="217"/>
              <w:rPr>
                <w:b/>
                <w:sz w:val="21"/>
              </w:rPr>
            </w:pPr>
            <w:r>
              <w:rPr>
                <w:b/>
                <w:sz w:val="21"/>
              </w:rPr>
              <w:t>增加被保险人</w:t>
            </w:r>
          </w:p>
        </w:tc>
        <w:tc>
          <w:tcPr>
            <w:tcW w:w="7543" w:type="dxa"/>
            <w:tcBorders>
              <w:top w:val="single" w:sz="8" w:space="0" w:color="000000"/>
            </w:tcBorders>
          </w:tcPr>
          <w:p>
            <w:pPr>
              <w:pStyle w:val="TableParagraph"/>
              <w:spacing w:before="7"/>
              <w:ind w:left="0"/>
              <w:rPr>
                <w:sz w:val="14"/>
              </w:rPr>
            </w:pPr>
          </w:p>
          <w:p>
            <w:pPr>
              <w:pStyle w:val="TableParagraph"/>
              <w:spacing w:line="273" w:lineRule="auto"/>
              <w:ind w:left="117" w:right="104"/>
              <w:rPr>
                <w:sz w:val="21"/>
              </w:rPr>
            </w:pPr>
            <w:r>
              <w:rPr>
                <w:spacing w:val="-5"/>
                <w:sz w:val="21"/>
              </w:rPr>
              <w:t>若投保人因团体人员变动需要增加被保险人，应以书面形式通知我们。投保人增</w:t>
            </w:r>
            <w:r>
              <w:rPr>
                <w:spacing w:val="-4"/>
                <w:sz w:val="21"/>
              </w:rPr>
              <w:t>加被保险人的申请自我们审核同意并收到保险费后生效，生效日期在批单上载 明。</w:t>
            </w:r>
          </w:p>
        </w:tc>
      </w:tr>
      <w:tr>
        <w:trPr>
          <w:trHeight w:val="1786" w:hRule="atLeast"/>
        </w:trPr>
        <w:tc>
          <w:tcPr>
            <w:tcW w:w="683" w:type="dxa"/>
          </w:tcPr>
          <w:p>
            <w:pPr>
              <w:pStyle w:val="TableParagraph"/>
              <w:spacing w:before="95"/>
              <w:ind w:left="107"/>
              <w:rPr>
                <w:b/>
                <w:sz w:val="21"/>
              </w:rPr>
            </w:pPr>
            <w:r>
              <w:rPr>
                <w:b/>
                <w:sz w:val="21"/>
              </w:rPr>
              <w:t>5.2</w:t>
            </w:r>
          </w:p>
        </w:tc>
        <w:tc>
          <w:tcPr>
            <w:tcW w:w="2025" w:type="dxa"/>
          </w:tcPr>
          <w:p>
            <w:pPr>
              <w:pStyle w:val="TableParagraph"/>
              <w:spacing w:before="95"/>
              <w:ind w:left="217"/>
              <w:rPr>
                <w:b/>
                <w:sz w:val="21"/>
              </w:rPr>
            </w:pPr>
            <w:r>
              <w:rPr>
                <w:b/>
                <w:sz w:val="21"/>
              </w:rPr>
              <w:t>减少被保险人</w:t>
            </w:r>
          </w:p>
        </w:tc>
        <w:tc>
          <w:tcPr>
            <w:tcW w:w="7543" w:type="dxa"/>
          </w:tcPr>
          <w:p>
            <w:pPr>
              <w:pStyle w:val="TableParagraph"/>
              <w:spacing w:line="273" w:lineRule="auto" w:before="95"/>
              <w:ind w:left="117" w:right="102"/>
              <w:jc w:val="both"/>
              <w:rPr>
                <w:sz w:val="21"/>
              </w:rPr>
            </w:pPr>
            <w:r>
              <w:rPr>
                <w:spacing w:val="-6"/>
                <w:sz w:val="21"/>
              </w:rPr>
              <w:t>若投保人需要减少被保险人，应以书面形式通知我们。自我们收到投保人书面通</w:t>
            </w:r>
            <w:r>
              <w:rPr>
                <w:spacing w:val="-8"/>
                <w:sz w:val="21"/>
              </w:rPr>
              <w:t>知之时起，我们对该被保险人所承担的保险责任终止，并退还本合同下该被保险</w:t>
            </w:r>
            <w:r>
              <w:rPr>
                <w:spacing w:val="-9"/>
                <w:sz w:val="21"/>
              </w:rPr>
              <w:t>人的现金价值；但已给付该被保险人保险金的，不再退还未现金价值。若投保人</w:t>
            </w:r>
            <w:r>
              <w:rPr>
                <w:spacing w:val="-7"/>
                <w:sz w:val="21"/>
              </w:rPr>
              <w:t>要求减少被保险人的日期在我们收到投保人书面通知之前，则我们对该被保险人</w:t>
            </w:r>
            <w:r>
              <w:rPr>
                <w:spacing w:val="-5"/>
                <w:sz w:val="21"/>
              </w:rPr>
              <w:t>所承担的保险责任自投保人要求减少之日零时起终止。</w:t>
            </w:r>
          </w:p>
        </w:tc>
      </w:tr>
      <w:tr>
        <w:trPr>
          <w:trHeight w:val="1500" w:hRule="atLeast"/>
        </w:trPr>
        <w:tc>
          <w:tcPr>
            <w:tcW w:w="683" w:type="dxa"/>
          </w:tcPr>
          <w:p>
            <w:pPr>
              <w:pStyle w:val="TableParagraph"/>
              <w:spacing w:before="94"/>
              <w:ind w:left="107"/>
              <w:rPr>
                <w:b/>
                <w:sz w:val="21"/>
              </w:rPr>
            </w:pPr>
            <w:r>
              <w:rPr>
                <w:b/>
                <w:sz w:val="21"/>
              </w:rPr>
              <w:t>5.3</w:t>
            </w:r>
          </w:p>
        </w:tc>
        <w:tc>
          <w:tcPr>
            <w:tcW w:w="2025" w:type="dxa"/>
          </w:tcPr>
          <w:p>
            <w:pPr>
              <w:pStyle w:val="TableParagraph"/>
              <w:spacing w:before="94"/>
              <w:ind w:left="217"/>
              <w:rPr>
                <w:b/>
                <w:sz w:val="21"/>
              </w:rPr>
            </w:pPr>
            <w:r>
              <w:rPr>
                <w:b/>
                <w:sz w:val="21"/>
              </w:rPr>
              <w:t>对合同效力的影响</w:t>
            </w:r>
          </w:p>
        </w:tc>
        <w:tc>
          <w:tcPr>
            <w:tcW w:w="7543" w:type="dxa"/>
          </w:tcPr>
          <w:p>
            <w:pPr>
              <w:pStyle w:val="TableParagraph"/>
              <w:spacing w:line="273" w:lineRule="auto" w:before="94"/>
              <w:ind w:left="117" w:right="68"/>
              <w:jc w:val="both"/>
              <w:rPr>
                <w:sz w:val="21"/>
              </w:rPr>
            </w:pPr>
            <w:r>
              <w:rPr>
                <w:spacing w:val="-3"/>
                <w:sz w:val="21"/>
              </w:rPr>
              <w:t>若本合同的被保险人人数或参保比例不符合国务院保险监督管理机构的规定时， 我们在提前</w:t>
            </w:r>
            <w:r>
              <w:rPr>
                <w:sz w:val="21"/>
              </w:rPr>
              <w:t>30</w:t>
            </w:r>
            <w:r>
              <w:rPr>
                <w:spacing w:val="-5"/>
                <w:sz w:val="21"/>
              </w:rPr>
              <w:t>日书面通知投保人后有权解除本合同，对于未发生保险金给付的被</w:t>
            </w:r>
            <w:r>
              <w:rPr>
                <w:spacing w:val="-8"/>
                <w:sz w:val="21"/>
              </w:rPr>
              <w:t>保险人，退还该本合同下该被保险人的现金价值；对于已发生保险金给付的被保</w:t>
            </w:r>
            <w:r>
              <w:rPr>
                <w:spacing w:val="-5"/>
                <w:sz w:val="21"/>
              </w:rPr>
              <w:t>险人，我们将不退还任何费用。</w:t>
            </w:r>
          </w:p>
        </w:tc>
      </w:tr>
      <w:tr>
        <w:trPr>
          <w:trHeight w:val="712" w:hRule="atLeast"/>
        </w:trPr>
        <w:tc>
          <w:tcPr>
            <w:tcW w:w="683" w:type="dxa"/>
            <w:tcBorders>
              <w:bottom w:val="single" w:sz="8" w:space="0" w:color="000000"/>
            </w:tcBorders>
          </w:tcPr>
          <w:p>
            <w:pPr>
              <w:pStyle w:val="TableParagraph"/>
              <w:spacing w:before="147"/>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198"/>
              <w:ind w:left="217"/>
              <w:rPr>
                <w:b/>
                <w:sz w:val="24"/>
              </w:rPr>
            </w:pPr>
            <w:r>
              <w:rPr>
                <w:b/>
                <w:w w:val="95"/>
                <w:sz w:val="24"/>
              </w:rPr>
              <w:t>合同中止和复效</w:t>
            </w:r>
          </w:p>
        </w:tc>
        <w:tc>
          <w:tcPr>
            <w:tcW w:w="7543" w:type="dxa"/>
            <w:tcBorders>
              <w:bottom w:val="single" w:sz="8" w:space="0" w:color="000000"/>
            </w:tcBorders>
          </w:tcPr>
          <w:p>
            <w:pPr>
              <w:pStyle w:val="TableParagraph"/>
              <w:ind w:left="0"/>
              <w:rPr>
                <w:rFonts w:ascii="Times New Roman"/>
                <w:sz w:val="20"/>
              </w:rPr>
            </w:pPr>
          </w:p>
        </w:tc>
      </w:tr>
      <w:tr>
        <w:trPr>
          <w:trHeight w:val="633" w:hRule="atLeast"/>
        </w:trPr>
        <w:tc>
          <w:tcPr>
            <w:tcW w:w="683" w:type="dxa"/>
            <w:tcBorders>
              <w:top w:val="single" w:sz="8" w:space="0" w:color="000000"/>
            </w:tcBorders>
          </w:tcPr>
          <w:p>
            <w:pPr>
              <w:pStyle w:val="TableParagraph"/>
              <w:spacing w:before="4"/>
              <w:ind w:left="0"/>
              <w:rPr>
                <w:sz w:val="14"/>
              </w:rPr>
            </w:pPr>
          </w:p>
          <w:p>
            <w:pPr>
              <w:pStyle w:val="TableParagraph"/>
              <w:ind w:left="107"/>
              <w:rPr>
                <w:b/>
                <w:sz w:val="21"/>
              </w:rPr>
            </w:pPr>
            <w:r>
              <w:rPr>
                <w:b/>
                <w:sz w:val="21"/>
              </w:rPr>
              <w:t>6.1</w:t>
            </w:r>
          </w:p>
        </w:tc>
        <w:tc>
          <w:tcPr>
            <w:tcW w:w="2025" w:type="dxa"/>
            <w:tcBorders>
              <w:top w:val="single" w:sz="8" w:space="0" w:color="000000"/>
            </w:tcBorders>
          </w:tcPr>
          <w:p>
            <w:pPr>
              <w:pStyle w:val="TableParagraph"/>
              <w:spacing w:before="4"/>
              <w:ind w:left="0"/>
              <w:rPr>
                <w:sz w:val="14"/>
              </w:rPr>
            </w:pPr>
          </w:p>
          <w:p>
            <w:pPr>
              <w:pStyle w:val="TableParagraph"/>
              <w:ind w:left="217"/>
              <w:rPr>
                <w:b/>
                <w:sz w:val="21"/>
              </w:rPr>
            </w:pPr>
            <w:r>
              <w:rPr>
                <w:b/>
                <w:sz w:val="21"/>
              </w:rPr>
              <w:t>合同中止</w:t>
            </w:r>
          </w:p>
        </w:tc>
        <w:tc>
          <w:tcPr>
            <w:tcW w:w="7543" w:type="dxa"/>
            <w:tcBorders>
              <w:top w:val="single" w:sz="8" w:space="0" w:color="000000"/>
            </w:tcBorders>
          </w:tcPr>
          <w:p>
            <w:pPr>
              <w:pStyle w:val="TableParagraph"/>
              <w:spacing w:before="176"/>
              <w:ind w:left="117"/>
              <w:rPr>
                <w:sz w:val="21"/>
              </w:rPr>
            </w:pPr>
            <w:r>
              <w:rPr>
                <w:rFonts w:ascii="黑体" w:eastAsia="黑体" w:hint="eastAsia"/>
                <w:b/>
                <w:i/>
                <w:w w:val="95"/>
                <w:sz w:val="22"/>
              </w:rPr>
              <w:t>在本合同中止期间，我们不承担保险责任</w:t>
            </w:r>
            <w:r>
              <w:rPr>
                <w:w w:val="95"/>
                <w:sz w:val="21"/>
              </w:rPr>
              <w:t>。</w:t>
            </w:r>
          </w:p>
        </w:tc>
      </w:tr>
      <w:tr>
        <w:trPr>
          <w:trHeight w:val="1812" w:hRule="atLeast"/>
        </w:trPr>
        <w:tc>
          <w:tcPr>
            <w:tcW w:w="683" w:type="dxa"/>
          </w:tcPr>
          <w:p>
            <w:pPr>
              <w:pStyle w:val="TableParagraph"/>
              <w:spacing w:before="94"/>
              <w:ind w:left="107"/>
              <w:rPr>
                <w:b/>
                <w:sz w:val="21"/>
              </w:rPr>
            </w:pPr>
            <w:r>
              <w:rPr>
                <w:b/>
                <w:sz w:val="21"/>
              </w:rPr>
              <w:t>6.2</w:t>
            </w:r>
          </w:p>
        </w:tc>
        <w:tc>
          <w:tcPr>
            <w:tcW w:w="2025" w:type="dxa"/>
          </w:tcPr>
          <w:p>
            <w:pPr>
              <w:pStyle w:val="TableParagraph"/>
              <w:spacing w:before="94"/>
              <w:ind w:left="217"/>
              <w:rPr>
                <w:b/>
                <w:sz w:val="21"/>
              </w:rPr>
            </w:pPr>
            <w:r>
              <w:rPr>
                <w:b/>
                <w:sz w:val="21"/>
              </w:rPr>
              <w:t>合同复效</w:t>
            </w:r>
          </w:p>
        </w:tc>
        <w:tc>
          <w:tcPr>
            <w:tcW w:w="7543" w:type="dxa"/>
          </w:tcPr>
          <w:p>
            <w:pPr>
              <w:pStyle w:val="TableParagraph"/>
              <w:spacing w:line="273" w:lineRule="auto" w:before="94"/>
              <w:ind w:left="523" w:right="102" w:hanging="407"/>
              <w:jc w:val="both"/>
              <w:rPr>
                <w:sz w:val="21"/>
              </w:rPr>
            </w:pPr>
            <w:r>
              <w:rPr>
                <w:spacing w:val="-2"/>
                <w:sz w:val="21"/>
              </w:rPr>
              <w:t>一、本合同中止后 </w:t>
            </w:r>
            <w:r>
              <w:rPr>
                <w:sz w:val="21"/>
              </w:rPr>
              <w:t>2</w:t>
            </w:r>
            <w:r>
              <w:rPr>
                <w:spacing w:val="-3"/>
                <w:sz w:val="21"/>
              </w:rPr>
              <w:t> 年内，投保人可以申请恢复合同效力</w:t>
            </w:r>
            <w:r>
              <w:rPr>
                <w:sz w:val="21"/>
              </w:rPr>
              <w:t>（</w:t>
            </w:r>
            <w:r>
              <w:rPr>
                <w:spacing w:val="-3"/>
                <w:sz w:val="21"/>
              </w:rPr>
              <w:t>即复效</w:t>
            </w:r>
            <w:r>
              <w:rPr>
                <w:spacing w:val="-106"/>
                <w:sz w:val="21"/>
              </w:rPr>
              <w:t>）</w:t>
            </w:r>
            <w:r>
              <w:rPr>
                <w:spacing w:val="-3"/>
                <w:sz w:val="21"/>
              </w:rPr>
              <w:t>。经我们与</w:t>
            </w:r>
            <w:r>
              <w:rPr>
                <w:spacing w:val="2"/>
                <w:sz w:val="21"/>
              </w:rPr>
              <w:t>投保人协商并达成协议，自投保人补交复效时应交纳的全部保险费及其</w:t>
            </w:r>
            <w:r>
              <w:rPr>
                <w:b/>
                <w:sz w:val="21"/>
              </w:rPr>
              <w:t>利息</w:t>
            </w:r>
            <w:r>
              <w:rPr>
                <w:spacing w:val="-3"/>
                <w:sz w:val="21"/>
              </w:rPr>
              <w:t>、借款本息和其他未还款项及其利息的次日零时起，本合同效力恢复。</w:t>
            </w:r>
          </w:p>
          <w:p>
            <w:pPr>
              <w:pStyle w:val="TableParagraph"/>
              <w:spacing w:line="273" w:lineRule="auto" w:before="7"/>
              <w:ind w:left="523" w:right="-15" w:hanging="407"/>
              <w:rPr>
                <w:sz w:val="21"/>
              </w:rPr>
            </w:pPr>
            <w:r>
              <w:rPr>
                <w:spacing w:val="-1"/>
                <w:sz w:val="21"/>
              </w:rPr>
              <w:t>二、自本合同中止之日起满</w:t>
            </w:r>
            <w:r>
              <w:rPr>
                <w:sz w:val="21"/>
              </w:rPr>
              <w:t>2</w:t>
            </w:r>
            <w:r>
              <w:rPr>
                <w:spacing w:val="-15"/>
                <w:sz w:val="21"/>
              </w:rPr>
              <w:t> 年投保人和我们未达成协议的，我们有权解除合同。</w:t>
            </w:r>
            <w:r>
              <w:rPr>
                <w:spacing w:val="-3"/>
                <w:sz w:val="21"/>
              </w:rPr>
              <w:t>我们解除合同的，向投保人退还合同中止时的现金价值。</w:t>
            </w:r>
          </w:p>
        </w:tc>
      </w:tr>
      <w:tr>
        <w:trPr>
          <w:trHeight w:val="712" w:hRule="atLeast"/>
        </w:trPr>
        <w:tc>
          <w:tcPr>
            <w:tcW w:w="683" w:type="dxa"/>
            <w:tcBorders>
              <w:bottom w:val="single" w:sz="8" w:space="0" w:color="000000"/>
            </w:tcBorders>
          </w:tcPr>
          <w:p>
            <w:pPr>
              <w:pStyle w:val="TableParagraph"/>
              <w:spacing w:before="146"/>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198"/>
              <w:ind w:left="217"/>
              <w:rPr>
                <w:b/>
                <w:sz w:val="24"/>
              </w:rPr>
            </w:pPr>
            <w:r>
              <w:rPr>
                <w:b/>
                <w:w w:val="95"/>
                <w:sz w:val="24"/>
              </w:rPr>
              <w:t>合同解除和变更</w:t>
            </w:r>
          </w:p>
        </w:tc>
        <w:tc>
          <w:tcPr>
            <w:tcW w:w="7543" w:type="dxa"/>
            <w:tcBorders>
              <w:bottom w:val="single" w:sz="8" w:space="0" w:color="000000"/>
            </w:tcBorders>
          </w:tcPr>
          <w:p>
            <w:pPr>
              <w:pStyle w:val="TableParagraph"/>
              <w:ind w:left="0"/>
              <w:rPr>
                <w:rFonts w:ascii="Times New Roman"/>
                <w:sz w:val="20"/>
              </w:rPr>
            </w:pPr>
          </w:p>
        </w:tc>
      </w:tr>
      <w:tr>
        <w:trPr>
          <w:trHeight w:val="2504" w:hRule="atLeast"/>
        </w:trPr>
        <w:tc>
          <w:tcPr>
            <w:tcW w:w="683" w:type="dxa"/>
            <w:tcBorders>
              <w:top w:val="single" w:sz="8" w:space="0" w:color="000000"/>
            </w:tcBorders>
          </w:tcPr>
          <w:p>
            <w:pPr>
              <w:pStyle w:val="TableParagraph"/>
              <w:spacing w:before="4"/>
              <w:ind w:left="0"/>
              <w:rPr>
                <w:sz w:val="14"/>
              </w:rPr>
            </w:pPr>
          </w:p>
          <w:p>
            <w:pPr>
              <w:pStyle w:val="TableParagraph"/>
              <w:ind w:left="107"/>
              <w:rPr>
                <w:b/>
                <w:sz w:val="21"/>
              </w:rPr>
            </w:pPr>
            <w:r>
              <w:rPr>
                <w:b/>
                <w:sz w:val="21"/>
              </w:rPr>
              <w:t>7.1</w:t>
            </w:r>
          </w:p>
        </w:tc>
        <w:tc>
          <w:tcPr>
            <w:tcW w:w="2025" w:type="dxa"/>
            <w:tcBorders>
              <w:top w:val="single" w:sz="8" w:space="0" w:color="000000"/>
            </w:tcBorders>
          </w:tcPr>
          <w:p>
            <w:pPr>
              <w:pStyle w:val="TableParagraph"/>
              <w:spacing w:before="4"/>
              <w:ind w:left="0"/>
              <w:rPr>
                <w:sz w:val="14"/>
              </w:rPr>
            </w:pPr>
          </w:p>
          <w:p>
            <w:pPr>
              <w:pStyle w:val="TableParagraph"/>
              <w:spacing w:line="273" w:lineRule="auto"/>
              <w:ind w:left="217" w:right="117"/>
              <w:rPr>
                <w:b/>
                <w:sz w:val="21"/>
              </w:rPr>
            </w:pPr>
            <w:r>
              <w:rPr>
                <w:b/>
                <w:sz w:val="21"/>
              </w:rPr>
              <w:t>投保人解除合同的手续及风险</w:t>
            </w:r>
          </w:p>
        </w:tc>
        <w:tc>
          <w:tcPr>
            <w:tcW w:w="7543" w:type="dxa"/>
            <w:tcBorders>
              <w:top w:val="single" w:sz="8" w:space="0" w:color="000000"/>
            </w:tcBorders>
          </w:tcPr>
          <w:p>
            <w:pPr>
              <w:pStyle w:val="TableParagraph"/>
              <w:spacing w:before="4"/>
              <w:ind w:left="0"/>
              <w:rPr>
                <w:sz w:val="14"/>
              </w:rPr>
            </w:pPr>
          </w:p>
          <w:p>
            <w:pPr>
              <w:pStyle w:val="TableParagraph"/>
              <w:spacing w:line="273" w:lineRule="auto"/>
              <w:ind w:left="537" w:right="61" w:hanging="421"/>
              <w:rPr>
                <w:sz w:val="21"/>
              </w:rPr>
            </w:pPr>
            <w:r>
              <w:rPr>
                <w:sz w:val="21"/>
              </w:rPr>
              <w:t>一、若投保人在犹豫期后申请解除本合同，请填写解除合同申请书并向我们提供下列资料：</w:t>
            </w:r>
          </w:p>
          <w:p>
            <w:pPr>
              <w:pStyle w:val="TableParagraph"/>
              <w:spacing w:before="7"/>
              <w:ind w:left="465"/>
              <w:rPr>
                <w:sz w:val="21"/>
              </w:rPr>
            </w:pPr>
            <w:r>
              <w:rPr>
                <w:sz w:val="21"/>
              </w:rPr>
              <w:t>(一) 保险合同；</w:t>
            </w:r>
          </w:p>
          <w:p>
            <w:pPr>
              <w:pStyle w:val="TableParagraph"/>
              <w:spacing w:before="37"/>
              <w:ind w:left="465"/>
              <w:rPr>
                <w:sz w:val="21"/>
              </w:rPr>
            </w:pPr>
            <w:r>
              <w:rPr>
                <w:sz w:val="21"/>
              </w:rPr>
              <w:t>(二) 投保人的证明文件。</w:t>
            </w:r>
          </w:p>
          <w:p>
            <w:pPr>
              <w:pStyle w:val="TableParagraph"/>
              <w:spacing w:line="273" w:lineRule="auto" w:before="37"/>
              <w:ind w:left="537" w:right="65" w:hanging="421"/>
              <w:rPr>
                <w:sz w:val="21"/>
              </w:rPr>
            </w:pPr>
            <w:r>
              <w:rPr>
                <w:sz w:val="21"/>
              </w:rPr>
              <w:t>二、自我们收到解除合同申请书时起，本合同终止。我们自收到解除合同申请书之日起 30 日内退还本合同的现金价值。</w:t>
            </w:r>
          </w:p>
          <w:p>
            <w:pPr>
              <w:pStyle w:val="TableParagraph"/>
              <w:spacing w:before="7"/>
              <w:ind w:left="117"/>
              <w:rPr>
                <w:sz w:val="21"/>
              </w:rPr>
            </w:pPr>
            <w:r>
              <w:rPr>
                <w:sz w:val="21"/>
              </w:rPr>
              <w:t>三、投保人在犹豫期后解除合同会遭受一定损失。</w:t>
            </w:r>
          </w:p>
        </w:tc>
      </w:tr>
      <w:tr>
        <w:trPr>
          <w:trHeight w:val="1788" w:hRule="atLeast"/>
        </w:trPr>
        <w:tc>
          <w:tcPr>
            <w:tcW w:w="683" w:type="dxa"/>
          </w:tcPr>
          <w:p>
            <w:pPr>
              <w:pStyle w:val="TableParagraph"/>
              <w:spacing w:before="95"/>
              <w:ind w:left="107"/>
              <w:rPr>
                <w:b/>
                <w:sz w:val="21"/>
              </w:rPr>
            </w:pPr>
            <w:r>
              <w:rPr>
                <w:b/>
                <w:sz w:val="21"/>
              </w:rPr>
              <w:t>7.2</w:t>
            </w:r>
          </w:p>
        </w:tc>
        <w:tc>
          <w:tcPr>
            <w:tcW w:w="2025" w:type="dxa"/>
          </w:tcPr>
          <w:p>
            <w:pPr>
              <w:pStyle w:val="TableParagraph"/>
              <w:spacing w:before="95"/>
              <w:ind w:left="217"/>
              <w:rPr>
                <w:b/>
                <w:sz w:val="21"/>
              </w:rPr>
            </w:pPr>
            <w:r>
              <w:rPr>
                <w:b/>
                <w:sz w:val="21"/>
              </w:rPr>
              <w:t>合同变更</w:t>
            </w:r>
          </w:p>
        </w:tc>
        <w:tc>
          <w:tcPr>
            <w:tcW w:w="7543" w:type="dxa"/>
          </w:tcPr>
          <w:p>
            <w:pPr>
              <w:pStyle w:val="TableParagraph"/>
              <w:spacing w:line="273" w:lineRule="auto" w:before="95"/>
              <w:ind w:left="537" w:right="102" w:hanging="421"/>
              <w:jc w:val="both"/>
              <w:rPr>
                <w:sz w:val="21"/>
              </w:rPr>
            </w:pPr>
            <w:r>
              <w:rPr>
                <w:spacing w:val="-6"/>
                <w:sz w:val="21"/>
              </w:rPr>
              <w:t>一、本合同生效后，如投保人需变更本合同的内容，应当向我们提出变更合同的</w:t>
            </w:r>
            <w:r>
              <w:rPr>
                <w:spacing w:val="-8"/>
                <w:sz w:val="21"/>
              </w:rPr>
              <w:t>申请，在投保人与我们达成一致后，可以对合同约定事项进行变更，变更可</w:t>
            </w:r>
            <w:r>
              <w:rPr>
                <w:spacing w:val="-5"/>
                <w:sz w:val="21"/>
              </w:rPr>
              <w:t>以用在保险合同上批注、附贴批单的方式进行。</w:t>
            </w:r>
          </w:p>
          <w:p>
            <w:pPr>
              <w:pStyle w:val="TableParagraph"/>
              <w:spacing w:line="273" w:lineRule="auto" w:before="8"/>
              <w:ind w:left="537" w:right="102" w:hanging="421"/>
              <w:jc w:val="both"/>
              <w:rPr>
                <w:sz w:val="21"/>
              </w:rPr>
            </w:pPr>
            <w:r>
              <w:rPr>
                <w:spacing w:val="-5"/>
                <w:sz w:val="21"/>
              </w:rPr>
              <w:t>二、若我们已给付一项或几项保险金后，则我们不接受本合同任何内容的变更申</w:t>
            </w:r>
            <w:r>
              <w:rPr>
                <w:spacing w:val="-4"/>
                <w:sz w:val="21"/>
              </w:rPr>
              <w:t>请，但联系方式的变更除外。</w:t>
            </w:r>
          </w:p>
        </w:tc>
      </w:tr>
      <w:tr>
        <w:trPr>
          <w:trHeight w:val="1311" w:hRule="atLeast"/>
        </w:trPr>
        <w:tc>
          <w:tcPr>
            <w:tcW w:w="683" w:type="dxa"/>
          </w:tcPr>
          <w:p>
            <w:pPr>
              <w:pStyle w:val="TableParagraph"/>
              <w:spacing w:before="95"/>
              <w:ind w:left="107"/>
              <w:rPr>
                <w:b/>
                <w:sz w:val="21"/>
              </w:rPr>
            </w:pPr>
            <w:r>
              <w:rPr>
                <w:b/>
                <w:sz w:val="21"/>
              </w:rPr>
              <w:t>7.3</w:t>
            </w:r>
          </w:p>
        </w:tc>
        <w:tc>
          <w:tcPr>
            <w:tcW w:w="2025" w:type="dxa"/>
          </w:tcPr>
          <w:p>
            <w:pPr>
              <w:pStyle w:val="TableParagraph"/>
              <w:spacing w:before="95"/>
              <w:ind w:left="217"/>
              <w:rPr>
                <w:b/>
                <w:sz w:val="21"/>
              </w:rPr>
            </w:pPr>
            <w:r>
              <w:rPr>
                <w:b/>
                <w:sz w:val="21"/>
              </w:rPr>
              <w:t>联系方式变更</w:t>
            </w:r>
          </w:p>
        </w:tc>
        <w:tc>
          <w:tcPr>
            <w:tcW w:w="7543" w:type="dxa"/>
          </w:tcPr>
          <w:p>
            <w:pPr>
              <w:pStyle w:val="TableParagraph"/>
              <w:spacing w:line="310" w:lineRule="atLeast" w:before="60"/>
              <w:ind w:left="117" w:right="102"/>
              <w:jc w:val="both"/>
              <w:rPr>
                <w:sz w:val="21"/>
              </w:rPr>
            </w:pPr>
            <w:r>
              <w:rPr>
                <w:spacing w:val="-6"/>
                <w:sz w:val="21"/>
              </w:rPr>
              <w:t>为保障投保人的合法权益，投保人的地址或电话等联系方式变更时，请及时以书面形式或双方认可的其他形式通知我们。若投保人未以书面形式或双方认可的其</w:t>
            </w:r>
            <w:r>
              <w:rPr>
                <w:spacing w:val="-7"/>
                <w:sz w:val="21"/>
              </w:rPr>
              <w:t>他形式通知我们，我们按本合同载明的最后住所或通讯地址发送的有关通知，均</w:t>
            </w:r>
            <w:r>
              <w:rPr>
                <w:spacing w:val="-5"/>
                <w:sz w:val="21"/>
              </w:rPr>
              <w:t>视为已送达给投保人。</w:t>
            </w:r>
          </w:p>
        </w:tc>
      </w:tr>
    </w:tbl>
    <w:p>
      <w:pPr>
        <w:spacing w:after="0" w:line="310" w:lineRule="atLeast"/>
        <w:jc w:val="both"/>
        <w:rPr>
          <w:sz w:val="21"/>
        </w:rPr>
        <w:sectPr>
          <w:pgSz w:w="11910" w:h="16840"/>
          <w:pgMar w:header="0" w:footer="353" w:top="112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013"/>
        <w:gridCol w:w="7554"/>
      </w:tblGrid>
      <w:tr>
        <w:trPr>
          <w:trHeight w:val="469" w:hRule="atLeast"/>
        </w:trPr>
        <w:tc>
          <w:tcPr>
            <w:tcW w:w="683" w:type="dxa"/>
            <w:tcBorders>
              <w:bottom w:val="single" w:sz="4" w:space="0" w:color="000000"/>
            </w:tcBorders>
          </w:tcPr>
          <w:p>
            <w:pPr>
              <w:pStyle w:val="TableParagraph"/>
              <w:spacing w:line="418" w:lineRule="exact"/>
              <w:ind w:left="107"/>
              <w:rPr>
                <w:rFonts w:ascii="Arial" w:hAnsi="Arial"/>
                <w:b/>
                <w:sz w:val="40"/>
              </w:rPr>
            </w:pPr>
            <w:r>
              <w:rPr>
                <w:rFonts w:ascii="Arial" w:hAnsi="Arial"/>
                <w:b/>
                <w:w w:val="119"/>
                <w:sz w:val="40"/>
              </w:rPr>
              <w:t></w:t>
            </w:r>
          </w:p>
        </w:tc>
        <w:tc>
          <w:tcPr>
            <w:tcW w:w="9567" w:type="dxa"/>
            <w:gridSpan w:val="2"/>
            <w:tcBorders>
              <w:bottom w:val="single" w:sz="4" w:space="0" w:color="000000"/>
            </w:tcBorders>
          </w:tcPr>
          <w:p>
            <w:pPr>
              <w:pStyle w:val="TableParagraph"/>
              <w:spacing w:line="298" w:lineRule="exact"/>
              <w:ind w:left="217"/>
              <w:rPr>
                <w:b/>
                <w:sz w:val="24"/>
              </w:rPr>
            </w:pPr>
            <w:r>
              <w:rPr>
                <w:b/>
                <w:w w:val="95"/>
                <w:sz w:val="24"/>
              </w:rPr>
              <w:t>明确说明与如实告知</w:t>
            </w:r>
          </w:p>
        </w:tc>
      </w:tr>
      <w:tr>
        <w:trPr>
          <w:trHeight w:val="1891" w:hRule="atLeast"/>
        </w:trPr>
        <w:tc>
          <w:tcPr>
            <w:tcW w:w="683" w:type="dxa"/>
            <w:tcBorders>
              <w:top w:val="single" w:sz="4" w:space="0" w:color="000000"/>
            </w:tcBorders>
          </w:tcPr>
          <w:p>
            <w:pPr>
              <w:pStyle w:val="TableParagraph"/>
              <w:spacing w:before="3"/>
              <w:ind w:left="0"/>
              <w:rPr>
                <w:sz w:val="15"/>
              </w:rPr>
            </w:pPr>
          </w:p>
          <w:p>
            <w:pPr>
              <w:pStyle w:val="TableParagraph"/>
              <w:ind w:left="107"/>
              <w:rPr>
                <w:b/>
                <w:sz w:val="21"/>
              </w:rPr>
            </w:pPr>
            <w:r>
              <w:rPr>
                <w:b/>
                <w:sz w:val="21"/>
              </w:rPr>
              <w:t>8.1</w:t>
            </w:r>
          </w:p>
        </w:tc>
        <w:tc>
          <w:tcPr>
            <w:tcW w:w="2013" w:type="dxa"/>
            <w:tcBorders>
              <w:top w:val="single" w:sz="4" w:space="0" w:color="000000"/>
            </w:tcBorders>
          </w:tcPr>
          <w:p>
            <w:pPr>
              <w:pStyle w:val="TableParagraph"/>
              <w:spacing w:before="3"/>
              <w:ind w:left="0"/>
              <w:rPr>
                <w:sz w:val="15"/>
              </w:rPr>
            </w:pPr>
          </w:p>
          <w:p>
            <w:pPr>
              <w:pStyle w:val="TableParagraph"/>
              <w:ind w:left="217"/>
              <w:rPr>
                <w:b/>
                <w:sz w:val="21"/>
              </w:rPr>
            </w:pPr>
            <w:r>
              <w:rPr>
                <w:b/>
                <w:sz w:val="21"/>
              </w:rPr>
              <w:t>明确说明</w:t>
            </w:r>
          </w:p>
        </w:tc>
        <w:tc>
          <w:tcPr>
            <w:tcW w:w="7554" w:type="dxa"/>
            <w:tcBorders>
              <w:top w:val="single" w:sz="4" w:space="0" w:color="000000"/>
            </w:tcBorders>
          </w:tcPr>
          <w:p>
            <w:pPr>
              <w:pStyle w:val="TableParagraph"/>
              <w:spacing w:before="3"/>
              <w:ind w:left="0"/>
              <w:rPr>
                <w:sz w:val="15"/>
              </w:rPr>
            </w:pPr>
          </w:p>
          <w:p>
            <w:pPr>
              <w:pStyle w:val="TableParagraph"/>
              <w:ind w:left="129"/>
              <w:rPr>
                <w:sz w:val="21"/>
              </w:rPr>
            </w:pPr>
            <w:r>
              <w:rPr>
                <w:sz w:val="21"/>
              </w:rPr>
              <w:t>一、订立本合同时，我们应向投保人说明本合同的内容。</w:t>
            </w:r>
          </w:p>
          <w:p>
            <w:pPr>
              <w:pStyle w:val="TableParagraph"/>
              <w:spacing w:line="273" w:lineRule="auto" w:before="37"/>
              <w:ind w:left="549" w:right="101" w:hanging="421"/>
              <w:jc w:val="both"/>
              <w:rPr>
                <w:sz w:val="21"/>
              </w:rPr>
            </w:pPr>
            <w:r>
              <w:rPr>
                <w:spacing w:val="-5"/>
                <w:sz w:val="21"/>
              </w:rPr>
              <w:t>二、对保险条款中免除我们责任的条款，我们在订立合同时应当在投保单、保险</w:t>
            </w:r>
            <w:r>
              <w:rPr>
                <w:spacing w:val="-6"/>
                <w:sz w:val="21"/>
              </w:rPr>
              <w:t>单或其他保险凭证上作出足以引起投保人注意的提示，并对该条款的内容以书面或口头形式向投保人作出明确说明，未作提示或明确说明的，该条款不</w:t>
            </w:r>
            <w:r>
              <w:rPr>
                <w:spacing w:val="-2"/>
                <w:sz w:val="21"/>
              </w:rPr>
              <w:t>产生效力。</w:t>
            </w:r>
          </w:p>
        </w:tc>
      </w:tr>
      <w:tr>
        <w:trPr>
          <w:trHeight w:val="3971" w:hRule="atLeast"/>
        </w:trPr>
        <w:tc>
          <w:tcPr>
            <w:tcW w:w="683" w:type="dxa"/>
          </w:tcPr>
          <w:p>
            <w:pPr>
              <w:pStyle w:val="TableParagraph"/>
              <w:spacing w:before="96"/>
              <w:ind w:left="107"/>
              <w:rPr>
                <w:b/>
                <w:sz w:val="21"/>
              </w:rPr>
            </w:pPr>
            <w:r>
              <w:rPr>
                <w:b/>
                <w:sz w:val="21"/>
              </w:rPr>
              <w:t>8.2</w:t>
            </w:r>
          </w:p>
        </w:tc>
        <w:tc>
          <w:tcPr>
            <w:tcW w:w="2013" w:type="dxa"/>
          </w:tcPr>
          <w:p>
            <w:pPr>
              <w:pStyle w:val="TableParagraph"/>
              <w:spacing w:before="96"/>
              <w:ind w:left="217"/>
              <w:rPr>
                <w:b/>
                <w:sz w:val="21"/>
              </w:rPr>
            </w:pPr>
            <w:r>
              <w:rPr>
                <w:b/>
                <w:sz w:val="21"/>
              </w:rPr>
              <w:t>如实告知</w:t>
            </w:r>
          </w:p>
        </w:tc>
        <w:tc>
          <w:tcPr>
            <w:tcW w:w="7554" w:type="dxa"/>
          </w:tcPr>
          <w:p>
            <w:pPr>
              <w:pStyle w:val="TableParagraph"/>
              <w:spacing w:line="273" w:lineRule="auto" w:before="96"/>
              <w:ind w:left="129" w:right="101"/>
              <w:rPr>
                <w:sz w:val="21"/>
              </w:rPr>
            </w:pPr>
            <w:r>
              <w:rPr>
                <w:spacing w:val="-3"/>
                <w:sz w:val="21"/>
              </w:rPr>
              <w:t>一、我们就投保人和被保险人的有关情况提出询问的，投保人应当如实告知。 </w:t>
            </w:r>
            <w:r>
              <w:rPr>
                <w:spacing w:val="-5"/>
                <w:sz w:val="21"/>
              </w:rPr>
              <w:t>二、若投保人故意或因重大过失未履行前款规定的如实告知义务，足以影响我们</w:t>
            </w:r>
          </w:p>
          <w:p>
            <w:pPr>
              <w:pStyle w:val="TableParagraph"/>
              <w:spacing w:line="261" w:lineRule="auto" w:before="7"/>
              <w:ind w:left="129" w:right="103" w:firstLine="420"/>
              <w:rPr>
                <w:rFonts w:ascii="黑体" w:eastAsia="黑体" w:hint="eastAsia"/>
                <w:b/>
                <w:i/>
                <w:sz w:val="22"/>
              </w:rPr>
            </w:pPr>
            <w:r>
              <w:rPr>
                <w:spacing w:val="-3"/>
                <w:sz w:val="21"/>
              </w:rPr>
              <w:t>决定是否同意承保或提高保险费率的，我们有权解除或部分解除本合同。 </w:t>
            </w:r>
            <w:r>
              <w:rPr>
                <w:spacing w:val="-1"/>
                <w:w w:val="95"/>
                <w:sz w:val="21"/>
              </w:rPr>
              <w:t>三、</w:t>
            </w:r>
            <w:r>
              <w:rPr>
                <w:rFonts w:ascii="黑体" w:eastAsia="黑体" w:hint="eastAsia"/>
                <w:b/>
                <w:i/>
                <w:spacing w:val="-7"/>
                <w:w w:val="95"/>
                <w:sz w:val="22"/>
              </w:rPr>
              <w:t>若投保人故意不履行如实告知义务，对于本合同解除或部分解除前发</w:t>
            </w:r>
            <w:r>
              <w:rPr>
                <w:rFonts w:ascii="黑体" w:eastAsia="黑体" w:hint="eastAsia"/>
                <w:b/>
                <w:i/>
                <w:w w:val="95"/>
                <w:sz w:val="22"/>
              </w:rPr>
              <w:t>Th的保</w:t>
            </w:r>
          </w:p>
          <w:p>
            <w:pPr>
              <w:pStyle w:val="TableParagraph"/>
              <w:spacing w:line="259" w:lineRule="auto" w:before="3"/>
              <w:ind w:left="549" w:right="103"/>
              <w:rPr>
                <w:sz w:val="21"/>
              </w:rPr>
            </w:pPr>
            <w:r>
              <w:rPr>
                <w:rFonts w:ascii="黑体" w:eastAsia="黑体" w:hint="eastAsia"/>
                <w:b/>
                <w:i/>
                <w:spacing w:val="-8"/>
                <w:w w:val="95"/>
                <w:sz w:val="22"/>
              </w:rPr>
              <w:t>险事故，我们对本合同解除或部分解除所涉及的全部或部分被保险人不承担给付保险金的责任</w:t>
            </w:r>
            <w:r>
              <w:rPr>
                <w:spacing w:val="-3"/>
                <w:w w:val="95"/>
                <w:sz w:val="21"/>
              </w:rPr>
              <w:t>，并不退还保险费。</w:t>
            </w:r>
          </w:p>
          <w:p>
            <w:pPr>
              <w:pStyle w:val="TableParagraph"/>
              <w:spacing w:line="264" w:lineRule="auto" w:before="6"/>
              <w:ind w:left="549" w:right="101" w:hanging="421"/>
              <w:jc w:val="both"/>
              <w:rPr>
                <w:sz w:val="21"/>
              </w:rPr>
            </w:pPr>
            <w:r>
              <w:rPr>
                <w:w w:val="95"/>
                <w:sz w:val="21"/>
              </w:rPr>
              <w:t>四、</w:t>
            </w:r>
            <w:r>
              <w:rPr>
                <w:rFonts w:ascii="黑体" w:eastAsia="黑体" w:hint="eastAsia"/>
                <w:b/>
                <w:i/>
                <w:w w:val="95"/>
                <w:sz w:val="22"/>
              </w:rPr>
              <w:t>若投保人因重大过失未履行如实告知义务，对保险事故的发Th</w:t>
            </w:r>
            <w:r>
              <w:rPr>
                <w:rFonts w:ascii="黑体" w:eastAsia="黑体" w:hint="eastAsia"/>
                <w:b/>
                <w:i/>
                <w:spacing w:val="1"/>
                <w:w w:val="95"/>
                <w:sz w:val="22"/>
              </w:rPr>
              <w:t>有严重影响</w:t>
            </w:r>
            <w:r>
              <w:rPr>
                <w:rFonts w:ascii="黑体" w:eastAsia="黑体" w:hint="eastAsia"/>
                <w:b/>
                <w:i/>
                <w:spacing w:val="-6"/>
                <w:w w:val="95"/>
                <w:sz w:val="22"/>
              </w:rPr>
              <w:t>的，对于本合同解除或部分解除前发</w:t>
            </w:r>
            <w:r>
              <w:rPr>
                <w:rFonts w:ascii="黑体" w:eastAsia="黑体" w:hint="eastAsia"/>
                <w:b/>
                <w:i/>
                <w:w w:val="95"/>
                <w:sz w:val="22"/>
              </w:rPr>
              <w:t>Th</w:t>
            </w:r>
            <w:r>
              <w:rPr>
                <w:rFonts w:ascii="黑体" w:eastAsia="黑体" w:hint="eastAsia"/>
                <w:b/>
                <w:i/>
                <w:spacing w:val="-6"/>
                <w:w w:val="95"/>
                <w:sz w:val="22"/>
              </w:rPr>
              <w:t>的保险事故，我们对本合同解除或部分解除所涉及的全部或部分被保险人不承担给付保险金的责任</w:t>
            </w:r>
            <w:r>
              <w:rPr>
                <w:spacing w:val="-12"/>
                <w:w w:val="95"/>
                <w:sz w:val="21"/>
              </w:rPr>
              <w:t>，但应当退还</w:t>
            </w:r>
            <w:r>
              <w:rPr>
                <w:spacing w:val="-6"/>
                <w:sz w:val="21"/>
              </w:rPr>
              <w:t>相应的保险费。</w:t>
            </w:r>
          </w:p>
          <w:p>
            <w:pPr>
              <w:pStyle w:val="TableParagraph"/>
              <w:spacing w:line="273" w:lineRule="auto" w:before="16"/>
              <w:ind w:left="549" w:right="104" w:hanging="421"/>
              <w:jc w:val="both"/>
              <w:rPr>
                <w:sz w:val="21"/>
              </w:rPr>
            </w:pPr>
            <w:r>
              <w:rPr>
                <w:sz w:val="21"/>
              </w:rPr>
              <w:t>五、我们在合同订立时已经知道投保人未如实告知的情况的，我们不得解除合同；发生保险事故的，我们承担给付保险金的责任。</w:t>
            </w:r>
          </w:p>
        </w:tc>
      </w:tr>
      <w:tr>
        <w:trPr>
          <w:trHeight w:val="1187" w:hRule="atLeast"/>
        </w:trPr>
        <w:tc>
          <w:tcPr>
            <w:tcW w:w="683" w:type="dxa"/>
          </w:tcPr>
          <w:p>
            <w:pPr>
              <w:pStyle w:val="TableParagraph"/>
              <w:spacing w:before="95"/>
              <w:ind w:left="107"/>
              <w:rPr>
                <w:b/>
                <w:sz w:val="21"/>
              </w:rPr>
            </w:pPr>
            <w:r>
              <w:rPr>
                <w:b/>
                <w:sz w:val="21"/>
              </w:rPr>
              <w:t>8.3</w:t>
            </w:r>
          </w:p>
        </w:tc>
        <w:tc>
          <w:tcPr>
            <w:tcW w:w="2013" w:type="dxa"/>
          </w:tcPr>
          <w:p>
            <w:pPr>
              <w:pStyle w:val="TableParagraph"/>
              <w:spacing w:line="273" w:lineRule="auto" w:before="95"/>
              <w:ind w:left="217" w:right="103"/>
              <w:rPr>
                <w:b/>
                <w:sz w:val="21"/>
              </w:rPr>
            </w:pPr>
            <w:r>
              <w:rPr>
                <w:b/>
                <w:sz w:val="21"/>
              </w:rPr>
              <w:t>本公司合同解除权的限制</w:t>
            </w:r>
          </w:p>
        </w:tc>
        <w:tc>
          <w:tcPr>
            <w:tcW w:w="7554" w:type="dxa"/>
          </w:tcPr>
          <w:p>
            <w:pPr>
              <w:pStyle w:val="TableParagraph"/>
              <w:spacing w:before="95"/>
              <w:ind w:left="129"/>
              <w:rPr>
                <w:sz w:val="21"/>
              </w:rPr>
            </w:pPr>
            <w:r>
              <w:rPr>
                <w:sz w:val="21"/>
              </w:rPr>
              <w:t>前款约定的合同解除权，自我们知道有解除事由之日起，超过 30 日不行使而消</w:t>
            </w:r>
          </w:p>
          <w:p>
            <w:pPr>
              <w:pStyle w:val="TableParagraph"/>
              <w:spacing w:line="273" w:lineRule="auto" w:before="37"/>
              <w:ind w:left="129" w:right="103"/>
              <w:rPr>
                <w:sz w:val="21"/>
              </w:rPr>
            </w:pPr>
            <w:r>
              <w:rPr>
                <w:spacing w:val="-7"/>
                <w:sz w:val="21"/>
              </w:rPr>
              <w:t>灭。自本合同成立之日起超过 </w:t>
            </w:r>
            <w:r>
              <w:rPr>
                <w:sz w:val="21"/>
              </w:rPr>
              <w:t>2</w:t>
            </w:r>
            <w:r>
              <w:rPr>
                <w:spacing w:val="-10"/>
                <w:sz w:val="21"/>
              </w:rPr>
              <w:t> 年的，我们不得解除合同；发生保险事故的，我</w:t>
            </w:r>
            <w:r>
              <w:rPr>
                <w:spacing w:val="-5"/>
                <w:sz w:val="21"/>
              </w:rPr>
              <w:t>们承担给付保险金的责任。</w:t>
            </w:r>
          </w:p>
        </w:tc>
      </w:tr>
      <w:tr>
        <w:trPr>
          <w:trHeight w:val="732" w:hRule="atLeast"/>
        </w:trPr>
        <w:tc>
          <w:tcPr>
            <w:tcW w:w="683" w:type="dxa"/>
          </w:tcPr>
          <w:p>
            <w:pPr>
              <w:pStyle w:val="TableParagraph"/>
              <w:spacing w:before="147"/>
              <w:ind w:left="107"/>
              <w:rPr>
                <w:rFonts w:ascii="Arial" w:hAnsi="Arial"/>
                <w:b/>
                <w:sz w:val="40"/>
              </w:rPr>
            </w:pPr>
            <w:r>
              <w:rPr>
                <w:rFonts w:ascii="Arial" w:hAnsi="Arial"/>
                <w:b/>
                <w:w w:val="119"/>
                <w:sz w:val="40"/>
              </w:rPr>
              <w:t></w:t>
            </w:r>
          </w:p>
        </w:tc>
        <w:tc>
          <w:tcPr>
            <w:tcW w:w="9567" w:type="dxa"/>
            <w:gridSpan w:val="2"/>
          </w:tcPr>
          <w:p>
            <w:pPr>
              <w:pStyle w:val="TableParagraph"/>
              <w:spacing w:before="130"/>
              <w:ind w:left="217"/>
              <w:rPr>
                <w:b/>
                <w:sz w:val="24"/>
              </w:rPr>
            </w:pPr>
            <w:r>
              <w:rPr>
                <w:b/>
                <w:w w:val="95"/>
                <w:sz w:val="24"/>
              </w:rPr>
              <w:t>其他需要关注的事项</w:t>
            </w:r>
          </w:p>
        </w:tc>
      </w:tr>
      <w:tr>
        <w:trPr>
          <w:trHeight w:val="3927" w:hRule="atLeast"/>
        </w:trPr>
        <w:tc>
          <w:tcPr>
            <w:tcW w:w="683" w:type="dxa"/>
          </w:tcPr>
          <w:p>
            <w:pPr>
              <w:pStyle w:val="TableParagraph"/>
              <w:spacing w:before="52"/>
              <w:ind w:left="107"/>
              <w:rPr>
                <w:b/>
                <w:sz w:val="21"/>
              </w:rPr>
            </w:pPr>
            <w:r>
              <w:rPr>
                <w:b/>
                <w:sz w:val="21"/>
              </w:rPr>
              <w:t>9.1</w:t>
            </w:r>
          </w:p>
        </w:tc>
        <w:tc>
          <w:tcPr>
            <w:tcW w:w="2013" w:type="dxa"/>
          </w:tcPr>
          <w:p>
            <w:pPr>
              <w:pStyle w:val="TableParagraph"/>
              <w:spacing w:before="52"/>
              <w:ind w:left="217"/>
              <w:rPr>
                <w:b/>
                <w:sz w:val="21"/>
              </w:rPr>
            </w:pPr>
            <w:r>
              <w:rPr>
                <w:b/>
                <w:sz w:val="21"/>
              </w:rPr>
              <w:t>年龄错误</w:t>
            </w:r>
          </w:p>
        </w:tc>
        <w:tc>
          <w:tcPr>
            <w:tcW w:w="7554" w:type="dxa"/>
          </w:tcPr>
          <w:p>
            <w:pPr>
              <w:pStyle w:val="TableParagraph"/>
              <w:spacing w:line="273" w:lineRule="auto" w:before="52"/>
              <w:ind w:left="117" w:right="139"/>
              <w:rPr>
                <w:sz w:val="21"/>
              </w:rPr>
            </w:pPr>
            <w:r>
              <w:rPr>
                <w:spacing w:val="-9"/>
                <w:sz w:val="21"/>
              </w:rPr>
              <w:t>投保人在申请投保时，应将与有效身份证件相符的被保险人的出生日期在投保单</w:t>
            </w:r>
            <w:r>
              <w:rPr>
                <w:spacing w:val="-5"/>
                <w:sz w:val="21"/>
              </w:rPr>
              <w:t>上填明，若发生错误按照下列方式办理：</w:t>
            </w:r>
          </w:p>
          <w:p>
            <w:pPr>
              <w:pStyle w:val="TableParagraph"/>
              <w:spacing w:line="273" w:lineRule="auto" w:before="7"/>
              <w:ind w:left="573" w:right="139" w:hanging="457"/>
              <w:jc w:val="both"/>
              <w:rPr>
                <w:sz w:val="21"/>
              </w:rPr>
            </w:pPr>
            <w:r>
              <w:rPr>
                <w:spacing w:val="-12"/>
                <w:sz w:val="21"/>
              </w:rPr>
              <w:t>(一) 投保人申报的被保险人年龄不真实，并且其真实年龄不符合本合同约定的投保年龄限制的，在保险事故发生之前我们有权终止对该被保险人的保险责</w:t>
            </w:r>
            <w:r>
              <w:rPr>
                <w:spacing w:val="-11"/>
                <w:sz w:val="21"/>
              </w:rPr>
              <w:t>任，并向投保人退还本合同下该被保险人的现金价值。我们行使合同解除权</w:t>
            </w:r>
            <w:r>
              <w:rPr>
                <w:spacing w:val="-6"/>
                <w:sz w:val="21"/>
              </w:rPr>
              <w:t>适用“本公司合同解除权的限制”的约定。</w:t>
            </w:r>
          </w:p>
          <w:p>
            <w:pPr>
              <w:pStyle w:val="TableParagraph"/>
              <w:spacing w:line="273" w:lineRule="auto" w:before="7"/>
              <w:ind w:left="573" w:right="139" w:hanging="457"/>
              <w:jc w:val="both"/>
              <w:rPr>
                <w:sz w:val="21"/>
              </w:rPr>
            </w:pPr>
            <w:r>
              <w:rPr>
                <w:spacing w:val="-12"/>
                <w:sz w:val="21"/>
              </w:rPr>
              <w:t>(二) 投保人申报的被保险人年龄不真实，致使投保人实交保险费少于应交保险费</w:t>
            </w:r>
            <w:r>
              <w:rPr>
                <w:spacing w:val="-11"/>
                <w:sz w:val="21"/>
              </w:rPr>
              <w:t>的，我们有权更正并要求投保人补交本合同下该被保险人的保险费。若已经发生保险事故，我们在给付保险金时按实交保险费与应交保险费的比例给付。</w:t>
            </w:r>
          </w:p>
          <w:p>
            <w:pPr>
              <w:pStyle w:val="TableParagraph"/>
              <w:spacing w:line="273" w:lineRule="auto" w:before="7"/>
              <w:ind w:left="573" w:right="139" w:hanging="457"/>
              <w:jc w:val="both"/>
              <w:rPr>
                <w:sz w:val="21"/>
              </w:rPr>
            </w:pPr>
            <w:r>
              <w:rPr>
                <w:spacing w:val="-12"/>
                <w:sz w:val="21"/>
              </w:rPr>
              <w:t>(三) 投保人申报的被保险人年龄不真实，致使投保人实交保险费多于应交保险费</w:t>
            </w:r>
            <w:r>
              <w:rPr>
                <w:spacing w:val="-3"/>
                <w:sz w:val="21"/>
              </w:rPr>
              <w:t>的，我们会将多收的本合同下该被保险人的保险费退还给投保人。</w:t>
            </w:r>
          </w:p>
        </w:tc>
      </w:tr>
      <w:tr>
        <w:trPr>
          <w:trHeight w:val="2247" w:hRule="atLeast"/>
        </w:trPr>
        <w:tc>
          <w:tcPr>
            <w:tcW w:w="683" w:type="dxa"/>
          </w:tcPr>
          <w:p>
            <w:pPr>
              <w:pStyle w:val="TableParagraph"/>
              <w:spacing w:before="95"/>
              <w:ind w:left="117"/>
              <w:rPr>
                <w:b/>
                <w:sz w:val="21"/>
              </w:rPr>
            </w:pPr>
            <w:r>
              <w:rPr>
                <w:b/>
                <w:sz w:val="21"/>
              </w:rPr>
              <w:t>9.2</w:t>
            </w:r>
          </w:p>
        </w:tc>
        <w:tc>
          <w:tcPr>
            <w:tcW w:w="2013" w:type="dxa"/>
          </w:tcPr>
          <w:p>
            <w:pPr>
              <w:pStyle w:val="TableParagraph"/>
              <w:spacing w:before="95"/>
              <w:ind w:left="236"/>
              <w:rPr>
                <w:b/>
                <w:sz w:val="21"/>
              </w:rPr>
            </w:pPr>
            <w:r>
              <w:rPr>
                <w:b/>
                <w:sz w:val="21"/>
              </w:rPr>
              <w:t>减额交清</w:t>
            </w:r>
          </w:p>
        </w:tc>
        <w:tc>
          <w:tcPr>
            <w:tcW w:w="7554" w:type="dxa"/>
          </w:tcPr>
          <w:p>
            <w:pPr>
              <w:pStyle w:val="TableParagraph"/>
              <w:spacing w:line="273" w:lineRule="auto" w:before="95"/>
              <w:ind w:left="525" w:right="137" w:hanging="421"/>
              <w:jc w:val="both"/>
              <w:rPr>
                <w:sz w:val="21"/>
              </w:rPr>
            </w:pPr>
            <w:r>
              <w:rPr>
                <w:spacing w:val="-8"/>
                <w:sz w:val="21"/>
              </w:rPr>
              <w:t>一、在本合同有效期内，投保人可以以书面形式向我们申请对本合同下某一被保</w:t>
            </w:r>
            <w:r>
              <w:rPr>
                <w:spacing w:val="-10"/>
                <w:sz w:val="21"/>
              </w:rPr>
              <w:t>险人进行减额交清。经我们审核同意后，我们将以本合同宽限期开始前一日</w:t>
            </w:r>
            <w:r>
              <w:rPr>
                <w:sz w:val="21"/>
              </w:rPr>
              <w:t>本合同下该被保险人对应的现金价值扣除其对应的尚未偿还各项欠款之后</w:t>
            </w:r>
            <w:r>
              <w:rPr>
                <w:spacing w:val="-7"/>
                <w:sz w:val="21"/>
              </w:rPr>
              <w:t>的余额作为一次交清的保险费，重新计算本合同下该被保险人的基本保险金额。</w:t>
            </w:r>
          </w:p>
          <w:p>
            <w:pPr>
              <w:pStyle w:val="TableParagraph"/>
              <w:spacing w:line="312" w:lineRule="exact" w:before="3"/>
              <w:ind w:left="528" w:right="143" w:hanging="423"/>
              <w:jc w:val="both"/>
              <w:rPr>
                <w:rFonts w:ascii="黑体" w:eastAsia="黑体" w:hint="eastAsia"/>
                <w:b/>
                <w:i/>
                <w:sz w:val="22"/>
              </w:rPr>
            </w:pPr>
            <w:r>
              <w:rPr>
                <w:spacing w:val="-13"/>
                <w:w w:val="95"/>
                <w:sz w:val="21"/>
              </w:rPr>
              <w:t>二、</w:t>
            </w:r>
            <w:r>
              <w:rPr>
                <w:rFonts w:ascii="黑体" w:eastAsia="黑体" w:hint="eastAsia"/>
                <w:b/>
                <w:i/>
                <w:spacing w:val="-6"/>
                <w:w w:val="95"/>
                <w:sz w:val="22"/>
              </w:rPr>
              <w:t>减额交清后，本合同下该被保险人的基本保险金额会相应调整。投保人不需要为该被保险人再支付保险费，本合同其他条款继续有效。</w:t>
            </w:r>
          </w:p>
        </w:tc>
      </w:tr>
    </w:tbl>
    <w:p>
      <w:pPr>
        <w:rPr>
          <w:sz w:val="2"/>
          <w:szCs w:val="2"/>
        </w:rPr>
      </w:pPr>
      <w:r>
        <w:rPr/>
        <w:pict>
          <v:group style="position:absolute;margin-left:41.400002pt;margin-top:466.849976pt;width:510.6pt;height:.5pt;mso-position-horizontal-relative:page;mso-position-vertical-relative:page;z-index:-38776" coordorigin="828,9337" coordsize="10212,10">
            <v:line style="position:absolute" from="828,9342" to="1618,9342" stroked="true" strokeweight=".48001pt" strokecolor="#000000">
              <v:stroke dashstyle="solid"/>
            </v:line>
            <v:rect style="position:absolute;left:1618;top:9337;width:10;height:10" filled="true" fillcolor="#000000" stroked="false">
              <v:fill type="solid"/>
            </v:rect>
            <v:line style="position:absolute" from="1628,9342" to="3533,9342" stroked="true" strokeweight=".48001pt" strokecolor="#000000">
              <v:stroke dashstyle="solid"/>
            </v:line>
            <v:rect style="position:absolute;left:3533;top:9337;width:10;height:10" filled="true" fillcolor="#000000" stroked="false">
              <v:fill type="solid"/>
            </v:rect>
            <v:line style="position:absolute" from="3543,9342" to="11039,9342" stroked="true" strokeweight=".48001pt" strokecolor="#000000">
              <v:stroke dashstyle="solid"/>
            </v:line>
            <w10:wrap type="none"/>
          </v:group>
        </w:pict>
      </w:r>
    </w:p>
    <w:p>
      <w:pPr>
        <w:spacing w:after="0"/>
        <w:rPr>
          <w:sz w:val="2"/>
          <w:szCs w:val="2"/>
        </w:rPr>
        <w:sectPr>
          <w:pgSz w:w="11910" w:h="16840"/>
          <w:pgMar w:header="0" w:footer="353" w:top="122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986"/>
        <w:gridCol w:w="7548"/>
      </w:tblGrid>
      <w:tr>
        <w:trPr>
          <w:trHeight w:val="1312" w:hRule="atLeast"/>
        </w:trPr>
        <w:tc>
          <w:tcPr>
            <w:tcW w:w="715" w:type="dxa"/>
          </w:tcPr>
          <w:p>
            <w:pPr>
              <w:pStyle w:val="TableParagraph"/>
              <w:spacing w:line="205" w:lineRule="exact"/>
              <w:ind w:left="107"/>
              <w:rPr>
                <w:b/>
                <w:sz w:val="21"/>
              </w:rPr>
            </w:pPr>
            <w:r>
              <w:rPr>
                <w:b/>
                <w:sz w:val="21"/>
              </w:rPr>
              <w:t>9.3</w:t>
            </w:r>
          </w:p>
        </w:tc>
        <w:tc>
          <w:tcPr>
            <w:tcW w:w="1986" w:type="dxa"/>
          </w:tcPr>
          <w:p>
            <w:pPr>
              <w:pStyle w:val="TableParagraph"/>
              <w:spacing w:line="205" w:lineRule="exact"/>
              <w:ind w:left="185"/>
              <w:rPr>
                <w:b/>
                <w:sz w:val="21"/>
              </w:rPr>
            </w:pPr>
            <w:r>
              <w:rPr>
                <w:b/>
                <w:sz w:val="21"/>
              </w:rPr>
              <w:t>被保险人资料</w:t>
            </w:r>
          </w:p>
        </w:tc>
        <w:tc>
          <w:tcPr>
            <w:tcW w:w="7548" w:type="dxa"/>
          </w:tcPr>
          <w:p>
            <w:pPr>
              <w:pStyle w:val="TableParagraph"/>
              <w:spacing w:line="205" w:lineRule="exact"/>
              <w:ind w:left="112"/>
              <w:rPr>
                <w:sz w:val="21"/>
              </w:rPr>
            </w:pPr>
            <w:r>
              <w:rPr>
                <w:sz w:val="21"/>
              </w:rPr>
              <w:t>投保人在投保时应提供每一被保险人的个人资料、被保险人同意投保本保险的相</w:t>
            </w:r>
          </w:p>
          <w:p>
            <w:pPr>
              <w:pStyle w:val="TableParagraph"/>
              <w:spacing w:line="273" w:lineRule="auto" w:before="37"/>
              <w:ind w:left="112" w:right="138"/>
              <w:jc w:val="both"/>
              <w:rPr>
                <w:sz w:val="21"/>
              </w:rPr>
            </w:pPr>
            <w:r>
              <w:rPr>
                <w:spacing w:val="-6"/>
                <w:sz w:val="21"/>
              </w:rPr>
              <w:t>关书面证明文件以及其他与本合同有关的一切资料。被保险人的个人资料应详尽</w:t>
            </w:r>
            <w:r>
              <w:rPr>
                <w:spacing w:val="-10"/>
                <w:sz w:val="21"/>
              </w:rPr>
              <w:t>记录每一被保险人的姓名、性别、年龄、出生日期、职业、交费金额、保险金额</w:t>
            </w:r>
            <w:r>
              <w:rPr>
                <w:spacing w:val="-6"/>
                <w:sz w:val="21"/>
              </w:rPr>
              <w:t>等事项。</w:t>
            </w:r>
          </w:p>
        </w:tc>
      </w:tr>
      <w:tr>
        <w:trPr>
          <w:trHeight w:val="1162" w:hRule="atLeast"/>
        </w:trPr>
        <w:tc>
          <w:tcPr>
            <w:tcW w:w="715" w:type="dxa"/>
          </w:tcPr>
          <w:p>
            <w:pPr>
              <w:pStyle w:val="TableParagraph"/>
              <w:spacing w:before="94"/>
              <w:ind w:left="107"/>
              <w:rPr>
                <w:b/>
                <w:sz w:val="21"/>
              </w:rPr>
            </w:pPr>
            <w:r>
              <w:rPr>
                <w:b/>
                <w:sz w:val="21"/>
              </w:rPr>
              <w:t>9.4</w:t>
            </w:r>
          </w:p>
        </w:tc>
        <w:tc>
          <w:tcPr>
            <w:tcW w:w="1986" w:type="dxa"/>
          </w:tcPr>
          <w:p>
            <w:pPr>
              <w:pStyle w:val="TableParagraph"/>
              <w:spacing w:before="94"/>
              <w:ind w:left="185"/>
              <w:rPr>
                <w:b/>
                <w:sz w:val="21"/>
              </w:rPr>
            </w:pPr>
            <w:r>
              <w:rPr>
                <w:b/>
                <w:sz w:val="21"/>
              </w:rPr>
              <w:t>未还款项</w:t>
            </w:r>
          </w:p>
        </w:tc>
        <w:tc>
          <w:tcPr>
            <w:tcW w:w="7548" w:type="dxa"/>
          </w:tcPr>
          <w:p>
            <w:pPr>
              <w:pStyle w:val="TableParagraph"/>
              <w:spacing w:line="273" w:lineRule="auto" w:before="94"/>
              <w:ind w:left="112" w:right="138"/>
              <w:jc w:val="both"/>
              <w:rPr>
                <w:sz w:val="21"/>
              </w:rPr>
            </w:pPr>
            <w:r>
              <w:rPr>
                <w:spacing w:val="-6"/>
                <w:sz w:val="21"/>
              </w:rPr>
              <w:t>我们在给付各项保险金或退还现金价值时，若投保人有欠交的保险费</w:t>
            </w:r>
            <w:r>
              <w:rPr>
                <w:spacing w:val="-3"/>
                <w:sz w:val="21"/>
              </w:rPr>
              <w:t>（</w:t>
            </w:r>
            <w:r>
              <w:rPr>
                <w:spacing w:val="-2"/>
                <w:sz w:val="21"/>
              </w:rPr>
              <w:t>包含宽限</w:t>
            </w:r>
            <w:r>
              <w:rPr>
                <w:spacing w:val="-3"/>
                <w:sz w:val="21"/>
              </w:rPr>
              <w:t>期内欠交的保险费</w:t>
            </w:r>
            <w:r>
              <w:rPr>
                <w:spacing w:val="-34"/>
                <w:sz w:val="21"/>
              </w:rPr>
              <w:t>）</w:t>
            </w:r>
            <w:r>
              <w:rPr>
                <w:spacing w:val="-5"/>
                <w:sz w:val="21"/>
              </w:rPr>
              <w:t>及其利息或其他未还款项及其利息，我们将在投保人偿清上</w:t>
            </w:r>
            <w:r>
              <w:rPr>
                <w:spacing w:val="-3"/>
                <w:sz w:val="21"/>
              </w:rPr>
              <w:t>述款项及相关利息后支付保险金和退还现金价值。</w:t>
            </w:r>
          </w:p>
        </w:tc>
      </w:tr>
      <w:tr>
        <w:trPr>
          <w:trHeight w:val="2124" w:hRule="atLeast"/>
        </w:trPr>
        <w:tc>
          <w:tcPr>
            <w:tcW w:w="715" w:type="dxa"/>
          </w:tcPr>
          <w:p>
            <w:pPr>
              <w:pStyle w:val="TableParagraph"/>
              <w:spacing w:before="93"/>
              <w:ind w:left="107"/>
              <w:rPr>
                <w:b/>
                <w:sz w:val="21"/>
              </w:rPr>
            </w:pPr>
            <w:r>
              <w:rPr>
                <w:b/>
                <w:sz w:val="21"/>
              </w:rPr>
              <w:t>9.5</w:t>
            </w:r>
          </w:p>
        </w:tc>
        <w:tc>
          <w:tcPr>
            <w:tcW w:w="1986" w:type="dxa"/>
          </w:tcPr>
          <w:p>
            <w:pPr>
              <w:pStyle w:val="TableParagraph"/>
              <w:spacing w:before="93"/>
              <w:ind w:left="185"/>
              <w:rPr>
                <w:b/>
                <w:sz w:val="21"/>
              </w:rPr>
            </w:pPr>
            <w:r>
              <w:rPr>
                <w:b/>
                <w:sz w:val="21"/>
              </w:rPr>
              <w:t>争议处理</w:t>
            </w:r>
          </w:p>
        </w:tc>
        <w:tc>
          <w:tcPr>
            <w:tcW w:w="7548" w:type="dxa"/>
          </w:tcPr>
          <w:p>
            <w:pPr>
              <w:pStyle w:val="TableParagraph"/>
              <w:spacing w:line="273" w:lineRule="auto" w:before="93"/>
              <w:ind w:left="112" w:right="138"/>
              <w:rPr>
                <w:sz w:val="21"/>
              </w:rPr>
            </w:pPr>
            <w:r>
              <w:rPr>
                <w:spacing w:val="-7"/>
                <w:sz w:val="21"/>
              </w:rPr>
              <w:t>在本合同履行过程中发生任何争议，当事人应根据本合同约定选择下列两种方式</w:t>
            </w:r>
            <w:r>
              <w:rPr>
                <w:spacing w:val="-5"/>
                <w:sz w:val="21"/>
              </w:rPr>
              <w:t>之一予以解决：</w:t>
            </w:r>
          </w:p>
          <w:p>
            <w:pPr>
              <w:pStyle w:val="TableParagraph"/>
              <w:spacing w:line="273" w:lineRule="auto" w:before="7"/>
              <w:ind w:left="568" w:right="138" w:hanging="457"/>
              <w:rPr>
                <w:sz w:val="21"/>
              </w:rPr>
            </w:pPr>
            <w:r>
              <w:rPr>
                <w:spacing w:val="-11"/>
                <w:sz w:val="21"/>
              </w:rPr>
              <w:t>(一) 因履行本合同发生的争议，由当事人协商解决，协商不成的，提交双方共同</w:t>
            </w:r>
            <w:r>
              <w:rPr>
                <w:spacing w:val="-6"/>
                <w:sz w:val="21"/>
              </w:rPr>
              <w:t>选定的仲裁委员会，按其当时有效的仲裁规则仲裁解决。</w:t>
            </w:r>
          </w:p>
          <w:p>
            <w:pPr>
              <w:pStyle w:val="TableParagraph"/>
              <w:spacing w:line="273" w:lineRule="auto" w:before="7"/>
              <w:ind w:left="568" w:right="138" w:hanging="457"/>
              <w:rPr>
                <w:sz w:val="21"/>
              </w:rPr>
            </w:pPr>
            <w:r>
              <w:rPr>
                <w:spacing w:val="-11"/>
                <w:sz w:val="21"/>
              </w:rPr>
              <w:t>(二) 因履行本合同发生的争议，由当事人协商解决，协商不成的，依法向本合同</w:t>
            </w:r>
            <w:r>
              <w:rPr>
                <w:spacing w:val="-6"/>
                <w:sz w:val="21"/>
              </w:rPr>
              <w:t>签发地有管辖权的人民法院起诉。</w:t>
            </w:r>
          </w:p>
        </w:tc>
      </w:tr>
      <w:tr>
        <w:trPr>
          <w:trHeight w:val="711" w:hRule="atLeast"/>
        </w:trPr>
        <w:tc>
          <w:tcPr>
            <w:tcW w:w="715" w:type="dxa"/>
            <w:tcBorders>
              <w:bottom w:val="single" w:sz="8" w:space="0" w:color="000000"/>
            </w:tcBorders>
          </w:tcPr>
          <w:p>
            <w:pPr>
              <w:pStyle w:val="TableParagraph"/>
              <w:spacing w:before="146"/>
              <w:ind w:left="107"/>
              <w:rPr>
                <w:rFonts w:ascii="Arial" w:hAnsi="Arial"/>
                <w:b/>
                <w:sz w:val="40"/>
              </w:rPr>
            </w:pPr>
            <w:r>
              <w:rPr>
                <w:rFonts w:ascii="Arial" w:hAnsi="Arial"/>
                <w:b/>
                <w:w w:val="119"/>
                <w:sz w:val="40"/>
              </w:rPr>
              <w:t></w:t>
            </w:r>
          </w:p>
        </w:tc>
        <w:tc>
          <w:tcPr>
            <w:tcW w:w="1986" w:type="dxa"/>
            <w:tcBorders>
              <w:bottom w:val="single" w:sz="8" w:space="0" w:color="000000"/>
            </w:tcBorders>
          </w:tcPr>
          <w:p>
            <w:pPr>
              <w:pStyle w:val="TableParagraph"/>
              <w:spacing w:before="197"/>
              <w:ind w:left="185"/>
              <w:rPr>
                <w:b/>
                <w:sz w:val="24"/>
              </w:rPr>
            </w:pPr>
            <w:r>
              <w:rPr>
                <w:b/>
                <w:sz w:val="24"/>
              </w:rPr>
              <w:t>释义</w:t>
            </w:r>
          </w:p>
        </w:tc>
        <w:tc>
          <w:tcPr>
            <w:tcW w:w="7548" w:type="dxa"/>
            <w:tcBorders>
              <w:bottom w:val="single" w:sz="8" w:space="0" w:color="000000"/>
            </w:tcBorders>
          </w:tcPr>
          <w:p>
            <w:pPr>
              <w:pStyle w:val="TableParagraph"/>
              <w:ind w:left="0"/>
              <w:rPr>
                <w:rFonts w:ascii="Times New Roman"/>
                <w:sz w:val="20"/>
              </w:rPr>
            </w:pPr>
          </w:p>
        </w:tc>
      </w:tr>
      <w:tr>
        <w:trPr>
          <w:trHeight w:val="944" w:hRule="atLeast"/>
        </w:trPr>
        <w:tc>
          <w:tcPr>
            <w:tcW w:w="715" w:type="dxa"/>
            <w:tcBorders>
              <w:top w:val="single" w:sz="8" w:space="0" w:color="000000"/>
            </w:tcBorders>
          </w:tcPr>
          <w:p>
            <w:pPr>
              <w:pStyle w:val="TableParagraph"/>
              <w:spacing w:before="4"/>
              <w:ind w:left="0"/>
              <w:rPr>
                <w:sz w:val="14"/>
              </w:rPr>
            </w:pPr>
          </w:p>
          <w:p>
            <w:pPr>
              <w:pStyle w:val="TableParagraph"/>
              <w:ind w:left="107"/>
              <w:rPr>
                <w:b/>
                <w:sz w:val="21"/>
              </w:rPr>
            </w:pPr>
            <w:r>
              <w:rPr>
                <w:b/>
                <w:sz w:val="21"/>
              </w:rPr>
              <w:t>10.1</w:t>
            </w:r>
          </w:p>
        </w:tc>
        <w:tc>
          <w:tcPr>
            <w:tcW w:w="1986" w:type="dxa"/>
            <w:tcBorders>
              <w:top w:val="single" w:sz="8" w:space="0" w:color="000000"/>
            </w:tcBorders>
          </w:tcPr>
          <w:p>
            <w:pPr>
              <w:pStyle w:val="TableParagraph"/>
              <w:spacing w:before="4"/>
              <w:ind w:left="0"/>
              <w:rPr>
                <w:sz w:val="14"/>
              </w:rPr>
            </w:pPr>
          </w:p>
          <w:p>
            <w:pPr>
              <w:pStyle w:val="TableParagraph"/>
              <w:ind w:left="185"/>
              <w:rPr>
                <w:b/>
                <w:sz w:val="21"/>
              </w:rPr>
            </w:pPr>
            <w:r>
              <w:rPr>
                <w:b/>
                <w:sz w:val="21"/>
              </w:rPr>
              <w:t>周岁</w:t>
            </w:r>
          </w:p>
        </w:tc>
        <w:tc>
          <w:tcPr>
            <w:tcW w:w="7548" w:type="dxa"/>
            <w:tcBorders>
              <w:top w:val="single" w:sz="8" w:space="0" w:color="000000"/>
            </w:tcBorders>
          </w:tcPr>
          <w:p>
            <w:pPr>
              <w:pStyle w:val="TableParagraph"/>
              <w:spacing w:before="4"/>
              <w:ind w:left="0"/>
              <w:rPr>
                <w:sz w:val="14"/>
              </w:rPr>
            </w:pPr>
          </w:p>
          <w:p>
            <w:pPr>
              <w:pStyle w:val="TableParagraph"/>
              <w:spacing w:line="273" w:lineRule="auto"/>
              <w:ind w:left="124" w:right="66"/>
              <w:rPr>
                <w:sz w:val="21"/>
              </w:rPr>
            </w:pPr>
            <w:r>
              <w:rPr>
                <w:sz w:val="21"/>
              </w:rPr>
              <w:t>指按法定身份证明文件中记载的出生日期计算的年龄，自出生之日起为零周岁， 每经过一年增加一岁，不足一年的不计。</w:t>
            </w:r>
          </w:p>
        </w:tc>
      </w:tr>
      <w:tr>
        <w:trPr>
          <w:trHeight w:val="540" w:hRule="atLeast"/>
        </w:trPr>
        <w:tc>
          <w:tcPr>
            <w:tcW w:w="715" w:type="dxa"/>
          </w:tcPr>
          <w:p>
            <w:pPr>
              <w:pStyle w:val="TableParagraph"/>
              <w:spacing w:before="94"/>
              <w:ind w:left="107"/>
              <w:rPr>
                <w:b/>
                <w:sz w:val="21"/>
              </w:rPr>
            </w:pPr>
            <w:r>
              <w:rPr>
                <w:b/>
                <w:sz w:val="21"/>
              </w:rPr>
              <w:t>10.2</w:t>
            </w:r>
          </w:p>
        </w:tc>
        <w:tc>
          <w:tcPr>
            <w:tcW w:w="1986" w:type="dxa"/>
          </w:tcPr>
          <w:p>
            <w:pPr>
              <w:pStyle w:val="TableParagraph"/>
              <w:spacing w:before="94"/>
              <w:ind w:left="185"/>
              <w:rPr>
                <w:b/>
                <w:sz w:val="21"/>
              </w:rPr>
            </w:pPr>
            <w:r>
              <w:rPr>
                <w:b/>
                <w:sz w:val="21"/>
              </w:rPr>
              <w:t>意外伤害</w:t>
            </w:r>
          </w:p>
        </w:tc>
        <w:tc>
          <w:tcPr>
            <w:tcW w:w="7548" w:type="dxa"/>
          </w:tcPr>
          <w:p>
            <w:pPr>
              <w:pStyle w:val="TableParagraph"/>
              <w:spacing w:before="94"/>
              <w:ind w:left="124" w:right="-15"/>
              <w:rPr>
                <w:sz w:val="21"/>
              </w:rPr>
            </w:pPr>
            <w:r>
              <w:rPr>
                <w:spacing w:val="-15"/>
                <w:sz w:val="21"/>
              </w:rPr>
              <w:t>指遭受外来的、突发的、非本意的、非疾病的客观事件直接致使身体受到的伤害。</w:t>
            </w:r>
          </w:p>
        </w:tc>
      </w:tr>
      <w:tr>
        <w:trPr>
          <w:trHeight w:val="2412" w:hRule="atLeast"/>
        </w:trPr>
        <w:tc>
          <w:tcPr>
            <w:tcW w:w="715" w:type="dxa"/>
          </w:tcPr>
          <w:p>
            <w:pPr>
              <w:pStyle w:val="TableParagraph"/>
              <w:spacing w:before="94"/>
              <w:ind w:left="107"/>
              <w:rPr>
                <w:b/>
                <w:sz w:val="21"/>
              </w:rPr>
            </w:pPr>
            <w:r>
              <w:rPr>
                <w:b/>
                <w:sz w:val="21"/>
              </w:rPr>
              <w:t>10.3</w:t>
            </w:r>
          </w:p>
        </w:tc>
        <w:tc>
          <w:tcPr>
            <w:tcW w:w="1986" w:type="dxa"/>
          </w:tcPr>
          <w:p>
            <w:pPr>
              <w:pStyle w:val="TableParagraph"/>
              <w:spacing w:line="273" w:lineRule="auto" w:before="94"/>
              <w:ind w:left="185" w:right="110"/>
              <w:rPr>
                <w:b/>
                <w:sz w:val="21"/>
              </w:rPr>
            </w:pPr>
            <w:r>
              <w:rPr>
                <w:b/>
                <w:sz w:val="21"/>
              </w:rPr>
              <w:t>初次患本合同所列的重大疾病</w:t>
            </w:r>
          </w:p>
        </w:tc>
        <w:tc>
          <w:tcPr>
            <w:tcW w:w="7548" w:type="dxa"/>
          </w:tcPr>
          <w:p>
            <w:pPr>
              <w:pStyle w:val="TableParagraph"/>
              <w:spacing w:before="94"/>
              <w:ind w:left="124"/>
              <w:rPr>
                <w:sz w:val="21"/>
              </w:rPr>
            </w:pPr>
            <w:r>
              <w:rPr>
                <w:sz w:val="21"/>
              </w:rPr>
              <w:t>指被保险人患同时符合以下条件的疾病：</w:t>
            </w:r>
          </w:p>
          <w:p>
            <w:pPr>
              <w:pStyle w:val="TableParagraph"/>
              <w:spacing w:before="37"/>
              <w:ind w:left="124"/>
              <w:rPr>
                <w:sz w:val="21"/>
              </w:rPr>
            </w:pPr>
            <w:r>
              <w:rPr>
                <w:sz w:val="21"/>
              </w:rPr>
              <w:t>（</w:t>
            </w:r>
            <w:r>
              <w:rPr>
                <w:rFonts w:ascii="Times New Roman" w:eastAsia="Times New Roman"/>
                <w:sz w:val="21"/>
              </w:rPr>
              <w:t>1</w:t>
            </w:r>
            <w:r>
              <w:rPr>
                <w:sz w:val="21"/>
              </w:rPr>
              <w:t>）被保险人自出生后首次出现疾病之症状体征；</w:t>
            </w:r>
          </w:p>
          <w:p>
            <w:pPr>
              <w:pStyle w:val="TableParagraph"/>
              <w:spacing w:before="21"/>
              <w:ind w:left="124" w:right="-15"/>
              <w:rPr>
                <w:sz w:val="21"/>
              </w:rPr>
            </w:pPr>
            <w:r>
              <w:rPr>
                <w:spacing w:val="-12"/>
                <w:sz w:val="21"/>
              </w:rPr>
              <w:t>（</w:t>
            </w:r>
            <w:r>
              <w:rPr>
                <w:rFonts w:ascii="Times New Roman" w:eastAsia="Times New Roman"/>
                <w:spacing w:val="-12"/>
                <w:sz w:val="21"/>
              </w:rPr>
              <w:t>2</w:t>
            </w:r>
            <w:r>
              <w:rPr>
                <w:spacing w:val="-12"/>
                <w:sz w:val="21"/>
              </w:rPr>
              <w:t>）</w:t>
            </w:r>
            <w:r>
              <w:rPr>
                <w:spacing w:val="-3"/>
                <w:sz w:val="21"/>
              </w:rPr>
              <w:t>被保险人在本合同有效期间内首次出现疾病之症状体征并被确诊患该疾病；</w:t>
            </w:r>
          </w:p>
          <w:p>
            <w:pPr>
              <w:pStyle w:val="TableParagraph"/>
              <w:spacing w:before="21"/>
              <w:ind w:left="124"/>
              <w:rPr>
                <w:sz w:val="21"/>
              </w:rPr>
            </w:pPr>
            <w:r>
              <w:rPr>
                <w:sz w:val="21"/>
              </w:rPr>
              <w:t>（</w:t>
            </w:r>
            <w:r>
              <w:rPr>
                <w:rFonts w:ascii="Times New Roman" w:eastAsia="Times New Roman"/>
                <w:sz w:val="21"/>
              </w:rPr>
              <w:t>3</w:t>
            </w:r>
            <w:r>
              <w:rPr>
                <w:sz w:val="21"/>
              </w:rPr>
              <w:t>）该疾病之症状体征符合本合同的定义；</w:t>
            </w:r>
          </w:p>
          <w:p>
            <w:pPr>
              <w:pStyle w:val="TableParagraph"/>
              <w:spacing w:before="21"/>
              <w:ind w:left="124"/>
              <w:rPr>
                <w:sz w:val="21"/>
              </w:rPr>
            </w:pPr>
            <w:r>
              <w:rPr>
                <w:sz w:val="21"/>
              </w:rPr>
              <w:t>（</w:t>
            </w:r>
            <w:r>
              <w:rPr>
                <w:rFonts w:ascii="Times New Roman" w:eastAsia="Times New Roman"/>
                <w:sz w:val="21"/>
              </w:rPr>
              <w:t>4</w:t>
            </w:r>
            <w:r>
              <w:rPr>
                <w:sz w:val="21"/>
              </w:rPr>
              <w:t>）该疾病已在本合同中列明。</w:t>
            </w:r>
          </w:p>
          <w:p>
            <w:pPr>
              <w:pStyle w:val="TableParagraph"/>
              <w:spacing w:line="259" w:lineRule="auto" w:before="9"/>
              <w:ind w:left="124" w:right="254"/>
              <w:rPr>
                <w:sz w:val="21"/>
              </w:rPr>
            </w:pPr>
            <w:r>
              <w:rPr>
                <w:rFonts w:ascii="黑体" w:eastAsia="黑体" w:hint="eastAsia"/>
                <w:b/>
                <w:i/>
                <w:w w:val="95"/>
                <w:sz w:val="22"/>
              </w:rPr>
              <w:t>对于被保险人在本合同Th效日前出现的本合同所列的疾病之症状体征或所患的疾病，我们不承担保险责任</w:t>
            </w:r>
            <w:r>
              <w:rPr>
                <w:w w:val="95"/>
                <w:sz w:val="21"/>
              </w:rPr>
              <w:t>。</w:t>
            </w:r>
          </w:p>
        </w:tc>
      </w:tr>
      <w:tr>
        <w:trPr>
          <w:trHeight w:val="1473" w:hRule="atLeast"/>
        </w:trPr>
        <w:tc>
          <w:tcPr>
            <w:tcW w:w="715" w:type="dxa"/>
          </w:tcPr>
          <w:p>
            <w:pPr>
              <w:pStyle w:val="TableParagraph"/>
              <w:spacing w:before="92"/>
              <w:ind w:left="107"/>
              <w:rPr>
                <w:b/>
                <w:sz w:val="21"/>
              </w:rPr>
            </w:pPr>
            <w:r>
              <w:rPr>
                <w:b/>
                <w:sz w:val="21"/>
              </w:rPr>
              <w:t>10.4</w:t>
            </w:r>
          </w:p>
        </w:tc>
        <w:tc>
          <w:tcPr>
            <w:tcW w:w="1986" w:type="dxa"/>
          </w:tcPr>
          <w:p>
            <w:pPr>
              <w:pStyle w:val="TableParagraph"/>
              <w:spacing w:before="92"/>
              <w:ind w:left="185"/>
              <w:rPr>
                <w:b/>
                <w:sz w:val="21"/>
              </w:rPr>
            </w:pPr>
            <w:r>
              <w:rPr>
                <w:b/>
                <w:sz w:val="21"/>
              </w:rPr>
              <w:t>重大疾病</w:t>
            </w:r>
          </w:p>
        </w:tc>
        <w:tc>
          <w:tcPr>
            <w:tcW w:w="7548" w:type="dxa"/>
          </w:tcPr>
          <w:p>
            <w:pPr>
              <w:pStyle w:val="TableParagraph"/>
              <w:spacing w:line="273" w:lineRule="auto" w:before="92"/>
              <w:ind w:left="124" w:right="102"/>
              <w:rPr>
                <w:sz w:val="21"/>
              </w:rPr>
            </w:pPr>
            <w:r>
              <w:rPr>
                <w:spacing w:val="-4"/>
                <w:sz w:val="21"/>
              </w:rPr>
              <w:t>指被保险人发生符合以下疾病定义所述条件的疾病</w:t>
            </w:r>
            <w:r>
              <w:rPr>
                <w:sz w:val="21"/>
              </w:rPr>
              <w:t>（</w:t>
            </w:r>
            <w:r>
              <w:rPr>
                <w:spacing w:val="-18"/>
                <w:sz w:val="21"/>
              </w:rPr>
              <w:t>共 </w:t>
            </w:r>
            <w:r>
              <w:rPr>
                <w:sz w:val="21"/>
              </w:rPr>
              <w:t>61</w:t>
            </w:r>
            <w:r>
              <w:rPr>
                <w:spacing w:val="-20"/>
                <w:sz w:val="21"/>
              </w:rPr>
              <w:t> 种</w:t>
            </w:r>
            <w:r>
              <w:rPr>
                <w:spacing w:val="-64"/>
                <w:sz w:val="21"/>
              </w:rPr>
              <w:t>）</w:t>
            </w:r>
            <w:r>
              <w:rPr>
                <w:spacing w:val="-19"/>
                <w:sz w:val="21"/>
              </w:rPr>
              <w:t>，应当由</w:t>
            </w:r>
            <w:r>
              <w:rPr>
                <w:b/>
                <w:sz w:val="21"/>
              </w:rPr>
              <w:t>专科医生</w:t>
            </w:r>
            <w:r>
              <w:rPr>
                <w:spacing w:val="-1"/>
                <w:sz w:val="21"/>
              </w:rPr>
              <w:t>明确诊断。</w:t>
            </w:r>
          </w:p>
          <w:p>
            <w:pPr>
              <w:pStyle w:val="TableParagraph"/>
              <w:spacing w:before="7"/>
              <w:ind w:left="124"/>
              <w:rPr>
                <w:sz w:val="21"/>
              </w:rPr>
            </w:pPr>
            <w:r>
              <w:rPr>
                <w:spacing w:val="-13"/>
                <w:sz w:val="21"/>
              </w:rPr>
              <w:t>第 </w:t>
            </w:r>
            <w:r>
              <w:rPr>
                <w:sz w:val="21"/>
              </w:rPr>
              <w:t>1</w:t>
            </w:r>
            <w:r>
              <w:rPr>
                <w:spacing w:val="-14"/>
                <w:sz w:val="21"/>
              </w:rPr>
              <w:t> 至第 </w:t>
            </w:r>
            <w:r>
              <w:rPr>
                <w:sz w:val="21"/>
              </w:rPr>
              <w:t>25</w:t>
            </w:r>
            <w:r>
              <w:rPr>
                <w:spacing w:val="-7"/>
                <w:sz w:val="21"/>
              </w:rPr>
              <w:t> 项为中国保险行业协会与中国医师协会共同制定的重大疾病保险的</w:t>
            </w:r>
          </w:p>
          <w:p>
            <w:pPr>
              <w:pStyle w:val="TableParagraph"/>
              <w:spacing w:before="36"/>
              <w:ind w:left="124"/>
              <w:rPr>
                <w:sz w:val="21"/>
              </w:rPr>
            </w:pPr>
            <w:r>
              <w:rPr>
                <w:sz w:val="21"/>
              </w:rPr>
              <w:t>疾病定义，第 26 至第 61 项为我们增加的疾病种类并自行制定的疾病定义。</w:t>
            </w:r>
          </w:p>
        </w:tc>
      </w:tr>
      <w:tr>
        <w:trPr>
          <w:trHeight w:val="3185" w:hRule="atLeast"/>
        </w:trPr>
        <w:tc>
          <w:tcPr>
            <w:tcW w:w="715" w:type="dxa"/>
          </w:tcPr>
          <w:p>
            <w:pPr>
              <w:pStyle w:val="TableParagraph"/>
              <w:ind w:left="0"/>
              <w:rPr>
                <w:rFonts w:ascii="Times New Roman"/>
                <w:sz w:val="20"/>
              </w:rPr>
            </w:pPr>
          </w:p>
        </w:tc>
        <w:tc>
          <w:tcPr>
            <w:tcW w:w="1986" w:type="dxa"/>
          </w:tcPr>
          <w:p>
            <w:pPr>
              <w:pStyle w:val="TableParagraph"/>
              <w:tabs>
                <w:tab w:pos="605" w:val="left" w:leader="none"/>
              </w:tabs>
              <w:spacing w:before="106"/>
              <w:ind w:left="185"/>
              <w:rPr>
                <w:rFonts w:ascii="等线" w:eastAsia="等线" w:hint="eastAsia"/>
                <w:b/>
                <w:sz w:val="21"/>
              </w:rPr>
            </w:pPr>
            <w:r>
              <w:rPr>
                <w:b/>
                <w:sz w:val="21"/>
              </w:rPr>
              <w:t>1.</w:t>
              <w:tab/>
            </w:r>
            <w:r>
              <w:rPr>
                <w:rFonts w:ascii="等线" w:eastAsia="等线" w:hint="eastAsia"/>
                <w:b/>
                <w:spacing w:val="-1"/>
                <w:sz w:val="21"/>
              </w:rPr>
              <w:t>恶性肿瘤</w:t>
            </w:r>
          </w:p>
        </w:tc>
        <w:tc>
          <w:tcPr>
            <w:tcW w:w="7548" w:type="dxa"/>
          </w:tcPr>
          <w:p>
            <w:pPr>
              <w:pStyle w:val="TableParagraph"/>
              <w:spacing w:line="268" w:lineRule="auto" w:before="94"/>
              <w:ind w:left="124" w:right="-15"/>
              <w:rPr>
                <w:b/>
                <w:i/>
                <w:sz w:val="22"/>
              </w:rPr>
            </w:pPr>
            <w:r>
              <w:rPr>
                <w:spacing w:val="-5"/>
                <w:sz w:val="21"/>
              </w:rPr>
              <w:t>指恶性细胞不受控制的进行性增长和扩散，浸润和破坏周围正常组织，可以经血</w:t>
            </w:r>
            <w:r>
              <w:rPr>
                <w:spacing w:val="-14"/>
                <w:sz w:val="21"/>
              </w:rPr>
              <w:t>管、淋巴管和体腔扩散转移到身体其它部位的疾病。经病理学检查结果明确诊断， </w:t>
            </w:r>
            <w:r>
              <w:rPr>
                <w:spacing w:val="-18"/>
                <w:sz w:val="21"/>
              </w:rPr>
              <w:t>临床诊断属于世界卫生组织《疾病和有关健康问题的国际统计分类》</w:t>
            </w:r>
            <w:r>
              <w:rPr>
                <w:sz w:val="21"/>
              </w:rPr>
              <w:t>（ICD-10） </w:t>
            </w:r>
            <w:r>
              <w:rPr>
                <w:spacing w:val="-3"/>
                <w:w w:val="95"/>
                <w:sz w:val="21"/>
              </w:rPr>
              <w:t>的恶性肿瘤范畴。</w:t>
            </w:r>
            <w:r>
              <w:rPr>
                <w:b/>
                <w:i/>
                <w:w w:val="95"/>
                <w:sz w:val="22"/>
              </w:rPr>
              <w:t>下列疾病不在保障范围内：</w:t>
            </w:r>
          </w:p>
          <w:p>
            <w:pPr>
              <w:pStyle w:val="TableParagraph"/>
              <w:spacing w:line="286" w:lineRule="exact"/>
              <w:ind w:left="124"/>
              <w:rPr>
                <w:b/>
                <w:i/>
                <w:sz w:val="22"/>
              </w:rPr>
            </w:pPr>
            <w:r>
              <w:rPr>
                <w:b/>
                <w:i/>
                <w:w w:val="95"/>
                <w:sz w:val="22"/>
              </w:rPr>
              <w:t>（1）原位癌；</w:t>
            </w:r>
          </w:p>
          <w:p>
            <w:pPr>
              <w:pStyle w:val="TableParagraph"/>
              <w:spacing w:before="24"/>
              <w:ind w:left="124"/>
              <w:rPr>
                <w:b/>
                <w:i/>
                <w:sz w:val="22"/>
              </w:rPr>
            </w:pPr>
            <w:r>
              <w:rPr>
                <w:b/>
                <w:i/>
                <w:w w:val="95"/>
                <w:sz w:val="22"/>
              </w:rPr>
              <w:t>（2）相当于 Binet 分期方案 A 期程度的慢性淋巴细胞白血病；</w:t>
            </w:r>
          </w:p>
          <w:p>
            <w:pPr>
              <w:pStyle w:val="TableParagraph"/>
              <w:spacing w:before="23"/>
              <w:ind w:left="124"/>
              <w:rPr>
                <w:b/>
                <w:i/>
                <w:sz w:val="22"/>
              </w:rPr>
            </w:pPr>
            <w:r>
              <w:rPr>
                <w:b/>
                <w:i/>
                <w:w w:val="95"/>
                <w:sz w:val="22"/>
              </w:rPr>
              <w:t>（3）相当于 Ann Arbor 分期方案 I 期程度的何杰金氏病；</w:t>
            </w:r>
          </w:p>
          <w:p>
            <w:pPr>
              <w:pStyle w:val="TableParagraph"/>
              <w:spacing w:before="23"/>
              <w:ind w:left="124"/>
              <w:rPr>
                <w:b/>
                <w:i/>
                <w:sz w:val="22"/>
              </w:rPr>
            </w:pPr>
            <w:r>
              <w:rPr>
                <w:b/>
                <w:i/>
                <w:w w:val="95"/>
                <w:sz w:val="22"/>
              </w:rPr>
              <w:t>（</w:t>
            </w:r>
            <w:r>
              <w:rPr>
                <w:b/>
                <w:i/>
                <w:w w:val="95"/>
                <w:sz w:val="22"/>
              </w:rPr>
              <w:t>4</w:t>
            </w:r>
            <w:r>
              <w:rPr>
                <w:b/>
                <w:i/>
                <w:w w:val="95"/>
                <w:sz w:val="22"/>
              </w:rPr>
              <w:t>）皮肤癌（</w:t>
            </w:r>
            <w:r>
              <w:rPr>
                <w:b/>
                <w:i/>
                <w:spacing w:val="-3"/>
                <w:w w:val="95"/>
                <w:sz w:val="22"/>
              </w:rPr>
              <w:t>不包括恶性黑色素瘤及已发生转移的皮肤癌</w:t>
            </w:r>
            <w:r>
              <w:rPr>
                <w:b/>
                <w:i/>
                <w:spacing w:val="-106"/>
                <w:w w:val="95"/>
                <w:sz w:val="22"/>
              </w:rPr>
              <w:t>）</w:t>
            </w:r>
            <w:r>
              <w:rPr>
                <w:b/>
                <w:i/>
                <w:w w:val="95"/>
                <w:sz w:val="22"/>
              </w:rPr>
              <w:t>；</w:t>
            </w:r>
          </w:p>
          <w:p>
            <w:pPr>
              <w:pStyle w:val="TableParagraph"/>
              <w:spacing w:before="23"/>
              <w:ind w:left="124"/>
              <w:rPr>
                <w:b/>
                <w:i/>
                <w:sz w:val="22"/>
              </w:rPr>
            </w:pPr>
            <w:r>
              <w:rPr>
                <w:b/>
                <w:i/>
                <w:w w:val="95"/>
                <w:position w:val="1"/>
                <w:sz w:val="22"/>
              </w:rPr>
              <w:t>（5）TNM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pStyle w:val="TableParagraph"/>
              <w:spacing w:line="275" w:lineRule="exact" w:before="24"/>
              <w:ind w:left="124"/>
              <w:rPr>
                <w:b/>
                <w:i/>
                <w:sz w:val="22"/>
              </w:rPr>
            </w:pPr>
            <w:r>
              <w:rPr>
                <w:b/>
                <w:i/>
                <w:w w:val="95"/>
                <w:sz w:val="22"/>
              </w:rPr>
              <w:t>（6）感染艾滋病病毒或患艾滋病期间所患恶性肿瘤。</w:t>
            </w:r>
          </w:p>
        </w:tc>
      </w:tr>
    </w:tbl>
    <w:p>
      <w:pPr>
        <w:spacing w:after="0" w:line="275" w:lineRule="exact"/>
        <w:rPr>
          <w:sz w:val="22"/>
        </w:rPr>
        <w:sectPr>
          <w:pgSz w:w="11910" w:h="16840"/>
          <w:pgMar w:header="0" w:footer="353" w:top="140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745"/>
      </w:tblGrid>
      <w:tr>
        <w:trPr>
          <w:trHeight w:val="2247" w:hRule="atLeast"/>
        </w:trPr>
        <w:tc>
          <w:tcPr>
            <w:tcW w:w="2005" w:type="dxa"/>
          </w:tcPr>
          <w:p>
            <w:pPr>
              <w:pStyle w:val="TableParagraph"/>
              <w:tabs>
                <w:tab w:pos="619" w:val="left" w:leader="none"/>
              </w:tabs>
              <w:spacing w:line="242" w:lineRule="exact"/>
              <w:ind w:left="200"/>
              <w:rPr>
                <w:rFonts w:ascii="等线" w:eastAsia="等线" w:hint="eastAsia"/>
                <w:b/>
                <w:sz w:val="21"/>
              </w:rPr>
            </w:pPr>
            <w:r>
              <w:rPr>
                <w:b/>
                <w:w w:val="105"/>
                <w:sz w:val="21"/>
              </w:rPr>
              <w:t>2.</w:t>
              <w:tab/>
            </w:r>
            <w:r>
              <w:rPr>
                <w:rFonts w:ascii="等线" w:eastAsia="等线" w:hint="eastAsia"/>
                <w:b/>
                <w:spacing w:val="-1"/>
                <w:w w:val="105"/>
                <w:sz w:val="21"/>
              </w:rPr>
              <w:t>急性心</w:t>
            </w:r>
            <w:r>
              <w:rPr>
                <w:rFonts w:ascii="等线" w:eastAsia="等线" w:hint="eastAsia"/>
                <w:b/>
                <w:w w:val="105"/>
                <w:sz w:val="21"/>
              </w:rPr>
              <w:t>ft梗塞</w:t>
            </w:r>
          </w:p>
        </w:tc>
        <w:tc>
          <w:tcPr>
            <w:tcW w:w="7745" w:type="dxa"/>
          </w:tcPr>
          <w:p>
            <w:pPr>
              <w:pStyle w:val="TableParagraph"/>
              <w:spacing w:line="211" w:lineRule="exact"/>
              <w:rPr>
                <w:sz w:val="21"/>
              </w:rPr>
            </w:pPr>
            <w:r>
              <w:rPr>
                <w:sz w:val="21"/>
              </w:rPr>
              <w:t>指因冠状动脉阻塞导致的相应区域供血不足造成部分心肌坏死。须满足下列至少</w:t>
            </w:r>
          </w:p>
          <w:p>
            <w:pPr>
              <w:pStyle w:val="TableParagraph"/>
              <w:spacing w:before="37"/>
              <w:rPr>
                <w:sz w:val="21"/>
              </w:rPr>
            </w:pPr>
            <w:r>
              <w:rPr>
                <w:sz w:val="21"/>
              </w:rPr>
              <w:t>三项条件：</w:t>
            </w:r>
          </w:p>
          <w:p>
            <w:pPr>
              <w:pStyle w:val="TableParagraph"/>
              <w:spacing w:before="37"/>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45" w:right="305" w:hanging="527"/>
              <w:rPr>
                <w:sz w:val="21"/>
              </w:rPr>
            </w:pPr>
            <w:r>
              <w:rPr>
                <w:sz w:val="21"/>
              </w:rPr>
              <w:t>（3）心肌酶或肌钙蛋白有诊断意义的升高，或呈符合急性心肌梗塞的动态性变化；</w:t>
            </w:r>
          </w:p>
          <w:p>
            <w:pPr>
              <w:pStyle w:val="TableParagraph"/>
              <w:spacing w:before="7"/>
              <w:rPr>
                <w:sz w:val="21"/>
              </w:rPr>
            </w:pPr>
            <w:r>
              <w:rPr>
                <w:spacing w:val="-11"/>
                <w:sz w:val="21"/>
              </w:rPr>
              <w:t>（4）</w:t>
            </w:r>
            <w:r>
              <w:rPr>
                <w:spacing w:val="-14"/>
                <w:sz w:val="21"/>
              </w:rPr>
              <w:t>发病 </w:t>
            </w:r>
            <w:r>
              <w:rPr>
                <w:sz w:val="21"/>
              </w:rPr>
              <w:t>90</w:t>
            </w:r>
            <w:r>
              <w:rPr>
                <w:spacing w:val="-13"/>
                <w:sz w:val="21"/>
              </w:rPr>
              <w:t> 天后，经检查证实左心室功能降低的，如左心室射血分数低于 </w:t>
            </w:r>
            <w:r>
              <w:rPr>
                <w:sz w:val="21"/>
              </w:rPr>
              <w:t>50%。</w:t>
            </w:r>
          </w:p>
        </w:tc>
      </w:tr>
      <w:tr>
        <w:trPr>
          <w:trHeight w:val="2412" w:hRule="atLeast"/>
        </w:trPr>
        <w:tc>
          <w:tcPr>
            <w:tcW w:w="2005" w:type="dxa"/>
          </w:tcPr>
          <w:p>
            <w:pPr>
              <w:pStyle w:val="TableParagraph"/>
              <w:tabs>
                <w:tab w:pos="619" w:val="left" w:leader="none"/>
              </w:tabs>
              <w:spacing w:before="112"/>
              <w:ind w:left="200"/>
              <w:rPr>
                <w:rFonts w:ascii="等线" w:eastAsia="等线" w:hint="eastAsia"/>
                <w:b/>
                <w:sz w:val="21"/>
              </w:rPr>
            </w:pPr>
            <w:r>
              <w:rPr>
                <w:b/>
                <w:sz w:val="21"/>
              </w:rPr>
              <w:t>3.</w:t>
              <w:tab/>
            </w:r>
            <w:r>
              <w:rPr>
                <w:rFonts w:ascii="等线" w:eastAsia="等线" w:hint="eastAsia"/>
                <w:b/>
                <w:spacing w:val="-1"/>
                <w:sz w:val="21"/>
              </w:rPr>
              <w:t>脑中风后遗症</w:t>
            </w:r>
          </w:p>
        </w:tc>
        <w:tc>
          <w:tcPr>
            <w:tcW w:w="7745" w:type="dxa"/>
          </w:tcPr>
          <w:p>
            <w:pPr>
              <w:pStyle w:val="TableParagraph"/>
              <w:spacing w:line="273" w:lineRule="auto" w:before="100"/>
              <w:ind w:right="304"/>
              <w:jc w:val="both"/>
              <w:rPr>
                <w:sz w:val="21"/>
              </w:rPr>
            </w:pPr>
            <w:r>
              <w:rPr>
                <w:spacing w:val="-5"/>
                <w:sz w:val="21"/>
              </w:rPr>
              <w:t>指因脑血管的突发病变引起脑血管出血、栓塞或梗塞，并导致神经系统永久性功</w:t>
            </w:r>
            <w:r>
              <w:rPr>
                <w:spacing w:val="-9"/>
                <w:sz w:val="21"/>
              </w:rPr>
              <w:t>能障碍。神经系统永久性的功能障碍，指疾病确诊 </w:t>
            </w:r>
            <w:r>
              <w:rPr>
                <w:sz w:val="21"/>
              </w:rPr>
              <w:t>180</w:t>
            </w:r>
            <w:r>
              <w:rPr>
                <w:spacing w:val="-8"/>
                <w:sz w:val="21"/>
              </w:rPr>
              <w:t> 天后，仍遗留下列一种或</w:t>
            </w:r>
            <w:r>
              <w:rPr>
                <w:spacing w:val="-5"/>
                <w:sz w:val="21"/>
              </w:rPr>
              <w:t>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45" w:right="309" w:hanging="527"/>
              <w:rPr>
                <w:sz w:val="21"/>
              </w:rPr>
            </w:pPr>
            <w:r>
              <w:rPr>
                <w:sz w:val="21"/>
              </w:rPr>
              <w:t>（3）自主生活能力完全丧失，无法独立完成六项基本日常生活活动中的三项或三项以上。</w:t>
            </w:r>
          </w:p>
        </w:tc>
      </w:tr>
      <w:tr>
        <w:trPr>
          <w:trHeight w:val="1787" w:hRule="atLeast"/>
        </w:trPr>
        <w:tc>
          <w:tcPr>
            <w:tcW w:w="2005" w:type="dxa"/>
          </w:tcPr>
          <w:p>
            <w:pPr>
              <w:pStyle w:val="TableParagraph"/>
              <w:spacing w:line="297" w:lineRule="auto" w:before="113"/>
              <w:ind w:left="619" w:right="118" w:hanging="420"/>
              <w:jc w:val="both"/>
              <w:rPr>
                <w:rFonts w:ascii="等线" w:eastAsia="等线" w:hint="eastAsia"/>
                <w:b/>
                <w:sz w:val="21"/>
              </w:rPr>
            </w:pPr>
            <w:r>
              <w:rPr>
                <w:b/>
                <w:sz w:val="21"/>
              </w:rPr>
              <w:t>4. </w:t>
            </w:r>
            <w:r>
              <w:rPr>
                <w:rFonts w:ascii="等线" w:eastAsia="等线" w:hint="eastAsia"/>
                <w:b/>
                <w:sz w:val="21"/>
              </w:rPr>
              <w:t>重大器官移植术或造血干细胞移植术</w:t>
            </w:r>
          </w:p>
        </w:tc>
        <w:tc>
          <w:tcPr>
            <w:tcW w:w="7745" w:type="dxa"/>
          </w:tcPr>
          <w:p>
            <w:pPr>
              <w:pStyle w:val="TableParagraph"/>
              <w:spacing w:line="273" w:lineRule="auto" w:before="101"/>
              <w:ind w:right="304"/>
              <w:jc w:val="both"/>
              <w:rPr>
                <w:sz w:val="21"/>
              </w:rPr>
            </w:pPr>
            <w:r>
              <w:rPr>
                <w:spacing w:val="-7"/>
                <w:sz w:val="21"/>
              </w:rPr>
              <w:t>重大器官移植术，指因相应器官功能衰竭，已经实施了肾脏、肝脏、心脏或肺脏</w:t>
            </w:r>
            <w:r>
              <w:rPr>
                <w:spacing w:val="-5"/>
                <w:sz w:val="21"/>
              </w:rPr>
              <w:t>的异体移植手术。</w:t>
            </w:r>
          </w:p>
          <w:p>
            <w:pPr>
              <w:pStyle w:val="TableParagraph"/>
              <w:spacing w:line="273" w:lineRule="auto" w:before="8"/>
              <w:ind w:right="301"/>
              <w:jc w:val="both"/>
              <w:rPr>
                <w:sz w:val="21"/>
              </w:rPr>
            </w:pPr>
            <w:r>
              <w:rPr>
                <w:spacing w:val="-6"/>
                <w:sz w:val="21"/>
              </w:rPr>
              <w:t>造血干细胞移植术，指因造血功能损害或造血系统恶性肿瘤，已经实施了造血干</w:t>
            </w:r>
            <w:r>
              <w:rPr>
                <w:spacing w:val="-10"/>
                <w:sz w:val="21"/>
              </w:rPr>
              <w:t>细胞</w:t>
            </w:r>
            <w:r>
              <w:rPr>
                <w:spacing w:val="-3"/>
                <w:sz w:val="21"/>
              </w:rPr>
              <w:t>（</w:t>
            </w:r>
            <w:r>
              <w:rPr>
                <w:spacing w:val="-4"/>
                <w:sz w:val="21"/>
              </w:rPr>
              <w:t>包括骨髓造血干细胞、外周血造血干细胞和脐血造血干细胞</w:t>
            </w:r>
            <w:r>
              <w:rPr>
                <w:spacing w:val="-13"/>
                <w:sz w:val="21"/>
              </w:rPr>
              <w:t>）</w:t>
            </w:r>
            <w:r>
              <w:rPr>
                <w:spacing w:val="-3"/>
                <w:sz w:val="21"/>
              </w:rPr>
              <w:t>的异体移植手术。</w:t>
            </w:r>
          </w:p>
        </w:tc>
      </w:tr>
      <w:tr>
        <w:trPr>
          <w:trHeight w:val="1163" w:hRule="atLeast"/>
        </w:trPr>
        <w:tc>
          <w:tcPr>
            <w:tcW w:w="2005" w:type="dxa"/>
          </w:tcPr>
          <w:p>
            <w:pPr>
              <w:pStyle w:val="TableParagraph"/>
              <w:tabs>
                <w:tab w:pos="619" w:val="left" w:leader="none"/>
              </w:tabs>
              <w:spacing w:line="295" w:lineRule="auto" w:before="111"/>
              <w:ind w:left="619" w:right="118" w:hanging="420"/>
              <w:rPr>
                <w:rFonts w:ascii="等线" w:eastAsia="等线" w:hint="eastAsia"/>
                <w:b/>
                <w:sz w:val="21"/>
              </w:rPr>
            </w:pPr>
            <w:r>
              <w:rPr>
                <w:b/>
                <w:sz w:val="21"/>
              </w:rPr>
              <w:t>5.</w:t>
              <w:tab/>
            </w:r>
            <w:r>
              <w:rPr>
                <w:rFonts w:ascii="等线" w:eastAsia="等线" w:hint="eastAsia"/>
                <w:b/>
                <w:spacing w:val="-1"/>
                <w:sz w:val="21"/>
              </w:rPr>
              <w:t>冠状动脉搭桥 术</w:t>
            </w:r>
          </w:p>
        </w:tc>
        <w:tc>
          <w:tcPr>
            <w:tcW w:w="7745" w:type="dxa"/>
          </w:tcPr>
          <w:p>
            <w:pPr>
              <w:pStyle w:val="TableParagraph"/>
              <w:spacing w:line="261" w:lineRule="auto" w:before="99"/>
              <w:ind w:right="270"/>
              <w:jc w:val="both"/>
              <w:rPr>
                <w:b/>
                <w:i/>
                <w:sz w:val="22"/>
              </w:rPr>
            </w:pPr>
            <w:r>
              <w:rPr>
                <w:spacing w:val="-3"/>
                <w:sz w:val="21"/>
              </w:rPr>
              <w:t>指为治疗严重的冠心病，实际实施了开胸进行的冠状动脉血管旁路移植的手术。</w:t>
            </w:r>
            <w:r>
              <w:rPr>
                <w:b/>
                <w:i/>
                <w:spacing w:val="-8"/>
                <w:w w:val="95"/>
                <w:sz w:val="22"/>
              </w:rPr>
              <w:t>冠状动脉支架植入术、心导管球囊扩张术、激光射频技术及其他非开胸的介入手术、腔镜手术不在保障范围内。</w:t>
            </w:r>
          </w:p>
        </w:tc>
      </w:tr>
      <w:tr>
        <w:trPr>
          <w:trHeight w:val="850" w:hRule="atLeast"/>
        </w:trPr>
        <w:tc>
          <w:tcPr>
            <w:tcW w:w="2005" w:type="dxa"/>
          </w:tcPr>
          <w:p>
            <w:pPr>
              <w:pStyle w:val="TableParagraph"/>
              <w:tabs>
                <w:tab w:pos="619" w:val="left" w:leader="none"/>
              </w:tabs>
              <w:spacing w:before="112"/>
              <w:ind w:left="200"/>
              <w:rPr>
                <w:rFonts w:ascii="等线" w:eastAsia="等线" w:hint="eastAsia"/>
                <w:b/>
                <w:sz w:val="21"/>
              </w:rPr>
            </w:pPr>
            <w:r>
              <w:rPr>
                <w:b/>
                <w:sz w:val="21"/>
              </w:rPr>
              <w:t>6.</w:t>
              <w:tab/>
            </w:r>
            <w:r>
              <w:rPr>
                <w:rFonts w:ascii="等线" w:eastAsia="等线" w:hint="eastAsia"/>
                <w:b/>
                <w:spacing w:val="-1"/>
                <w:sz w:val="21"/>
              </w:rPr>
              <w:t>终末期肾病</w:t>
            </w:r>
          </w:p>
        </w:tc>
        <w:tc>
          <w:tcPr>
            <w:tcW w:w="7745" w:type="dxa"/>
          </w:tcPr>
          <w:p>
            <w:pPr>
              <w:pStyle w:val="TableParagraph"/>
              <w:spacing w:line="273" w:lineRule="auto" w:before="100"/>
              <w:ind w:right="248"/>
              <w:rPr>
                <w:sz w:val="21"/>
              </w:rPr>
            </w:pPr>
            <w:r>
              <w:rPr>
                <w:sz w:val="21"/>
              </w:rPr>
              <w:t>指双肾功能慢性不可逆性衰竭，达到尿毒症期，经诊断后已经进行了至少 90 天的规律性透析治疗或实施了肾脏移植手术。</w:t>
            </w:r>
          </w:p>
        </w:tc>
      </w:tr>
      <w:tr>
        <w:trPr>
          <w:trHeight w:val="850" w:hRule="atLeast"/>
        </w:trPr>
        <w:tc>
          <w:tcPr>
            <w:tcW w:w="2005" w:type="dxa"/>
          </w:tcPr>
          <w:p>
            <w:pPr>
              <w:pStyle w:val="TableParagraph"/>
              <w:tabs>
                <w:tab w:pos="619" w:val="left" w:leader="none"/>
              </w:tabs>
              <w:spacing w:before="111"/>
              <w:ind w:left="200"/>
              <w:rPr>
                <w:rFonts w:ascii="等线" w:eastAsia="等线" w:hint="eastAsia"/>
                <w:b/>
                <w:sz w:val="21"/>
              </w:rPr>
            </w:pPr>
            <w:r>
              <w:rPr>
                <w:b/>
                <w:sz w:val="21"/>
              </w:rPr>
              <w:t>7.</w:t>
              <w:tab/>
            </w:r>
            <w:r>
              <w:rPr>
                <w:rFonts w:ascii="等线" w:eastAsia="等线" w:hint="eastAsia"/>
                <w:b/>
                <w:spacing w:val="-1"/>
                <w:sz w:val="21"/>
              </w:rPr>
              <w:t>多个肢体缺失</w:t>
            </w:r>
          </w:p>
        </w:tc>
        <w:tc>
          <w:tcPr>
            <w:tcW w:w="7745" w:type="dxa"/>
          </w:tcPr>
          <w:p>
            <w:pPr>
              <w:pStyle w:val="TableParagraph"/>
              <w:spacing w:line="273" w:lineRule="auto" w:before="99"/>
              <w:ind w:right="250"/>
              <w:rPr>
                <w:sz w:val="21"/>
              </w:rPr>
            </w:pPr>
            <w:r>
              <w:rPr>
                <w:sz w:val="21"/>
              </w:rPr>
              <w:t>指因疾病或意外伤害导致两个或两个以上肢体自腕关节或踝关节近端（靠近躯干端）以上完全性断离。</w:t>
            </w:r>
          </w:p>
        </w:tc>
      </w:tr>
      <w:tr>
        <w:trPr>
          <w:trHeight w:val="2100" w:hRule="atLeast"/>
        </w:trPr>
        <w:tc>
          <w:tcPr>
            <w:tcW w:w="2005" w:type="dxa"/>
          </w:tcPr>
          <w:p>
            <w:pPr>
              <w:pStyle w:val="TableParagraph"/>
              <w:tabs>
                <w:tab w:pos="619" w:val="left" w:leader="none"/>
              </w:tabs>
              <w:spacing w:line="292" w:lineRule="auto" w:before="112"/>
              <w:ind w:left="619" w:right="118" w:hanging="420"/>
              <w:rPr>
                <w:rFonts w:ascii="等线" w:eastAsia="等线" w:hint="eastAsia"/>
                <w:b/>
                <w:sz w:val="21"/>
              </w:rPr>
            </w:pPr>
            <w:r>
              <w:rPr>
                <w:b/>
                <w:sz w:val="21"/>
              </w:rPr>
              <w:t>8.</w:t>
              <w:tab/>
            </w:r>
            <w:r>
              <w:rPr>
                <w:rFonts w:ascii="等线" w:eastAsia="等线" w:hint="eastAsia"/>
                <w:b/>
                <w:spacing w:val="-1"/>
                <w:sz w:val="21"/>
              </w:rPr>
              <w:t>急性或亚急性 </w:t>
            </w:r>
            <w:r>
              <w:rPr>
                <w:rFonts w:ascii="等线" w:eastAsia="等线" w:hint="eastAsia"/>
                <w:b/>
                <w:spacing w:val="-2"/>
                <w:sz w:val="21"/>
              </w:rPr>
              <w:t>重症肝炎</w:t>
            </w:r>
          </w:p>
        </w:tc>
        <w:tc>
          <w:tcPr>
            <w:tcW w:w="7745" w:type="dxa"/>
          </w:tcPr>
          <w:p>
            <w:pPr>
              <w:pStyle w:val="TableParagraph"/>
              <w:spacing w:line="273" w:lineRule="auto" w:before="100"/>
              <w:ind w:right="260"/>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超或其他影像学检查显示肝脏体积急速萎缩；</w:t>
            </w:r>
          </w:p>
          <w:p>
            <w:pPr>
              <w:pStyle w:val="TableParagraph"/>
              <w:spacing w:before="37"/>
              <w:rPr>
                <w:sz w:val="21"/>
              </w:rPr>
            </w:pPr>
            <w:r>
              <w:rPr>
                <w:sz w:val="21"/>
              </w:rPr>
              <w:t>（4）肝功能指标进行性恶化。</w:t>
            </w:r>
          </w:p>
        </w:tc>
      </w:tr>
      <w:tr>
        <w:trPr>
          <w:trHeight w:val="2412" w:hRule="atLeast"/>
        </w:trPr>
        <w:tc>
          <w:tcPr>
            <w:tcW w:w="2005" w:type="dxa"/>
          </w:tcPr>
          <w:p>
            <w:pPr>
              <w:pStyle w:val="TableParagraph"/>
              <w:tabs>
                <w:tab w:pos="619" w:val="left" w:leader="none"/>
              </w:tabs>
              <w:spacing w:before="112"/>
              <w:ind w:left="200"/>
              <w:rPr>
                <w:rFonts w:ascii="等线" w:eastAsia="等线" w:hint="eastAsia"/>
                <w:b/>
                <w:sz w:val="21"/>
              </w:rPr>
            </w:pPr>
            <w:r>
              <w:rPr>
                <w:b/>
                <w:sz w:val="21"/>
              </w:rPr>
              <w:t>9.</w:t>
              <w:tab/>
            </w:r>
            <w:r>
              <w:rPr>
                <w:rFonts w:ascii="等线" w:eastAsia="等线" w:hint="eastAsia"/>
                <w:b/>
                <w:spacing w:val="-1"/>
                <w:sz w:val="21"/>
              </w:rPr>
              <w:t>良性脑肿瘤</w:t>
            </w:r>
          </w:p>
        </w:tc>
        <w:tc>
          <w:tcPr>
            <w:tcW w:w="7745" w:type="dxa"/>
          </w:tcPr>
          <w:p>
            <w:pPr>
              <w:pStyle w:val="TableParagraph"/>
              <w:spacing w:line="273" w:lineRule="auto" w:before="100"/>
              <w:ind w:right="198"/>
              <w:rPr>
                <w:sz w:val="21"/>
              </w:rPr>
            </w:pPr>
            <w:r>
              <w:rPr>
                <w:spacing w:val="-13"/>
                <w:sz w:val="21"/>
              </w:rPr>
              <w:t>指脑的良性肿瘤，已经引起颅内压增高，临床表现为视神经乳头水肿、精神症状、</w:t>
            </w:r>
            <w:r>
              <w:rPr>
                <w:w w:val="100"/>
                <w:sz w:val="21"/>
              </w:rPr>
              <w:t>癫痫及运动感觉障碍等，并危及生命。须由头颅断层扫描</w:t>
            </w:r>
            <w:r>
              <w:rPr>
                <w:spacing w:val="2"/>
                <w:w w:val="100"/>
                <w:sz w:val="21"/>
              </w:rPr>
              <w:t>（</w:t>
            </w:r>
            <w:r>
              <w:rPr>
                <w:w w:val="100"/>
                <w:sz w:val="21"/>
              </w:rPr>
              <w:t>C</w:t>
            </w:r>
            <w:r>
              <w:rPr>
                <w:spacing w:val="2"/>
                <w:w w:val="100"/>
                <w:sz w:val="21"/>
              </w:rPr>
              <w:t>T</w:t>
            </w:r>
            <w:r>
              <w:rPr>
                <w:spacing w:val="-106"/>
                <w:w w:val="100"/>
                <w:sz w:val="21"/>
              </w:rPr>
              <w:t>）</w:t>
            </w:r>
            <w:r>
              <w:rPr>
                <w:w w:val="100"/>
                <w:sz w:val="21"/>
              </w:rPr>
              <w:t>、核磁共振检查</w:t>
            </w:r>
          </w:p>
          <w:p>
            <w:pPr>
              <w:pStyle w:val="TableParagraph"/>
              <w:spacing w:line="273" w:lineRule="auto" w:before="7"/>
              <w:ind w:right="252"/>
              <w:rPr>
                <w:sz w:val="21"/>
              </w:rPr>
            </w:pPr>
            <w:r>
              <w:rPr>
                <w:sz w:val="21"/>
              </w:rPr>
              <w:t>（MRI）或正电子发射断层扫描（PET）等影像学检查证实，并须满足下列至少一项条件：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25"/>
              <w:rPr>
                <w:b/>
                <w:i/>
                <w:sz w:val="22"/>
              </w:rPr>
            </w:pPr>
            <w:r>
              <w:rPr>
                <w:b/>
                <w:i/>
                <w:w w:val="95"/>
                <w:sz w:val="22"/>
              </w:rPr>
              <w:t>脑垂体瘤、脑囊肿、脑血管性疾病不在保障范围内。</w:t>
            </w:r>
          </w:p>
        </w:tc>
      </w:tr>
      <w:tr>
        <w:trPr>
          <w:trHeight w:val="685" w:hRule="atLeast"/>
        </w:trPr>
        <w:tc>
          <w:tcPr>
            <w:tcW w:w="2005" w:type="dxa"/>
          </w:tcPr>
          <w:p>
            <w:pPr>
              <w:pStyle w:val="TableParagraph"/>
              <w:spacing w:before="110"/>
              <w:ind w:left="200"/>
              <w:rPr>
                <w:rFonts w:ascii="等线" w:eastAsia="等线" w:hint="eastAsia"/>
                <w:b/>
                <w:sz w:val="21"/>
              </w:rPr>
            </w:pPr>
            <w:r>
              <w:rPr>
                <w:b/>
                <w:sz w:val="21"/>
              </w:rPr>
              <w:t>10. </w:t>
            </w:r>
            <w:r>
              <w:rPr>
                <w:rFonts w:ascii="等线" w:eastAsia="等线" w:hint="eastAsia"/>
                <w:b/>
                <w:sz w:val="21"/>
              </w:rPr>
              <w:t>慢性肝功能衰</w:t>
            </w:r>
          </w:p>
        </w:tc>
        <w:tc>
          <w:tcPr>
            <w:tcW w:w="7745" w:type="dxa"/>
          </w:tcPr>
          <w:p>
            <w:pPr>
              <w:pStyle w:val="TableParagraph"/>
              <w:spacing w:before="98"/>
              <w:rPr>
                <w:sz w:val="21"/>
              </w:rPr>
            </w:pPr>
            <w:r>
              <w:rPr>
                <w:sz w:val="21"/>
              </w:rPr>
              <w:t>指因慢性肝脏疾病导致肝功能衰竭，须满足下列全部条件：</w:t>
            </w:r>
          </w:p>
          <w:p>
            <w:pPr>
              <w:pStyle w:val="TableParagraph"/>
              <w:spacing w:line="255" w:lineRule="exact" w:before="36"/>
              <w:rPr>
                <w:sz w:val="21"/>
              </w:rPr>
            </w:pPr>
            <w:r>
              <w:rPr>
                <w:sz w:val="21"/>
              </w:rPr>
              <w:t>（1）持续性黄疸；</w:t>
            </w:r>
          </w:p>
        </w:tc>
      </w:tr>
    </w:tbl>
    <w:p>
      <w:pPr>
        <w:spacing w:after="0" w:line="255" w:lineRule="exact"/>
        <w:rPr>
          <w:sz w:val="21"/>
        </w:rPr>
        <w:sectPr>
          <w:pgSz w:w="11910" w:h="16840"/>
          <w:pgMar w:header="0" w:footer="353" w:top="1160" w:bottom="540" w:left="14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743"/>
      </w:tblGrid>
      <w:tr>
        <w:trPr>
          <w:trHeight w:val="1312" w:hRule="atLeast"/>
        </w:trPr>
        <w:tc>
          <w:tcPr>
            <w:tcW w:w="2005" w:type="dxa"/>
          </w:tcPr>
          <w:p>
            <w:pPr>
              <w:pStyle w:val="TableParagraph"/>
              <w:spacing w:line="235" w:lineRule="exact"/>
              <w:ind w:left="619"/>
              <w:rPr>
                <w:rFonts w:ascii="等线" w:eastAsia="等线" w:hint="eastAsia"/>
                <w:b/>
                <w:sz w:val="21"/>
              </w:rPr>
            </w:pPr>
            <w:r>
              <w:rPr>
                <w:rFonts w:ascii="等线" w:eastAsia="等线" w:hint="eastAsia"/>
                <w:b/>
                <w:sz w:val="21"/>
              </w:rPr>
              <w:t>竭失代偿期</w:t>
            </w:r>
          </w:p>
        </w:tc>
        <w:tc>
          <w:tcPr>
            <w:tcW w:w="7743" w:type="dxa"/>
          </w:tcPr>
          <w:p>
            <w:pPr>
              <w:pStyle w:val="TableParagraph"/>
              <w:spacing w:line="211" w:lineRule="exact"/>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2099" w:hRule="atLeast"/>
        </w:trPr>
        <w:tc>
          <w:tcPr>
            <w:tcW w:w="2005" w:type="dxa"/>
          </w:tcPr>
          <w:p>
            <w:pPr>
              <w:pStyle w:val="TableParagraph"/>
              <w:spacing w:line="295" w:lineRule="auto" w:before="112"/>
              <w:ind w:left="619" w:right="118" w:hanging="420"/>
              <w:rPr>
                <w:rFonts w:ascii="等线" w:eastAsia="等线" w:hint="eastAsia"/>
                <w:b/>
                <w:sz w:val="21"/>
              </w:rPr>
            </w:pPr>
            <w:r>
              <w:rPr>
                <w:b/>
                <w:sz w:val="21"/>
              </w:rPr>
              <w:t>11. </w:t>
            </w:r>
            <w:r>
              <w:rPr>
                <w:rFonts w:ascii="等线" w:eastAsia="等线" w:hint="eastAsia"/>
                <w:b/>
                <w:sz w:val="21"/>
              </w:rPr>
              <w:t>脑炎后遗症或脑膜炎后遗症</w:t>
            </w:r>
          </w:p>
        </w:tc>
        <w:tc>
          <w:tcPr>
            <w:tcW w:w="7743" w:type="dxa"/>
          </w:tcPr>
          <w:p>
            <w:pPr>
              <w:pStyle w:val="TableParagraph"/>
              <w:spacing w:line="273" w:lineRule="auto" w:before="100"/>
              <w:ind w:right="260"/>
              <w:rPr>
                <w:sz w:val="21"/>
              </w:rPr>
            </w:pPr>
            <w:r>
              <w:rPr>
                <w:sz w:val="21"/>
              </w:rPr>
              <w:t>指因患脑炎或脑膜炎导致的神经系统永久性的功能障碍。神经系统永久性的功能障碍，指疾病确诊 180 天后，仍残留下列一种或一种以上障碍：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45" w:right="307" w:hanging="527"/>
              <w:rPr>
                <w:sz w:val="21"/>
              </w:rPr>
            </w:pPr>
            <w:r>
              <w:rPr>
                <w:sz w:val="21"/>
              </w:rPr>
              <w:t>（3）自主生活能力完全丧失，无法独立完成六项基本日常生活活动中的三项或三项以上。</w:t>
            </w:r>
          </w:p>
        </w:tc>
      </w:tr>
      <w:tr>
        <w:trPr>
          <w:trHeight w:val="1476" w:hRule="atLeast"/>
        </w:trPr>
        <w:tc>
          <w:tcPr>
            <w:tcW w:w="2005" w:type="dxa"/>
          </w:tcPr>
          <w:p>
            <w:pPr>
              <w:pStyle w:val="TableParagraph"/>
              <w:spacing w:before="112"/>
              <w:ind w:left="200"/>
              <w:rPr>
                <w:rFonts w:ascii="等线" w:eastAsia="等线" w:hint="eastAsia"/>
                <w:b/>
                <w:sz w:val="21"/>
              </w:rPr>
            </w:pPr>
            <w:r>
              <w:rPr>
                <w:b/>
                <w:sz w:val="21"/>
              </w:rPr>
              <w:t>12. </w:t>
            </w:r>
            <w:r>
              <w:rPr>
                <w:rFonts w:ascii="等线" w:eastAsia="等线" w:hint="eastAsia"/>
                <w:b/>
                <w:sz w:val="21"/>
              </w:rPr>
              <w:t>深度昏迷</w:t>
            </w:r>
          </w:p>
        </w:tc>
        <w:tc>
          <w:tcPr>
            <w:tcW w:w="7743" w:type="dxa"/>
          </w:tcPr>
          <w:p>
            <w:pPr>
              <w:pStyle w:val="TableParagraph"/>
              <w:spacing w:line="273" w:lineRule="auto" w:before="100"/>
              <w:ind w:right="300"/>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 coma scale）</w:t>
            </w:r>
            <w:r>
              <w:rPr>
                <w:spacing w:val="-2"/>
                <w:sz w:val="21"/>
              </w:rPr>
              <w:t>结果为</w:t>
            </w:r>
            <w:r>
              <w:rPr>
                <w:sz w:val="21"/>
              </w:rPr>
              <w:t>5</w:t>
            </w:r>
            <w:r>
              <w:rPr>
                <w:spacing w:val="-2"/>
                <w:sz w:val="21"/>
              </w:rPr>
              <w:t>分或</w:t>
            </w:r>
            <w:r>
              <w:rPr>
                <w:sz w:val="21"/>
              </w:rPr>
              <w:t>5</w:t>
            </w:r>
            <w:r>
              <w:rPr>
                <w:spacing w:val="-3"/>
                <w:sz w:val="21"/>
              </w:rPr>
              <w:t>分以下，且已经持续使用呼吸机及其它生命维持系统</w:t>
            </w:r>
            <w:r>
              <w:rPr>
                <w:sz w:val="21"/>
              </w:rPr>
              <w:t>96</w:t>
            </w:r>
            <w:r>
              <w:rPr>
                <w:spacing w:val="0"/>
                <w:sz w:val="21"/>
              </w:rPr>
              <w:t> 小时以上。</w:t>
            </w:r>
          </w:p>
          <w:p>
            <w:pPr>
              <w:pStyle w:val="TableParagraph"/>
              <w:spacing w:line="285" w:lineRule="exact"/>
              <w:jc w:val="both"/>
              <w:rPr>
                <w:b/>
                <w:i/>
                <w:sz w:val="22"/>
              </w:rPr>
            </w:pPr>
            <w:r>
              <w:rPr>
                <w:b/>
                <w:i/>
                <w:w w:val="95"/>
                <w:sz w:val="22"/>
              </w:rPr>
              <w:t>因酗酒或药物滥用导致的深度昏迷不在保障范围内。</w:t>
            </w:r>
          </w:p>
        </w:tc>
      </w:tr>
      <w:tr>
        <w:trPr>
          <w:trHeight w:val="1786" w:hRule="atLeast"/>
        </w:trPr>
        <w:tc>
          <w:tcPr>
            <w:tcW w:w="2005" w:type="dxa"/>
          </w:tcPr>
          <w:p>
            <w:pPr>
              <w:pStyle w:val="TableParagraph"/>
              <w:spacing w:line="295" w:lineRule="auto" w:before="110"/>
              <w:ind w:left="619" w:right="118" w:hanging="420"/>
              <w:rPr>
                <w:rFonts w:ascii="等线" w:eastAsia="等线" w:hint="eastAsia"/>
                <w:b/>
                <w:sz w:val="21"/>
              </w:rPr>
            </w:pPr>
            <w:r>
              <w:rPr>
                <w:b/>
                <w:sz w:val="21"/>
              </w:rPr>
              <w:t>13. </w:t>
            </w:r>
            <w:r>
              <w:rPr>
                <w:rFonts w:ascii="等线" w:eastAsia="等线" w:hint="eastAsia"/>
                <w:b/>
                <w:sz w:val="21"/>
              </w:rPr>
              <w:t>双耳失聪－三周岁始理赔</w:t>
            </w:r>
          </w:p>
        </w:tc>
        <w:tc>
          <w:tcPr>
            <w:tcW w:w="7743" w:type="dxa"/>
          </w:tcPr>
          <w:p>
            <w:pPr>
              <w:pStyle w:val="TableParagraph"/>
              <w:spacing w:before="98"/>
              <w:rPr>
                <w:sz w:val="21"/>
              </w:rPr>
            </w:pPr>
            <w:r>
              <w:rPr>
                <w:sz w:val="21"/>
              </w:rPr>
              <w:t>指因疾病或意外伤害导致双耳听力</w:t>
            </w:r>
            <w:r>
              <w:rPr>
                <w:b/>
                <w:sz w:val="21"/>
              </w:rPr>
              <w:t>永久不可逆</w:t>
            </w:r>
            <w:r>
              <w:rPr>
                <w:sz w:val="21"/>
              </w:rPr>
              <w:t>性丧失，在 500 赫兹、1000 赫兹和</w:t>
            </w:r>
          </w:p>
          <w:p>
            <w:pPr>
              <w:pStyle w:val="TableParagraph"/>
              <w:spacing w:line="273" w:lineRule="auto" w:before="36"/>
              <w:ind w:right="302"/>
              <w:rPr>
                <w:sz w:val="21"/>
              </w:rPr>
            </w:pPr>
            <w:r>
              <w:rPr>
                <w:sz w:val="21"/>
              </w:rPr>
              <w:t>2000</w:t>
            </w:r>
            <w:r>
              <w:rPr>
                <w:spacing w:val="-9"/>
                <w:sz w:val="21"/>
              </w:rPr>
              <w:t> 赫兹语音频率下，平均听阈大于 </w:t>
            </w:r>
            <w:r>
              <w:rPr>
                <w:sz w:val="21"/>
              </w:rPr>
              <w:t>90</w:t>
            </w:r>
            <w:r>
              <w:rPr>
                <w:spacing w:val="-7"/>
                <w:sz w:val="21"/>
              </w:rPr>
              <w:t> 分贝，且经纯音听力测试、声导抗检测</w:t>
            </w:r>
            <w:r>
              <w:rPr>
                <w:spacing w:val="-5"/>
                <w:sz w:val="21"/>
              </w:rPr>
              <w:t>或听觉诱发电位检测等证实。</w:t>
            </w:r>
          </w:p>
          <w:p>
            <w:pPr>
              <w:pStyle w:val="TableParagraph"/>
              <w:spacing w:line="259" w:lineRule="auto"/>
              <w:ind w:right="305"/>
              <w:rPr>
                <w:b/>
                <w:i/>
                <w:sz w:val="22"/>
              </w:rPr>
            </w:pPr>
            <w:r>
              <w:rPr>
                <w:b/>
                <w:i/>
                <w:spacing w:val="-6"/>
                <w:w w:val="95"/>
                <w:sz w:val="22"/>
              </w:rPr>
              <w:t>被保险人申请理赔时年龄必须在三周岁以上，并且提供理赔当时的听力丧失诊断及检查证据。</w:t>
            </w:r>
          </w:p>
        </w:tc>
      </w:tr>
      <w:tr>
        <w:trPr>
          <w:trHeight w:val="2723" w:hRule="atLeast"/>
        </w:trPr>
        <w:tc>
          <w:tcPr>
            <w:tcW w:w="2005" w:type="dxa"/>
          </w:tcPr>
          <w:p>
            <w:pPr>
              <w:pStyle w:val="TableParagraph"/>
              <w:spacing w:line="292" w:lineRule="auto" w:before="112"/>
              <w:ind w:left="619" w:right="118" w:hanging="420"/>
              <w:rPr>
                <w:rFonts w:ascii="等线" w:eastAsia="等线" w:hint="eastAsia"/>
                <w:b/>
                <w:sz w:val="21"/>
              </w:rPr>
            </w:pPr>
            <w:r>
              <w:rPr>
                <w:b/>
                <w:sz w:val="21"/>
              </w:rPr>
              <w:t>14. </w:t>
            </w:r>
            <w:r>
              <w:rPr>
                <w:rFonts w:ascii="等线" w:eastAsia="等线" w:hint="eastAsia"/>
                <w:b/>
                <w:sz w:val="21"/>
              </w:rPr>
              <w:t>双目失明－三周岁始理赔</w:t>
            </w:r>
          </w:p>
        </w:tc>
        <w:tc>
          <w:tcPr>
            <w:tcW w:w="7743" w:type="dxa"/>
          </w:tcPr>
          <w:p>
            <w:pPr>
              <w:pStyle w:val="TableParagraph"/>
              <w:spacing w:line="273" w:lineRule="auto" w:before="100"/>
              <w:ind w:right="258"/>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（1）眼球缺失或摘除；</w:t>
            </w:r>
          </w:p>
          <w:p>
            <w:pPr>
              <w:pStyle w:val="TableParagraph"/>
              <w:spacing w:line="273" w:lineRule="auto" w:before="37"/>
              <w:ind w:left="645" w:right="299" w:hanging="527"/>
              <w:rPr>
                <w:sz w:val="21"/>
              </w:rPr>
            </w:pPr>
            <w:r>
              <w:rPr>
                <w:sz w:val="21"/>
              </w:rPr>
              <w:t>（2）</w:t>
            </w:r>
            <w:r>
              <w:rPr>
                <w:spacing w:val="-4"/>
                <w:sz w:val="21"/>
              </w:rPr>
              <w:t>矫正视力低于 </w:t>
            </w:r>
            <w:r>
              <w:rPr>
                <w:sz w:val="21"/>
              </w:rPr>
              <w:t>0.02（</w:t>
            </w:r>
            <w:r>
              <w:rPr>
                <w:spacing w:val="-3"/>
                <w:sz w:val="21"/>
              </w:rPr>
              <w:t>采用国际标准视力表，如果使用其他视力表应进行换</w:t>
            </w:r>
            <w:r>
              <w:rPr>
                <w:spacing w:val="-3"/>
                <w:w w:val="100"/>
                <w:sz w:val="21"/>
              </w:rPr>
              <w:t>算</w:t>
            </w:r>
            <w:r>
              <w:rPr>
                <w:spacing w:val="-106"/>
                <w:w w:val="100"/>
                <w:sz w:val="21"/>
              </w:rPr>
              <w:t>）</w:t>
            </w:r>
            <w:r>
              <w:rPr>
                <w:w w:val="100"/>
                <w:sz w:val="21"/>
              </w:rPr>
              <w:t>；</w:t>
            </w:r>
          </w:p>
          <w:p>
            <w:pPr>
              <w:pStyle w:val="TableParagraph"/>
              <w:spacing w:before="7"/>
              <w:rPr>
                <w:sz w:val="21"/>
              </w:rPr>
            </w:pPr>
            <w:r>
              <w:rPr>
                <w:sz w:val="21"/>
              </w:rPr>
              <w:t>（3）视野半径小于 5 度。</w:t>
            </w:r>
          </w:p>
          <w:p>
            <w:pPr>
              <w:pStyle w:val="TableParagraph"/>
              <w:spacing w:line="259" w:lineRule="auto" w:before="25"/>
              <w:ind w:right="305"/>
              <w:rPr>
                <w:b/>
                <w:i/>
                <w:sz w:val="22"/>
              </w:rPr>
            </w:pPr>
            <w:r>
              <w:rPr>
                <w:b/>
                <w:i/>
                <w:spacing w:val="-6"/>
                <w:w w:val="95"/>
                <w:sz w:val="22"/>
              </w:rPr>
              <w:t>被保险人申请理赔时年龄必须在三周岁以上，并且提供理赔当时的视力丧失诊断及检查证据。</w:t>
            </w:r>
          </w:p>
        </w:tc>
      </w:tr>
      <w:tr>
        <w:trPr>
          <w:trHeight w:val="1161" w:hRule="atLeast"/>
        </w:trPr>
        <w:tc>
          <w:tcPr>
            <w:tcW w:w="2005" w:type="dxa"/>
          </w:tcPr>
          <w:p>
            <w:pPr>
              <w:pStyle w:val="TableParagraph"/>
              <w:spacing w:before="110"/>
              <w:ind w:left="200"/>
              <w:rPr>
                <w:rFonts w:ascii="等线" w:eastAsia="等线" w:hint="eastAsia"/>
                <w:b/>
                <w:sz w:val="21"/>
              </w:rPr>
            </w:pPr>
            <w:r>
              <w:rPr>
                <w:b/>
                <w:sz w:val="21"/>
              </w:rPr>
              <w:t>15.</w:t>
            </w:r>
            <w:r>
              <w:rPr>
                <w:b/>
                <w:spacing w:val="-59"/>
                <w:sz w:val="21"/>
              </w:rPr>
              <w:t> </w:t>
            </w:r>
            <w:r>
              <w:rPr>
                <w:rFonts w:ascii="等线" w:eastAsia="等线" w:hint="eastAsia"/>
                <w:b/>
                <w:sz w:val="21"/>
              </w:rPr>
              <w:t>瘫 痪</w:t>
            </w:r>
          </w:p>
        </w:tc>
        <w:tc>
          <w:tcPr>
            <w:tcW w:w="7743" w:type="dxa"/>
          </w:tcPr>
          <w:p>
            <w:pPr>
              <w:pStyle w:val="TableParagraph"/>
              <w:spacing w:line="273" w:lineRule="auto" w:before="98"/>
              <w:ind w:right="300"/>
              <w:jc w:val="both"/>
              <w:rPr>
                <w:sz w:val="21"/>
              </w:rPr>
            </w:pPr>
            <w:r>
              <w:rPr>
                <w:spacing w:val="-5"/>
                <w:sz w:val="21"/>
              </w:rPr>
              <w:t>指因疾病或意外伤害导致两肢或两肢以上肢体机能永久完全丧失。肢体机能永久</w:t>
            </w:r>
            <w:r>
              <w:rPr>
                <w:spacing w:val="-11"/>
                <w:sz w:val="21"/>
              </w:rPr>
              <w:t>完全丧失，指疾病确诊 </w:t>
            </w:r>
            <w:r>
              <w:rPr>
                <w:sz w:val="21"/>
              </w:rPr>
              <w:t>180</w:t>
            </w:r>
            <w:r>
              <w:rPr>
                <w:spacing w:val="-12"/>
                <w:sz w:val="21"/>
              </w:rPr>
              <w:t> 天后或意外伤害发生 </w:t>
            </w:r>
            <w:r>
              <w:rPr>
                <w:sz w:val="21"/>
              </w:rPr>
              <w:t>180</w:t>
            </w:r>
            <w:r>
              <w:rPr>
                <w:spacing w:val="-10"/>
                <w:sz w:val="21"/>
              </w:rPr>
              <w:t> 天后，每肢三大关节中的两</w:t>
            </w:r>
            <w:r>
              <w:rPr>
                <w:spacing w:val="-5"/>
                <w:sz w:val="21"/>
              </w:rPr>
              <w:t>大关节仍然完全僵硬，或不能随意识活动。</w:t>
            </w:r>
          </w:p>
        </w:tc>
      </w:tr>
      <w:tr>
        <w:trPr>
          <w:trHeight w:val="678" w:hRule="atLeast"/>
        </w:trPr>
        <w:tc>
          <w:tcPr>
            <w:tcW w:w="2005" w:type="dxa"/>
          </w:tcPr>
          <w:p>
            <w:pPr>
              <w:pStyle w:val="TableParagraph"/>
              <w:spacing w:before="112"/>
              <w:ind w:left="200"/>
              <w:rPr>
                <w:rFonts w:ascii="等线" w:eastAsia="等线" w:hint="eastAsia"/>
                <w:b/>
                <w:sz w:val="21"/>
              </w:rPr>
            </w:pPr>
            <w:r>
              <w:rPr>
                <w:b/>
                <w:sz w:val="21"/>
              </w:rPr>
              <w:t>16. </w:t>
            </w:r>
            <w:r>
              <w:rPr>
                <w:rFonts w:ascii="等线" w:eastAsia="等线" w:hint="eastAsia"/>
                <w:b/>
                <w:sz w:val="21"/>
              </w:rPr>
              <w:t>心脏瓣膜手术</w:t>
            </w:r>
          </w:p>
        </w:tc>
        <w:tc>
          <w:tcPr>
            <w:tcW w:w="7743" w:type="dxa"/>
          </w:tcPr>
          <w:p>
            <w:pPr>
              <w:pStyle w:val="TableParagraph"/>
              <w:spacing w:before="100"/>
              <w:rPr>
                <w:sz w:val="21"/>
              </w:rPr>
            </w:pPr>
            <w:r>
              <w:rPr>
                <w:sz w:val="21"/>
              </w:rPr>
              <w:t>指为治疗心脏瓣膜疾病，实际实施了开胸进行的心脏瓣膜置换或修复的手术。</w:t>
            </w:r>
          </w:p>
        </w:tc>
      </w:tr>
      <w:tr>
        <w:trPr>
          <w:trHeight w:val="2207" w:hRule="atLeast"/>
        </w:trPr>
        <w:tc>
          <w:tcPr>
            <w:tcW w:w="2005" w:type="dxa"/>
          </w:tcPr>
          <w:p>
            <w:pPr>
              <w:pStyle w:val="TableParagraph"/>
              <w:spacing w:before="9"/>
              <w:ind w:left="0"/>
              <w:rPr>
                <w:sz w:val="16"/>
              </w:rPr>
            </w:pPr>
          </w:p>
          <w:p>
            <w:pPr>
              <w:pStyle w:val="TableParagraph"/>
              <w:spacing w:line="295" w:lineRule="auto"/>
              <w:ind w:left="619" w:right="118" w:hanging="420"/>
              <w:rPr>
                <w:rFonts w:ascii="等线" w:eastAsia="等线" w:hint="eastAsia"/>
                <w:b/>
                <w:sz w:val="21"/>
              </w:rPr>
            </w:pPr>
            <w:r>
              <w:rPr>
                <w:b/>
                <w:sz w:val="21"/>
              </w:rPr>
              <w:t>17. </w:t>
            </w:r>
            <w:r>
              <w:rPr>
                <w:rFonts w:ascii="等线" w:eastAsia="等线" w:hint="eastAsia"/>
                <w:b/>
                <w:sz w:val="21"/>
              </w:rPr>
              <w:t>严重阿尔茨海默病</w:t>
            </w:r>
          </w:p>
        </w:tc>
        <w:tc>
          <w:tcPr>
            <w:tcW w:w="7743" w:type="dxa"/>
          </w:tcPr>
          <w:p>
            <w:pPr>
              <w:pStyle w:val="TableParagraph"/>
              <w:spacing w:before="10"/>
              <w:ind w:left="0"/>
              <w:rPr>
                <w:sz w:val="15"/>
              </w:rPr>
            </w:pPr>
          </w:p>
          <w:p>
            <w:pPr>
              <w:pStyle w:val="TableParagraph"/>
              <w:spacing w:line="273" w:lineRule="auto"/>
              <w:ind w:right="300"/>
              <w:jc w:val="both"/>
              <w:rPr>
                <w:sz w:val="21"/>
              </w:rPr>
            </w:pPr>
            <w:r>
              <w:rPr>
                <w:spacing w:val="-7"/>
                <w:sz w:val="21"/>
              </w:rPr>
              <w:t>指因大脑进行性、不可逆性改变导致智能严重衰退或丧失，临床表现为明显的认</w:t>
            </w:r>
            <w:r>
              <w:rPr>
                <w:spacing w:val="-9"/>
                <w:sz w:val="21"/>
              </w:rPr>
              <w:t>知能力障碍、行为异常和社交能力减退，其日常生活必须持续受到他人监护。须</w:t>
            </w:r>
            <w:r>
              <w:rPr>
                <w:w w:val="100"/>
                <w:sz w:val="21"/>
              </w:rPr>
              <w:t>由头颅断层扫描</w:t>
            </w:r>
            <w:r>
              <w:rPr>
                <w:spacing w:val="2"/>
                <w:w w:val="100"/>
                <w:sz w:val="21"/>
              </w:rPr>
              <w:t>（</w:t>
            </w:r>
            <w:r>
              <w:rPr>
                <w:w w:val="100"/>
                <w:sz w:val="21"/>
              </w:rPr>
              <w:t>CT</w:t>
            </w:r>
            <w:r>
              <w:rPr>
                <w:spacing w:val="-104"/>
                <w:w w:val="100"/>
                <w:sz w:val="21"/>
              </w:rPr>
              <w:t>）</w:t>
            </w:r>
            <w:r>
              <w:rPr>
                <w:w w:val="100"/>
                <w:sz w:val="21"/>
              </w:rPr>
              <w:t>、核磁共振检查</w:t>
            </w:r>
            <w:r>
              <w:rPr>
                <w:spacing w:val="2"/>
                <w:w w:val="100"/>
                <w:sz w:val="21"/>
              </w:rPr>
              <w:t>（</w:t>
            </w:r>
            <w:r>
              <w:rPr>
                <w:w w:val="100"/>
                <w:sz w:val="21"/>
              </w:rPr>
              <w:t>MRI）或正电子发射断层扫描</w:t>
            </w:r>
            <w:r>
              <w:rPr>
                <w:spacing w:val="3"/>
                <w:w w:val="100"/>
                <w:sz w:val="21"/>
              </w:rPr>
              <w:t>（</w:t>
            </w:r>
            <w:r>
              <w:rPr>
                <w:w w:val="100"/>
                <w:sz w:val="21"/>
              </w:rPr>
              <w:t>P</w:t>
            </w:r>
            <w:r>
              <w:rPr>
                <w:spacing w:val="-3"/>
                <w:w w:val="100"/>
                <w:sz w:val="21"/>
              </w:rPr>
              <w:t>E</w:t>
            </w:r>
            <w:r>
              <w:rPr>
                <w:spacing w:val="1"/>
                <w:w w:val="100"/>
                <w:sz w:val="21"/>
              </w:rPr>
              <w:t>T</w:t>
            </w:r>
            <w:r>
              <w:rPr>
                <w:w w:val="100"/>
                <w:sz w:val="21"/>
              </w:rPr>
              <w:t>）等</w:t>
            </w:r>
            <w:r>
              <w:rPr>
                <w:spacing w:val="-6"/>
                <w:sz w:val="21"/>
              </w:rPr>
              <w:t>影像学检查证实，且自主生活能力完全丧失，无法独立完成六项基本日常生活活</w:t>
            </w:r>
            <w:r>
              <w:rPr>
                <w:spacing w:val="-4"/>
                <w:sz w:val="21"/>
              </w:rPr>
              <w:t>动中的三项或三项以上。</w:t>
            </w:r>
          </w:p>
          <w:p>
            <w:pPr>
              <w:pStyle w:val="TableParagraph"/>
              <w:spacing w:line="284" w:lineRule="exact"/>
              <w:jc w:val="both"/>
              <w:rPr>
                <w:b/>
                <w:i/>
                <w:sz w:val="22"/>
              </w:rPr>
            </w:pPr>
            <w:r>
              <w:rPr>
                <w:b/>
                <w:i/>
                <w:w w:val="95"/>
                <w:sz w:val="22"/>
              </w:rPr>
              <w:t>神经官能症和精神疾病不在保障范围内。</w:t>
            </w:r>
          </w:p>
        </w:tc>
      </w:tr>
      <w:tr>
        <w:trPr>
          <w:trHeight w:val="998" w:hRule="atLeast"/>
        </w:trPr>
        <w:tc>
          <w:tcPr>
            <w:tcW w:w="2005" w:type="dxa"/>
          </w:tcPr>
          <w:p>
            <w:pPr>
              <w:pStyle w:val="TableParagraph"/>
              <w:spacing w:before="111"/>
              <w:ind w:left="200"/>
              <w:rPr>
                <w:rFonts w:ascii="等线" w:eastAsia="等线" w:hint="eastAsia"/>
                <w:b/>
                <w:sz w:val="21"/>
              </w:rPr>
            </w:pPr>
            <w:r>
              <w:rPr>
                <w:b/>
                <w:sz w:val="21"/>
              </w:rPr>
              <w:t>18. </w:t>
            </w:r>
            <w:r>
              <w:rPr>
                <w:rFonts w:ascii="等线" w:eastAsia="等线" w:hint="eastAsia"/>
                <w:b/>
                <w:sz w:val="21"/>
              </w:rPr>
              <w:t>严重脑损伤</w:t>
            </w:r>
          </w:p>
        </w:tc>
        <w:tc>
          <w:tcPr>
            <w:tcW w:w="7743" w:type="dxa"/>
          </w:tcPr>
          <w:p>
            <w:pPr>
              <w:pStyle w:val="TableParagraph"/>
              <w:spacing w:line="310" w:lineRule="atLeast" w:before="64"/>
              <w:ind w:right="198"/>
              <w:rPr>
                <w:sz w:val="21"/>
              </w:rPr>
            </w:pPr>
            <w:r>
              <w:rPr>
                <w:spacing w:val="-6"/>
                <w:sz w:val="21"/>
              </w:rPr>
              <w:t>指因头部遭受机械性外力，引起脑重要部位损伤，导致神经系统永久性的功能障</w:t>
            </w:r>
            <w:r>
              <w:rPr>
                <w:spacing w:val="-12"/>
                <w:w w:val="100"/>
                <w:sz w:val="21"/>
              </w:rPr>
              <w:t>碍。须由头颅断层扫描</w:t>
            </w:r>
            <w:r>
              <w:rPr>
                <w:spacing w:val="-3"/>
                <w:w w:val="100"/>
                <w:sz w:val="21"/>
              </w:rPr>
              <w:t>（</w:t>
            </w:r>
            <w:r>
              <w:rPr>
                <w:w w:val="100"/>
                <w:sz w:val="21"/>
              </w:rPr>
              <w:t>C</w:t>
            </w:r>
            <w:r>
              <w:rPr>
                <w:spacing w:val="-3"/>
                <w:w w:val="100"/>
                <w:sz w:val="21"/>
              </w:rPr>
              <w:t>T</w:t>
            </w:r>
            <w:r>
              <w:rPr>
                <w:spacing w:val="-106"/>
                <w:w w:val="100"/>
                <w:sz w:val="21"/>
              </w:rPr>
              <w:t>）</w:t>
            </w:r>
            <w:r>
              <w:rPr>
                <w:spacing w:val="-14"/>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44"/>
                <w:w w:val="100"/>
                <w:sz w:val="21"/>
              </w:rPr>
              <w:t>）</w:t>
            </w:r>
            <w:r>
              <w:rPr>
                <w:spacing w:val="-8"/>
                <w:w w:val="100"/>
                <w:sz w:val="21"/>
              </w:rPr>
              <w:t>或正电子发射断层扫描</w:t>
            </w:r>
            <w:r>
              <w:rPr>
                <w:w w:val="100"/>
                <w:sz w:val="21"/>
              </w:rPr>
              <w:t>（P</w:t>
            </w:r>
            <w:r>
              <w:rPr>
                <w:spacing w:val="-3"/>
                <w:w w:val="100"/>
                <w:sz w:val="21"/>
              </w:rPr>
              <w:t>ET</w:t>
            </w:r>
            <w:r>
              <w:rPr>
                <w:w w:val="100"/>
                <w:sz w:val="21"/>
              </w:rPr>
              <w:t>）</w:t>
            </w:r>
            <w:r>
              <w:rPr>
                <w:spacing w:val="-7"/>
                <w:sz w:val="21"/>
              </w:rPr>
              <w:t>等影像学检查证实。神经系统永久性的功能障碍，指脑损伤 </w:t>
            </w:r>
            <w:r>
              <w:rPr>
                <w:sz w:val="21"/>
              </w:rPr>
              <w:t>180</w:t>
            </w:r>
            <w:r>
              <w:rPr>
                <w:spacing w:val="-8"/>
                <w:sz w:val="21"/>
              </w:rPr>
              <w:t> 天后，仍遗留下</w:t>
            </w:r>
          </w:p>
        </w:tc>
      </w:tr>
    </w:tbl>
    <w:p>
      <w:pPr>
        <w:spacing w:after="0" w:line="310" w:lineRule="atLeast"/>
        <w:rPr>
          <w:sz w:val="21"/>
        </w:rPr>
        <w:sectPr>
          <w:pgSz w:w="11910" w:h="16840"/>
          <w:pgMar w:header="0" w:footer="353" w:top="1160" w:bottom="540" w:left="14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675"/>
      </w:tblGrid>
      <w:tr>
        <w:trPr>
          <w:trHeight w:val="1623" w:hRule="atLeast"/>
        </w:trPr>
        <w:tc>
          <w:tcPr>
            <w:tcW w:w="2005" w:type="dxa"/>
          </w:tcPr>
          <w:p>
            <w:pPr>
              <w:pStyle w:val="TableParagraph"/>
              <w:ind w:left="0"/>
              <w:rPr>
                <w:rFonts w:ascii="Times New Roman"/>
                <w:sz w:val="20"/>
              </w:rPr>
            </w:pPr>
          </w:p>
        </w:tc>
        <w:tc>
          <w:tcPr>
            <w:tcW w:w="7675" w:type="dxa"/>
          </w:tcPr>
          <w:p>
            <w:pPr>
              <w:pStyle w:val="TableParagraph"/>
              <w:spacing w:line="211" w:lineRule="exact"/>
              <w:rPr>
                <w:sz w:val="21"/>
              </w:rPr>
            </w:pPr>
            <w:r>
              <w:rPr>
                <w:sz w:val="21"/>
              </w:rPr>
              <w:t>列一种或一种以上障碍：</w:t>
            </w:r>
          </w:p>
          <w:p>
            <w:pPr>
              <w:pStyle w:val="TableParagraph"/>
              <w:spacing w:before="3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6"/>
              <w:ind w:left="645" w:right="239" w:hanging="527"/>
              <w:rPr>
                <w:sz w:val="21"/>
              </w:rPr>
            </w:pPr>
            <w:r>
              <w:rPr>
                <w:sz w:val="21"/>
              </w:rPr>
              <w:t>（3）自主生活能力完全丧失，无法独立完成六项基本日常生活活动中的三项或三项以上。</w:t>
            </w:r>
          </w:p>
        </w:tc>
      </w:tr>
      <w:tr>
        <w:trPr>
          <w:trHeight w:val="2100" w:hRule="atLeast"/>
        </w:trPr>
        <w:tc>
          <w:tcPr>
            <w:tcW w:w="2005" w:type="dxa"/>
          </w:tcPr>
          <w:p>
            <w:pPr>
              <w:pStyle w:val="TableParagraph"/>
              <w:spacing w:before="112"/>
              <w:ind w:left="200"/>
              <w:rPr>
                <w:rFonts w:ascii="等线" w:eastAsia="等线" w:hint="eastAsia"/>
                <w:b/>
                <w:sz w:val="21"/>
              </w:rPr>
            </w:pPr>
            <w:r>
              <w:rPr>
                <w:b/>
                <w:sz w:val="21"/>
              </w:rPr>
              <w:t>19. </w:t>
            </w:r>
            <w:r>
              <w:rPr>
                <w:rFonts w:ascii="等线" w:eastAsia="等线" w:hint="eastAsia"/>
                <w:b/>
                <w:sz w:val="21"/>
              </w:rPr>
              <w:t>严重帕金森病</w:t>
            </w:r>
          </w:p>
        </w:tc>
        <w:tc>
          <w:tcPr>
            <w:tcW w:w="7675" w:type="dxa"/>
          </w:tcPr>
          <w:p>
            <w:pPr>
              <w:pStyle w:val="TableParagraph"/>
              <w:spacing w:line="273" w:lineRule="auto" w:before="100"/>
              <w:ind w:right="231"/>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rPr>
                <w:sz w:val="21"/>
              </w:rPr>
            </w:pPr>
            <w:r>
              <w:rPr>
                <w:sz w:val="21"/>
              </w:rPr>
              <w:t>（1）药物治疗无法控制病情；</w:t>
            </w:r>
          </w:p>
          <w:p>
            <w:pPr>
              <w:pStyle w:val="TableParagraph"/>
              <w:spacing w:line="273" w:lineRule="auto" w:before="37"/>
              <w:ind w:left="645" w:right="239" w:hanging="527"/>
              <w:rPr>
                <w:sz w:val="21"/>
              </w:rPr>
            </w:pPr>
            <w:r>
              <w:rPr>
                <w:sz w:val="21"/>
              </w:rPr>
              <w:t>（2）自主生活能力完全丧失，无法独立完成六项基本日常生活活动中的三项或三项以上。</w:t>
            </w:r>
          </w:p>
          <w:p>
            <w:pPr>
              <w:pStyle w:val="TableParagraph"/>
              <w:spacing w:line="284" w:lineRule="exact"/>
              <w:rPr>
                <w:b/>
                <w:i/>
                <w:sz w:val="22"/>
              </w:rPr>
            </w:pPr>
            <w:r>
              <w:rPr>
                <w:b/>
                <w:i/>
                <w:w w:val="95"/>
                <w:sz w:val="22"/>
              </w:rPr>
              <w:t>继发性帕金森综合征不在保障范围内。</w:t>
            </w:r>
          </w:p>
        </w:tc>
      </w:tr>
      <w:tr>
        <w:trPr>
          <w:trHeight w:val="1033" w:hRule="atLeast"/>
        </w:trPr>
        <w:tc>
          <w:tcPr>
            <w:tcW w:w="2005" w:type="dxa"/>
          </w:tcPr>
          <w:p>
            <w:pPr>
              <w:pStyle w:val="TableParagraph"/>
              <w:spacing w:line="278" w:lineRule="auto" w:before="45"/>
              <w:ind w:left="619" w:right="203" w:hanging="420"/>
              <w:rPr>
                <w:rFonts w:ascii="等线" w:eastAsia="等线" w:hint="eastAsia"/>
                <w:b/>
                <w:sz w:val="21"/>
              </w:rPr>
            </w:pPr>
            <w:r>
              <w:rPr>
                <w:b/>
                <w:sz w:val="21"/>
              </w:rPr>
              <w:t>20. </w:t>
            </w:r>
            <w:r>
              <w:rPr>
                <w:rFonts w:ascii="等线" w:eastAsia="等线" w:hint="eastAsia"/>
                <w:b/>
                <w:sz w:val="21"/>
              </w:rPr>
              <w:t>严重 </w:t>
            </w:r>
            <w:r>
              <w:rPr>
                <w:rFonts w:ascii="Microsoft JhengHei" w:eastAsia="Microsoft JhengHei" w:hint="eastAsia"/>
                <w:b/>
                <w:sz w:val="21"/>
              </w:rPr>
              <w:t>III </w:t>
            </w:r>
            <w:r>
              <w:rPr>
                <w:rFonts w:ascii="等线" w:eastAsia="等线" w:hint="eastAsia"/>
                <w:b/>
                <w:sz w:val="21"/>
              </w:rPr>
              <w:t>度烧伤</w:t>
            </w:r>
          </w:p>
        </w:tc>
        <w:tc>
          <w:tcPr>
            <w:tcW w:w="7675" w:type="dxa"/>
          </w:tcPr>
          <w:p>
            <w:pPr>
              <w:pStyle w:val="TableParagraph"/>
              <w:spacing w:line="273" w:lineRule="auto" w:before="100"/>
              <w:ind w:right="178"/>
              <w:rPr>
                <w:sz w:val="21"/>
              </w:rPr>
            </w:pPr>
            <w:r>
              <w:rPr>
                <w:sz w:val="21"/>
              </w:rPr>
              <w:t>指烧伤程度为Ⅲ度，且Ⅲ度烧伤面积达到全身体表面积的 20％或 20％以上。体表面积根据《中国新九分法》计算。</w:t>
            </w:r>
          </w:p>
        </w:tc>
      </w:tr>
      <w:tr>
        <w:trPr>
          <w:trHeight w:val="1274" w:hRule="atLeast"/>
        </w:trPr>
        <w:tc>
          <w:tcPr>
            <w:tcW w:w="2005" w:type="dxa"/>
          </w:tcPr>
          <w:p>
            <w:pPr>
              <w:pStyle w:val="TableParagraph"/>
              <w:spacing w:before="1"/>
              <w:ind w:left="0"/>
              <w:rPr>
                <w:sz w:val="17"/>
              </w:rPr>
            </w:pPr>
          </w:p>
          <w:p>
            <w:pPr>
              <w:pStyle w:val="TableParagraph"/>
              <w:spacing w:line="292" w:lineRule="auto"/>
              <w:ind w:left="619" w:right="118" w:hanging="420"/>
              <w:rPr>
                <w:rFonts w:ascii="等线" w:eastAsia="等线" w:hint="eastAsia"/>
                <w:b/>
                <w:sz w:val="21"/>
              </w:rPr>
            </w:pPr>
            <w:r>
              <w:rPr>
                <w:b/>
                <w:sz w:val="21"/>
              </w:rPr>
              <w:t>21. </w:t>
            </w:r>
            <w:r>
              <w:rPr>
                <w:rFonts w:ascii="等线" w:eastAsia="等线" w:hint="eastAsia"/>
                <w:b/>
                <w:sz w:val="21"/>
              </w:rPr>
              <w:t>严重原发性肺动脉高压</w:t>
            </w:r>
          </w:p>
        </w:tc>
        <w:tc>
          <w:tcPr>
            <w:tcW w:w="7675" w:type="dxa"/>
          </w:tcPr>
          <w:p>
            <w:pPr>
              <w:pStyle w:val="TableParagraph"/>
              <w:spacing w:before="2"/>
              <w:ind w:left="0"/>
              <w:rPr>
                <w:sz w:val="16"/>
              </w:rPr>
            </w:pPr>
          </w:p>
          <w:p>
            <w:pPr>
              <w:pStyle w:val="TableParagraph"/>
              <w:spacing w:line="273" w:lineRule="auto"/>
              <w:ind w:right="234"/>
              <w:jc w:val="both"/>
              <w:rPr>
                <w:sz w:val="21"/>
              </w:rPr>
            </w:pPr>
            <w:r>
              <w:rPr>
                <w:spacing w:val="-5"/>
                <w:sz w:val="21"/>
              </w:rPr>
              <w:t>指不明原因的肺动脉压力持续性增高，进行性发展而导致的慢性疾病，已经造成</w:t>
            </w:r>
            <w:r>
              <w:rPr>
                <w:spacing w:val="-11"/>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62" w:hRule="atLeast"/>
        </w:trPr>
        <w:tc>
          <w:tcPr>
            <w:tcW w:w="2005" w:type="dxa"/>
          </w:tcPr>
          <w:p>
            <w:pPr>
              <w:pStyle w:val="TableParagraph"/>
              <w:spacing w:line="295" w:lineRule="auto" w:before="111"/>
              <w:ind w:left="619" w:right="118" w:hanging="420"/>
              <w:rPr>
                <w:rFonts w:ascii="等线" w:eastAsia="等线" w:hint="eastAsia"/>
                <w:b/>
                <w:sz w:val="21"/>
              </w:rPr>
            </w:pPr>
            <w:r>
              <w:rPr>
                <w:b/>
                <w:sz w:val="21"/>
              </w:rPr>
              <w:t>22. </w:t>
            </w:r>
            <w:r>
              <w:rPr>
                <w:rFonts w:ascii="等线" w:eastAsia="等线" w:hint="eastAsia"/>
                <w:b/>
                <w:sz w:val="21"/>
              </w:rPr>
              <w:t>严重运动神经元病</w:t>
            </w:r>
          </w:p>
        </w:tc>
        <w:tc>
          <w:tcPr>
            <w:tcW w:w="7675" w:type="dxa"/>
          </w:tcPr>
          <w:p>
            <w:pPr>
              <w:pStyle w:val="TableParagraph"/>
              <w:spacing w:line="273" w:lineRule="auto" w:before="99"/>
              <w:ind w:right="200"/>
              <w:jc w:val="both"/>
              <w:rPr>
                <w:sz w:val="21"/>
              </w:rPr>
            </w:pPr>
            <w:r>
              <w:rPr>
                <w:spacing w:val="-5"/>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3"/>
                <w:sz w:val="21"/>
              </w:rPr>
              <w:t>力完全丧失，无法独立完成六项基本日常生活活动中的三项或三项以上的条件。</w:t>
            </w:r>
          </w:p>
        </w:tc>
      </w:tr>
      <w:tr>
        <w:trPr>
          <w:trHeight w:val="1788" w:hRule="atLeast"/>
        </w:trPr>
        <w:tc>
          <w:tcPr>
            <w:tcW w:w="2005" w:type="dxa"/>
          </w:tcPr>
          <w:p>
            <w:pPr>
              <w:pStyle w:val="TableParagraph"/>
              <w:spacing w:before="112"/>
              <w:ind w:left="200"/>
              <w:rPr>
                <w:rFonts w:ascii="等线" w:eastAsia="等线" w:hint="eastAsia"/>
                <w:b/>
                <w:sz w:val="21"/>
              </w:rPr>
            </w:pPr>
            <w:r>
              <w:rPr>
                <w:b/>
                <w:sz w:val="21"/>
              </w:rPr>
              <w:t>23. </w:t>
            </w:r>
            <w:r>
              <w:rPr>
                <w:rFonts w:ascii="等线" w:eastAsia="等线" w:hint="eastAsia"/>
                <w:b/>
                <w:sz w:val="21"/>
              </w:rPr>
              <w:t>语言能力丧失</w:t>
            </w:r>
          </w:p>
          <w:p>
            <w:pPr>
              <w:pStyle w:val="TableParagraph"/>
              <w:spacing w:before="63"/>
              <w:ind w:left="619"/>
              <w:rPr>
                <w:rFonts w:ascii="等线" w:eastAsia="等线" w:hint="eastAsia"/>
                <w:b/>
                <w:sz w:val="21"/>
              </w:rPr>
            </w:pPr>
            <w:r>
              <w:rPr>
                <w:rFonts w:ascii="等线" w:eastAsia="等线" w:hint="eastAsia"/>
                <w:b/>
                <w:sz w:val="21"/>
              </w:rPr>
              <w:t>－三岁始理赔</w:t>
            </w:r>
          </w:p>
        </w:tc>
        <w:tc>
          <w:tcPr>
            <w:tcW w:w="7675" w:type="dxa"/>
          </w:tcPr>
          <w:p>
            <w:pPr>
              <w:pStyle w:val="TableParagraph"/>
              <w:spacing w:line="273" w:lineRule="auto" w:before="100"/>
              <w:ind w:right="231"/>
              <w:rPr>
                <w:sz w:val="21"/>
              </w:rPr>
            </w:pPr>
            <w:r>
              <w:rPr>
                <w:spacing w:val="-3"/>
                <w:sz w:val="21"/>
              </w:rPr>
              <w:t>指因疾病或意外伤害导致完全丧失语言能力，经过积极治疗至少 </w:t>
            </w:r>
            <w:r>
              <w:rPr>
                <w:sz w:val="21"/>
              </w:rPr>
              <w:t>12</w:t>
            </w:r>
            <w:r>
              <w:rPr>
                <w:spacing w:val="-2"/>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284" w:lineRule="exact"/>
              <w:rPr>
                <w:b/>
                <w:i/>
                <w:sz w:val="22"/>
              </w:rPr>
            </w:pPr>
            <w:r>
              <w:rPr>
                <w:b/>
                <w:i/>
                <w:w w:val="95"/>
                <w:sz w:val="22"/>
              </w:rPr>
              <w:t>精神心理因素所致的语言能力丧失不在保障范围内。</w:t>
            </w:r>
          </w:p>
          <w:p>
            <w:pPr>
              <w:pStyle w:val="TableParagraph"/>
              <w:spacing w:line="259" w:lineRule="auto" w:before="25"/>
              <w:ind w:right="236"/>
              <w:rPr>
                <w:b/>
                <w:i/>
                <w:sz w:val="22"/>
              </w:rPr>
            </w:pPr>
            <w:r>
              <w:rPr>
                <w:b/>
                <w:i/>
                <w:spacing w:val="-6"/>
                <w:w w:val="95"/>
                <w:sz w:val="22"/>
              </w:rPr>
              <w:t>被保险人申请理赔时年龄必须在三周岁以上，并且提供理赔当时的语言能力丧失诊断及检查证据。</w:t>
            </w:r>
          </w:p>
        </w:tc>
      </w:tr>
      <w:tr>
        <w:trPr>
          <w:trHeight w:val="2417" w:hRule="atLeast"/>
        </w:trPr>
        <w:tc>
          <w:tcPr>
            <w:tcW w:w="2005" w:type="dxa"/>
          </w:tcPr>
          <w:p>
            <w:pPr>
              <w:pStyle w:val="TableParagraph"/>
              <w:spacing w:line="295" w:lineRule="auto" w:before="110"/>
              <w:ind w:left="619" w:right="118" w:hanging="420"/>
              <w:rPr>
                <w:rFonts w:ascii="等线" w:eastAsia="等线" w:hint="eastAsia"/>
                <w:b/>
                <w:sz w:val="21"/>
              </w:rPr>
            </w:pPr>
            <w:r>
              <w:rPr>
                <w:b/>
                <w:sz w:val="21"/>
              </w:rPr>
              <w:t>24. </w:t>
            </w:r>
            <w:r>
              <w:rPr>
                <w:rFonts w:ascii="等线" w:eastAsia="等线" w:hint="eastAsia"/>
                <w:b/>
                <w:sz w:val="21"/>
              </w:rPr>
              <w:t>重型再生障碍性贫血</w:t>
            </w:r>
          </w:p>
        </w:tc>
        <w:tc>
          <w:tcPr>
            <w:tcW w:w="7675" w:type="dxa"/>
          </w:tcPr>
          <w:p>
            <w:pPr>
              <w:pStyle w:val="TableParagraph"/>
              <w:spacing w:line="273" w:lineRule="auto" w:before="98"/>
              <w:ind w:right="198"/>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（2）外周血象必须具备以下三项条件：</w:t>
            </w:r>
          </w:p>
          <w:p>
            <w:pPr>
              <w:pStyle w:val="TableParagraph"/>
              <w:spacing w:before="37"/>
              <w:ind w:left="540"/>
              <w:rPr>
                <w:sz w:val="21"/>
              </w:rPr>
            </w:pPr>
            <w:r>
              <w:rPr>
                <w:sz w:val="21"/>
              </w:rPr>
              <w:t>①中性粒细胞绝对值≤0.5×10</w:t>
            </w:r>
            <w:r>
              <w:rPr>
                <w:position w:val="11"/>
                <w:sz w:val="11"/>
              </w:rPr>
              <w:t>9</w:t>
            </w:r>
            <w:r>
              <w:rPr>
                <w:sz w:val="21"/>
              </w:rPr>
              <w:t>/L；</w:t>
            </w:r>
          </w:p>
          <w:p>
            <w:pPr>
              <w:pStyle w:val="TableParagraph"/>
              <w:spacing w:before="37"/>
              <w:ind w:left="540"/>
              <w:rPr>
                <w:sz w:val="21"/>
              </w:rPr>
            </w:pPr>
            <w:r>
              <w:rPr>
                <w:sz w:val="21"/>
              </w:rPr>
              <w:t>②网织红细胞＜1%；</w:t>
            </w:r>
          </w:p>
          <w:p>
            <w:pPr>
              <w:pStyle w:val="TableParagraph"/>
              <w:spacing w:before="37"/>
              <w:ind w:left="540"/>
              <w:rPr>
                <w:sz w:val="21"/>
              </w:rPr>
            </w:pPr>
            <w:r>
              <w:rPr>
                <w:sz w:val="21"/>
              </w:rPr>
              <w:t>③血小板绝对值≤20×</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r>
            <w:r>
              <w:rPr>
                <w:sz w:val="21"/>
                <w:vertAlign w:val="baseline"/>
              </w:rPr>
              <w:t>/L。</w:t>
            </w:r>
          </w:p>
        </w:tc>
      </w:tr>
      <w:tr>
        <w:trPr>
          <w:trHeight w:val="1468" w:hRule="atLeast"/>
        </w:trPr>
        <w:tc>
          <w:tcPr>
            <w:tcW w:w="2005" w:type="dxa"/>
          </w:tcPr>
          <w:p>
            <w:pPr>
              <w:pStyle w:val="TableParagraph"/>
              <w:spacing w:before="104"/>
              <w:ind w:left="200"/>
              <w:rPr>
                <w:rFonts w:ascii="等线" w:eastAsia="等线" w:hint="eastAsia"/>
                <w:b/>
                <w:sz w:val="21"/>
              </w:rPr>
            </w:pPr>
            <w:r>
              <w:rPr>
                <w:b/>
                <w:sz w:val="21"/>
              </w:rPr>
              <w:t>25. </w:t>
            </w:r>
            <w:r>
              <w:rPr>
                <w:rFonts w:ascii="等线" w:eastAsia="等线" w:hint="eastAsia"/>
                <w:b/>
                <w:sz w:val="21"/>
              </w:rPr>
              <w:t>主动脉手术</w:t>
            </w:r>
          </w:p>
        </w:tc>
        <w:tc>
          <w:tcPr>
            <w:tcW w:w="7675" w:type="dxa"/>
          </w:tcPr>
          <w:p>
            <w:pPr>
              <w:pStyle w:val="TableParagraph"/>
              <w:spacing w:line="273" w:lineRule="auto" w:before="92"/>
              <w:ind w:right="232"/>
              <w:jc w:val="both"/>
              <w:rPr>
                <w:sz w:val="21"/>
              </w:rPr>
            </w:pPr>
            <w:r>
              <w:rPr>
                <w:spacing w:val="-6"/>
                <w:sz w:val="21"/>
              </w:rPr>
              <w:t>指为治疗主动脉疾病，实际实施了开胸或开腹进行的切除、置换、修补病损主动</w:t>
            </w:r>
            <w:r>
              <w:rPr>
                <w:spacing w:val="-7"/>
                <w:sz w:val="21"/>
              </w:rPr>
              <w:t>脉血管的手术。主动脉指胸主动脉和腹主动脉，不包括胸主动脉和腹主动脉的分</w:t>
            </w:r>
            <w:r>
              <w:rPr>
                <w:spacing w:val="-5"/>
                <w:sz w:val="21"/>
              </w:rPr>
              <w:t>支血管。</w:t>
            </w:r>
          </w:p>
          <w:p>
            <w:pPr>
              <w:pStyle w:val="TableParagraph"/>
              <w:spacing w:line="284" w:lineRule="exact"/>
              <w:jc w:val="both"/>
              <w:rPr>
                <w:b/>
                <w:i/>
                <w:sz w:val="22"/>
              </w:rPr>
            </w:pPr>
            <w:r>
              <w:rPr>
                <w:b/>
                <w:i/>
                <w:w w:val="95"/>
                <w:sz w:val="22"/>
              </w:rPr>
              <w:t>动脉内血管成形术不在保障范围内。</w:t>
            </w:r>
          </w:p>
        </w:tc>
      </w:tr>
      <w:tr>
        <w:trPr>
          <w:trHeight w:val="1161" w:hRule="atLeast"/>
        </w:trPr>
        <w:tc>
          <w:tcPr>
            <w:tcW w:w="2005" w:type="dxa"/>
          </w:tcPr>
          <w:p>
            <w:pPr>
              <w:pStyle w:val="TableParagraph"/>
              <w:spacing w:before="110"/>
              <w:ind w:left="200"/>
              <w:rPr>
                <w:rFonts w:ascii="等线" w:eastAsia="等线" w:hint="eastAsia"/>
                <w:b/>
                <w:sz w:val="21"/>
              </w:rPr>
            </w:pPr>
            <w:r>
              <w:rPr>
                <w:b/>
                <w:sz w:val="21"/>
              </w:rPr>
              <w:t>26. </w:t>
            </w:r>
            <w:r>
              <w:rPr>
                <w:rFonts w:ascii="等线" w:eastAsia="等线" w:hint="eastAsia"/>
                <w:b/>
                <w:sz w:val="21"/>
              </w:rPr>
              <w:t>多发性硬化症</w:t>
            </w:r>
          </w:p>
        </w:tc>
        <w:tc>
          <w:tcPr>
            <w:tcW w:w="7675" w:type="dxa"/>
          </w:tcPr>
          <w:p>
            <w:pPr>
              <w:pStyle w:val="TableParagraph"/>
              <w:spacing w:line="273" w:lineRule="auto" w:before="98"/>
              <w:ind w:right="232"/>
              <w:jc w:val="both"/>
              <w:rPr>
                <w:sz w:val="21"/>
              </w:rPr>
            </w:pPr>
            <w:r>
              <w:rPr>
                <w:spacing w:val="-5"/>
                <w:sz w:val="21"/>
              </w:rPr>
              <w:t>指因中枢神经系统脱髓鞘所致的不可逆的神经系统功能障碍，已经造成自主生活</w:t>
            </w:r>
            <w:r>
              <w:rPr>
                <w:spacing w:val="-7"/>
                <w:sz w:val="21"/>
              </w:rPr>
              <w:t>能力完全丧失，无法独立完成六项基本日常生活活动中的三项或三项以上，且持</w:t>
            </w:r>
            <w:r>
              <w:rPr>
                <w:spacing w:val="-15"/>
                <w:sz w:val="21"/>
              </w:rPr>
              <w:t>续至少 </w:t>
            </w:r>
            <w:r>
              <w:rPr>
                <w:sz w:val="21"/>
              </w:rPr>
              <w:t>180</w:t>
            </w:r>
            <w:r>
              <w:rPr>
                <w:spacing w:val="-18"/>
                <w:sz w:val="21"/>
              </w:rPr>
              <w:t> 天。</w:t>
            </w:r>
          </w:p>
        </w:tc>
      </w:tr>
      <w:tr>
        <w:trPr>
          <w:trHeight w:val="407" w:hRule="atLeast"/>
        </w:trPr>
        <w:tc>
          <w:tcPr>
            <w:tcW w:w="2005" w:type="dxa"/>
          </w:tcPr>
          <w:p>
            <w:pPr>
              <w:pStyle w:val="TableParagraph"/>
              <w:spacing w:line="275" w:lineRule="exact" w:before="112"/>
              <w:ind w:left="200"/>
              <w:rPr>
                <w:rFonts w:ascii="等线" w:eastAsia="等线" w:hint="eastAsia"/>
                <w:b/>
                <w:sz w:val="21"/>
              </w:rPr>
            </w:pPr>
            <w:r>
              <w:rPr>
                <w:b/>
                <w:sz w:val="21"/>
              </w:rPr>
              <w:t>27. </w:t>
            </w:r>
            <w:r>
              <w:rPr>
                <w:rFonts w:ascii="等线" w:eastAsia="等线" w:hint="eastAsia"/>
                <w:b/>
                <w:sz w:val="21"/>
              </w:rPr>
              <w:t>经输血导致的</w:t>
            </w:r>
          </w:p>
        </w:tc>
        <w:tc>
          <w:tcPr>
            <w:tcW w:w="7675" w:type="dxa"/>
          </w:tcPr>
          <w:p>
            <w:pPr>
              <w:pStyle w:val="TableParagraph"/>
              <w:spacing w:before="100"/>
              <w:rPr>
                <w:sz w:val="21"/>
              </w:rPr>
            </w:pPr>
            <w:r>
              <w:rPr>
                <w:sz w:val="21"/>
              </w:rPr>
              <w:t>是指被保险人感染上人类免疫缺陷病毒并且符合下列所有条件：</w:t>
            </w:r>
          </w:p>
        </w:tc>
      </w:tr>
    </w:tbl>
    <w:p>
      <w:pPr>
        <w:spacing w:after="0"/>
        <w:rPr>
          <w:sz w:val="21"/>
        </w:rPr>
        <w:sectPr>
          <w:pgSz w:w="11910" w:h="16840"/>
          <w:pgMar w:header="0" w:footer="353" w:top="1160" w:bottom="540" w:left="1420" w:right="58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747"/>
      </w:tblGrid>
      <w:tr>
        <w:trPr>
          <w:trHeight w:val="3807" w:hRule="atLeast"/>
        </w:trPr>
        <w:tc>
          <w:tcPr>
            <w:tcW w:w="2005" w:type="dxa"/>
          </w:tcPr>
          <w:p>
            <w:pPr>
              <w:pStyle w:val="TableParagraph"/>
              <w:spacing w:line="235" w:lineRule="exact"/>
              <w:ind w:left="619"/>
              <w:rPr>
                <w:rFonts w:ascii="等线" w:eastAsia="等线" w:hint="eastAsia"/>
                <w:b/>
                <w:sz w:val="21"/>
              </w:rPr>
            </w:pPr>
            <w:r>
              <w:rPr>
                <w:rFonts w:ascii="等线" w:eastAsia="等线" w:hint="eastAsia"/>
                <w:b/>
                <w:sz w:val="21"/>
              </w:rPr>
              <w:t>人类免疫缺陷</w:t>
            </w:r>
          </w:p>
          <w:p>
            <w:pPr>
              <w:pStyle w:val="TableParagraph"/>
              <w:spacing w:before="73"/>
              <w:ind w:left="619"/>
              <w:rPr>
                <w:rFonts w:ascii="等线" w:eastAsia="等线" w:hint="eastAsia"/>
                <w:b/>
                <w:sz w:val="21"/>
              </w:rPr>
            </w:pPr>
            <w:r>
              <w:rPr>
                <w:rFonts w:ascii="等线" w:eastAsia="等线" w:hint="eastAsia"/>
                <w:b/>
                <w:sz w:val="21"/>
              </w:rPr>
              <w:t>病毒感染</w:t>
            </w:r>
          </w:p>
        </w:tc>
        <w:tc>
          <w:tcPr>
            <w:tcW w:w="7747" w:type="dxa"/>
          </w:tcPr>
          <w:p>
            <w:pPr>
              <w:pStyle w:val="TableParagraph"/>
              <w:spacing w:line="211" w:lineRule="exact"/>
              <w:rPr>
                <w:sz w:val="21"/>
              </w:rPr>
            </w:pPr>
            <w:r>
              <w:rPr>
                <w:sz w:val="21"/>
              </w:rPr>
              <w:t>（1）在保障起始日或复效日之后，被保险人因治疗必需而接受输血，并且因输</w:t>
            </w:r>
          </w:p>
          <w:p>
            <w:pPr>
              <w:pStyle w:val="TableParagraph"/>
              <w:spacing w:before="37"/>
              <w:ind w:left="645"/>
              <w:rPr>
                <w:sz w:val="21"/>
              </w:rPr>
            </w:pPr>
            <w:r>
              <w:rPr>
                <w:sz w:val="21"/>
              </w:rPr>
              <w:t>血而感染人类免疫缺陷病毒；</w:t>
            </w:r>
          </w:p>
          <w:p>
            <w:pPr>
              <w:pStyle w:val="TableParagraph"/>
              <w:spacing w:line="273" w:lineRule="auto" w:before="37"/>
              <w:ind w:left="645" w:right="145" w:hanging="527"/>
              <w:rPr>
                <w:sz w:val="21"/>
              </w:rPr>
            </w:pPr>
            <w:r>
              <w:rPr>
                <w:sz w:val="21"/>
              </w:rPr>
              <w:t>（2）提供输血治疗的输血中心或医院出具该项输血感染属医疗责任事故的报告， 或者法院终审裁定为医疗责任并且不准上诉；</w:t>
            </w:r>
          </w:p>
          <w:p>
            <w:pPr>
              <w:pStyle w:val="TableParagraph"/>
              <w:spacing w:before="7"/>
              <w:rPr>
                <w:sz w:val="21"/>
              </w:rPr>
            </w:pPr>
            <w:r>
              <w:rPr>
                <w:sz w:val="21"/>
              </w:rPr>
              <w:t>（3）提供输血治疗的输血中心或医院必须拥有合法经营执照；</w:t>
            </w:r>
          </w:p>
          <w:p>
            <w:pPr>
              <w:pStyle w:val="TableParagraph"/>
              <w:spacing w:before="36"/>
              <w:rPr>
                <w:sz w:val="21"/>
              </w:rPr>
            </w:pPr>
            <w:r>
              <w:rPr>
                <w:sz w:val="21"/>
              </w:rPr>
              <w:t>（4）受感染的被保险人不是血友病患者。</w:t>
            </w:r>
          </w:p>
          <w:p>
            <w:pPr>
              <w:pStyle w:val="TableParagraph"/>
              <w:spacing w:line="273" w:lineRule="auto" w:before="36"/>
              <w:ind w:right="262"/>
              <w:rPr>
                <w:sz w:val="21"/>
              </w:rPr>
            </w:pPr>
            <w:r>
              <w:rPr>
                <w:sz w:val="21"/>
              </w:rPr>
              <w:t>在任何治愈艾滋病或阻止人类免疫缺陷病毒作用的疗法被发现以后，或能防止艾滋病发生的医疗方法被研究出来以后，本保障将不再予以赔付。</w:t>
            </w:r>
          </w:p>
          <w:p>
            <w:pPr>
              <w:pStyle w:val="TableParagraph"/>
              <w:spacing w:line="259" w:lineRule="auto"/>
              <w:ind w:right="254"/>
              <w:rPr>
                <w:b/>
                <w:i/>
                <w:sz w:val="22"/>
              </w:rPr>
            </w:pPr>
            <w:r>
              <w:rPr>
                <w:b/>
                <w:i/>
                <w:w w:val="95"/>
                <w:sz w:val="22"/>
              </w:rPr>
              <w:t>任何因其他传播方式（包括：性传播或静脉注射毒品）导致的人类免疫缺陷病毒感染不在本合同保障范围内。</w:t>
            </w:r>
          </w:p>
          <w:p>
            <w:pPr>
              <w:pStyle w:val="TableParagraph"/>
              <w:spacing w:line="273" w:lineRule="auto" w:before="22"/>
              <w:ind w:right="313"/>
              <w:rPr>
                <w:sz w:val="21"/>
              </w:rPr>
            </w:pPr>
            <w:r>
              <w:rPr>
                <w:sz w:val="21"/>
              </w:rPr>
              <w:t>我们拥有获得使用被保险人的血液样本的权利和能够对这些样本进行独立检验的权利。</w:t>
            </w:r>
          </w:p>
        </w:tc>
      </w:tr>
      <w:tr>
        <w:trPr>
          <w:trHeight w:val="1789" w:hRule="atLeast"/>
        </w:trPr>
        <w:tc>
          <w:tcPr>
            <w:tcW w:w="2005" w:type="dxa"/>
          </w:tcPr>
          <w:p>
            <w:pPr>
              <w:pStyle w:val="TableParagraph"/>
              <w:spacing w:before="112"/>
              <w:ind w:left="200"/>
              <w:rPr>
                <w:rFonts w:ascii="等线" w:eastAsia="等线" w:hint="eastAsia"/>
                <w:b/>
                <w:sz w:val="21"/>
              </w:rPr>
            </w:pPr>
            <w:r>
              <w:rPr>
                <w:b/>
                <w:sz w:val="21"/>
              </w:rPr>
              <w:t>28. </w:t>
            </w:r>
            <w:r>
              <w:rPr>
                <w:rFonts w:ascii="等线" w:eastAsia="等线" w:hint="eastAsia"/>
                <w:b/>
                <w:sz w:val="21"/>
              </w:rPr>
              <w:t>植物人状态</w:t>
            </w:r>
          </w:p>
        </w:tc>
        <w:tc>
          <w:tcPr>
            <w:tcW w:w="7747" w:type="dxa"/>
          </w:tcPr>
          <w:p>
            <w:pPr>
              <w:pStyle w:val="TableParagraph"/>
              <w:spacing w:line="273" w:lineRule="auto" w:before="100"/>
              <w:ind w:right="304"/>
              <w:rPr>
                <w:sz w:val="21"/>
              </w:rPr>
            </w:pPr>
            <w:r>
              <w:rPr>
                <w:sz w:val="21"/>
              </w:rPr>
              <w:t>指脑皮质广泛性坏死而导致对自身及周边的认知能力完全丧失,但脑干功能依然</w:t>
            </w:r>
            <w:r>
              <w:rPr>
                <w:w w:val="100"/>
                <w:sz w:val="21"/>
              </w:rPr>
              <w:t>存在。必须由神经专科医生明确诊断,并有头颅断层扫描</w:t>
            </w:r>
            <w:r>
              <w:rPr>
                <w:spacing w:val="2"/>
                <w:w w:val="100"/>
                <w:sz w:val="21"/>
              </w:rPr>
              <w:t>（</w:t>
            </w:r>
            <w:r>
              <w:rPr>
                <w:w w:val="100"/>
                <w:sz w:val="21"/>
              </w:rPr>
              <w:t>C</w:t>
            </w:r>
            <w:r>
              <w:rPr>
                <w:spacing w:val="5"/>
                <w:w w:val="100"/>
                <w:sz w:val="21"/>
              </w:rPr>
              <w:t>T</w:t>
            </w:r>
            <w:r>
              <w:rPr>
                <w:spacing w:val="-101"/>
                <w:w w:val="100"/>
                <w:sz w:val="21"/>
              </w:rPr>
              <w:t>）</w:t>
            </w:r>
            <w:r>
              <w:rPr>
                <w:w w:val="100"/>
                <w:sz w:val="21"/>
              </w:rPr>
              <w:t>，核磁共振检查</w:t>
            </w:r>
          </w:p>
          <w:p>
            <w:pPr>
              <w:pStyle w:val="TableParagraph"/>
              <w:spacing w:line="273" w:lineRule="auto" w:before="7"/>
              <w:ind w:right="254"/>
              <w:rPr>
                <w:sz w:val="21"/>
              </w:rPr>
            </w:pPr>
            <w:r>
              <w:rPr>
                <w:sz w:val="21"/>
              </w:rPr>
              <w:t>（MRI）或正电子发射断层扫描（PET）等影像学检查证实。上述情况必须有至少一个月的病历记录加以证实。</w:t>
            </w:r>
          </w:p>
          <w:p>
            <w:pPr>
              <w:pStyle w:val="TableParagraph"/>
              <w:spacing w:line="284" w:lineRule="exact"/>
              <w:rPr>
                <w:b/>
                <w:i/>
                <w:sz w:val="22"/>
              </w:rPr>
            </w:pPr>
            <w:r>
              <w:rPr>
                <w:b/>
                <w:i/>
                <w:w w:val="95"/>
                <w:sz w:val="22"/>
              </w:rPr>
              <w:t>由于酗酒或滥用药物所致的植物人状态不在保障范围内。</w:t>
            </w:r>
          </w:p>
        </w:tc>
      </w:tr>
      <w:tr>
        <w:trPr>
          <w:trHeight w:val="5530" w:hRule="atLeast"/>
        </w:trPr>
        <w:tc>
          <w:tcPr>
            <w:tcW w:w="2005" w:type="dxa"/>
          </w:tcPr>
          <w:p>
            <w:pPr>
              <w:pStyle w:val="TableParagraph"/>
              <w:spacing w:line="292" w:lineRule="auto" w:before="112"/>
              <w:ind w:left="619" w:right="118" w:hanging="420"/>
              <w:rPr>
                <w:rFonts w:ascii="等线" w:eastAsia="等线" w:hint="eastAsia"/>
                <w:b/>
                <w:sz w:val="21"/>
              </w:rPr>
            </w:pPr>
            <w:r>
              <w:rPr>
                <w:b/>
                <w:sz w:val="21"/>
              </w:rPr>
              <w:t>29. </w:t>
            </w:r>
            <w:r>
              <w:rPr>
                <w:rFonts w:ascii="等线" w:eastAsia="等线" w:hint="eastAsia"/>
                <w:b/>
                <w:sz w:val="21"/>
              </w:rPr>
              <w:t>系统性红斑狼疮</w:t>
            </w:r>
          </w:p>
        </w:tc>
        <w:tc>
          <w:tcPr>
            <w:tcW w:w="7747" w:type="dxa"/>
          </w:tcPr>
          <w:p>
            <w:pPr>
              <w:pStyle w:val="TableParagraph"/>
              <w:spacing w:line="273" w:lineRule="auto" w:before="100"/>
              <w:ind w:right="262"/>
              <w:rPr>
                <w:sz w:val="21"/>
              </w:rPr>
            </w:pPr>
            <w:r>
              <w:rPr>
                <w:sz w:val="21"/>
              </w:rPr>
              <w:t>是一种自身免疫性结缔组织病，于体内有大量致病性自身抗体和免疫复合物，造成组织损伤。理赔须经专科医生确认并同时具备下列情况：</w:t>
            </w:r>
          </w:p>
          <w:p>
            <w:pPr>
              <w:pStyle w:val="TableParagraph"/>
              <w:spacing w:before="8"/>
              <w:rPr>
                <w:sz w:val="21"/>
              </w:rPr>
            </w:pPr>
            <w:r>
              <w:rPr>
                <w:sz w:val="21"/>
              </w:rPr>
              <w:t>（1）临床表现至少具备如下条件的四个：</w:t>
            </w:r>
          </w:p>
          <w:p>
            <w:pPr>
              <w:pStyle w:val="TableParagraph"/>
              <w:spacing w:before="37"/>
              <w:ind w:left="609"/>
              <w:rPr>
                <w:sz w:val="21"/>
              </w:rPr>
            </w:pPr>
            <w:r>
              <w:rPr>
                <w:sz w:val="21"/>
              </w:rPr>
              <w:t>1, 蝶形红斑或盘形红斑；</w:t>
            </w:r>
          </w:p>
          <w:p>
            <w:pPr>
              <w:pStyle w:val="TableParagraph"/>
              <w:spacing w:before="37"/>
              <w:ind w:left="609"/>
              <w:rPr>
                <w:sz w:val="21"/>
              </w:rPr>
            </w:pPr>
            <w:r>
              <w:rPr>
                <w:sz w:val="21"/>
              </w:rPr>
              <w:t>2, 光敏感；</w:t>
            </w:r>
          </w:p>
          <w:p>
            <w:pPr>
              <w:pStyle w:val="TableParagraph"/>
              <w:spacing w:before="37"/>
              <w:ind w:left="609"/>
              <w:rPr>
                <w:sz w:val="21"/>
              </w:rPr>
            </w:pPr>
            <w:r>
              <w:rPr>
                <w:sz w:val="21"/>
              </w:rPr>
              <w:t>3, 口腔溃疡；</w:t>
            </w:r>
          </w:p>
          <w:p>
            <w:pPr>
              <w:pStyle w:val="TableParagraph"/>
              <w:spacing w:before="37"/>
              <w:ind w:left="609"/>
              <w:rPr>
                <w:sz w:val="21"/>
              </w:rPr>
            </w:pPr>
            <w:r>
              <w:rPr>
                <w:sz w:val="21"/>
              </w:rPr>
              <w:t>4, 非畸形关节炎或关节痛；</w:t>
            </w:r>
          </w:p>
          <w:p>
            <w:pPr>
              <w:pStyle w:val="TableParagraph"/>
              <w:spacing w:before="37"/>
              <w:ind w:left="609"/>
              <w:rPr>
                <w:sz w:val="21"/>
              </w:rPr>
            </w:pPr>
            <w:r>
              <w:rPr>
                <w:sz w:val="21"/>
              </w:rPr>
              <w:t>5, 浆膜炎、胸膜炎或心包炎；</w:t>
            </w:r>
          </w:p>
          <w:p>
            <w:pPr>
              <w:pStyle w:val="TableParagraph"/>
              <w:spacing w:before="37"/>
              <w:ind w:left="609"/>
              <w:rPr>
                <w:sz w:val="21"/>
              </w:rPr>
            </w:pPr>
            <w:r>
              <w:rPr>
                <w:w w:val="100"/>
                <w:sz w:val="21"/>
              </w:rPr>
              <w:t>6,</w:t>
            </w:r>
            <w:r>
              <w:rPr>
                <w:sz w:val="21"/>
              </w:rPr>
              <w:t> </w:t>
            </w:r>
            <w:r>
              <w:rPr>
                <w:spacing w:val="-3"/>
                <w:w w:val="100"/>
                <w:sz w:val="21"/>
              </w:rPr>
              <w:t>神经系统损伤（抽搐或精神症状</w:t>
            </w:r>
            <w:r>
              <w:rPr>
                <w:spacing w:val="-108"/>
                <w:w w:val="100"/>
                <w:sz w:val="21"/>
              </w:rPr>
              <w:t>）</w:t>
            </w:r>
            <w:r>
              <w:rPr>
                <w:w w:val="100"/>
                <w:sz w:val="21"/>
              </w:rPr>
              <w:t>；</w:t>
            </w:r>
          </w:p>
          <w:p>
            <w:pPr>
              <w:pStyle w:val="TableParagraph"/>
              <w:spacing w:before="37"/>
              <w:ind w:left="609"/>
              <w:rPr>
                <w:sz w:val="21"/>
              </w:rPr>
            </w:pPr>
            <w:r>
              <w:rPr>
                <w:sz w:val="21"/>
              </w:rPr>
              <w:t>7, 血象异常（WBC&lt;4000/μl</w:t>
            </w:r>
            <w:r>
              <w:rPr>
                <w:spacing w:val="-10"/>
                <w:sz w:val="21"/>
              </w:rPr>
              <w:t> 或血小板&lt;</w:t>
            </w:r>
            <w:r>
              <w:rPr>
                <w:sz w:val="21"/>
              </w:rPr>
              <w:t>100000/μl</w:t>
            </w:r>
            <w:r>
              <w:rPr>
                <w:spacing w:val="-10"/>
                <w:sz w:val="21"/>
              </w:rPr>
              <w:t> 或溶血性贫血</w:t>
            </w:r>
            <w:r>
              <w:rPr>
                <w:spacing w:val="-108"/>
                <w:sz w:val="21"/>
              </w:rPr>
              <w:t>）</w:t>
            </w:r>
            <w:r>
              <w:rPr>
                <w:sz w:val="21"/>
              </w:rPr>
              <w:t>。</w:t>
            </w:r>
          </w:p>
          <w:p>
            <w:pPr>
              <w:pStyle w:val="TableParagraph"/>
              <w:spacing w:before="37"/>
              <w:rPr>
                <w:sz w:val="21"/>
              </w:rPr>
            </w:pPr>
            <w:r>
              <w:rPr>
                <w:sz w:val="21"/>
              </w:rPr>
              <w:t>（2）检测结果至少具备如下条件的两个：</w:t>
            </w:r>
          </w:p>
          <w:p>
            <w:pPr>
              <w:pStyle w:val="TableParagraph"/>
              <w:spacing w:before="37"/>
              <w:ind w:left="609"/>
              <w:rPr>
                <w:sz w:val="21"/>
              </w:rPr>
            </w:pPr>
            <w:r>
              <w:rPr>
                <w:sz w:val="21"/>
              </w:rPr>
              <w:t>8, 狼疮细胞或抗双链 DNA 抗体阳性；</w:t>
            </w:r>
          </w:p>
          <w:p>
            <w:pPr>
              <w:pStyle w:val="TableParagraph"/>
              <w:spacing w:before="37"/>
              <w:ind w:left="609"/>
              <w:rPr>
                <w:sz w:val="21"/>
              </w:rPr>
            </w:pPr>
            <w:r>
              <w:rPr>
                <w:sz w:val="21"/>
              </w:rPr>
              <w:t>9, 抗 Sm 抗体阳性；</w:t>
            </w:r>
          </w:p>
          <w:p>
            <w:pPr>
              <w:pStyle w:val="TableParagraph"/>
              <w:spacing w:before="37"/>
              <w:ind w:left="609"/>
              <w:rPr>
                <w:sz w:val="21"/>
              </w:rPr>
            </w:pPr>
            <w:r>
              <w:rPr>
                <w:sz w:val="21"/>
              </w:rPr>
              <w:t>10, 抗核抗体阳性；</w:t>
            </w:r>
          </w:p>
          <w:p>
            <w:pPr>
              <w:pStyle w:val="TableParagraph"/>
              <w:spacing w:before="37"/>
              <w:ind w:left="609"/>
              <w:rPr>
                <w:sz w:val="21"/>
              </w:rPr>
            </w:pPr>
            <w:r>
              <w:rPr>
                <w:sz w:val="21"/>
              </w:rPr>
              <w:t>11, 狼疮带试验阳性；</w:t>
            </w:r>
          </w:p>
          <w:p>
            <w:pPr>
              <w:pStyle w:val="TableParagraph"/>
              <w:spacing w:before="37"/>
              <w:ind w:left="609"/>
              <w:rPr>
                <w:sz w:val="21"/>
              </w:rPr>
            </w:pPr>
            <w:r>
              <w:rPr>
                <w:sz w:val="21"/>
              </w:rPr>
              <w:t>12, C3 补体低于正常；</w:t>
            </w:r>
          </w:p>
          <w:p>
            <w:pPr>
              <w:pStyle w:val="TableParagraph"/>
              <w:spacing w:before="37"/>
              <w:ind w:left="609"/>
              <w:rPr>
                <w:sz w:val="21"/>
              </w:rPr>
            </w:pPr>
            <w:r>
              <w:rPr>
                <w:sz w:val="21"/>
              </w:rPr>
              <w:t>13, 狼疮肾炎致使肾功能减弱，血肌酐的清除率低于每分钟 30ml。</w:t>
            </w:r>
          </w:p>
        </w:tc>
      </w:tr>
      <w:tr>
        <w:trPr>
          <w:trHeight w:val="2411" w:hRule="atLeast"/>
        </w:trPr>
        <w:tc>
          <w:tcPr>
            <w:tcW w:w="2005" w:type="dxa"/>
          </w:tcPr>
          <w:p>
            <w:pPr>
              <w:pStyle w:val="TableParagraph"/>
              <w:spacing w:line="297" w:lineRule="auto" w:before="111"/>
              <w:ind w:left="619" w:right="118" w:hanging="420"/>
              <w:jc w:val="both"/>
              <w:rPr>
                <w:rFonts w:ascii="等线" w:eastAsia="等线" w:hint="eastAsia"/>
                <w:b/>
                <w:sz w:val="21"/>
              </w:rPr>
            </w:pPr>
            <w:r>
              <w:rPr>
                <w:b/>
                <w:sz w:val="21"/>
              </w:rPr>
              <w:t>30. </w:t>
            </w:r>
            <w:r>
              <w:rPr>
                <w:rFonts w:ascii="等线" w:eastAsia="等线" w:hint="eastAsia"/>
                <w:b/>
                <w:sz w:val="21"/>
              </w:rPr>
              <w:t>胰岛素依赖型糖尿病（Ｉ型糖尿病）</w:t>
            </w:r>
          </w:p>
        </w:tc>
        <w:tc>
          <w:tcPr>
            <w:tcW w:w="7747" w:type="dxa"/>
          </w:tcPr>
          <w:p>
            <w:pPr>
              <w:pStyle w:val="TableParagraph"/>
              <w:spacing w:before="99"/>
              <w:rPr>
                <w:sz w:val="21"/>
              </w:rPr>
            </w:pPr>
            <w:r>
              <w:rPr>
                <w:sz w:val="21"/>
              </w:rPr>
              <w:t>经内分泌专科医生明确诊断为Ｉ型糖尿病，且须同时满足下列条件：</w:t>
            </w:r>
          </w:p>
          <w:p>
            <w:pPr>
              <w:pStyle w:val="TableParagraph"/>
              <w:spacing w:before="36"/>
              <w:rPr>
                <w:sz w:val="21"/>
              </w:rPr>
            </w:pPr>
            <w:r>
              <w:rPr>
                <w:sz w:val="21"/>
              </w:rPr>
              <w:t>（1）必须持续性地依赖外源性胰岛素维持生命至少 180 天以上。</w:t>
            </w:r>
          </w:p>
          <w:p>
            <w:pPr>
              <w:pStyle w:val="TableParagraph"/>
              <w:spacing w:before="37"/>
              <w:rPr>
                <w:sz w:val="21"/>
              </w:rPr>
            </w:pPr>
            <w:r>
              <w:rPr>
                <w:sz w:val="21"/>
              </w:rPr>
              <w:t>（2）血胰岛素测定、血 C 肽测定或尿 C 肽测定结果异常。</w:t>
            </w:r>
          </w:p>
          <w:p>
            <w:pPr>
              <w:pStyle w:val="TableParagraph"/>
              <w:spacing w:before="37"/>
              <w:rPr>
                <w:sz w:val="21"/>
              </w:rPr>
            </w:pPr>
            <w:r>
              <w:rPr>
                <w:sz w:val="21"/>
              </w:rPr>
              <w:t>（3）出现下述三种并发症之一或一种以上：</w:t>
            </w:r>
          </w:p>
          <w:p>
            <w:pPr>
              <w:pStyle w:val="TableParagraph"/>
              <w:spacing w:before="37"/>
              <w:ind w:left="609"/>
              <w:rPr>
                <w:sz w:val="21"/>
              </w:rPr>
            </w:pPr>
            <w:r>
              <w:rPr>
                <w:sz w:val="21"/>
              </w:rPr>
              <w:t>1, 并发增殖性视网膜病变；</w:t>
            </w:r>
          </w:p>
          <w:p>
            <w:pPr>
              <w:pStyle w:val="TableParagraph"/>
              <w:spacing w:before="37"/>
              <w:ind w:left="609"/>
              <w:rPr>
                <w:sz w:val="21"/>
              </w:rPr>
            </w:pPr>
            <w:r>
              <w:rPr>
                <w:sz w:val="21"/>
              </w:rPr>
              <w:t>2, 并发心脏病变，并须植入心脏起搏器进行治疗；</w:t>
            </w:r>
          </w:p>
          <w:p>
            <w:pPr>
              <w:pStyle w:val="TableParagraph"/>
              <w:spacing w:before="37"/>
              <w:ind w:left="609"/>
              <w:rPr>
                <w:sz w:val="21"/>
              </w:rPr>
            </w:pPr>
            <w:r>
              <w:rPr>
                <w:sz w:val="21"/>
              </w:rPr>
              <w:t>3, 至少一个脚趾发生坏疽并已达到手术切除指征。</w:t>
            </w:r>
          </w:p>
        </w:tc>
      </w:tr>
      <w:tr>
        <w:trPr>
          <w:trHeight w:val="687" w:hRule="atLeast"/>
        </w:trPr>
        <w:tc>
          <w:tcPr>
            <w:tcW w:w="2005" w:type="dxa"/>
          </w:tcPr>
          <w:p>
            <w:pPr>
              <w:pStyle w:val="TableParagraph"/>
              <w:spacing w:before="112"/>
              <w:ind w:left="200"/>
              <w:rPr>
                <w:rFonts w:ascii="等线" w:eastAsia="等线" w:hint="eastAsia"/>
                <w:b/>
                <w:sz w:val="21"/>
              </w:rPr>
            </w:pPr>
            <w:r>
              <w:rPr>
                <w:b/>
                <w:w w:val="105"/>
                <w:sz w:val="21"/>
              </w:rPr>
              <w:t>31. </w:t>
            </w:r>
            <w:r>
              <w:rPr>
                <w:rFonts w:ascii="等线" w:eastAsia="等线" w:hint="eastAsia"/>
                <w:b/>
                <w:w w:val="105"/>
                <w:sz w:val="21"/>
              </w:rPr>
              <w:t>原发性心ft病</w:t>
            </w:r>
          </w:p>
        </w:tc>
        <w:tc>
          <w:tcPr>
            <w:tcW w:w="7747" w:type="dxa"/>
          </w:tcPr>
          <w:p>
            <w:pPr>
              <w:pStyle w:val="TableParagraph"/>
              <w:spacing w:line="310" w:lineRule="atLeast" w:before="65"/>
              <w:ind w:right="303"/>
              <w:rPr>
                <w:sz w:val="21"/>
              </w:rPr>
            </w:pPr>
            <w:r>
              <w:rPr>
                <w:spacing w:val="-6"/>
                <w:sz w:val="21"/>
              </w:rPr>
              <w:t>指不明原因引起的一类心肌病变，包括原发性扩张型心肌病、原发性肥厚型心肌</w:t>
            </w:r>
            <w:r>
              <w:rPr>
                <w:spacing w:val="-7"/>
                <w:sz w:val="21"/>
              </w:rPr>
              <w:t>病及原发性限制型心肌病三种，病变必须已造成事实上心室功能障碍而出现明显</w:t>
            </w:r>
          </w:p>
        </w:tc>
      </w:tr>
    </w:tbl>
    <w:p>
      <w:pPr>
        <w:spacing w:after="0" w:line="310" w:lineRule="atLeast"/>
        <w:rPr>
          <w:sz w:val="21"/>
        </w:rPr>
        <w:sectPr>
          <w:pgSz w:w="11910" w:h="16840"/>
          <w:pgMar w:header="0" w:footer="353" w:top="1160" w:bottom="540" w:left="14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745"/>
      </w:tblGrid>
      <w:tr>
        <w:trPr>
          <w:trHeight w:val="1936" w:hRule="atLeast"/>
        </w:trPr>
        <w:tc>
          <w:tcPr>
            <w:tcW w:w="2005" w:type="dxa"/>
          </w:tcPr>
          <w:p>
            <w:pPr>
              <w:pStyle w:val="TableParagraph"/>
              <w:ind w:left="0"/>
              <w:rPr>
                <w:rFonts w:ascii="Times New Roman"/>
                <w:sz w:val="20"/>
              </w:rPr>
            </w:pPr>
          </w:p>
        </w:tc>
        <w:tc>
          <w:tcPr>
            <w:tcW w:w="7745" w:type="dxa"/>
          </w:tcPr>
          <w:p>
            <w:pPr>
              <w:pStyle w:val="TableParagraph"/>
              <w:spacing w:line="211" w:lineRule="exact"/>
              <w:rPr>
                <w:sz w:val="21"/>
              </w:rPr>
            </w:pPr>
            <w:r>
              <w:rPr>
                <w:w w:val="100"/>
                <w:sz w:val="21"/>
              </w:rPr>
              <w:t>的心功能衰竭（美国纽约心脏协会心功能分类标准心功能达四级</w:t>
            </w:r>
            <w:r>
              <w:rPr>
                <w:spacing w:val="-106"/>
                <w:w w:val="100"/>
                <w:sz w:val="21"/>
              </w:rPr>
              <w:t>）</w:t>
            </w:r>
            <w:r>
              <w:rPr>
                <w:w w:val="100"/>
                <w:sz w:val="21"/>
              </w:rPr>
              <w:t>，且有相关住</w:t>
            </w:r>
          </w:p>
          <w:p>
            <w:pPr>
              <w:pStyle w:val="TableParagraph"/>
              <w:spacing w:before="37"/>
              <w:rPr>
                <w:sz w:val="21"/>
              </w:rPr>
            </w:pPr>
            <w:r>
              <w:rPr>
                <w:sz w:val="21"/>
              </w:rPr>
              <w:t>院医疗记录显示四级心功能衰竭状态持续至少一百八十天。</w:t>
            </w:r>
          </w:p>
          <w:p>
            <w:pPr>
              <w:pStyle w:val="TableParagraph"/>
              <w:spacing w:line="273" w:lineRule="auto" w:before="37"/>
              <w:ind w:right="302"/>
              <w:rPr>
                <w:sz w:val="21"/>
              </w:rPr>
            </w:pPr>
            <w:r>
              <w:rPr>
                <w:spacing w:val="-6"/>
                <w:sz w:val="21"/>
              </w:rPr>
              <w:t>本病须经专科医生明确诊断。继发于全身性疾病或其它器官系统疾病造成的心肌</w:t>
            </w:r>
            <w:r>
              <w:rPr>
                <w:spacing w:val="-4"/>
                <w:sz w:val="21"/>
              </w:rPr>
              <w:t>病变除外。</w:t>
            </w:r>
          </w:p>
          <w:p>
            <w:pPr>
              <w:pStyle w:val="TableParagraph"/>
              <w:spacing w:line="273" w:lineRule="auto" w:before="7"/>
              <w:ind w:right="311"/>
              <w:rPr>
                <w:sz w:val="21"/>
              </w:rPr>
            </w:pPr>
            <w:r>
              <w:rPr>
                <w:sz w:val="21"/>
              </w:rPr>
              <w:t>美国纽约心脏协会分类标准心功能四级是指有医院的医疗记录显示病人不能进行任何活动，休息时仍有心悸、呼吸困难等心力衰竭表现。</w:t>
            </w:r>
          </w:p>
        </w:tc>
      </w:tr>
      <w:tr>
        <w:trPr>
          <w:trHeight w:val="3036" w:hRule="atLeast"/>
        </w:trPr>
        <w:tc>
          <w:tcPr>
            <w:tcW w:w="2005" w:type="dxa"/>
          </w:tcPr>
          <w:p>
            <w:pPr>
              <w:pStyle w:val="TableParagraph"/>
              <w:spacing w:before="112"/>
              <w:ind w:left="200"/>
              <w:rPr>
                <w:rFonts w:ascii="等线" w:eastAsia="等线" w:hint="eastAsia"/>
                <w:b/>
                <w:sz w:val="21"/>
              </w:rPr>
            </w:pPr>
            <w:r>
              <w:rPr>
                <w:b/>
                <w:w w:val="105"/>
                <w:sz w:val="21"/>
              </w:rPr>
              <w:t>32. </w:t>
            </w:r>
            <w:r>
              <w:rPr>
                <w:rFonts w:ascii="等线" w:eastAsia="等线" w:hint="eastAsia"/>
                <w:b/>
                <w:w w:val="105"/>
                <w:sz w:val="21"/>
              </w:rPr>
              <w:t>重症ft无力</w:t>
            </w:r>
          </w:p>
        </w:tc>
        <w:tc>
          <w:tcPr>
            <w:tcW w:w="7745" w:type="dxa"/>
          </w:tcPr>
          <w:p>
            <w:pPr>
              <w:pStyle w:val="TableParagraph"/>
              <w:spacing w:line="273" w:lineRule="auto" w:before="100"/>
              <w:ind w:right="301"/>
              <w:jc w:val="both"/>
              <w:rPr>
                <w:sz w:val="21"/>
              </w:rPr>
            </w:pPr>
            <w:r>
              <w:rPr>
                <w:spacing w:val="-5"/>
                <w:sz w:val="21"/>
              </w:rPr>
              <w:t>是指一种神经与肌肉接头部位传递障碍的自身免疫性疾病，临床特征是局部或全</w:t>
            </w:r>
            <w:r>
              <w:rPr>
                <w:spacing w:val="-7"/>
                <w:sz w:val="21"/>
              </w:rPr>
              <w:t>身横纹肌于活动时易于疲劳无力，颅神经眼外肌最易累及，也可涉及呼吸肌、下</w:t>
            </w:r>
            <w:r>
              <w:rPr>
                <w:spacing w:val="-5"/>
                <w:sz w:val="21"/>
              </w:rPr>
              <w:t>肢近端肌群乃至全身肌肉，须经神经专科医生确诊。</w:t>
            </w:r>
          </w:p>
          <w:p>
            <w:pPr>
              <w:pStyle w:val="TableParagraph"/>
              <w:spacing w:before="7"/>
              <w:rPr>
                <w:sz w:val="21"/>
              </w:rPr>
            </w:pPr>
            <w:r>
              <w:rPr>
                <w:sz w:val="21"/>
              </w:rPr>
              <w:t>其诊断必须同时具有下列情况：</w:t>
            </w:r>
          </w:p>
          <w:p>
            <w:pPr>
              <w:pStyle w:val="TableParagraph"/>
              <w:spacing w:before="37"/>
              <w:rPr>
                <w:sz w:val="21"/>
              </w:rPr>
            </w:pPr>
            <w:r>
              <w:rPr>
                <w:sz w:val="21"/>
              </w:rPr>
              <w:t>（1）经药物、胸腺手术治疗一年以上无法控制病情，丧失正常工作能力；</w:t>
            </w:r>
          </w:p>
          <w:p>
            <w:pPr>
              <w:pStyle w:val="TableParagraph"/>
              <w:spacing w:line="273" w:lineRule="auto" w:before="37"/>
              <w:ind w:left="645" w:right="309" w:hanging="527"/>
              <w:rPr>
                <w:sz w:val="21"/>
              </w:rPr>
            </w:pPr>
            <w:r>
              <w:rPr>
                <w:sz w:val="21"/>
              </w:rPr>
              <w:t>（2）出现眼睑下垂，或延髓肌受累引起的构音困难、进食呛咳，或由于肌无力累及延髓肌、呼吸肌而致机体呼吸功能不正常的危急状态即肌无力危象；</w:t>
            </w:r>
          </w:p>
          <w:p>
            <w:pPr>
              <w:pStyle w:val="TableParagraph"/>
              <w:spacing w:line="273" w:lineRule="auto" w:before="7"/>
              <w:ind w:left="645" w:right="309" w:hanging="527"/>
              <w:rPr>
                <w:sz w:val="21"/>
              </w:rPr>
            </w:pPr>
            <w:r>
              <w:rPr>
                <w:sz w:val="21"/>
              </w:rPr>
              <w:t>（3）症状缓解、复发及恶化交替出现，临床接受新斯的明等抗胆碱酯酶药物治疗的病史。</w:t>
            </w:r>
          </w:p>
        </w:tc>
      </w:tr>
      <w:tr>
        <w:trPr>
          <w:trHeight w:val="932" w:hRule="atLeast"/>
        </w:trPr>
        <w:tc>
          <w:tcPr>
            <w:tcW w:w="2005" w:type="dxa"/>
          </w:tcPr>
          <w:p>
            <w:pPr>
              <w:pStyle w:val="TableParagraph"/>
              <w:spacing w:line="292" w:lineRule="auto" w:before="112"/>
              <w:ind w:left="619" w:right="118" w:hanging="420"/>
              <w:rPr>
                <w:rFonts w:ascii="等线" w:eastAsia="等线" w:hint="eastAsia"/>
                <w:b/>
                <w:sz w:val="21"/>
              </w:rPr>
            </w:pPr>
            <w:r>
              <w:rPr>
                <w:b/>
                <w:sz w:val="21"/>
              </w:rPr>
              <w:t>33. </w:t>
            </w:r>
            <w:r>
              <w:rPr>
                <w:rFonts w:ascii="等线" w:eastAsia="等线" w:hint="eastAsia"/>
                <w:b/>
                <w:sz w:val="21"/>
              </w:rPr>
              <w:t>急性坏死性胰腺炎</w:t>
            </w:r>
          </w:p>
        </w:tc>
        <w:tc>
          <w:tcPr>
            <w:tcW w:w="7745" w:type="dxa"/>
          </w:tcPr>
          <w:p>
            <w:pPr>
              <w:pStyle w:val="TableParagraph"/>
              <w:spacing w:line="261" w:lineRule="auto" w:before="100"/>
              <w:ind w:right="302"/>
              <w:rPr>
                <w:b/>
                <w:i/>
                <w:sz w:val="22"/>
              </w:rPr>
            </w:pPr>
            <w:r>
              <w:rPr>
                <w:spacing w:val="-6"/>
                <w:sz w:val="21"/>
              </w:rPr>
              <w:t>由专科医生确诊为急性坏死性胰腺炎，并需进行手术治疗，以进行组织清除、病</w:t>
            </w:r>
            <w:r>
              <w:rPr>
                <w:spacing w:val="-4"/>
                <w:w w:val="95"/>
                <w:sz w:val="21"/>
              </w:rPr>
              <w:t>灶切除或胰腺部分切除。</w:t>
            </w:r>
            <w:r>
              <w:rPr>
                <w:b/>
                <w:i/>
                <w:spacing w:val="-2"/>
                <w:w w:val="95"/>
                <w:sz w:val="22"/>
              </w:rPr>
              <w:t>但因酒精中毒所致的急性坏死性胰腺炎除外。</w:t>
            </w:r>
          </w:p>
        </w:tc>
      </w:tr>
      <w:tr>
        <w:trPr>
          <w:trHeight w:val="1798" w:hRule="atLeast"/>
        </w:trPr>
        <w:tc>
          <w:tcPr>
            <w:tcW w:w="2005" w:type="dxa"/>
          </w:tcPr>
          <w:p>
            <w:pPr>
              <w:pStyle w:val="TableParagraph"/>
              <w:spacing w:before="123"/>
              <w:ind w:left="200"/>
              <w:rPr>
                <w:rFonts w:ascii="等线" w:eastAsia="等线" w:hint="eastAsia"/>
                <w:b/>
                <w:sz w:val="21"/>
              </w:rPr>
            </w:pPr>
            <w:r>
              <w:rPr>
                <w:b/>
                <w:sz w:val="21"/>
              </w:rPr>
              <w:t>34. </w:t>
            </w:r>
            <w:r>
              <w:rPr>
                <w:rFonts w:ascii="等线" w:eastAsia="等线" w:hint="eastAsia"/>
                <w:b/>
                <w:sz w:val="21"/>
              </w:rPr>
              <w:t>坏死性筋膜炎</w:t>
            </w:r>
          </w:p>
        </w:tc>
        <w:tc>
          <w:tcPr>
            <w:tcW w:w="7745" w:type="dxa"/>
          </w:tcPr>
          <w:p>
            <w:pPr>
              <w:pStyle w:val="TableParagraph"/>
              <w:spacing w:before="111"/>
              <w:rPr>
                <w:sz w:val="21"/>
              </w:rPr>
            </w:pPr>
            <w:r>
              <w:rPr>
                <w:sz w:val="21"/>
              </w:rPr>
              <w:t>坏死性筋膜炎的诊断须同时符合下列要求：</w:t>
            </w:r>
          </w:p>
          <w:p>
            <w:pPr>
              <w:pStyle w:val="TableParagraph"/>
              <w:spacing w:before="37"/>
              <w:rPr>
                <w:sz w:val="21"/>
              </w:rPr>
            </w:pPr>
            <w:r>
              <w:rPr>
                <w:sz w:val="21"/>
              </w:rPr>
              <w:t>（1）符合坏死性筋膜炎的一般临床表现；</w:t>
            </w:r>
          </w:p>
          <w:p>
            <w:pPr>
              <w:pStyle w:val="TableParagraph"/>
              <w:spacing w:before="37"/>
              <w:rPr>
                <w:sz w:val="21"/>
              </w:rPr>
            </w:pPr>
            <w:r>
              <w:rPr>
                <w:sz w:val="21"/>
              </w:rPr>
              <w:t>（2）细菌培养检出致病菌；</w:t>
            </w:r>
          </w:p>
          <w:p>
            <w:pPr>
              <w:pStyle w:val="TableParagraph"/>
              <w:spacing w:line="273" w:lineRule="auto" w:before="37"/>
              <w:ind w:right="144"/>
              <w:rPr>
                <w:sz w:val="21"/>
              </w:rPr>
            </w:pPr>
            <w:r>
              <w:rPr>
                <w:sz w:val="21"/>
              </w:rPr>
              <w:t>（3）出现广泛性肌肉及软组织坏死，并导致身体受影响部位永久完全失去功能。所谓永久完全失去功能是指受影响部位的功能丧失超过六个月者。</w:t>
            </w:r>
          </w:p>
        </w:tc>
      </w:tr>
      <w:tr>
        <w:trPr>
          <w:trHeight w:val="2099" w:hRule="atLeast"/>
        </w:trPr>
        <w:tc>
          <w:tcPr>
            <w:tcW w:w="2005" w:type="dxa"/>
          </w:tcPr>
          <w:p>
            <w:pPr>
              <w:pStyle w:val="TableParagraph"/>
              <w:spacing w:before="112"/>
              <w:ind w:left="200"/>
              <w:rPr>
                <w:rFonts w:ascii="等线" w:eastAsia="等线" w:hint="eastAsia"/>
                <w:b/>
                <w:sz w:val="21"/>
              </w:rPr>
            </w:pPr>
            <w:r>
              <w:rPr>
                <w:b/>
                <w:sz w:val="21"/>
              </w:rPr>
              <w:t>35. </w:t>
            </w:r>
            <w:r>
              <w:rPr>
                <w:rFonts w:ascii="等线" w:eastAsia="等线" w:hint="eastAsia"/>
                <w:b/>
                <w:sz w:val="21"/>
              </w:rPr>
              <w:t>终末期肺病</w:t>
            </w:r>
          </w:p>
        </w:tc>
        <w:tc>
          <w:tcPr>
            <w:tcW w:w="7745" w:type="dxa"/>
          </w:tcPr>
          <w:p>
            <w:pPr>
              <w:pStyle w:val="TableParagraph"/>
              <w:spacing w:line="273" w:lineRule="auto" w:before="100"/>
              <w:ind w:right="260"/>
              <w:rPr>
                <w:sz w:val="21"/>
              </w:rPr>
            </w:pPr>
            <w:r>
              <w:rPr>
                <w:sz w:val="21"/>
              </w:rPr>
              <w:t>由呼吸专科医生确诊被保险人患有终末期肺病而出现慢性呼吸功能衰竭，其诊断标准包括以下各项：</w:t>
            </w:r>
          </w:p>
          <w:p>
            <w:pPr>
              <w:pStyle w:val="TableParagraph"/>
              <w:spacing w:before="7"/>
              <w:rPr>
                <w:sz w:val="21"/>
              </w:rPr>
            </w:pPr>
            <w:r>
              <w:rPr>
                <w:sz w:val="21"/>
              </w:rPr>
              <w:t>（1）肺功能测试其 FEVl 持续低于 0.75 升；</w:t>
            </w:r>
          </w:p>
          <w:p>
            <w:pPr>
              <w:pStyle w:val="TableParagraph"/>
              <w:spacing w:before="37"/>
              <w:rPr>
                <w:sz w:val="21"/>
              </w:rPr>
            </w:pPr>
            <w:r>
              <w:rPr>
                <w:sz w:val="21"/>
              </w:rPr>
              <w:t>（2）病人缺氧必须广泛而持续地进行输氧治疗；</w:t>
            </w:r>
          </w:p>
          <w:p>
            <w:pPr>
              <w:pStyle w:val="TableParagraph"/>
              <w:spacing w:before="37"/>
              <w:rPr>
                <w:sz w:val="21"/>
              </w:rPr>
            </w:pPr>
            <w:r>
              <w:rPr>
                <w:sz w:val="21"/>
              </w:rPr>
              <w:t>（3）动脉血气分析氧分压低于 55mmHg。</w:t>
            </w:r>
          </w:p>
          <w:p>
            <w:pPr>
              <w:pStyle w:val="TableParagraph"/>
              <w:spacing w:before="37"/>
              <w:rPr>
                <w:sz w:val="21"/>
              </w:rPr>
            </w:pPr>
            <w:r>
              <w:rPr>
                <w:sz w:val="21"/>
              </w:rPr>
              <w:t>理赔时必须提供以上各项中相应的医院证明文件或检查报告。</w:t>
            </w:r>
          </w:p>
        </w:tc>
      </w:tr>
      <w:tr>
        <w:trPr>
          <w:trHeight w:val="3035" w:hRule="atLeast"/>
        </w:trPr>
        <w:tc>
          <w:tcPr>
            <w:tcW w:w="2005" w:type="dxa"/>
          </w:tcPr>
          <w:p>
            <w:pPr>
              <w:pStyle w:val="TableParagraph"/>
              <w:spacing w:line="295" w:lineRule="auto" w:before="111"/>
              <w:ind w:left="619" w:right="118" w:hanging="420"/>
              <w:rPr>
                <w:rFonts w:ascii="等线" w:eastAsia="等线" w:hint="eastAsia"/>
                <w:b/>
                <w:sz w:val="21"/>
              </w:rPr>
            </w:pPr>
            <w:r>
              <w:rPr>
                <w:b/>
                <w:sz w:val="21"/>
              </w:rPr>
              <w:t>36. </w:t>
            </w:r>
            <w:r>
              <w:rPr>
                <w:rFonts w:ascii="等线" w:eastAsia="等线" w:hint="eastAsia"/>
                <w:b/>
                <w:sz w:val="21"/>
              </w:rPr>
              <w:t>严重类风湿性关节炎</w:t>
            </w:r>
          </w:p>
        </w:tc>
        <w:tc>
          <w:tcPr>
            <w:tcW w:w="7745" w:type="dxa"/>
          </w:tcPr>
          <w:p>
            <w:pPr>
              <w:pStyle w:val="TableParagraph"/>
              <w:spacing w:before="99"/>
              <w:rPr>
                <w:sz w:val="21"/>
              </w:rPr>
            </w:pPr>
            <w:r>
              <w:rPr>
                <w:sz w:val="21"/>
              </w:rPr>
              <w:t>是指类风湿性关节炎患者符合以下三项标准的：</w:t>
            </w:r>
          </w:p>
          <w:p>
            <w:pPr>
              <w:pStyle w:val="TableParagraph"/>
              <w:spacing w:line="273" w:lineRule="auto" w:before="36"/>
              <w:ind w:left="645" w:right="249" w:hanging="527"/>
              <w:rPr>
                <w:sz w:val="21"/>
              </w:rPr>
            </w:pPr>
            <w:r>
              <w:rPr>
                <w:sz w:val="21"/>
              </w:rPr>
              <w:t>（1）至少包括下列关节中的三组或以上有广泛受损和畸形改变:手指关节、腕关节、肘关节、膝关节、髋关节、踝关节、脊椎或脚趾关节；</w:t>
            </w:r>
          </w:p>
          <w:p>
            <w:pPr>
              <w:pStyle w:val="TableParagraph"/>
              <w:spacing w:line="273" w:lineRule="auto" w:before="7"/>
              <w:ind w:left="645" w:right="248" w:hanging="527"/>
              <w:rPr>
                <w:sz w:val="21"/>
              </w:rPr>
            </w:pPr>
            <w:r>
              <w:rPr>
                <w:sz w:val="21"/>
              </w:rPr>
              <w:t>（2）手和腕的后前位 X 线拍片检查可见类风湿性关节炎的典型变化，包括骨质侵蚀或钙流失，位于受累关节及其邻近部位尤其明显；</w:t>
            </w:r>
          </w:p>
          <w:p>
            <w:pPr>
              <w:pStyle w:val="TableParagraph"/>
              <w:spacing w:before="7"/>
              <w:rPr>
                <w:sz w:val="21"/>
              </w:rPr>
            </w:pPr>
            <w:r>
              <w:rPr>
                <w:sz w:val="21"/>
              </w:rPr>
              <w:t>（3）关节的畸形改变至少持续 6 个月。</w:t>
            </w:r>
          </w:p>
          <w:p>
            <w:pPr>
              <w:pStyle w:val="TableParagraph"/>
              <w:spacing w:line="273" w:lineRule="auto" w:before="36"/>
              <w:ind w:right="260"/>
              <w:rPr>
                <w:sz w:val="21"/>
              </w:rPr>
            </w:pPr>
            <w:r>
              <w:rPr>
                <w:sz w:val="21"/>
              </w:rPr>
              <w:t>类风湿性关节炎系指以关节滑膜炎为特征的慢性全身性自身免疫性疾病，诊断必须符合国际认可的该疾病的诊断标准。</w:t>
            </w:r>
          </w:p>
          <w:p>
            <w:pPr>
              <w:pStyle w:val="TableParagraph"/>
              <w:spacing w:before="7"/>
              <w:rPr>
                <w:sz w:val="21"/>
              </w:rPr>
            </w:pPr>
            <w:r>
              <w:rPr>
                <w:sz w:val="21"/>
              </w:rPr>
              <w:t>只有被保险人已接受膝关节或髋关节置换手术，我们才承担赔偿责任。</w:t>
            </w:r>
          </w:p>
        </w:tc>
      </w:tr>
      <w:tr>
        <w:trPr>
          <w:trHeight w:val="1623" w:hRule="atLeast"/>
        </w:trPr>
        <w:tc>
          <w:tcPr>
            <w:tcW w:w="2005" w:type="dxa"/>
          </w:tcPr>
          <w:p>
            <w:pPr>
              <w:pStyle w:val="TableParagraph"/>
              <w:spacing w:line="297" w:lineRule="auto" w:before="112"/>
              <w:ind w:left="619" w:right="118" w:hanging="420"/>
              <w:jc w:val="both"/>
              <w:rPr>
                <w:rFonts w:ascii="等线" w:eastAsia="等线" w:hint="eastAsia"/>
                <w:b/>
                <w:sz w:val="21"/>
              </w:rPr>
            </w:pPr>
            <w:r>
              <w:rPr>
                <w:b/>
                <w:sz w:val="21"/>
              </w:rPr>
              <w:t>37. </w:t>
            </w:r>
            <w:r>
              <w:rPr>
                <w:rFonts w:ascii="等线" w:eastAsia="等线" w:hint="eastAsia"/>
                <w:b/>
                <w:sz w:val="21"/>
              </w:rPr>
              <w:t>非阿尔茨海默病所致严重痴呆</w:t>
            </w:r>
          </w:p>
        </w:tc>
        <w:tc>
          <w:tcPr>
            <w:tcW w:w="7745" w:type="dxa"/>
          </w:tcPr>
          <w:p>
            <w:pPr>
              <w:pStyle w:val="TableParagraph"/>
              <w:spacing w:line="310" w:lineRule="atLeast" w:before="65"/>
              <w:ind w:right="302"/>
              <w:jc w:val="both"/>
              <w:rPr>
                <w:sz w:val="21"/>
              </w:rPr>
            </w:pPr>
            <w:r>
              <w:rPr>
                <w:sz w:val="21"/>
              </w:rPr>
              <w:t>指因阿尔茨海默病以外的脑的器质性疾病造成脑功能衰竭导致永久不可逆性的</w:t>
            </w:r>
            <w:r>
              <w:rPr>
                <w:spacing w:val="-6"/>
                <w:sz w:val="21"/>
              </w:rPr>
              <w:t>严重痴呆，临床表现为明显的认知能力障碍、行为异常和社交能力减退。被保险</w:t>
            </w:r>
            <w:r>
              <w:rPr>
                <w:spacing w:val="-7"/>
                <w:sz w:val="21"/>
              </w:rPr>
              <w:t>人自主生活能力完全丧失，无法独立完成六项基本日常生活活动中的三项或三项</w:t>
            </w:r>
            <w:r>
              <w:rPr>
                <w:spacing w:val="-8"/>
                <w:sz w:val="21"/>
              </w:rPr>
              <w:t>以上，日常生活必须持续受到他人监护。导致痴呆的疾病必须明确诊断，并且由</w:t>
            </w:r>
            <w:r>
              <w:rPr>
                <w:spacing w:val="-5"/>
                <w:sz w:val="21"/>
              </w:rPr>
              <w:t>完整的临床、实验室和影像学检查结果证实。</w:t>
            </w:r>
          </w:p>
        </w:tc>
      </w:tr>
    </w:tbl>
    <w:p>
      <w:pPr>
        <w:spacing w:after="0" w:line="310" w:lineRule="atLeast"/>
        <w:jc w:val="both"/>
        <w:rPr>
          <w:sz w:val="21"/>
        </w:rPr>
        <w:sectPr>
          <w:pgSz w:w="11910" w:h="16840"/>
          <w:pgMar w:header="0" w:footer="353" w:top="1160" w:bottom="540" w:left="14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745"/>
      </w:tblGrid>
      <w:tr>
        <w:trPr>
          <w:trHeight w:val="386" w:hRule="atLeast"/>
        </w:trPr>
        <w:tc>
          <w:tcPr>
            <w:tcW w:w="2005" w:type="dxa"/>
          </w:tcPr>
          <w:p>
            <w:pPr>
              <w:pStyle w:val="TableParagraph"/>
              <w:ind w:left="0"/>
              <w:rPr>
                <w:rFonts w:ascii="Times New Roman"/>
                <w:sz w:val="20"/>
              </w:rPr>
            </w:pPr>
          </w:p>
        </w:tc>
        <w:tc>
          <w:tcPr>
            <w:tcW w:w="7745" w:type="dxa"/>
          </w:tcPr>
          <w:p>
            <w:pPr>
              <w:pStyle w:val="TableParagraph"/>
              <w:spacing w:line="218" w:lineRule="exact"/>
              <w:rPr>
                <w:b/>
                <w:i/>
                <w:sz w:val="22"/>
              </w:rPr>
            </w:pPr>
            <w:r>
              <w:rPr>
                <w:b/>
                <w:i/>
                <w:w w:val="95"/>
                <w:sz w:val="22"/>
              </w:rPr>
              <w:t>神经官能症和精神疾病不在保障范围内。</w:t>
            </w:r>
          </w:p>
        </w:tc>
      </w:tr>
      <w:tr>
        <w:trPr>
          <w:trHeight w:val="2412" w:hRule="atLeast"/>
        </w:trPr>
        <w:tc>
          <w:tcPr>
            <w:tcW w:w="2005" w:type="dxa"/>
          </w:tcPr>
          <w:p>
            <w:pPr>
              <w:pStyle w:val="TableParagraph"/>
              <w:spacing w:before="108"/>
              <w:ind w:left="200"/>
              <w:rPr>
                <w:rFonts w:ascii="等线" w:eastAsia="等线" w:hint="eastAsia"/>
                <w:b/>
                <w:sz w:val="21"/>
              </w:rPr>
            </w:pPr>
            <w:r>
              <w:rPr>
                <w:b/>
                <w:sz w:val="21"/>
              </w:rPr>
              <w:t>38. </w:t>
            </w:r>
            <w:r>
              <w:rPr>
                <w:rFonts w:ascii="等线" w:eastAsia="等线" w:hint="eastAsia"/>
                <w:b/>
                <w:sz w:val="21"/>
              </w:rPr>
              <w:t>系统性硬化</w:t>
            </w:r>
          </w:p>
        </w:tc>
        <w:tc>
          <w:tcPr>
            <w:tcW w:w="7745" w:type="dxa"/>
          </w:tcPr>
          <w:p>
            <w:pPr>
              <w:pStyle w:val="TableParagraph"/>
              <w:spacing w:line="273" w:lineRule="auto" w:before="96"/>
              <w:ind w:right="268"/>
              <w:jc w:val="both"/>
              <w:rPr>
                <w:sz w:val="21"/>
              </w:rPr>
            </w:pPr>
            <w:r>
              <w:rPr>
                <w:spacing w:val="-3"/>
                <w:sz w:val="21"/>
              </w:rPr>
              <w:t>系统性硬化病又称硬皮病，是以弥漫性皮肤、血管及内脏器官结缔组织纤维化、</w:t>
            </w:r>
            <w:r>
              <w:rPr>
                <w:spacing w:val="-6"/>
                <w:sz w:val="21"/>
              </w:rPr>
              <w:t>硬化及萎缩为特点的结缔组织病。必须由风湿免疫专科医生确诊。必须有活体组</w:t>
            </w:r>
            <w:r>
              <w:rPr>
                <w:spacing w:val="-4"/>
                <w:sz w:val="21"/>
              </w:rPr>
              <w:t>织检查和血清学的检查作为确诊依据。病变需累及心脏，肺脏或肾脏。</w:t>
            </w:r>
          </w:p>
          <w:p>
            <w:pPr>
              <w:pStyle w:val="TableParagraph"/>
              <w:spacing w:line="284" w:lineRule="exact"/>
              <w:jc w:val="both"/>
              <w:rPr>
                <w:b/>
                <w:i/>
                <w:sz w:val="22"/>
              </w:rPr>
            </w:pPr>
            <w:r>
              <w:rPr>
                <w:b/>
                <w:i/>
                <w:w w:val="95"/>
                <w:sz w:val="22"/>
              </w:rPr>
              <w:t>下列疾病不在保障范围内：</w:t>
            </w:r>
          </w:p>
          <w:p>
            <w:pPr>
              <w:pStyle w:val="TableParagraph"/>
              <w:numPr>
                <w:ilvl w:val="0"/>
                <w:numId w:val="11"/>
              </w:numPr>
              <w:tabs>
                <w:tab w:pos="543" w:val="left" w:leader="none"/>
              </w:tabs>
              <w:spacing w:line="240" w:lineRule="auto" w:before="24" w:after="0"/>
              <w:ind w:left="542" w:right="0" w:hanging="423"/>
              <w:jc w:val="both"/>
              <w:rPr>
                <w:b/>
                <w:i/>
                <w:sz w:val="22"/>
              </w:rPr>
            </w:pPr>
            <w:r>
              <w:rPr>
                <w:b/>
                <w:i/>
                <w:w w:val="95"/>
                <w:sz w:val="22"/>
              </w:rPr>
              <w:t>局限性硬皮病（</w:t>
            </w:r>
            <w:r>
              <w:rPr>
                <w:b/>
                <w:i/>
                <w:spacing w:val="-2"/>
                <w:w w:val="95"/>
                <w:sz w:val="22"/>
              </w:rPr>
              <w:t>包括带状硬皮病、硬斑病</w:t>
            </w:r>
            <w:r>
              <w:rPr>
                <w:b/>
                <w:i/>
                <w:spacing w:val="-108"/>
                <w:w w:val="95"/>
                <w:sz w:val="22"/>
              </w:rPr>
              <w:t>）</w:t>
            </w:r>
            <w:r>
              <w:rPr>
                <w:b/>
                <w:i/>
                <w:w w:val="95"/>
                <w:sz w:val="22"/>
              </w:rPr>
              <w:t>；</w:t>
            </w:r>
          </w:p>
          <w:p>
            <w:pPr>
              <w:pStyle w:val="TableParagraph"/>
              <w:numPr>
                <w:ilvl w:val="0"/>
                <w:numId w:val="11"/>
              </w:numPr>
              <w:tabs>
                <w:tab w:pos="543" w:val="left" w:leader="none"/>
              </w:tabs>
              <w:spacing w:line="240" w:lineRule="auto" w:before="24" w:after="0"/>
              <w:ind w:left="542" w:right="0" w:hanging="423"/>
              <w:jc w:val="both"/>
              <w:rPr>
                <w:b/>
                <w:i/>
                <w:sz w:val="22"/>
              </w:rPr>
            </w:pPr>
            <w:r>
              <w:rPr>
                <w:b/>
                <w:i/>
                <w:w w:val="95"/>
                <w:sz w:val="22"/>
              </w:rPr>
              <w:t>嗜酸细胞性筋膜炎；</w:t>
            </w:r>
          </w:p>
          <w:p>
            <w:pPr>
              <w:pStyle w:val="TableParagraph"/>
              <w:numPr>
                <w:ilvl w:val="0"/>
                <w:numId w:val="11"/>
              </w:numPr>
              <w:tabs>
                <w:tab w:pos="543" w:val="left" w:leader="none"/>
              </w:tabs>
              <w:spacing w:line="240" w:lineRule="auto" w:before="24" w:after="0"/>
              <w:ind w:left="542" w:right="0" w:hanging="423"/>
              <w:jc w:val="both"/>
              <w:rPr>
                <w:b/>
                <w:i/>
                <w:sz w:val="22"/>
              </w:rPr>
            </w:pPr>
            <w:r>
              <w:rPr>
                <w:b/>
                <w:i/>
                <w:w w:val="95"/>
                <w:sz w:val="22"/>
              </w:rPr>
              <w:t>CREST综合征。</w:t>
            </w:r>
          </w:p>
        </w:tc>
      </w:tr>
      <w:tr>
        <w:trPr>
          <w:trHeight w:val="1786" w:hRule="atLeast"/>
        </w:trPr>
        <w:tc>
          <w:tcPr>
            <w:tcW w:w="2005" w:type="dxa"/>
          </w:tcPr>
          <w:p>
            <w:pPr>
              <w:pStyle w:val="TableParagraph"/>
              <w:spacing w:before="107"/>
              <w:ind w:left="200"/>
              <w:rPr>
                <w:rFonts w:ascii="等线" w:eastAsia="等线" w:hint="eastAsia"/>
                <w:b/>
                <w:sz w:val="21"/>
              </w:rPr>
            </w:pPr>
            <w:r>
              <w:rPr>
                <w:b/>
                <w:sz w:val="21"/>
              </w:rPr>
              <w:t>39. </w:t>
            </w:r>
            <w:r>
              <w:rPr>
                <w:rFonts w:ascii="等线" w:eastAsia="等线" w:hint="eastAsia"/>
                <w:b/>
                <w:sz w:val="21"/>
              </w:rPr>
              <w:t>脊髓灰质炎</w:t>
            </w:r>
          </w:p>
        </w:tc>
        <w:tc>
          <w:tcPr>
            <w:tcW w:w="7745" w:type="dxa"/>
          </w:tcPr>
          <w:p>
            <w:pPr>
              <w:pStyle w:val="TableParagraph"/>
              <w:spacing w:line="273" w:lineRule="auto" w:before="95"/>
              <w:ind w:right="301"/>
              <w:jc w:val="both"/>
              <w:rPr>
                <w:sz w:val="21"/>
              </w:rPr>
            </w:pPr>
            <w:r>
              <w:rPr>
                <w:spacing w:val="-5"/>
                <w:sz w:val="21"/>
              </w:rPr>
              <w:t>脊髓灰质炎是由于脊髓灰质炎病毒感染所致的瘫痪性疾病，临床表现为运动功能</w:t>
            </w:r>
            <w:r>
              <w:rPr>
                <w:spacing w:val="-7"/>
                <w:sz w:val="21"/>
              </w:rPr>
              <w:t>损害或呼吸无力。脊髓灰质炎必须明确诊断。我们仅对脊髓灰质炎造成的神经系</w:t>
            </w:r>
            <w:r>
              <w:rPr>
                <w:sz w:val="21"/>
              </w:rPr>
              <w:t>统功能损害导致被保险人一肢或一肢以上肢体机能永久完全丧失的情况予以理</w:t>
            </w:r>
            <w:r>
              <w:rPr>
                <w:spacing w:val="-8"/>
                <w:sz w:val="21"/>
              </w:rPr>
              <w:t>赔。肢体机能永久完全丧失，指疾病确诊 </w:t>
            </w:r>
            <w:r>
              <w:rPr>
                <w:sz w:val="21"/>
              </w:rPr>
              <w:t>180</w:t>
            </w:r>
            <w:r>
              <w:rPr>
                <w:spacing w:val="-9"/>
                <w:sz w:val="21"/>
              </w:rPr>
              <w:t> 天后，每肢三大关节中的两大关节</w:t>
            </w:r>
            <w:r>
              <w:rPr>
                <w:spacing w:val="-5"/>
                <w:sz w:val="21"/>
              </w:rPr>
              <w:t>仍然完全僵硬，或不能随意识活动。</w:t>
            </w:r>
          </w:p>
        </w:tc>
      </w:tr>
      <w:tr>
        <w:trPr>
          <w:trHeight w:val="1163" w:hRule="atLeast"/>
        </w:trPr>
        <w:tc>
          <w:tcPr>
            <w:tcW w:w="2005" w:type="dxa"/>
          </w:tcPr>
          <w:p>
            <w:pPr>
              <w:pStyle w:val="TableParagraph"/>
              <w:spacing w:before="107"/>
              <w:ind w:left="200"/>
              <w:rPr>
                <w:rFonts w:ascii="等线" w:eastAsia="等线" w:hint="eastAsia"/>
                <w:b/>
                <w:sz w:val="21"/>
              </w:rPr>
            </w:pPr>
            <w:r>
              <w:rPr>
                <w:b/>
                <w:sz w:val="21"/>
              </w:rPr>
              <w:t>40. </w:t>
            </w:r>
            <w:r>
              <w:rPr>
                <w:rFonts w:ascii="等线" w:eastAsia="等线" w:hint="eastAsia"/>
                <w:b/>
                <w:sz w:val="21"/>
              </w:rPr>
              <w:t>严重克隆病</w:t>
            </w:r>
          </w:p>
        </w:tc>
        <w:tc>
          <w:tcPr>
            <w:tcW w:w="7745" w:type="dxa"/>
          </w:tcPr>
          <w:p>
            <w:pPr>
              <w:pStyle w:val="TableParagraph"/>
              <w:spacing w:line="273" w:lineRule="auto" w:before="95"/>
              <w:ind w:right="302"/>
              <w:jc w:val="both"/>
              <w:rPr>
                <w:sz w:val="21"/>
              </w:rPr>
            </w:pPr>
            <w:r>
              <w:rPr>
                <w:spacing w:val="-6"/>
                <w:sz w:val="21"/>
              </w:rPr>
              <w:t>克隆病是一种慢性肉芽肿性肠炎，具有特征性的克隆病病理组织学变化。诊断必</w:t>
            </w:r>
            <w:r>
              <w:rPr>
                <w:spacing w:val="-7"/>
                <w:sz w:val="21"/>
              </w:rPr>
              <w:t>须由病理检查结果证实。被保险人所患的克隆病必须已经造成瘘管形成并伴有肠</w:t>
            </w:r>
            <w:r>
              <w:rPr>
                <w:spacing w:val="-5"/>
                <w:sz w:val="21"/>
              </w:rPr>
              <w:t>梗阻或肠穿孔。</w:t>
            </w:r>
          </w:p>
        </w:tc>
      </w:tr>
      <w:tr>
        <w:trPr>
          <w:trHeight w:val="1474" w:hRule="atLeast"/>
        </w:trPr>
        <w:tc>
          <w:tcPr>
            <w:tcW w:w="2005" w:type="dxa"/>
          </w:tcPr>
          <w:p>
            <w:pPr>
              <w:pStyle w:val="TableParagraph"/>
              <w:spacing w:line="292" w:lineRule="auto" w:before="108"/>
              <w:ind w:left="619" w:right="118" w:hanging="420"/>
              <w:rPr>
                <w:rFonts w:ascii="等线" w:eastAsia="等线" w:hint="eastAsia"/>
                <w:b/>
                <w:sz w:val="21"/>
              </w:rPr>
            </w:pPr>
            <w:r>
              <w:rPr>
                <w:b/>
                <w:sz w:val="21"/>
              </w:rPr>
              <w:t>41. </w:t>
            </w:r>
            <w:r>
              <w:rPr>
                <w:rFonts w:ascii="等线" w:eastAsia="等线" w:hint="eastAsia"/>
                <w:b/>
                <w:sz w:val="21"/>
              </w:rPr>
              <w:t>严重溃疡性结肠炎</w:t>
            </w:r>
          </w:p>
        </w:tc>
        <w:tc>
          <w:tcPr>
            <w:tcW w:w="7745" w:type="dxa"/>
          </w:tcPr>
          <w:p>
            <w:pPr>
              <w:pStyle w:val="TableParagraph"/>
              <w:spacing w:line="273" w:lineRule="auto" w:before="96"/>
              <w:ind w:right="301"/>
              <w:jc w:val="both"/>
              <w:rPr>
                <w:sz w:val="21"/>
              </w:rPr>
            </w:pPr>
            <w:r>
              <w:rPr>
                <w:sz w:val="21"/>
              </w:rPr>
              <w:t>我们所保障的溃疡性结肠炎是指伴有致命性电解质紊乱的急性暴发性溃疡性结</w:t>
            </w:r>
            <w:r>
              <w:rPr>
                <w:spacing w:val="-6"/>
                <w:sz w:val="21"/>
              </w:rPr>
              <w:t>肠炎，病变累及全结肠，表现为严重的血便和系统性症状体征，治疗通常采取全</w:t>
            </w:r>
            <w:r>
              <w:rPr>
                <w:spacing w:val="-7"/>
                <w:sz w:val="21"/>
              </w:rPr>
              <w:t>结肠切除和回肠造瘘术。溃疡性结肠炎必须根据组织病理学特点诊断，并且被保</w:t>
            </w:r>
            <w:r>
              <w:rPr>
                <w:spacing w:val="-5"/>
                <w:sz w:val="21"/>
              </w:rPr>
              <w:t>险人已经接受了结肠切除和回肠造瘘术。</w:t>
            </w:r>
          </w:p>
        </w:tc>
      </w:tr>
      <w:tr>
        <w:trPr>
          <w:trHeight w:val="3659" w:hRule="atLeast"/>
        </w:trPr>
        <w:tc>
          <w:tcPr>
            <w:tcW w:w="2005" w:type="dxa"/>
          </w:tcPr>
          <w:p>
            <w:pPr>
              <w:pStyle w:val="TableParagraph"/>
              <w:spacing w:line="297" w:lineRule="auto" w:before="107"/>
              <w:ind w:left="619" w:right="118" w:hanging="420"/>
              <w:jc w:val="both"/>
              <w:rPr>
                <w:rFonts w:ascii="等线" w:eastAsia="等线" w:hint="eastAsia"/>
                <w:b/>
                <w:sz w:val="21"/>
              </w:rPr>
            </w:pPr>
            <w:r>
              <w:rPr>
                <w:b/>
                <w:sz w:val="21"/>
              </w:rPr>
              <w:t>42. </w:t>
            </w:r>
            <w:r>
              <w:rPr>
                <w:rFonts w:ascii="等线" w:eastAsia="等线" w:hint="eastAsia"/>
                <w:b/>
                <w:sz w:val="21"/>
              </w:rPr>
              <w:t>因职业关系导致的人类免疫缺陷病毒感染</w:t>
            </w:r>
          </w:p>
        </w:tc>
        <w:tc>
          <w:tcPr>
            <w:tcW w:w="7745" w:type="dxa"/>
          </w:tcPr>
          <w:p>
            <w:pPr>
              <w:pStyle w:val="TableParagraph"/>
              <w:spacing w:line="273" w:lineRule="auto" w:before="95"/>
              <w:ind w:right="302"/>
              <w:rPr>
                <w:sz w:val="21"/>
              </w:rPr>
            </w:pPr>
            <w:r>
              <w:rPr>
                <w:spacing w:val="-5"/>
                <w:sz w:val="21"/>
              </w:rPr>
              <w:t>指被保险人在其常规职业工作过程中遭遇外伤，或者职业需要处理血液或者其他</w:t>
            </w:r>
            <w:r>
              <w:rPr>
                <w:spacing w:val="-4"/>
                <w:w w:val="100"/>
                <w:sz w:val="21"/>
              </w:rPr>
              <w:t>体液时感染上人类免疫缺陷病毒</w:t>
            </w:r>
            <w:r>
              <w:rPr>
                <w:w w:val="100"/>
                <w:sz w:val="21"/>
              </w:rPr>
              <w:t>（H</w:t>
            </w:r>
            <w:r>
              <w:rPr>
                <w:spacing w:val="-3"/>
                <w:w w:val="100"/>
                <w:sz w:val="21"/>
              </w:rPr>
              <w:t>I</w:t>
            </w:r>
            <w:r>
              <w:rPr>
                <w:spacing w:val="-1"/>
                <w:w w:val="100"/>
                <w:sz w:val="21"/>
              </w:rPr>
              <w:t>V</w:t>
            </w:r>
            <w:r>
              <w:rPr>
                <w:spacing w:val="-106"/>
                <w:w w:val="100"/>
                <w:sz w:val="21"/>
              </w:rPr>
              <w:t>）。</w:t>
            </w:r>
          </w:p>
          <w:p>
            <w:pPr>
              <w:pStyle w:val="TableParagraph"/>
              <w:spacing w:before="7"/>
              <w:rPr>
                <w:sz w:val="21"/>
              </w:rPr>
            </w:pPr>
            <w:r>
              <w:rPr>
                <w:sz w:val="21"/>
              </w:rPr>
              <w:t>必须满足下列全部条件：</w:t>
            </w:r>
          </w:p>
          <w:p>
            <w:pPr>
              <w:pStyle w:val="TableParagraph"/>
              <w:spacing w:line="273" w:lineRule="auto" w:before="37"/>
              <w:ind w:left="645" w:right="308" w:hanging="527"/>
              <w:jc w:val="both"/>
              <w:rPr>
                <w:sz w:val="21"/>
              </w:rPr>
            </w:pPr>
            <w:r>
              <w:rPr>
                <w:sz w:val="21"/>
              </w:rPr>
              <w:t>（1）感染必须是在被保险人正在从事其职业工作中发生，该职业必须属于以下职业之一：医生和牙科医生、护士、医院化验室工作人员、医院护工、医生助理和牙医助理、救护车工作人员、助产士、消防队员、警察、狱警；</w:t>
            </w:r>
          </w:p>
          <w:p>
            <w:pPr>
              <w:pStyle w:val="TableParagraph"/>
              <w:spacing w:before="7"/>
              <w:rPr>
                <w:sz w:val="21"/>
              </w:rPr>
            </w:pPr>
            <w:r>
              <w:rPr>
                <w:sz w:val="21"/>
              </w:rPr>
              <w:t>（2）血清转化必须出现在事故发生后的 6 个月内；</w:t>
            </w:r>
          </w:p>
          <w:p>
            <w:pPr>
              <w:pStyle w:val="TableParagraph"/>
              <w:spacing w:line="273" w:lineRule="auto" w:before="36"/>
              <w:ind w:left="645" w:right="250" w:hanging="527"/>
              <w:rPr>
                <w:sz w:val="21"/>
              </w:rPr>
            </w:pPr>
            <w:r>
              <w:rPr>
                <w:sz w:val="21"/>
              </w:rPr>
              <w:t>（3）必须提供被保险人在所报告事故发生后的 5 天内进行的检验报告，该报告必须显示被保险人血液 HIV 病毒阴性和/或 HIV 抗体阴性；</w:t>
            </w:r>
          </w:p>
          <w:p>
            <w:pPr>
              <w:pStyle w:val="TableParagraph"/>
              <w:spacing w:line="273" w:lineRule="auto" w:before="7"/>
              <w:ind w:left="645" w:right="304" w:hanging="527"/>
              <w:rPr>
                <w:sz w:val="21"/>
              </w:rPr>
            </w:pPr>
            <w:r>
              <w:rPr>
                <w:spacing w:val="-12"/>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8"/>
                <w:sz w:val="21"/>
              </w:rPr>
              <w:t> 病毒或者 </w:t>
            </w:r>
            <w:r>
              <w:rPr>
                <w:sz w:val="21"/>
              </w:rPr>
              <w:t>HIV</w:t>
            </w:r>
            <w:r>
              <w:rPr>
                <w:spacing w:val="-25"/>
                <w:sz w:val="21"/>
              </w:rPr>
              <w:t> 抗体。</w:t>
            </w:r>
          </w:p>
        </w:tc>
      </w:tr>
      <w:tr>
        <w:trPr>
          <w:trHeight w:val="1788" w:hRule="atLeast"/>
        </w:trPr>
        <w:tc>
          <w:tcPr>
            <w:tcW w:w="2005" w:type="dxa"/>
          </w:tcPr>
          <w:p>
            <w:pPr>
              <w:pStyle w:val="TableParagraph"/>
              <w:spacing w:before="108"/>
              <w:ind w:left="200"/>
              <w:rPr>
                <w:rFonts w:ascii="等线" w:eastAsia="等线" w:hint="eastAsia"/>
                <w:b/>
                <w:sz w:val="21"/>
              </w:rPr>
            </w:pPr>
            <w:r>
              <w:rPr>
                <w:b/>
                <w:sz w:val="21"/>
              </w:rPr>
              <w:t>43. </w:t>
            </w:r>
            <w:r>
              <w:rPr>
                <w:rFonts w:ascii="等线" w:eastAsia="等线" w:hint="eastAsia"/>
                <w:b/>
                <w:sz w:val="21"/>
              </w:rPr>
              <w:t>川崎病</w:t>
            </w:r>
          </w:p>
        </w:tc>
        <w:tc>
          <w:tcPr>
            <w:tcW w:w="7745" w:type="dxa"/>
          </w:tcPr>
          <w:p>
            <w:pPr>
              <w:pStyle w:val="TableParagraph"/>
              <w:spacing w:line="273" w:lineRule="auto" w:before="96"/>
              <w:ind w:right="198"/>
              <w:rPr>
                <w:sz w:val="21"/>
              </w:rPr>
            </w:pPr>
            <w:r>
              <w:rPr>
                <w:spacing w:val="-6"/>
                <w:sz w:val="21"/>
              </w:rPr>
              <w:t>指一种原因未明的血管炎综合征，临床表现为急性发热，皮肤粘膜病损和淋巴结</w:t>
            </w:r>
            <w:r>
              <w:rPr>
                <w:spacing w:val="-16"/>
                <w:sz w:val="21"/>
              </w:rPr>
              <w:t>肿大。本病必须经专科医生明确诊断，且必须由血管造影或超声心动图检查证实， </w:t>
            </w:r>
            <w:r>
              <w:rPr>
                <w:spacing w:val="-7"/>
                <w:sz w:val="21"/>
              </w:rPr>
              <w:t>满足下列至少一项条件：</w:t>
            </w:r>
          </w:p>
          <w:p>
            <w:pPr>
              <w:pStyle w:val="TableParagraph"/>
              <w:spacing w:before="8"/>
              <w:rPr>
                <w:sz w:val="21"/>
              </w:rPr>
            </w:pPr>
            <w:r>
              <w:rPr>
                <w:sz w:val="21"/>
              </w:rPr>
              <w:t>（1）伴有冠状动脉瘤，且冠状动脉瘤于最初急性发病后持续至少一百八十天；</w:t>
            </w:r>
          </w:p>
          <w:p>
            <w:pPr>
              <w:pStyle w:val="TableParagraph"/>
              <w:spacing w:before="37"/>
              <w:rPr>
                <w:sz w:val="21"/>
              </w:rPr>
            </w:pPr>
            <w:r>
              <w:rPr>
                <w:sz w:val="21"/>
              </w:rPr>
              <w:t>（2）伴有冠状动脉瘤，且实际接受了对冠状动脉瘤进行的手术治疗。</w:t>
            </w:r>
          </w:p>
        </w:tc>
      </w:tr>
      <w:tr>
        <w:trPr>
          <w:trHeight w:val="1623" w:hRule="atLeast"/>
        </w:trPr>
        <w:tc>
          <w:tcPr>
            <w:tcW w:w="2005" w:type="dxa"/>
          </w:tcPr>
          <w:p>
            <w:pPr>
              <w:pStyle w:val="TableParagraph"/>
              <w:spacing w:line="292" w:lineRule="auto" w:before="108"/>
              <w:ind w:left="619" w:right="118" w:hanging="420"/>
              <w:rPr>
                <w:rFonts w:ascii="等线" w:eastAsia="等线" w:hint="eastAsia"/>
                <w:b/>
                <w:sz w:val="21"/>
              </w:rPr>
            </w:pPr>
            <w:r>
              <w:rPr>
                <w:b/>
                <w:sz w:val="21"/>
              </w:rPr>
              <w:t>44. </w:t>
            </w:r>
            <w:r>
              <w:rPr>
                <w:rFonts w:ascii="等线" w:eastAsia="等线" w:hint="eastAsia"/>
                <w:b/>
                <w:sz w:val="21"/>
              </w:rPr>
              <w:t>慢性肾上腺皮质功能衰竭</w:t>
            </w:r>
          </w:p>
        </w:tc>
        <w:tc>
          <w:tcPr>
            <w:tcW w:w="7745" w:type="dxa"/>
          </w:tcPr>
          <w:p>
            <w:pPr>
              <w:pStyle w:val="TableParagraph"/>
              <w:spacing w:line="273" w:lineRule="auto" w:before="96"/>
              <w:ind w:right="304"/>
              <w:jc w:val="both"/>
              <w:rPr>
                <w:sz w:val="21"/>
              </w:rPr>
            </w:pPr>
            <w:r>
              <w:rPr>
                <w:spacing w:val="-6"/>
                <w:sz w:val="21"/>
              </w:rPr>
              <w:t>因为自身免疫功能紊乱，使肾上腺组织逐渐受损，而需要长期接受糖皮质激素及</w:t>
            </w:r>
            <w:r>
              <w:rPr>
                <w:spacing w:val="-7"/>
                <w:sz w:val="21"/>
              </w:rPr>
              <w:t>肾上腺皮质激素替代疗法。该病必须经内分泌专科医生确诊，并有以下报告作为证据：</w:t>
            </w:r>
          </w:p>
          <w:p>
            <w:pPr>
              <w:pStyle w:val="TableParagraph"/>
              <w:spacing w:before="7"/>
              <w:jc w:val="both"/>
              <w:rPr>
                <w:sz w:val="21"/>
              </w:rPr>
            </w:pPr>
            <w:r>
              <w:rPr>
                <w:sz w:val="21"/>
              </w:rPr>
              <w:t>（1）促肾上腺皮质激素(ACTH)刺激试验；</w:t>
            </w:r>
          </w:p>
          <w:p>
            <w:pPr>
              <w:pStyle w:val="TableParagraph"/>
              <w:spacing w:line="259" w:lineRule="exact" w:before="37"/>
              <w:jc w:val="both"/>
              <w:rPr>
                <w:sz w:val="21"/>
              </w:rPr>
            </w:pPr>
            <w:r>
              <w:rPr>
                <w:sz w:val="21"/>
              </w:rPr>
              <w:t>（2）胰岛素血糖减少测试；</w:t>
            </w:r>
          </w:p>
        </w:tc>
      </w:tr>
    </w:tbl>
    <w:p>
      <w:pPr>
        <w:spacing w:after="0" w:line="259" w:lineRule="exact"/>
        <w:jc w:val="both"/>
        <w:rPr>
          <w:sz w:val="21"/>
        </w:rPr>
        <w:sectPr>
          <w:pgSz w:w="11910" w:h="16840"/>
          <w:pgMar w:header="0" w:footer="353" w:top="1160" w:bottom="540" w:left="14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641"/>
      </w:tblGrid>
      <w:tr>
        <w:trPr>
          <w:trHeight w:val="1000" w:hRule="atLeast"/>
        </w:trPr>
        <w:tc>
          <w:tcPr>
            <w:tcW w:w="2005" w:type="dxa"/>
          </w:tcPr>
          <w:p>
            <w:pPr>
              <w:pStyle w:val="TableParagraph"/>
              <w:ind w:left="0"/>
              <w:rPr>
                <w:rFonts w:ascii="Times New Roman"/>
                <w:sz w:val="20"/>
              </w:rPr>
            </w:pPr>
          </w:p>
        </w:tc>
        <w:tc>
          <w:tcPr>
            <w:tcW w:w="7641" w:type="dxa"/>
          </w:tcPr>
          <w:p>
            <w:pPr>
              <w:pStyle w:val="TableParagraph"/>
              <w:spacing w:line="211" w:lineRule="exact"/>
              <w:rPr>
                <w:sz w:val="21"/>
              </w:rPr>
            </w:pPr>
            <w:r>
              <w:rPr>
                <w:sz w:val="21"/>
              </w:rPr>
              <w:t>（3）血浆促肾上腺皮质激素(ACTH)水平测定；</w:t>
            </w:r>
          </w:p>
          <w:p>
            <w:pPr>
              <w:pStyle w:val="TableParagraph"/>
              <w:spacing w:before="37"/>
              <w:rPr>
                <w:sz w:val="21"/>
              </w:rPr>
            </w:pPr>
            <w:r>
              <w:rPr>
                <w:sz w:val="21"/>
              </w:rPr>
              <w:t>（4）血浆肾素活性(PRA)测定。</w:t>
            </w:r>
          </w:p>
          <w:p>
            <w:pPr>
              <w:pStyle w:val="TableParagraph"/>
              <w:spacing w:before="25"/>
              <w:rPr>
                <w:b/>
                <w:i/>
                <w:sz w:val="22"/>
              </w:rPr>
            </w:pPr>
            <w:r>
              <w:rPr>
                <w:b/>
                <w:i/>
                <w:w w:val="95"/>
                <w:sz w:val="22"/>
              </w:rPr>
              <w:t>非由自身免疫功能紊乱引起的慢性肾上腺皮质功能衰竭不在保障范围内。</w:t>
            </w:r>
          </w:p>
        </w:tc>
      </w:tr>
      <w:tr>
        <w:trPr>
          <w:trHeight w:val="1163" w:hRule="atLeast"/>
        </w:trPr>
        <w:tc>
          <w:tcPr>
            <w:tcW w:w="2005" w:type="dxa"/>
          </w:tcPr>
          <w:p>
            <w:pPr>
              <w:pStyle w:val="TableParagraph"/>
              <w:spacing w:line="295" w:lineRule="auto" w:before="112"/>
              <w:ind w:left="619" w:right="118" w:hanging="420"/>
              <w:rPr>
                <w:rFonts w:ascii="等线" w:eastAsia="等线" w:hint="eastAsia"/>
                <w:b/>
                <w:sz w:val="21"/>
              </w:rPr>
            </w:pPr>
            <w:r>
              <w:rPr>
                <w:b/>
                <w:sz w:val="21"/>
              </w:rPr>
              <w:t>45. </w:t>
            </w:r>
            <w:r>
              <w:rPr>
                <w:rFonts w:ascii="等线" w:eastAsia="等线" w:hint="eastAsia"/>
                <w:b/>
                <w:sz w:val="21"/>
              </w:rPr>
              <w:t>埃博拉病毒感染</w:t>
            </w:r>
          </w:p>
        </w:tc>
        <w:tc>
          <w:tcPr>
            <w:tcW w:w="7641" w:type="dxa"/>
          </w:tcPr>
          <w:p>
            <w:pPr>
              <w:pStyle w:val="TableParagraph"/>
              <w:spacing w:line="273" w:lineRule="auto" w:before="100"/>
              <w:ind w:right="198"/>
              <w:jc w:val="both"/>
              <w:rPr>
                <w:sz w:val="21"/>
              </w:rPr>
            </w:pPr>
            <w:r>
              <w:rPr>
                <w:spacing w:val="-5"/>
                <w:sz w:val="21"/>
              </w:rPr>
              <w:t>受埃博拉病毒感染导致出血性发热。埃博拉病必须经传染病专科医生确诊，并且</w:t>
            </w:r>
            <w:r>
              <w:rPr>
                <w:spacing w:val="-6"/>
                <w:sz w:val="21"/>
              </w:rPr>
              <w:t>埃博拉病毒的存在必须经过实验室检查证实。该病必须从症状开始后三十天后持</w:t>
            </w:r>
            <w:r>
              <w:rPr>
                <w:spacing w:val="-4"/>
                <w:sz w:val="21"/>
              </w:rPr>
              <w:t>续出现并发症。</w:t>
            </w:r>
          </w:p>
        </w:tc>
      </w:tr>
      <w:tr>
        <w:trPr>
          <w:trHeight w:val="1162" w:hRule="atLeast"/>
        </w:trPr>
        <w:tc>
          <w:tcPr>
            <w:tcW w:w="2005" w:type="dxa"/>
          </w:tcPr>
          <w:p>
            <w:pPr>
              <w:pStyle w:val="TableParagraph"/>
              <w:spacing w:before="112"/>
              <w:ind w:left="200"/>
              <w:rPr>
                <w:rFonts w:ascii="等线" w:eastAsia="等线" w:hint="eastAsia"/>
                <w:b/>
                <w:sz w:val="21"/>
              </w:rPr>
            </w:pPr>
            <w:r>
              <w:rPr>
                <w:b/>
                <w:sz w:val="21"/>
              </w:rPr>
              <w:t>46. </w:t>
            </w:r>
            <w:r>
              <w:rPr>
                <w:rFonts w:ascii="等线" w:eastAsia="等线" w:hint="eastAsia"/>
                <w:b/>
                <w:sz w:val="21"/>
              </w:rPr>
              <w:t>象皮病</w:t>
            </w:r>
          </w:p>
        </w:tc>
        <w:tc>
          <w:tcPr>
            <w:tcW w:w="7641" w:type="dxa"/>
          </w:tcPr>
          <w:p>
            <w:pPr>
              <w:pStyle w:val="TableParagraph"/>
              <w:spacing w:line="273" w:lineRule="auto" w:before="100"/>
              <w:ind w:right="200"/>
              <w:jc w:val="both"/>
              <w:rPr>
                <w:sz w:val="21"/>
              </w:rPr>
            </w:pPr>
            <w:r>
              <w:rPr>
                <w:spacing w:val="-6"/>
                <w:sz w:val="21"/>
              </w:rPr>
              <w:t>指末期丝虫病，按国际淋巴学会分级为三度淋巴液肿，其临床表现为肢体非凹陷</w:t>
            </w:r>
            <w:r>
              <w:rPr>
                <w:spacing w:val="-7"/>
                <w:sz w:val="21"/>
              </w:rPr>
              <w:t>性水肿伴畸形增大、硬皮症和疣状增生。此病症须经专科医生根据临床表现和微</w:t>
            </w:r>
            <w:r>
              <w:rPr>
                <w:spacing w:val="-5"/>
                <w:sz w:val="21"/>
              </w:rPr>
              <w:t>丝蚴的化验结果确诊。</w:t>
            </w:r>
          </w:p>
        </w:tc>
      </w:tr>
      <w:tr>
        <w:trPr>
          <w:trHeight w:val="2724" w:hRule="atLeast"/>
        </w:trPr>
        <w:tc>
          <w:tcPr>
            <w:tcW w:w="2005" w:type="dxa"/>
          </w:tcPr>
          <w:p>
            <w:pPr>
              <w:pStyle w:val="TableParagraph"/>
              <w:spacing w:before="111"/>
              <w:ind w:left="200"/>
              <w:rPr>
                <w:rFonts w:ascii="等线" w:eastAsia="等线" w:hint="eastAsia"/>
                <w:b/>
                <w:sz w:val="21"/>
              </w:rPr>
            </w:pPr>
            <w:r>
              <w:rPr>
                <w:b/>
                <w:sz w:val="21"/>
              </w:rPr>
              <w:t>47. </w:t>
            </w:r>
            <w:r>
              <w:rPr>
                <w:rFonts w:ascii="等线" w:eastAsia="等线" w:hint="eastAsia"/>
                <w:b/>
                <w:sz w:val="21"/>
              </w:rPr>
              <w:t>肺源性心脏病</w:t>
            </w:r>
          </w:p>
        </w:tc>
        <w:tc>
          <w:tcPr>
            <w:tcW w:w="7641" w:type="dxa"/>
          </w:tcPr>
          <w:p>
            <w:pPr>
              <w:pStyle w:val="TableParagraph"/>
              <w:spacing w:before="99"/>
              <w:rPr>
                <w:sz w:val="21"/>
              </w:rPr>
            </w:pPr>
            <w:r>
              <w:rPr>
                <w:sz w:val="21"/>
              </w:rPr>
              <w:t>由呼吸专科医生或心内科专科医生确诊为肺源性心脏病。诊断必须基于右心导管</w:t>
            </w:r>
          </w:p>
          <w:p>
            <w:pPr>
              <w:pStyle w:val="TableParagraph"/>
              <w:spacing w:before="36"/>
              <w:rPr>
                <w:sz w:val="21"/>
              </w:rPr>
            </w:pPr>
            <w:r>
              <w:rPr>
                <w:sz w:val="21"/>
              </w:rPr>
              <w:t>（心血管造影）的检查结果，且必须同时满足如下诊断标准：</w:t>
            </w:r>
          </w:p>
          <w:p>
            <w:pPr>
              <w:pStyle w:val="TableParagraph"/>
              <w:spacing w:before="36"/>
              <w:rPr>
                <w:sz w:val="21"/>
              </w:rPr>
            </w:pPr>
            <w:r>
              <w:rPr>
                <w:sz w:val="21"/>
              </w:rPr>
              <w:t>（1）肺血管阻力高于 3 个伍德单位；</w:t>
            </w:r>
          </w:p>
          <w:p>
            <w:pPr>
              <w:pStyle w:val="TableParagraph"/>
              <w:spacing w:before="37"/>
              <w:rPr>
                <w:sz w:val="21"/>
              </w:rPr>
            </w:pPr>
            <w:r>
              <w:rPr>
                <w:sz w:val="21"/>
              </w:rPr>
              <w:t>（2）平均肺动脉血压不低于 40 毫米汞柱；</w:t>
            </w:r>
          </w:p>
          <w:p>
            <w:pPr>
              <w:pStyle w:val="TableParagraph"/>
              <w:spacing w:before="37"/>
              <w:rPr>
                <w:sz w:val="21"/>
              </w:rPr>
            </w:pPr>
            <w:r>
              <w:rPr>
                <w:sz w:val="21"/>
              </w:rPr>
              <w:t>（3）肺楔压不高于 15 毫米汞柱；</w:t>
            </w:r>
          </w:p>
          <w:p>
            <w:pPr>
              <w:pStyle w:val="TableParagraph"/>
              <w:spacing w:before="37"/>
              <w:rPr>
                <w:sz w:val="21"/>
              </w:rPr>
            </w:pPr>
            <w:r>
              <w:rPr>
                <w:sz w:val="21"/>
              </w:rPr>
              <w:t>（4）右心室过度肥大和扩张，出现右心衰竭和呼吸困难。</w:t>
            </w:r>
          </w:p>
          <w:p>
            <w:pPr>
              <w:pStyle w:val="TableParagraph"/>
              <w:spacing w:line="259" w:lineRule="auto" w:before="25"/>
              <w:ind w:right="207"/>
              <w:rPr>
                <w:b/>
                <w:i/>
                <w:sz w:val="22"/>
              </w:rPr>
            </w:pPr>
            <w:r>
              <w:rPr>
                <w:b/>
                <w:i/>
                <w:w w:val="95"/>
                <w:sz w:val="22"/>
              </w:rPr>
              <w:t>因左心病变或者先天性心脏病引起的右心衰竭或者肺动脉高压不在保障范围之内。</w:t>
            </w:r>
          </w:p>
        </w:tc>
      </w:tr>
      <w:tr>
        <w:trPr>
          <w:trHeight w:val="2411" w:hRule="atLeast"/>
        </w:trPr>
        <w:tc>
          <w:tcPr>
            <w:tcW w:w="2005" w:type="dxa"/>
          </w:tcPr>
          <w:p>
            <w:pPr>
              <w:pStyle w:val="TableParagraph"/>
              <w:spacing w:line="292" w:lineRule="auto" w:before="112"/>
              <w:ind w:left="619" w:right="118" w:hanging="420"/>
              <w:rPr>
                <w:rFonts w:ascii="等线" w:eastAsia="等线" w:hint="eastAsia"/>
                <w:b/>
                <w:sz w:val="21"/>
              </w:rPr>
            </w:pPr>
            <w:r>
              <w:rPr>
                <w:b/>
                <w:sz w:val="21"/>
              </w:rPr>
              <w:t>48. </w:t>
            </w:r>
            <w:r>
              <w:rPr>
                <w:rFonts w:ascii="等线" w:eastAsia="等线" w:hint="eastAsia"/>
                <w:b/>
                <w:sz w:val="21"/>
              </w:rPr>
              <w:t>原发性硬化性胆管炎</w:t>
            </w:r>
          </w:p>
        </w:tc>
        <w:tc>
          <w:tcPr>
            <w:tcW w:w="7641" w:type="dxa"/>
          </w:tcPr>
          <w:p>
            <w:pPr>
              <w:pStyle w:val="TableParagraph"/>
              <w:spacing w:line="273" w:lineRule="auto" w:before="100"/>
              <w:ind w:right="198"/>
              <w:jc w:val="both"/>
              <w:rPr>
                <w:sz w:val="21"/>
              </w:rPr>
            </w:pPr>
            <w:r>
              <w:rPr>
                <w:spacing w:val="-7"/>
                <w:sz w:val="21"/>
              </w:rPr>
              <w:t>指一种胆汁淤积综合征，其特征是肝内、肝外胆道因纤维化性炎症逐渐狭窄，并最终导致完全阻塞而发展为肝硬化。本病须经内镜逆行胰胆管造影等影像学检查</w:t>
            </w:r>
            <w:r>
              <w:rPr>
                <w:spacing w:val="-5"/>
                <w:sz w:val="21"/>
              </w:rPr>
              <w:t>证实，并须满足下列全部条件：</w:t>
            </w:r>
          </w:p>
          <w:p>
            <w:pPr>
              <w:pStyle w:val="TableParagraph"/>
              <w:spacing w:before="8"/>
              <w:jc w:val="both"/>
              <w:rPr>
                <w:sz w:val="21"/>
              </w:rPr>
            </w:pPr>
            <w:r>
              <w:rPr>
                <w:sz w:val="21"/>
              </w:rPr>
              <w:t>（1）总胆红素和直接胆红素同时升高，血清 ALP&gt;200U/L；</w:t>
            </w:r>
          </w:p>
          <w:p>
            <w:pPr>
              <w:pStyle w:val="TableParagraph"/>
              <w:spacing w:before="37"/>
              <w:jc w:val="both"/>
              <w:rPr>
                <w:sz w:val="21"/>
              </w:rPr>
            </w:pPr>
            <w:r>
              <w:rPr>
                <w:sz w:val="21"/>
              </w:rPr>
              <w:t>（2）持续性黄疸病史；</w:t>
            </w:r>
          </w:p>
          <w:p>
            <w:pPr>
              <w:pStyle w:val="TableParagraph"/>
              <w:spacing w:before="37"/>
              <w:jc w:val="both"/>
              <w:rPr>
                <w:sz w:val="21"/>
              </w:rPr>
            </w:pPr>
            <w:r>
              <w:rPr>
                <w:sz w:val="21"/>
              </w:rPr>
              <w:t>（3）出现胆汁性肝硬化或门脉高压。</w:t>
            </w:r>
          </w:p>
          <w:p>
            <w:pPr>
              <w:pStyle w:val="TableParagraph"/>
              <w:spacing w:before="26"/>
              <w:jc w:val="both"/>
              <w:rPr>
                <w:b/>
                <w:i/>
                <w:sz w:val="22"/>
              </w:rPr>
            </w:pPr>
            <w:r>
              <w:rPr>
                <w:b/>
                <w:i/>
                <w:w w:val="95"/>
                <w:sz w:val="22"/>
              </w:rPr>
              <w:t>因肿瘤或胆管损伤等继发性的硬化性胆管炎不在保障范围内。</w:t>
            </w:r>
          </w:p>
        </w:tc>
      </w:tr>
      <w:tr>
        <w:trPr>
          <w:trHeight w:val="2409" w:hRule="atLeast"/>
        </w:trPr>
        <w:tc>
          <w:tcPr>
            <w:tcW w:w="2005" w:type="dxa"/>
          </w:tcPr>
          <w:p>
            <w:pPr>
              <w:pStyle w:val="TableParagraph"/>
              <w:spacing w:before="110"/>
              <w:ind w:left="200"/>
              <w:rPr>
                <w:rFonts w:ascii="等线" w:eastAsia="等线" w:hint="eastAsia"/>
                <w:b/>
                <w:sz w:val="21"/>
              </w:rPr>
            </w:pPr>
            <w:r>
              <w:rPr>
                <w:b/>
                <w:sz w:val="21"/>
              </w:rPr>
              <w:t>49. </w:t>
            </w:r>
            <w:r>
              <w:rPr>
                <w:rFonts w:ascii="等线" w:eastAsia="等线" w:hint="eastAsia"/>
                <w:b/>
                <w:sz w:val="21"/>
              </w:rPr>
              <w:t>疯牛病</w:t>
            </w:r>
          </w:p>
        </w:tc>
        <w:tc>
          <w:tcPr>
            <w:tcW w:w="7641" w:type="dxa"/>
          </w:tcPr>
          <w:p>
            <w:pPr>
              <w:pStyle w:val="TableParagraph"/>
              <w:spacing w:before="98"/>
              <w:rPr>
                <w:sz w:val="21"/>
              </w:rPr>
            </w:pPr>
            <w:r>
              <w:rPr>
                <w:sz w:val="21"/>
              </w:rPr>
              <w:t>神经系统疾病及致命的成胶质状脑病，并有以下症状：</w:t>
            </w:r>
          </w:p>
          <w:p>
            <w:pPr>
              <w:pStyle w:val="TableParagraph"/>
              <w:spacing w:before="36"/>
              <w:rPr>
                <w:sz w:val="21"/>
              </w:rPr>
            </w:pPr>
            <w:r>
              <w:rPr>
                <w:sz w:val="21"/>
              </w:rPr>
              <w:t>（1）不能控制的肌肉痉挛及震颤；</w:t>
            </w:r>
          </w:p>
          <w:p>
            <w:pPr>
              <w:pStyle w:val="TableParagraph"/>
              <w:spacing w:before="36"/>
              <w:rPr>
                <w:sz w:val="21"/>
              </w:rPr>
            </w:pPr>
            <w:r>
              <w:rPr>
                <w:sz w:val="21"/>
              </w:rPr>
              <w:t>（2）逐渐痴呆；</w:t>
            </w:r>
          </w:p>
          <w:p>
            <w:pPr>
              <w:pStyle w:val="TableParagraph"/>
              <w:spacing w:before="36"/>
              <w:rPr>
                <w:sz w:val="21"/>
              </w:rPr>
            </w:pPr>
            <w:r>
              <w:rPr>
                <w:sz w:val="21"/>
              </w:rPr>
              <w:t>（3）小脑功能不良，共济失调；</w:t>
            </w:r>
          </w:p>
          <w:p>
            <w:pPr>
              <w:pStyle w:val="TableParagraph"/>
              <w:spacing w:before="36"/>
              <w:rPr>
                <w:sz w:val="21"/>
              </w:rPr>
            </w:pPr>
            <w:r>
              <w:rPr>
                <w:sz w:val="21"/>
              </w:rPr>
              <w:t>（4）手足徐动症；</w:t>
            </w:r>
          </w:p>
          <w:p>
            <w:pPr>
              <w:pStyle w:val="TableParagraph"/>
              <w:spacing w:line="273" w:lineRule="auto" w:before="36"/>
              <w:ind w:right="198"/>
              <w:rPr>
                <w:sz w:val="21"/>
              </w:rPr>
            </w:pPr>
            <w:r>
              <w:rPr>
                <w:spacing w:val="-6"/>
                <w:sz w:val="21"/>
              </w:rPr>
              <w:t>诊断必须经神经专科医生基于以下检查报告作出：脑电图、脑脊液报告、电脑断</w:t>
            </w:r>
            <w:r>
              <w:rPr>
                <w:spacing w:val="-1"/>
                <w:sz w:val="21"/>
              </w:rPr>
              <w:t>层扫描(CT</w:t>
            </w:r>
            <w:r>
              <w:rPr>
                <w:spacing w:val="-3"/>
                <w:sz w:val="21"/>
              </w:rPr>
              <w:t>)及核磁共振(</w:t>
            </w:r>
            <w:r>
              <w:rPr>
                <w:spacing w:val="-1"/>
                <w:sz w:val="21"/>
              </w:rPr>
              <w:t>MRI)。</w:t>
            </w:r>
          </w:p>
        </w:tc>
      </w:tr>
      <w:tr>
        <w:trPr>
          <w:trHeight w:val="852" w:hRule="atLeast"/>
        </w:trPr>
        <w:tc>
          <w:tcPr>
            <w:tcW w:w="2005" w:type="dxa"/>
          </w:tcPr>
          <w:p>
            <w:pPr>
              <w:pStyle w:val="TableParagraph"/>
              <w:spacing w:before="112"/>
              <w:ind w:left="200"/>
              <w:rPr>
                <w:rFonts w:ascii="等线" w:eastAsia="等线" w:hint="eastAsia"/>
                <w:b/>
                <w:sz w:val="21"/>
              </w:rPr>
            </w:pPr>
            <w:r>
              <w:rPr>
                <w:b/>
                <w:w w:val="105"/>
                <w:sz w:val="21"/>
              </w:rPr>
              <w:t>50. </w:t>
            </w:r>
            <w:r>
              <w:rPr>
                <w:rFonts w:ascii="等线" w:eastAsia="等线" w:hint="eastAsia"/>
                <w:b/>
                <w:w w:val="105"/>
                <w:sz w:val="21"/>
              </w:rPr>
              <w:t>严重心ft炎</w:t>
            </w:r>
          </w:p>
        </w:tc>
        <w:tc>
          <w:tcPr>
            <w:tcW w:w="7641" w:type="dxa"/>
          </w:tcPr>
          <w:p>
            <w:pPr>
              <w:pStyle w:val="TableParagraph"/>
              <w:spacing w:line="273" w:lineRule="auto" w:before="100"/>
              <w:ind w:right="157"/>
              <w:rPr>
                <w:sz w:val="21"/>
              </w:rPr>
            </w:pPr>
            <w:r>
              <w:rPr>
                <w:sz w:val="21"/>
              </w:rPr>
              <w:t>指心肌局限性或弥漫性的急性或慢性炎症病变，导致心脏功能障碍，达到美国纽约心脏病学会心功能状态分级四级，且持续至少 90 天。</w:t>
            </w:r>
          </w:p>
        </w:tc>
      </w:tr>
      <w:tr>
        <w:trPr>
          <w:trHeight w:val="1475" w:hRule="atLeast"/>
        </w:trPr>
        <w:tc>
          <w:tcPr>
            <w:tcW w:w="2005" w:type="dxa"/>
          </w:tcPr>
          <w:p>
            <w:pPr>
              <w:pStyle w:val="TableParagraph"/>
              <w:spacing w:before="113"/>
              <w:ind w:left="200"/>
              <w:rPr>
                <w:rFonts w:ascii="等线" w:eastAsia="等线" w:hint="eastAsia"/>
                <w:b/>
                <w:sz w:val="21"/>
              </w:rPr>
            </w:pPr>
            <w:r>
              <w:rPr>
                <w:b/>
                <w:sz w:val="21"/>
              </w:rPr>
              <w:t>51. </w:t>
            </w:r>
            <w:r>
              <w:rPr>
                <w:rFonts w:ascii="等线" w:eastAsia="等线" w:hint="eastAsia"/>
                <w:b/>
                <w:sz w:val="21"/>
              </w:rPr>
              <w:t>肾髓质囊性病</w:t>
            </w:r>
          </w:p>
        </w:tc>
        <w:tc>
          <w:tcPr>
            <w:tcW w:w="7641" w:type="dxa"/>
          </w:tcPr>
          <w:p>
            <w:pPr>
              <w:pStyle w:val="TableParagraph"/>
              <w:spacing w:before="101"/>
              <w:rPr>
                <w:sz w:val="21"/>
              </w:rPr>
            </w:pPr>
            <w:r>
              <w:rPr>
                <w:sz w:val="21"/>
              </w:rPr>
              <w:t>指经肾脏内科专科医生明确诊断为肾髓质囊性病，且须同时满足下列条件：</w:t>
            </w:r>
          </w:p>
          <w:p>
            <w:pPr>
              <w:pStyle w:val="TableParagraph"/>
              <w:numPr>
                <w:ilvl w:val="0"/>
                <w:numId w:val="12"/>
              </w:numPr>
              <w:tabs>
                <w:tab w:pos="752" w:val="left" w:leader="none"/>
              </w:tabs>
              <w:spacing w:line="240" w:lineRule="auto" w:before="37" w:after="0"/>
              <w:ind w:left="751" w:right="0" w:hanging="632"/>
              <w:jc w:val="left"/>
              <w:rPr>
                <w:sz w:val="21"/>
              </w:rPr>
            </w:pPr>
            <w:r>
              <w:rPr>
                <w:spacing w:val="-3"/>
                <w:sz w:val="21"/>
              </w:rPr>
              <w:t>肾髓质有囊肿、肾小管萎缩及间质纤维化等病理改变；</w:t>
            </w:r>
          </w:p>
          <w:p>
            <w:pPr>
              <w:pStyle w:val="TableParagraph"/>
              <w:numPr>
                <w:ilvl w:val="0"/>
                <w:numId w:val="12"/>
              </w:numPr>
              <w:tabs>
                <w:tab w:pos="752" w:val="left" w:leader="none"/>
              </w:tabs>
              <w:spacing w:line="240" w:lineRule="auto" w:before="37" w:after="0"/>
              <w:ind w:left="751" w:right="0" w:hanging="632"/>
              <w:jc w:val="left"/>
              <w:rPr>
                <w:sz w:val="21"/>
              </w:rPr>
            </w:pPr>
            <w:r>
              <w:rPr>
                <w:spacing w:val="-3"/>
                <w:sz w:val="21"/>
              </w:rPr>
              <w:t>贫血、多尿及肾功能衰竭等临床表现；</w:t>
            </w:r>
          </w:p>
          <w:p>
            <w:pPr>
              <w:pStyle w:val="TableParagraph"/>
              <w:numPr>
                <w:ilvl w:val="0"/>
                <w:numId w:val="12"/>
              </w:numPr>
              <w:tabs>
                <w:tab w:pos="752" w:val="left" w:leader="none"/>
              </w:tabs>
              <w:spacing w:line="240" w:lineRule="auto" w:before="37" w:after="0"/>
              <w:ind w:left="751" w:right="0" w:hanging="632"/>
              <w:jc w:val="left"/>
              <w:rPr>
                <w:sz w:val="21"/>
              </w:rPr>
            </w:pPr>
            <w:r>
              <w:rPr>
                <w:spacing w:val="-3"/>
                <w:sz w:val="21"/>
              </w:rPr>
              <w:t>诊断须由肾组织活检确定。</w:t>
            </w:r>
          </w:p>
        </w:tc>
      </w:tr>
      <w:tr>
        <w:trPr>
          <w:trHeight w:val="1310" w:hRule="atLeast"/>
        </w:trPr>
        <w:tc>
          <w:tcPr>
            <w:tcW w:w="2005" w:type="dxa"/>
          </w:tcPr>
          <w:p>
            <w:pPr>
              <w:pStyle w:val="TableParagraph"/>
              <w:spacing w:before="111"/>
              <w:ind w:left="200"/>
              <w:rPr>
                <w:rFonts w:ascii="等线" w:eastAsia="等线" w:hint="eastAsia"/>
                <w:b/>
                <w:sz w:val="21"/>
              </w:rPr>
            </w:pPr>
            <w:r>
              <w:rPr>
                <w:b/>
                <w:sz w:val="21"/>
              </w:rPr>
              <w:t>52. </w:t>
            </w:r>
            <w:r>
              <w:rPr>
                <w:rFonts w:ascii="等线" w:eastAsia="等线" w:hint="eastAsia"/>
                <w:b/>
                <w:sz w:val="21"/>
              </w:rPr>
              <w:t>严重冠心病</w:t>
            </w:r>
          </w:p>
        </w:tc>
        <w:tc>
          <w:tcPr>
            <w:tcW w:w="7641" w:type="dxa"/>
          </w:tcPr>
          <w:p>
            <w:pPr>
              <w:pStyle w:val="TableParagraph"/>
              <w:spacing w:line="310" w:lineRule="atLeast" w:before="64"/>
              <w:ind w:right="200"/>
              <w:jc w:val="both"/>
              <w:rPr>
                <w:sz w:val="21"/>
              </w:rPr>
            </w:pPr>
            <w:r>
              <w:rPr>
                <w:sz w:val="21"/>
              </w:rPr>
              <w:t>指根据冠状动脉造影检查结果确诊的三支主要血管(左冠状动脉主干和右冠状动</w:t>
            </w:r>
            <w:r>
              <w:rPr>
                <w:spacing w:val="-7"/>
                <w:sz w:val="21"/>
              </w:rPr>
              <w:t>脉，或前降支、左旋支和右冠状动脉)严重狭窄性病变(至少一支血管管腔直径减</w:t>
            </w:r>
            <w:r>
              <w:rPr>
                <w:spacing w:val="-23"/>
                <w:sz w:val="21"/>
              </w:rPr>
              <w:t>少 </w:t>
            </w:r>
            <w:r>
              <w:rPr>
                <w:sz w:val="21"/>
              </w:rPr>
              <w:t>75</w:t>
            </w:r>
            <w:r>
              <w:rPr>
                <w:spacing w:val="-6"/>
                <w:sz w:val="21"/>
              </w:rPr>
              <w:t>%以上和其他两支血管管腔直径减少 </w:t>
            </w:r>
            <w:r>
              <w:rPr>
                <w:sz w:val="21"/>
              </w:rPr>
              <w:t>60</w:t>
            </w:r>
            <w:r>
              <w:rPr>
                <w:spacing w:val="-7"/>
                <w:sz w:val="21"/>
              </w:rPr>
              <w:t>%以上)。前降支、左旋支及右冠状动</w:t>
            </w:r>
            <w:r>
              <w:rPr>
                <w:spacing w:val="-5"/>
                <w:sz w:val="21"/>
              </w:rPr>
              <w:t>脉的分支血管的狭窄不作为本保障的衡量指标。</w:t>
            </w:r>
          </w:p>
        </w:tc>
      </w:tr>
    </w:tbl>
    <w:p>
      <w:pPr>
        <w:spacing w:after="0" w:line="310" w:lineRule="atLeast"/>
        <w:jc w:val="both"/>
        <w:rPr>
          <w:sz w:val="21"/>
        </w:rPr>
        <w:sectPr>
          <w:pgSz w:w="11910" w:h="16840"/>
          <w:pgMar w:header="0" w:footer="353" w:top="1160" w:bottom="540" w:left="142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7"/>
        <w:gridCol w:w="7733"/>
      </w:tblGrid>
      <w:tr>
        <w:trPr>
          <w:trHeight w:val="1624" w:hRule="atLeast"/>
        </w:trPr>
        <w:tc>
          <w:tcPr>
            <w:tcW w:w="2017" w:type="dxa"/>
          </w:tcPr>
          <w:p>
            <w:pPr>
              <w:pStyle w:val="TableParagraph"/>
              <w:spacing w:line="236" w:lineRule="exact"/>
              <w:ind w:left="200"/>
              <w:rPr>
                <w:rFonts w:ascii="等线" w:eastAsia="等线" w:hint="eastAsia"/>
                <w:b/>
                <w:sz w:val="21"/>
              </w:rPr>
            </w:pPr>
            <w:r>
              <w:rPr>
                <w:b/>
                <w:w w:val="105"/>
                <w:sz w:val="21"/>
              </w:rPr>
              <w:t>53. </w:t>
            </w:r>
            <w:r>
              <w:rPr>
                <w:rFonts w:ascii="等线" w:eastAsia="等线" w:hint="eastAsia"/>
                <w:b/>
                <w:w w:val="105"/>
                <w:sz w:val="21"/>
              </w:rPr>
              <w:t>严重ft营养不</w:t>
            </w:r>
          </w:p>
          <w:p>
            <w:pPr>
              <w:pStyle w:val="TableParagraph"/>
              <w:spacing w:before="67"/>
              <w:ind w:left="619"/>
              <w:rPr>
                <w:rFonts w:ascii="等线" w:eastAsia="等线" w:hint="eastAsia"/>
                <w:b/>
                <w:sz w:val="21"/>
              </w:rPr>
            </w:pPr>
            <w:r>
              <w:rPr>
                <w:rFonts w:ascii="等线" w:eastAsia="等线" w:hint="eastAsia"/>
                <w:b/>
                <w:sz w:val="21"/>
              </w:rPr>
              <w:t>良症</w:t>
            </w:r>
          </w:p>
        </w:tc>
        <w:tc>
          <w:tcPr>
            <w:tcW w:w="7733" w:type="dxa"/>
          </w:tcPr>
          <w:p>
            <w:pPr>
              <w:pStyle w:val="TableParagraph"/>
              <w:spacing w:line="205" w:lineRule="exact"/>
              <w:ind w:left="107"/>
              <w:rPr>
                <w:sz w:val="21"/>
              </w:rPr>
            </w:pPr>
            <w:r>
              <w:rPr>
                <w:sz w:val="21"/>
              </w:rPr>
              <w:t>指一组原发于肌肉的遗传性疾病，临床表现为与神经系统无关的肌肉无力和肌肉</w:t>
            </w:r>
          </w:p>
          <w:p>
            <w:pPr>
              <w:pStyle w:val="TableParagraph"/>
              <w:spacing w:before="37"/>
              <w:ind w:left="107"/>
              <w:rPr>
                <w:sz w:val="21"/>
              </w:rPr>
            </w:pPr>
            <w:r>
              <w:rPr>
                <w:sz w:val="21"/>
              </w:rPr>
              <w:t>萎缩。且须满足下列全部条件：</w:t>
            </w:r>
          </w:p>
          <w:p>
            <w:pPr>
              <w:pStyle w:val="TableParagraph"/>
              <w:spacing w:before="36"/>
              <w:ind w:left="107"/>
              <w:rPr>
                <w:sz w:val="21"/>
              </w:rPr>
            </w:pPr>
            <w:r>
              <w:rPr>
                <w:sz w:val="21"/>
              </w:rPr>
              <w:t>（1）肌肉组织活检结果满足肌营养不良症的肌肉细胞变性、坏死等阳性改变；</w:t>
            </w:r>
          </w:p>
          <w:p>
            <w:pPr>
              <w:pStyle w:val="TableParagraph"/>
              <w:spacing w:line="273" w:lineRule="auto" w:before="36"/>
              <w:ind w:left="633" w:right="309" w:hanging="527"/>
              <w:rPr>
                <w:sz w:val="21"/>
              </w:rPr>
            </w:pPr>
            <w:r>
              <w:rPr>
                <w:sz w:val="21"/>
              </w:rPr>
              <w:t>（2）自主生活能力完全丧失，无法独立完成六项基本日常生活活动中的三项或三项以上。</w:t>
            </w:r>
          </w:p>
        </w:tc>
      </w:tr>
      <w:tr>
        <w:trPr>
          <w:trHeight w:val="1163" w:hRule="atLeast"/>
        </w:trPr>
        <w:tc>
          <w:tcPr>
            <w:tcW w:w="2017" w:type="dxa"/>
          </w:tcPr>
          <w:p>
            <w:pPr>
              <w:pStyle w:val="TableParagraph"/>
              <w:spacing w:line="292" w:lineRule="auto" w:before="106"/>
              <w:ind w:left="619" w:right="130" w:hanging="420"/>
              <w:rPr>
                <w:rFonts w:ascii="等线" w:eastAsia="等线" w:hint="eastAsia"/>
                <w:b/>
                <w:sz w:val="21"/>
              </w:rPr>
            </w:pPr>
            <w:r>
              <w:rPr>
                <w:b/>
                <w:sz w:val="21"/>
              </w:rPr>
              <w:t>54. </w:t>
            </w:r>
            <w:r>
              <w:rPr>
                <w:rFonts w:ascii="等线" w:eastAsia="等线" w:hint="eastAsia"/>
                <w:b/>
                <w:sz w:val="21"/>
              </w:rPr>
              <w:t>慢性复发性胰腺炎</w:t>
            </w:r>
          </w:p>
        </w:tc>
        <w:tc>
          <w:tcPr>
            <w:tcW w:w="7733" w:type="dxa"/>
          </w:tcPr>
          <w:p>
            <w:pPr>
              <w:pStyle w:val="TableParagraph"/>
              <w:spacing w:line="266" w:lineRule="auto" w:before="94"/>
              <w:ind w:left="107" w:right="302"/>
              <w:rPr>
                <w:b/>
                <w:i/>
                <w:sz w:val="22"/>
              </w:rPr>
            </w:pPr>
            <w:r>
              <w:rPr>
                <w:spacing w:val="-5"/>
                <w:sz w:val="21"/>
              </w:rPr>
              <w:t>胰腺炎反复发作超过三次以上并导致胰腺功能紊乱和营养不良，需要接受酶替代</w:t>
            </w:r>
            <w:r>
              <w:rPr>
                <w:spacing w:val="-4"/>
                <w:sz w:val="21"/>
              </w:rPr>
              <w:t>治疗。诊断必须有消化科专科医生确认并且有内窥镜逆行胰胆管造影所证实。 </w:t>
            </w:r>
            <w:r>
              <w:rPr>
                <w:b/>
                <w:i/>
                <w:spacing w:val="-4"/>
                <w:w w:val="95"/>
                <w:sz w:val="22"/>
              </w:rPr>
              <w:t>因酒精所致的慢性复发性胰腺炎除外。</w:t>
            </w:r>
          </w:p>
        </w:tc>
      </w:tr>
      <w:tr>
        <w:trPr>
          <w:trHeight w:val="1786" w:hRule="atLeast"/>
        </w:trPr>
        <w:tc>
          <w:tcPr>
            <w:tcW w:w="2017" w:type="dxa"/>
          </w:tcPr>
          <w:p>
            <w:pPr>
              <w:pStyle w:val="TableParagraph"/>
              <w:spacing w:line="295" w:lineRule="auto" w:before="104"/>
              <w:ind w:left="619" w:right="130" w:hanging="420"/>
              <w:rPr>
                <w:rFonts w:ascii="等线" w:eastAsia="等线" w:hint="eastAsia"/>
                <w:b/>
                <w:sz w:val="21"/>
              </w:rPr>
            </w:pPr>
            <w:r>
              <w:rPr>
                <w:b/>
                <w:sz w:val="21"/>
              </w:rPr>
              <w:t>55. </w:t>
            </w:r>
            <w:r>
              <w:rPr>
                <w:rFonts w:ascii="等线" w:eastAsia="等线" w:hint="eastAsia"/>
                <w:b/>
                <w:sz w:val="21"/>
              </w:rPr>
              <w:t>进行性核上性麻痹</w:t>
            </w:r>
          </w:p>
        </w:tc>
        <w:tc>
          <w:tcPr>
            <w:tcW w:w="7733" w:type="dxa"/>
          </w:tcPr>
          <w:p>
            <w:pPr>
              <w:pStyle w:val="TableParagraph"/>
              <w:spacing w:line="273" w:lineRule="auto" w:before="92"/>
              <w:ind w:left="107" w:right="301"/>
              <w:jc w:val="both"/>
              <w:rPr>
                <w:sz w:val="21"/>
              </w:rPr>
            </w:pPr>
            <w:r>
              <w:rPr>
                <w:spacing w:val="-3"/>
                <w:sz w:val="21"/>
              </w:rPr>
              <w:t>进行性核上性麻痹</w:t>
            </w:r>
            <w:r>
              <w:rPr>
                <w:sz w:val="21"/>
              </w:rPr>
              <w:t>（PSP）</w:t>
            </w:r>
            <w:r>
              <w:rPr>
                <w:spacing w:val="-5"/>
                <w:sz w:val="21"/>
              </w:rPr>
              <w:t>又称 </w:t>
            </w:r>
            <w:r>
              <w:rPr>
                <w:sz w:val="21"/>
              </w:rPr>
              <w:t>Steele-Rchardson—Olszewski</w:t>
            </w:r>
            <w:r>
              <w:rPr>
                <w:spacing w:val="-4"/>
                <w:sz w:val="21"/>
              </w:rPr>
              <w:t> 综合征，是一种</w:t>
            </w:r>
            <w:r>
              <w:rPr>
                <w:spacing w:val="-6"/>
                <w:sz w:val="21"/>
              </w:rPr>
              <w:t>少见的神经系统变性疾病，以假球麻痹、垂直性核上性眼肌麻痹、锥体外系肌僵</w:t>
            </w:r>
            <w:r>
              <w:rPr>
                <w:spacing w:val="-4"/>
                <w:sz w:val="21"/>
              </w:rPr>
              <w:t>直、步态共济失调和轻度痴呆为主要临床特征。</w:t>
            </w:r>
            <w:r>
              <w:rPr>
                <w:sz w:val="21"/>
              </w:rPr>
              <w:t>PSP</w:t>
            </w:r>
            <w:r>
              <w:rPr>
                <w:spacing w:val="-3"/>
                <w:sz w:val="21"/>
              </w:rPr>
              <w:t> 必须由三级甲等医院的神经</w:t>
            </w:r>
            <w:r>
              <w:rPr>
                <w:spacing w:val="-6"/>
                <w:sz w:val="21"/>
              </w:rPr>
              <w:t>内科专科医生确诊，并且被保险人自主生活能力完全丧失，无法独立完成六项基</w:t>
            </w:r>
            <w:r>
              <w:rPr>
                <w:spacing w:val="-4"/>
                <w:sz w:val="21"/>
              </w:rPr>
              <w:t>本日常生活活动中的三项或三项以上。</w:t>
            </w:r>
          </w:p>
        </w:tc>
      </w:tr>
      <w:tr>
        <w:trPr>
          <w:trHeight w:val="851" w:hRule="atLeast"/>
        </w:trPr>
        <w:tc>
          <w:tcPr>
            <w:tcW w:w="2017" w:type="dxa"/>
          </w:tcPr>
          <w:p>
            <w:pPr>
              <w:pStyle w:val="TableParagraph"/>
              <w:spacing w:before="106"/>
              <w:ind w:left="200"/>
              <w:rPr>
                <w:rFonts w:ascii="等线" w:eastAsia="等线" w:hint="eastAsia"/>
                <w:b/>
                <w:sz w:val="21"/>
              </w:rPr>
            </w:pPr>
            <w:r>
              <w:rPr>
                <w:b/>
                <w:sz w:val="21"/>
              </w:rPr>
              <w:t>56. </w:t>
            </w:r>
            <w:r>
              <w:rPr>
                <w:rFonts w:ascii="等线" w:eastAsia="等线" w:hint="eastAsia"/>
                <w:b/>
                <w:sz w:val="21"/>
              </w:rPr>
              <w:t>胰腺移植</w:t>
            </w:r>
          </w:p>
        </w:tc>
        <w:tc>
          <w:tcPr>
            <w:tcW w:w="7733" w:type="dxa"/>
          </w:tcPr>
          <w:p>
            <w:pPr>
              <w:pStyle w:val="TableParagraph"/>
              <w:spacing w:before="94"/>
              <w:ind w:left="107"/>
              <w:rPr>
                <w:sz w:val="21"/>
              </w:rPr>
            </w:pPr>
            <w:r>
              <w:rPr>
                <w:sz w:val="21"/>
              </w:rPr>
              <w:t>指因胰腺功能衰竭，已经实施了在全身麻醉下进行的胰腺的异体器官移植手术。</w:t>
            </w:r>
          </w:p>
          <w:p>
            <w:pPr>
              <w:pStyle w:val="TableParagraph"/>
              <w:spacing w:before="25"/>
              <w:ind w:left="107"/>
              <w:rPr>
                <w:b/>
                <w:i/>
                <w:sz w:val="22"/>
              </w:rPr>
            </w:pPr>
            <w:r>
              <w:rPr>
                <w:b/>
                <w:i/>
                <w:w w:val="95"/>
                <w:sz w:val="22"/>
              </w:rPr>
              <w:t>单纯胰岛移植、部分胰腺组织或细胞的移植不再本保障范围内。</w:t>
            </w:r>
          </w:p>
        </w:tc>
      </w:tr>
      <w:tr>
        <w:trPr>
          <w:trHeight w:val="2410" w:hRule="atLeast"/>
        </w:trPr>
        <w:tc>
          <w:tcPr>
            <w:tcW w:w="2017" w:type="dxa"/>
          </w:tcPr>
          <w:p>
            <w:pPr>
              <w:pStyle w:val="TableParagraph"/>
              <w:spacing w:line="235" w:lineRule="auto" w:before="110"/>
              <w:ind w:left="619" w:right="58" w:hanging="420"/>
              <w:rPr>
                <w:rFonts w:ascii="等线" w:eastAsia="等线" w:hint="eastAsia"/>
                <w:b/>
                <w:sz w:val="21"/>
              </w:rPr>
            </w:pPr>
            <w:r>
              <w:rPr>
                <w:b/>
                <w:sz w:val="21"/>
              </w:rPr>
              <w:t>57. </w:t>
            </w:r>
            <w:r>
              <w:rPr>
                <w:rFonts w:ascii="等线" w:eastAsia="等线" w:hint="eastAsia"/>
                <w:b/>
                <w:spacing w:val="-1"/>
                <w:sz w:val="21"/>
              </w:rPr>
              <w:t>严重瑞氏综合</w:t>
            </w:r>
            <w:r>
              <w:rPr>
                <w:rFonts w:ascii="等线" w:eastAsia="等线" w:hint="eastAsia"/>
                <w:b/>
                <w:spacing w:val="-56"/>
                <w:w w:val="95"/>
                <w:sz w:val="21"/>
              </w:rPr>
              <w:t>症</w:t>
            </w:r>
            <w:r>
              <w:rPr>
                <w:rFonts w:ascii="等线" w:eastAsia="等线" w:hint="eastAsia"/>
                <w:b/>
                <w:w w:val="95"/>
                <w:sz w:val="21"/>
              </w:rPr>
              <w:t>（</w:t>
            </w:r>
            <w:r>
              <w:rPr>
                <w:rFonts w:ascii="Microsoft JhengHei" w:eastAsia="Microsoft JhengHei" w:hint="eastAsia"/>
                <w:b/>
                <w:w w:val="95"/>
                <w:sz w:val="21"/>
              </w:rPr>
              <w:t>Reye </w:t>
            </w:r>
            <w:r>
              <w:rPr>
                <w:rFonts w:ascii="等线" w:eastAsia="等线" w:hint="eastAsia"/>
                <w:b/>
                <w:spacing w:val="-3"/>
                <w:w w:val="95"/>
                <w:sz w:val="21"/>
              </w:rPr>
              <w:t>综 合</w:t>
            </w:r>
          </w:p>
          <w:p>
            <w:pPr>
              <w:pStyle w:val="TableParagraph"/>
              <w:spacing w:line="300" w:lineRule="auto" w:before="66"/>
              <w:ind w:left="619" w:right="130"/>
              <w:jc w:val="both"/>
              <w:rPr>
                <w:rFonts w:ascii="等线" w:eastAsia="等线" w:hint="eastAsia"/>
                <w:b/>
                <w:sz w:val="21"/>
              </w:rPr>
            </w:pPr>
            <w:r>
              <w:rPr>
                <w:rFonts w:ascii="等线" w:eastAsia="等线" w:hint="eastAsia"/>
                <w:b/>
                <w:sz w:val="21"/>
              </w:rPr>
              <w:t>征，也称赖氏综合征、雷氏综合征）</w:t>
            </w:r>
          </w:p>
        </w:tc>
        <w:tc>
          <w:tcPr>
            <w:tcW w:w="7733" w:type="dxa"/>
          </w:tcPr>
          <w:p>
            <w:pPr>
              <w:pStyle w:val="TableParagraph"/>
              <w:spacing w:line="273" w:lineRule="auto" w:before="92"/>
              <w:ind w:left="107" w:right="198"/>
              <w:rPr>
                <w:sz w:val="21"/>
              </w:rPr>
            </w:pPr>
            <w:r>
              <w:rPr>
                <w:spacing w:val="-6"/>
                <w:sz w:val="21"/>
              </w:rPr>
              <w:t>瑞氏综合征是线粒体功能障碍性疾病。导致脂肪代谢障碍，引起短链脂肪酸、血</w:t>
            </w:r>
            <w:r>
              <w:rPr>
                <w:spacing w:val="-9"/>
                <w:sz w:val="21"/>
              </w:rPr>
              <w:t>氨升高，造成脑水肿。主要临床表现为急性发热、反复呕吐、惊厥及意识障碍等</w:t>
            </w:r>
            <w:r>
              <w:rPr>
                <w:spacing w:val="-15"/>
                <w:sz w:val="21"/>
              </w:rPr>
              <w:t>等。肝脏活检是确诊的重要手段。瑞氏综合征需由三级医院的儿科专科医生确诊， </w:t>
            </w:r>
            <w:r>
              <w:rPr>
                <w:spacing w:val="-7"/>
                <w:sz w:val="21"/>
              </w:rPr>
              <w:t>并符合下列所有条件：</w:t>
            </w:r>
          </w:p>
          <w:p>
            <w:pPr>
              <w:pStyle w:val="TableParagraph"/>
              <w:spacing w:before="7"/>
              <w:ind w:left="107"/>
              <w:rPr>
                <w:sz w:val="21"/>
              </w:rPr>
            </w:pPr>
            <w:r>
              <w:rPr>
                <w:sz w:val="21"/>
              </w:rPr>
              <w:t>（1）有脑水肿和颅内压升高的脑脊液检查和影像学检查证据；</w:t>
            </w:r>
          </w:p>
          <w:p>
            <w:pPr>
              <w:pStyle w:val="TableParagraph"/>
              <w:spacing w:before="36"/>
              <w:ind w:left="107"/>
              <w:rPr>
                <w:sz w:val="21"/>
              </w:rPr>
            </w:pPr>
            <w:r>
              <w:rPr>
                <w:sz w:val="21"/>
              </w:rPr>
              <w:t>（2）血氨超过正常值的 3 倍；</w:t>
            </w:r>
          </w:p>
          <w:p>
            <w:pPr>
              <w:pStyle w:val="TableParagraph"/>
              <w:spacing w:before="36"/>
              <w:ind w:left="107"/>
              <w:rPr>
                <w:sz w:val="21"/>
              </w:rPr>
            </w:pPr>
            <w:r>
              <w:rPr>
                <w:sz w:val="21"/>
              </w:rPr>
              <w:t>（3）临床出现昏迷，病程至少达到疾病分期第 3 期。</w:t>
            </w:r>
          </w:p>
        </w:tc>
      </w:tr>
      <w:tr>
        <w:trPr>
          <w:trHeight w:val="2724" w:hRule="atLeast"/>
        </w:trPr>
        <w:tc>
          <w:tcPr>
            <w:tcW w:w="2017" w:type="dxa"/>
          </w:tcPr>
          <w:p>
            <w:pPr>
              <w:pStyle w:val="TableParagraph"/>
              <w:spacing w:line="292" w:lineRule="auto" w:before="106"/>
              <w:ind w:left="619" w:right="130" w:hanging="420"/>
              <w:rPr>
                <w:rFonts w:ascii="等线" w:eastAsia="等线" w:hint="eastAsia"/>
                <w:b/>
                <w:sz w:val="21"/>
              </w:rPr>
            </w:pPr>
            <w:r>
              <w:rPr>
                <w:b/>
                <w:sz w:val="21"/>
              </w:rPr>
              <w:t>58. </w:t>
            </w:r>
            <w:r>
              <w:rPr>
                <w:rFonts w:ascii="等线" w:eastAsia="等线" w:hint="eastAsia"/>
                <w:b/>
                <w:sz w:val="21"/>
              </w:rPr>
              <w:t>严重自身免疫性肝炎</w:t>
            </w:r>
          </w:p>
        </w:tc>
        <w:tc>
          <w:tcPr>
            <w:tcW w:w="7733" w:type="dxa"/>
          </w:tcPr>
          <w:p>
            <w:pPr>
              <w:pStyle w:val="TableParagraph"/>
              <w:spacing w:line="273" w:lineRule="auto" w:before="94"/>
              <w:ind w:left="107" w:right="302"/>
              <w:jc w:val="both"/>
              <w:rPr>
                <w:sz w:val="21"/>
              </w:rPr>
            </w:pPr>
            <w:r>
              <w:rPr>
                <w:spacing w:val="-5"/>
                <w:sz w:val="21"/>
              </w:rPr>
              <w:t>自身免疫性肝炎是一种原因不明的慢性肝脏的坏死性炎性疾病，机体免疫机制被</w:t>
            </w:r>
            <w:r>
              <w:rPr>
                <w:spacing w:val="-7"/>
                <w:sz w:val="21"/>
              </w:rPr>
              <w:t>破坏，产生针对肝脏自身抗原的抗体导致自身免疫反应，从而破坏肝细胞造成肝</w:t>
            </w:r>
            <w:r>
              <w:rPr>
                <w:spacing w:val="-5"/>
                <w:sz w:val="21"/>
              </w:rPr>
              <w:t>脏炎症坏死，进而发展为肝硬化。必须满足所有以下条件：</w:t>
            </w:r>
          </w:p>
          <w:p>
            <w:pPr>
              <w:pStyle w:val="TableParagraph"/>
              <w:spacing w:before="7"/>
              <w:ind w:left="107"/>
              <w:rPr>
                <w:sz w:val="21"/>
              </w:rPr>
            </w:pPr>
            <w:r>
              <w:rPr>
                <w:sz w:val="21"/>
              </w:rPr>
              <w:t>（1）高γ球蛋白血症；</w:t>
            </w:r>
          </w:p>
          <w:p>
            <w:pPr>
              <w:pStyle w:val="TableParagraph"/>
              <w:spacing w:line="273" w:lineRule="auto" w:before="37"/>
              <w:ind w:left="633" w:right="303" w:hanging="527"/>
              <w:rPr>
                <w:sz w:val="21"/>
              </w:rPr>
            </w:pPr>
            <w:r>
              <w:rPr>
                <w:spacing w:val="-7"/>
                <w:sz w:val="21"/>
              </w:rPr>
              <w:t>（2）</w:t>
            </w:r>
            <w:r>
              <w:rPr>
                <w:spacing w:val="-6"/>
                <w:sz w:val="21"/>
              </w:rPr>
              <w:t>血液中存在高水平的自身免疫抗体，如 </w:t>
            </w:r>
            <w:r>
              <w:rPr>
                <w:spacing w:val="-5"/>
                <w:sz w:val="21"/>
              </w:rPr>
              <w:t>ANA（</w:t>
            </w:r>
            <w:r>
              <w:rPr>
                <w:spacing w:val="-3"/>
                <w:sz w:val="21"/>
              </w:rPr>
              <w:t>抗核抗体</w:t>
            </w:r>
            <w:r>
              <w:rPr>
                <w:spacing w:val="-106"/>
                <w:sz w:val="21"/>
              </w:rPr>
              <w:t>）</w:t>
            </w:r>
            <w:r>
              <w:rPr>
                <w:spacing w:val="-19"/>
                <w:sz w:val="21"/>
              </w:rPr>
              <w:t>、</w:t>
            </w:r>
            <w:r>
              <w:rPr>
                <w:spacing w:val="-5"/>
                <w:sz w:val="21"/>
              </w:rPr>
              <w:t>SMA（</w:t>
            </w:r>
            <w:r>
              <w:rPr>
                <w:spacing w:val="-3"/>
                <w:sz w:val="21"/>
              </w:rPr>
              <w:t>抗平滑肌抗体</w:t>
            </w:r>
            <w:r>
              <w:rPr>
                <w:spacing w:val="-106"/>
                <w:sz w:val="21"/>
              </w:rPr>
              <w:t>）</w:t>
            </w:r>
            <w:r>
              <w:rPr>
                <w:spacing w:val="-18"/>
                <w:sz w:val="21"/>
              </w:rPr>
              <w:t>、抗 </w:t>
            </w:r>
            <w:r>
              <w:rPr>
                <w:sz w:val="21"/>
              </w:rPr>
              <w:t>LKM1</w:t>
            </w:r>
            <w:r>
              <w:rPr>
                <w:spacing w:val="-10"/>
                <w:sz w:val="21"/>
              </w:rPr>
              <w:t> 抗体或抗-</w:t>
            </w:r>
            <w:r>
              <w:rPr>
                <w:sz w:val="21"/>
              </w:rPr>
              <w:t>SLA/LP</w:t>
            </w:r>
            <w:r>
              <w:rPr>
                <w:spacing w:val="-15"/>
                <w:sz w:val="21"/>
              </w:rPr>
              <w:t> 抗体；</w:t>
            </w:r>
          </w:p>
          <w:p>
            <w:pPr>
              <w:pStyle w:val="TableParagraph"/>
              <w:spacing w:before="8"/>
              <w:ind w:left="107"/>
              <w:jc w:val="both"/>
              <w:rPr>
                <w:sz w:val="21"/>
              </w:rPr>
            </w:pPr>
            <w:r>
              <w:rPr>
                <w:sz w:val="21"/>
              </w:rPr>
              <w:t>（3）肝脏活检证实免疫性肝炎；</w:t>
            </w:r>
          </w:p>
          <w:p>
            <w:pPr>
              <w:pStyle w:val="TableParagraph"/>
              <w:spacing w:before="37"/>
              <w:ind w:left="107"/>
              <w:jc w:val="both"/>
              <w:rPr>
                <w:sz w:val="21"/>
              </w:rPr>
            </w:pPr>
            <w:r>
              <w:rPr>
                <w:sz w:val="21"/>
              </w:rPr>
              <w:t>（4）临床已经出现腹水、食道静脉曲张和脾肿大等肝硬化表现。</w:t>
            </w:r>
          </w:p>
        </w:tc>
      </w:tr>
      <w:tr>
        <w:trPr>
          <w:trHeight w:val="3496" w:hRule="atLeast"/>
        </w:trPr>
        <w:tc>
          <w:tcPr>
            <w:tcW w:w="2017" w:type="dxa"/>
          </w:tcPr>
          <w:p>
            <w:pPr>
              <w:pStyle w:val="TableParagraph"/>
              <w:spacing w:line="297" w:lineRule="auto" w:before="106"/>
              <w:ind w:left="619" w:right="130" w:hanging="420"/>
              <w:jc w:val="both"/>
              <w:rPr>
                <w:rFonts w:ascii="等线" w:eastAsia="等线" w:hint="eastAsia"/>
                <w:b/>
                <w:sz w:val="21"/>
              </w:rPr>
            </w:pPr>
            <w:r>
              <w:rPr>
                <w:b/>
                <w:sz w:val="21"/>
              </w:rPr>
              <w:t>59.</w:t>
            </w:r>
            <w:r>
              <w:rPr>
                <w:b/>
                <w:spacing w:val="61"/>
                <w:sz w:val="21"/>
              </w:rPr>
              <w:t> </w:t>
            </w:r>
            <w:r>
              <w:rPr>
                <w:rFonts w:ascii="等线" w:eastAsia="等线" w:hint="eastAsia"/>
                <w:b/>
                <w:sz w:val="21"/>
              </w:rPr>
              <w:t>ft</w:t>
            </w:r>
            <w:r>
              <w:rPr>
                <w:rFonts w:ascii="等线" w:eastAsia="等线" w:hint="eastAsia"/>
                <w:b/>
                <w:spacing w:val="-2"/>
                <w:sz w:val="21"/>
              </w:rPr>
              <w:t>萎缩性</w:t>
            </w:r>
            <w:r>
              <w:rPr>
                <w:rFonts w:ascii="等线" w:eastAsia="等线" w:hint="eastAsia"/>
                <w:b/>
                <w:sz w:val="21"/>
              </w:rPr>
              <w:t>（脊髓）</w:t>
            </w:r>
            <w:r>
              <w:rPr>
                <w:rFonts w:ascii="等线" w:eastAsia="等线" w:hint="eastAsia"/>
                <w:b/>
                <w:spacing w:val="-2"/>
                <w:sz w:val="21"/>
              </w:rPr>
              <w:t>侧索硬化症</w:t>
            </w:r>
          </w:p>
        </w:tc>
        <w:tc>
          <w:tcPr>
            <w:tcW w:w="7733" w:type="dxa"/>
          </w:tcPr>
          <w:p>
            <w:pPr>
              <w:pStyle w:val="TableParagraph"/>
              <w:spacing w:line="273" w:lineRule="auto" w:before="94"/>
              <w:ind w:left="107" w:right="302"/>
              <w:jc w:val="both"/>
              <w:rPr>
                <w:sz w:val="21"/>
              </w:rPr>
            </w:pPr>
            <w:r>
              <w:rPr>
                <w:spacing w:val="-6"/>
                <w:sz w:val="21"/>
              </w:rPr>
              <w:t>是指持续的神经变性累及脊髓神经及脑干运动神经元，出现肌肉无力、挛缩、肌</w:t>
            </w:r>
            <w:r>
              <w:rPr>
                <w:spacing w:val="-7"/>
                <w:sz w:val="21"/>
              </w:rPr>
              <w:t>束颤动及萎缩症状和体征。须经神经专科医师做出明确诊断，且疾病进行性发展</w:t>
            </w:r>
            <w:r>
              <w:rPr>
                <w:spacing w:val="-5"/>
                <w:sz w:val="21"/>
              </w:rPr>
              <w:t>已导致不可逆转的永久性神经系统功能障碍。</w:t>
            </w:r>
          </w:p>
          <w:p>
            <w:pPr>
              <w:pStyle w:val="TableParagraph"/>
              <w:spacing w:before="8"/>
              <w:ind w:left="107"/>
              <w:jc w:val="both"/>
              <w:rPr>
                <w:sz w:val="21"/>
              </w:rPr>
            </w:pPr>
            <w:r>
              <w:rPr>
                <w:sz w:val="21"/>
              </w:rPr>
              <w:t>永久性神经系统功能障碍是指以下六项条件中的一项或一项以上：</w:t>
            </w:r>
          </w:p>
          <w:p>
            <w:pPr>
              <w:pStyle w:val="TableParagraph"/>
              <w:spacing w:before="37"/>
              <w:ind w:left="107"/>
              <w:jc w:val="both"/>
              <w:rPr>
                <w:sz w:val="21"/>
              </w:rPr>
            </w:pPr>
            <w:r>
              <w:rPr>
                <w:sz w:val="21"/>
              </w:rPr>
              <w:t>（1）一上肢或双上肢手腕以上部分的完全及永久瘫痪；</w:t>
            </w:r>
          </w:p>
          <w:p>
            <w:pPr>
              <w:pStyle w:val="TableParagraph"/>
              <w:spacing w:before="37"/>
              <w:ind w:left="107"/>
              <w:jc w:val="both"/>
              <w:rPr>
                <w:sz w:val="21"/>
              </w:rPr>
            </w:pPr>
            <w:r>
              <w:rPr>
                <w:sz w:val="21"/>
              </w:rPr>
              <w:t>（2）一下肢或双下肢足踝以上部分的完全及永久瘫痪；</w:t>
            </w:r>
          </w:p>
          <w:p>
            <w:pPr>
              <w:pStyle w:val="TableParagraph"/>
              <w:spacing w:before="37"/>
              <w:ind w:left="107"/>
              <w:jc w:val="both"/>
              <w:rPr>
                <w:sz w:val="21"/>
              </w:rPr>
            </w:pPr>
            <w:r>
              <w:rPr>
                <w:sz w:val="21"/>
              </w:rPr>
              <w:t>（3）四肢机能完全及永久丧失；</w:t>
            </w:r>
          </w:p>
          <w:p>
            <w:pPr>
              <w:pStyle w:val="TableParagraph"/>
              <w:spacing w:before="37"/>
              <w:ind w:left="107"/>
              <w:jc w:val="both"/>
              <w:rPr>
                <w:sz w:val="21"/>
              </w:rPr>
            </w:pPr>
            <w:r>
              <w:rPr>
                <w:sz w:val="21"/>
              </w:rPr>
              <w:t>（4）完全及永久丧失语言能力；</w:t>
            </w:r>
          </w:p>
          <w:p>
            <w:pPr>
              <w:pStyle w:val="TableParagraph"/>
              <w:spacing w:before="37"/>
              <w:ind w:left="107"/>
              <w:jc w:val="both"/>
              <w:rPr>
                <w:sz w:val="21"/>
              </w:rPr>
            </w:pPr>
            <w:r>
              <w:rPr>
                <w:w w:val="100"/>
                <w:sz w:val="21"/>
              </w:rPr>
              <w:t>（5</w:t>
            </w:r>
            <w:r>
              <w:rPr>
                <w:spacing w:val="-3"/>
                <w:w w:val="100"/>
                <w:sz w:val="21"/>
              </w:rPr>
              <w:t>）完全及永久丧失吞咽能力（吞咽困难</w:t>
            </w:r>
            <w:r>
              <w:rPr>
                <w:spacing w:val="-106"/>
                <w:w w:val="100"/>
                <w:sz w:val="21"/>
              </w:rPr>
              <w:t>）</w:t>
            </w:r>
            <w:r>
              <w:rPr>
                <w:spacing w:val="-3"/>
                <w:w w:val="100"/>
                <w:sz w:val="21"/>
              </w:rPr>
              <w:t>，必须永久使用喂饲管；</w:t>
            </w:r>
          </w:p>
          <w:p>
            <w:pPr>
              <w:pStyle w:val="TableParagraph"/>
              <w:spacing w:line="310" w:lineRule="atLeast" w:before="1"/>
              <w:ind w:left="633" w:right="308" w:hanging="527"/>
              <w:rPr>
                <w:sz w:val="21"/>
              </w:rPr>
            </w:pPr>
            <w:r>
              <w:rPr>
                <w:sz w:val="21"/>
              </w:rPr>
              <w:t>（6）无法独立进行六项日常生活活动即穿衣、移动、行动、卫生、进食、洗澡中三项或三项以上，且上述日常生活活动经过三个月的持续治疗后仍无法</w:t>
            </w:r>
          </w:p>
        </w:tc>
      </w:tr>
    </w:tbl>
    <w:p>
      <w:pPr>
        <w:spacing w:after="0" w:line="310" w:lineRule="atLeast"/>
        <w:rPr>
          <w:sz w:val="21"/>
        </w:rPr>
        <w:sectPr>
          <w:pgSz w:w="11910" w:h="16840"/>
          <w:pgMar w:header="0" w:footer="353" w:top="1400" w:bottom="540" w:left="14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7"/>
        <w:gridCol w:w="2001"/>
        <w:gridCol w:w="7734"/>
      </w:tblGrid>
      <w:tr>
        <w:trPr>
          <w:trHeight w:val="375" w:hRule="atLeast"/>
        </w:trPr>
        <w:tc>
          <w:tcPr>
            <w:tcW w:w="807" w:type="dxa"/>
          </w:tcPr>
          <w:p>
            <w:pPr>
              <w:pStyle w:val="TableParagraph"/>
              <w:ind w:left="0"/>
              <w:rPr>
                <w:rFonts w:ascii="Times New Roman"/>
                <w:sz w:val="20"/>
              </w:rPr>
            </w:pPr>
          </w:p>
        </w:tc>
        <w:tc>
          <w:tcPr>
            <w:tcW w:w="2001" w:type="dxa"/>
          </w:tcPr>
          <w:p>
            <w:pPr>
              <w:pStyle w:val="TableParagraph"/>
              <w:ind w:left="0"/>
              <w:rPr>
                <w:rFonts w:ascii="Times New Roman"/>
                <w:sz w:val="20"/>
              </w:rPr>
            </w:pPr>
          </w:p>
        </w:tc>
        <w:tc>
          <w:tcPr>
            <w:tcW w:w="7734" w:type="dxa"/>
          </w:tcPr>
          <w:p>
            <w:pPr>
              <w:pStyle w:val="TableParagraph"/>
              <w:spacing w:line="211" w:lineRule="exact"/>
              <w:ind w:left="635"/>
              <w:rPr>
                <w:sz w:val="21"/>
              </w:rPr>
            </w:pPr>
            <w:r>
              <w:rPr>
                <w:sz w:val="21"/>
              </w:rPr>
              <w:t>完成。</w:t>
            </w:r>
          </w:p>
        </w:tc>
      </w:tr>
      <w:tr>
        <w:trPr>
          <w:trHeight w:val="2724" w:hRule="atLeast"/>
        </w:trPr>
        <w:tc>
          <w:tcPr>
            <w:tcW w:w="807" w:type="dxa"/>
          </w:tcPr>
          <w:p>
            <w:pPr>
              <w:pStyle w:val="TableParagraph"/>
              <w:ind w:left="0"/>
              <w:rPr>
                <w:rFonts w:ascii="Times New Roman"/>
                <w:sz w:val="20"/>
              </w:rPr>
            </w:pPr>
          </w:p>
        </w:tc>
        <w:tc>
          <w:tcPr>
            <w:tcW w:w="2001" w:type="dxa"/>
          </w:tcPr>
          <w:p>
            <w:pPr>
              <w:pStyle w:val="TableParagraph"/>
              <w:spacing w:line="290" w:lineRule="exact" w:before="113"/>
              <w:ind w:left="185"/>
              <w:rPr>
                <w:rFonts w:ascii="等线" w:eastAsia="等线" w:hint="eastAsia"/>
                <w:b/>
                <w:sz w:val="21"/>
              </w:rPr>
            </w:pPr>
            <w:r>
              <w:rPr>
                <w:b/>
                <w:sz w:val="21"/>
              </w:rPr>
              <w:t>60. </w:t>
            </w:r>
            <w:r>
              <w:rPr>
                <w:rFonts w:ascii="等线" w:eastAsia="等线" w:hint="eastAsia"/>
                <w:b/>
                <w:sz w:val="21"/>
              </w:rPr>
              <w:t>肝豆状核变性</w:t>
            </w:r>
          </w:p>
          <w:p>
            <w:pPr>
              <w:pStyle w:val="TableParagraph"/>
              <w:spacing w:line="362" w:lineRule="exact"/>
              <w:ind w:left="605"/>
              <w:rPr>
                <w:rFonts w:ascii="Microsoft JhengHei" w:eastAsia="Microsoft JhengHei" w:hint="eastAsia"/>
                <w:b/>
                <w:sz w:val="21"/>
              </w:rPr>
            </w:pPr>
            <w:r>
              <w:rPr>
                <w:rFonts w:ascii="Microsoft JhengHei" w:eastAsia="Microsoft JhengHei" w:hint="eastAsia"/>
                <w:b/>
                <w:w w:val="95"/>
                <w:sz w:val="21"/>
              </w:rPr>
              <w:t>(Wilson </w:t>
            </w:r>
            <w:r>
              <w:rPr>
                <w:rFonts w:ascii="等线" w:eastAsia="等线" w:hint="eastAsia"/>
                <w:b/>
                <w:w w:val="95"/>
                <w:sz w:val="21"/>
              </w:rPr>
              <w:t>病</w:t>
            </w:r>
            <w:r>
              <w:rPr>
                <w:rFonts w:ascii="Microsoft JhengHei" w:eastAsia="Microsoft JhengHei" w:hint="eastAsia"/>
                <w:b/>
                <w:w w:val="95"/>
                <w:sz w:val="21"/>
              </w:rPr>
              <w:t>)</w:t>
            </w:r>
          </w:p>
        </w:tc>
        <w:tc>
          <w:tcPr>
            <w:tcW w:w="7734" w:type="dxa"/>
          </w:tcPr>
          <w:p>
            <w:pPr>
              <w:pStyle w:val="TableParagraph"/>
              <w:spacing w:line="273" w:lineRule="auto" w:before="101"/>
              <w:ind w:left="109" w:right="259"/>
              <w:rPr>
                <w:sz w:val="21"/>
              </w:rPr>
            </w:pPr>
            <w:r>
              <w:rPr>
                <w:sz w:val="21"/>
              </w:rPr>
              <w:t>指由于先天性铜代谢障碍所引起的一种疾病，其特点为肝硬化与双侧脑基底神经节变性同时存在，且须经专科医生明确诊断，并同时必须具备下列情况：</w:t>
            </w:r>
          </w:p>
          <w:p>
            <w:pPr>
              <w:pStyle w:val="TableParagraph"/>
              <w:numPr>
                <w:ilvl w:val="0"/>
                <w:numId w:val="13"/>
              </w:numPr>
              <w:tabs>
                <w:tab w:pos="734" w:val="left" w:leader="none"/>
              </w:tabs>
              <w:spacing w:line="273" w:lineRule="auto" w:before="8" w:after="0"/>
              <w:ind w:left="741" w:right="301" w:hanging="632"/>
              <w:jc w:val="left"/>
              <w:rPr>
                <w:sz w:val="21"/>
              </w:rPr>
            </w:pPr>
            <w:r>
              <w:rPr>
                <w:spacing w:val="-7"/>
                <w:sz w:val="21"/>
              </w:rPr>
              <w:t>临床表现包括：进行性加剧的肢体震颤，肌强直，吞咽及发音困难，精神异常；</w:t>
            </w:r>
          </w:p>
          <w:p>
            <w:pPr>
              <w:pStyle w:val="TableParagraph"/>
              <w:numPr>
                <w:ilvl w:val="0"/>
                <w:numId w:val="13"/>
              </w:numPr>
              <w:tabs>
                <w:tab w:pos="741" w:val="left" w:leader="none"/>
              </w:tabs>
              <w:spacing w:line="240" w:lineRule="auto" w:before="8" w:after="0"/>
              <w:ind w:left="741" w:right="0" w:hanging="632"/>
              <w:jc w:val="left"/>
              <w:rPr>
                <w:sz w:val="21"/>
              </w:rPr>
            </w:pPr>
            <w:r>
              <w:rPr>
                <w:spacing w:val="-3"/>
                <w:w w:val="100"/>
                <w:sz w:val="21"/>
              </w:rPr>
              <w:t>角膜色素环（</w:t>
            </w:r>
            <w:r>
              <w:rPr>
                <w:w w:val="100"/>
                <w:sz w:val="21"/>
              </w:rPr>
              <w:t>K-F</w:t>
            </w:r>
            <w:r>
              <w:rPr>
                <w:spacing w:val="-55"/>
                <w:sz w:val="21"/>
              </w:rPr>
              <w:t> </w:t>
            </w:r>
            <w:r>
              <w:rPr>
                <w:w w:val="100"/>
                <w:sz w:val="21"/>
              </w:rPr>
              <w:t>环</w:t>
            </w:r>
            <w:r>
              <w:rPr>
                <w:spacing w:val="-106"/>
                <w:w w:val="100"/>
                <w:sz w:val="21"/>
              </w:rPr>
              <w:t>）</w:t>
            </w:r>
            <w:r>
              <w:rPr>
                <w:w w:val="100"/>
                <w:sz w:val="21"/>
              </w:rPr>
              <w:t>；</w:t>
            </w:r>
          </w:p>
          <w:p>
            <w:pPr>
              <w:pStyle w:val="TableParagraph"/>
              <w:numPr>
                <w:ilvl w:val="0"/>
                <w:numId w:val="13"/>
              </w:numPr>
              <w:tabs>
                <w:tab w:pos="741" w:val="left" w:leader="none"/>
              </w:tabs>
              <w:spacing w:line="240" w:lineRule="auto" w:before="37" w:after="0"/>
              <w:ind w:left="741" w:right="0" w:hanging="632"/>
              <w:jc w:val="left"/>
              <w:rPr>
                <w:sz w:val="21"/>
              </w:rPr>
            </w:pPr>
            <w:r>
              <w:rPr>
                <w:spacing w:val="-3"/>
                <w:sz w:val="21"/>
              </w:rPr>
              <w:t>血清铜和血清铜蓝蛋白降低，尿铜增加；</w:t>
            </w:r>
          </w:p>
          <w:p>
            <w:pPr>
              <w:pStyle w:val="TableParagraph"/>
              <w:numPr>
                <w:ilvl w:val="0"/>
                <w:numId w:val="13"/>
              </w:numPr>
              <w:tabs>
                <w:tab w:pos="741" w:val="left" w:leader="none"/>
              </w:tabs>
              <w:spacing w:line="240" w:lineRule="auto" w:before="37" w:after="0"/>
              <w:ind w:left="741" w:right="0" w:hanging="632"/>
              <w:jc w:val="left"/>
              <w:rPr>
                <w:sz w:val="21"/>
              </w:rPr>
            </w:pPr>
            <w:r>
              <w:rPr>
                <w:spacing w:val="-3"/>
                <w:sz w:val="21"/>
              </w:rPr>
              <w:t>食管静脉曲张；</w:t>
            </w:r>
          </w:p>
          <w:p>
            <w:pPr>
              <w:pStyle w:val="TableParagraph"/>
              <w:numPr>
                <w:ilvl w:val="0"/>
                <w:numId w:val="13"/>
              </w:numPr>
              <w:tabs>
                <w:tab w:pos="741" w:val="left" w:leader="none"/>
              </w:tabs>
              <w:spacing w:line="240" w:lineRule="auto" w:before="37" w:after="0"/>
              <w:ind w:left="741" w:right="0" w:hanging="632"/>
              <w:jc w:val="left"/>
              <w:rPr>
                <w:sz w:val="21"/>
              </w:rPr>
            </w:pPr>
            <w:r>
              <w:rPr>
                <w:spacing w:val="-2"/>
                <w:sz w:val="21"/>
              </w:rPr>
              <w:t>腹水。</w:t>
            </w:r>
          </w:p>
        </w:tc>
      </w:tr>
      <w:tr>
        <w:trPr>
          <w:trHeight w:val="2255" w:hRule="atLeast"/>
        </w:trPr>
        <w:tc>
          <w:tcPr>
            <w:tcW w:w="807" w:type="dxa"/>
          </w:tcPr>
          <w:p>
            <w:pPr>
              <w:pStyle w:val="TableParagraph"/>
              <w:ind w:left="0"/>
              <w:rPr>
                <w:rFonts w:ascii="Times New Roman"/>
                <w:sz w:val="20"/>
              </w:rPr>
            </w:pPr>
          </w:p>
        </w:tc>
        <w:tc>
          <w:tcPr>
            <w:tcW w:w="2001" w:type="dxa"/>
          </w:tcPr>
          <w:p>
            <w:pPr>
              <w:pStyle w:val="TableParagraph"/>
              <w:spacing w:before="112"/>
              <w:ind w:left="185"/>
              <w:rPr>
                <w:rFonts w:ascii="等线" w:eastAsia="等线" w:hint="eastAsia"/>
                <w:b/>
                <w:sz w:val="21"/>
              </w:rPr>
            </w:pPr>
            <w:r>
              <w:rPr>
                <w:b/>
                <w:sz w:val="21"/>
              </w:rPr>
              <w:t>61. </w:t>
            </w:r>
            <w:r>
              <w:rPr>
                <w:rFonts w:ascii="等线" w:eastAsia="等线" w:hint="eastAsia"/>
                <w:b/>
                <w:sz w:val="21"/>
              </w:rPr>
              <w:t>严重哮喘</w:t>
            </w:r>
          </w:p>
        </w:tc>
        <w:tc>
          <w:tcPr>
            <w:tcW w:w="7734" w:type="dxa"/>
          </w:tcPr>
          <w:p>
            <w:pPr>
              <w:pStyle w:val="TableParagraph"/>
              <w:spacing w:line="273" w:lineRule="auto" w:before="100"/>
              <w:ind w:left="109" w:right="259"/>
              <w:rPr>
                <w:sz w:val="21"/>
              </w:rPr>
            </w:pPr>
            <w:r>
              <w:rPr>
                <w:sz w:val="21"/>
              </w:rPr>
              <w:t>被保险人必须在过去两年内曾发生哮喘持续状态，并符合以下其中两项标准，本公司才承担保险责任：</w:t>
            </w:r>
          </w:p>
          <w:p>
            <w:pPr>
              <w:pStyle w:val="TableParagraph"/>
              <w:numPr>
                <w:ilvl w:val="0"/>
                <w:numId w:val="14"/>
              </w:numPr>
              <w:tabs>
                <w:tab w:pos="533" w:val="left" w:leader="none"/>
              </w:tabs>
              <w:spacing w:line="240" w:lineRule="auto" w:before="7" w:after="0"/>
              <w:ind w:left="532" w:right="0" w:hanging="423"/>
              <w:jc w:val="left"/>
              <w:rPr>
                <w:sz w:val="21"/>
              </w:rPr>
            </w:pPr>
            <w:r>
              <w:rPr>
                <w:spacing w:val="-3"/>
                <w:sz w:val="21"/>
              </w:rPr>
              <w:t>运动耐受力永久并持续地减少并却轻微的运动能引起气促；</w:t>
            </w:r>
          </w:p>
          <w:p>
            <w:pPr>
              <w:pStyle w:val="TableParagraph"/>
              <w:numPr>
                <w:ilvl w:val="0"/>
                <w:numId w:val="14"/>
              </w:numPr>
              <w:tabs>
                <w:tab w:pos="533" w:val="left" w:leader="none"/>
              </w:tabs>
              <w:spacing w:line="240" w:lineRule="auto" w:before="37" w:after="0"/>
              <w:ind w:left="532" w:right="0" w:hanging="423"/>
              <w:jc w:val="left"/>
              <w:rPr>
                <w:sz w:val="21"/>
              </w:rPr>
            </w:pPr>
            <w:r>
              <w:rPr>
                <w:spacing w:val="-3"/>
                <w:sz w:val="21"/>
              </w:rPr>
              <w:t>长期胸腔过渡膨胀而导致胸腔畸形；</w:t>
            </w:r>
          </w:p>
          <w:p>
            <w:pPr>
              <w:pStyle w:val="TableParagraph"/>
              <w:numPr>
                <w:ilvl w:val="0"/>
                <w:numId w:val="14"/>
              </w:numPr>
              <w:tabs>
                <w:tab w:pos="533" w:val="left" w:leader="none"/>
              </w:tabs>
              <w:spacing w:line="240" w:lineRule="auto" w:before="37" w:after="0"/>
              <w:ind w:left="532" w:right="0" w:hanging="423"/>
              <w:jc w:val="left"/>
              <w:rPr>
                <w:sz w:val="21"/>
              </w:rPr>
            </w:pPr>
            <w:r>
              <w:rPr>
                <w:spacing w:val="-3"/>
                <w:sz w:val="21"/>
              </w:rPr>
              <w:t>在家及在静息状态下需要吸氧；</w:t>
            </w:r>
          </w:p>
          <w:p>
            <w:pPr>
              <w:pStyle w:val="TableParagraph"/>
              <w:numPr>
                <w:ilvl w:val="0"/>
                <w:numId w:val="14"/>
              </w:numPr>
              <w:tabs>
                <w:tab w:pos="533" w:val="left" w:leader="none"/>
              </w:tabs>
              <w:spacing w:line="240" w:lineRule="auto" w:before="36" w:after="0"/>
              <w:ind w:left="532" w:right="0" w:hanging="423"/>
              <w:jc w:val="left"/>
              <w:rPr>
                <w:sz w:val="21"/>
              </w:rPr>
            </w:pPr>
            <w:r>
              <w:rPr>
                <w:spacing w:val="-3"/>
                <w:sz w:val="21"/>
              </w:rPr>
              <w:t>持续的每天服用类固醇药物(至少持续六个月以上)。</w:t>
            </w:r>
          </w:p>
        </w:tc>
      </w:tr>
      <w:tr>
        <w:trPr>
          <w:trHeight w:val="4439" w:hRule="atLeast"/>
        </w:trPr>
        <w:tc>
          <w:tcPr>
            <w:tcW w:w="807" w:type="dxa"/>
          </w:tcPr>
          <w:p>
            <w:pPr>
              <w:pStyle w:val="TableParagraph"/>
              <w:ind w:left="0"/>
              <w:rPr>
                <w:rFonts w:ascii="Times New Roman"/>
                <w:sz w:val="20"/>
              </w:rPr>
            </w:pPr>
          </w:p>
        </w:tc>
        <w:tc>
          <w:tcPr>
            <w:tcW w:w="2001" w:type="dxa"/>
          </w:tcPr>
          <w:p>
            <w:pPr>
              <w:pStyle w:val="TableParagraph"/>
              <w:spacing w:before="6"/>
              <w:ind w:left="0"/>
              <w:rPr>
                <w:sz w:val="19"/>
              </w:rPr>
            </w:pPr>
          </w:p>
          <w:p>
            <w:pPr>
              <w:pStyle w:val="TableParagraph"/>
              <w:ind w:left="0" w:right="104"/>
              <w:jc w:val="right"/>
              <w:rPr>
                <w:b/>
                <w:sz w:val="21"/>
              </w:rPr>
            </w:pPr>
            <w:r>
              <w:rPr>
                <w:b/>
                <w:sz w:val="21"/>
              </w:rPr>
              <w:t>注：</w:t>
            </w:r>
          </w:p>
        </w:tc>
        <w:tc>
          <w:tcPr>
            <w:tcW w:w="7734" w:type="dxa"/>
          </w:tcPr>
          <w:p>
            <w:pPr>
              <w:pStyle w:val="TableParagraph"/>
              <w:spacing w:before="6"/>
              <w:ind w:left="0"/>
              <w:rPr>
                <w:sz w:val="19"/>
              </w:rPr>
            </w:pPr>
          </w:p>
          <w:p>
            <w:pPr>
              <w:pStyle w:val="TableParagraph"/>
              <w:ind w:left="109"/>
              <w:rPr>
                <w:sz w:val="21"/>
              </w:rPr>
            </w:pPr>
            <w:r>
              <w:rPr>
                <w:sz w:val="21"/>
              </w:rPr>
              <w:t>1、六项基本日常生活活动</w:t>
            </w:r>
          </w:p>
          <w:p>
            <w:pPr>
              <w:pStyle w:val="TableParagraph"/>
              <w:spacing w:line="273" w:lineRule="auto" w:before="36"/>
              <w:ind w:left="109" w:right="267"/>
              <w:jc w:val="both"/>
              <w:rPr>
                <w:sz w:val="21"/>
              </w:rPr>
            </w:pPr>
            <w:r>
              <w:rPr>
                <w:spacing w:val="-12"/>
                <w:w w:val="100"/>
                <w:sz w:val="21"/>
              </w:rPr>
              <w:t>六项基本日常生活活动是指：</w:t>
            </w:r>
            <w:r>
              <w:rPr>
                <w:w w:val="100"/>
                <w:sz w:val="21"/>
              </w:rPr>
              <w:t>（</w:t>
            </w:r>
            <w:r>
              <w:rPr>
                <w:spacing w:val="-3"/>
                <w:w w:val="100"/>
                <w:sz w:val="21"/>
              </w:rPr>
              <w:t>1</w:t>
            </w:r>
            <w:r>
              <w:rPr>
                <w:spacing w:val="-5"/>
                <w:w w:val="100"/>
                <w:sz w:val="21"/>
              </w:rPr>
              <w:t>）</w:t>
            </w:r>
            <w:r>
              <w:rPr>
                <w:spacing w:val="-13"/>
                <w:w w:val="100"/>
                <w:sz w:val="21"/>
              </w:rPr>
              <w:t>穿衣：自己能够穿衣及脱衣；</w:t>
            </w:r>
            <w:r>
              <w:rPr>
                <w:w w:val="100"/>
                <w:sz w:val="21"/>
              </w:rPr>
              <w:t>（</w:t>
            </w:r>
            <w:r>
              <w:rPr>
                <w:spacing w:val="-3"/>
                <w:w w:val="100"/>
                <w:sz w:val="21"/>
              </w:rPr>
              <w:t>2</w:t>
            </w:r>
            <w:r>
              <w:rPr>
                <w:spacing w:val="-5"/>
                <w:w w:val="100"/>
                <w:sz w:val="21"/>
              </w:rPr>
              <w:t>）</w:t>
            </w:r>
            <w:r>
              <w:rPr>
                <w:spacing w:val="-4"/>
                <w:w w:val="100"/>
                <w:sz w:val="21"/>
              </w:rPr>
              <w:t>移动：自己</w:t>
            </w:r>
            <w:r>
              <w:rPr>
                <w:spacing w:val="-13"/>
                <w:w w:val="100"/>
                <w:sz w:val="21"/>
              </w:rPr>
              <w:t>从一个房间到另一个房间；</w:t>
            </w:r>
            <w:r>
              <w:rPr>
                <w:w w:val="100"/>
                <w:sz w:val="21"/>
              </w:rPr>
              <w:t>（</w:t>
            </w:r>
            <w:r>
              <w:rPr>
                <w:spacing w:val="-3"/>
                <w:w w:val="100"/>
                <w:sz w:val="21"/>
              </w:rPr>
              <w:t>3</w:t>
            </w:r>
            <w:r>
              <w:rPr>
                <w:spacing w:val="-5"/>
                <w:w w:val="100"/>
                <w:sz w:val="21"/>
              </w:rPr>
              <w:t>）</w:t>
            </w:r>
            <w:r>
              <w:rPr>
                <w:spacing w:val="-12"/>
                <w:w w:val="100"/>
                <w:sz w:val="21"/>
              </w:rPr>
              <w:t>行动：自己上下床或上下轮椅；</w:t>
            </w:r>
            <w:r>
              <w:rPr>
                <w:w w:val="100"/>
                <w:sz w:val="21"/>
              </w:rPr>
              <w:t>（</w:t>
            </w:r>
            <w:r>
              <w:rPr>
                <w:spacing w:val="-3"/>
                <w:w w:val="100"/>
                <w:sz w:val="21"/>
              </w:rPr>
              <w:t>4</w:t>
            </w:r>
            <w:r>
              <w:rPr>
                <w:spacing w:val="-8"/>
                <w:w w:val="100"/>
                <w:sz w:val="21"/>
              </w:rPr>
              <w:t>）</w:t>
            </w:r>
            <w:r>
              <w:rPr>
                <w:spacing w:val="-4"/>
                <w:w w:val="100"/>
                <w:sz w:val="21"/>
              </w:rPr>
              <w:t>如厕：自己</w:t>
            </w:r>
            <w:r>
              <w:rPr>
                <w:spacing w:val="-16"/>
                <w:w w:val="100"/>
                <w:sz w:val="21"/>
              </w:rPr>
              <w:t>控制进行大小便；</w:t>
            </w:r>
            <w:r>
              <w:rPr>
                <w:spacing w:val="-1"/>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p>
            <w:pPr>
              <w:pStyle w:val="TableParagraph"/>
              <w:spacing w:before="7"/>
              <w:ind w:left="109"/>
              <w:rPr>
                <w:sz w:val="21"/>
              </w:rPr>
            </w:pPr>
            <w:r>
              <w:rPr>
                <w:sz w:val="21"/>
              </w:rPr>
              <w:t>2、肢体机能完全丧失</w:t>
            </w:r>
          </w:p>
          <w:p>
            <w:pPr>
              <w:pStyle w:val="TableParagraph"/>
              <w:spacing w:line="273" w:lineRule="auto" w:before="37"/>
              <w:ind w:left="109" w:right="304"/>
              <w:jc w:val="both"/>
              <w:rPr>
                <w:sz w:val="21"/>
              </w:rPr>
            </w:pPr>
            <w:r>
              <w:rPr>
                <w:spacing w:val="-5"/>
                <w:sz w:val="21"/>
              </w:rPr>
              <w:t>指肢体的三大关节中的两大关节僵硬，或不能随意识活动。肢体是指包括肩关节</w:t>
            </w:r>
            <w:r>
              <w:rPr>
                <w:spacing w:val="-4"/>
                <w:sz w:val="21"/>
              </w:rPr>
              <w:t>的整个上肢或包括髋关节的整个下肢。</w:t>
            </w:r>
          </w:p>
          <w:p>
            <w:pPr>
              <w:pStyle w:val="TableParagraph"/>
              <w:spacing w:before="8"/>
              <w:ind w:left="109"/>
              <w:rPr>
                <w:sz w:val="21"/>
              </w:rPr>
            </w:pPr>
            <w:r>
              <w:rPr>
                <w:sz w:val="21"/>
              </w:rPr>
              <w:t>3、语言能力或咀嚼吞咽能力完全丧失</w:t>
            </w:r>
          </w:p>
          <w:p>
            <w:pPr>
              <w:pStyle w:val="TableParagraph"/>
              <w:spacing w:line="273" w:lineRule="auto" w:before="37"/>
              <w:ind w:left="109" w:right="303"/>
              <w:jc w:val="both"/>
              <w:rPr>
                <w:sz w:val="21"/>
              </w:rPr>
            </w:pPr>
            <w:r>
              <w:rPr>
                <w:spacing w:val="-5"/>
                <w:sz w:val="21"/>
              </w:rPr>
              <w:t>语言能力完全丧失，指无法发出四种语音</w:t>
            </w:r>
            <w:r>
              <w:rPr>
                <w:spacing w:val="-3"/>
                <w:sz w:val="21"/>
              </w:rPr>
              <w:t>（</w:t>
            </w:r>
            <w:r>
              <w:rPr>
                <w:spacing w:val="-6"/>
                <w:sz w:val="21"/>
              </w:rPr>
              <w:t>包括口唇音、齿舌音、口盖音和喉头音</w:t>
            </w:r>
            <w:r>
              <w:rPr>
                <w:spacing w:val="-36"/>
                <w:sz w:val="21"/>
              </w:rPr>
              <w:t>）</w:t>
            </w:r>
            <w:r>
              <w:rPr>
                <w:spacing w:val="-9"/>
                <w:sz w:val="21"/>
              </w:rPr>
              <w:t>中的任何三种、或声带全部切除，或因大脑语言中枢受伤害而患失语症。 咀</w:t>
            </w:r>
            <w:r>
              <w:rPr>
                <w:spacing w:val="-8"/>
                <w:sz w:val="21"/>
              </w:rPr>
              <w:t>嚼吞咽能力完全丧失，指因牙齿以外的原因导致器质障碍或机能障碍，以致不能</w:t>
            </w:r>
            <w:r>
              <w:rPr>
                <w:spacing w:val="-3"/>
                <w:sz w:val="21"/>
              </w:rPr>
              <w:t>作咀嚼吞咽运动，除流质食物外不能摄取或吞咽的状态。</w:t>
            </w:r>
          </w:p>
        </w:tc>
      </w:tr>
      <w:tr>
        <w:trPr>
          <w:trHeight w:val="1162" w:hRule="atLeast"/>
        </w:trPr>
        <w:tc>
          <w:tcPr>
            <w:tcW w:w="807" w:type="dxa"/>
          </w:tcPr>
          <w:p>
            <w:pPr>
              <w:pStyle w:val="TableParagraph"/>
              <w:spacing w:before="100"/>
              <w:ind w:left="0" w:right="182"/>
              <w:jc w:val="right"/>
              <w:rPr>
                <w:b/>
                <w:sz w:val="21"/>
              </w:rPr>
            </w:pPr>
            <w:r>
              <w:rPr>
                <w:b/>
                <w:w w:val="95"/>
                <w:sz w:val="21"/>
              </w:rPr>
              <w:t>10.5</w:t>
            </w:r>
          </w:p>
        </w:tc>
        <w:tc>
          <w:tcPr>
            <w:tcW w:w="2001" w:type="dxa"/>
          </w:tcPr>
          <w:p>
            <w:pPr>
              <w:pStyle w:val="TableParagraph"/>
              <w:spacing w:before="100"/>
              <w:ind w:left="185"/>
              <w:rPr>
                <w:b/>
                <w:sz w:val="21"/>
              </w:rPr>
            </w:pPr>
            <w:r>
              <w:rPr>
                <w:b/>
                <w:sz w:val="21"/>
              </w:rPr>
              <w:t>毒品</w:t>
            </w:r>
          </w:p>
        </w:tc>
        <w:tc>
          <w:tcPr>
            <w:tcW w:w="7734" w:type="dxa"/>
          </w:tcPr>
          <w:p>
            <w:pPr>
              <w:pStyle w:val="TableParagraph"/>
              <w:spacing w:line="273" w:lineRule="auto" w:before="100"/>
              <w:ind w:left="109" w:right="195"/>
              <w:rPr>
                <w:sz w:val="21"/>
              </w:rPr>
            </w:pPr>
            <w:r>
              <w:rPr>
                <w:spacing w:val="-6"/>
                <w:sz w:val="21"/>
              </w:rPr>
              <w:t>指中华人民共和国刑法规定的鸦片、海洛因、甲基苯丙胺</w:t>
            </w:r>
            <w:r>
              <w:rPr>
                <w:sz w:val="21"/>
              </w:rPr>
              <w:t>（</w:t>
            </w:r>
            <w:r>
              <w:rPr>
                <w:spacing w:val="-2"/>
                <w:sz w:val="21"/>
              </w:rPr>
              <w:t>冰毒</w:t>
            </w:r>
            <w:r>
              <w:rPr>
                <w:spacing w:val="-106"/>
                <w:sz w:val="21"/>
              </w:rPr>
              <w:t>）</w:t>
            </w:r>
            <w:r>
              <w:rPr>
                <w:spacing w:val="-5"/>
                <w:sz w:val="21"/>
              </w:rPr>
              <w:t>、吗啡、大麻、可卡因以及国家规定管制的其他能够使人形成瘾癖的麻醉药品和精神药品，但不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163" w:hRule="atLeast"/>
        </w:trPr>
        <w:tc>
          <w:tcPr>
            <w:tcW w:w="807" w:type="dxa"/>
          </w:tcPr>
          <w:p>
            <w:pPr>
              <w:pStyle w:val="TableParagraph"/>
              <w:spacing w:before="99"/>
              <w:ind w:left="0" w:right="182"/>
              <w:jc w:val="right"/>
              <w:rPr>
                <w:b/>
                <w:sz w:val="21"/>
              </w:rPr>
            </w:pPr>
            <w:r>
              <w:rPr>
                <w:b/>
                <w:w w:val="95"/>
                <w:sz w:val="21"/>
              </w:rPr>
              <w:t>10.6</w:t>
            </w:r>
          </w:p>
        </w:tc>
        <w:tc>
          <w:tcPr>
            <w:tcW w:w="2001" w:type="dxa"/>
          </w:tcPr>
          <w:p>
            <w:pPr>
              <w:pStyle w:val="TableParagraph"/>
              <w:spacing w:before="99"/>
              <w:ind w:left="185"/>
              <w:rPr>
                <w:b/>
                <w:sz w:val="21"/>
              </w:rPr>
            </w:pPr>
            <w:r>
              <w:rPr>
                <w:b/>
                <w:sz w:val="21"/>
              </w:rPr>
              <w:t>酒后驾驶</w:t>
            </w:r>
          </w:p>
        </w:tc>
        <w:tc>
          <w:tcPr>
            <w:tcW w:w="7734" w:type="dxa"/>
          </w:tcPr>
          <w:p>
            <w:pPr>
              <w:pStyle w:val="TableParagraph"/>
              <w:spacing w:line="273" w:lineRule="auto" w:before="99"/>
              <w:ind w:left="109" w:right="301"/>
              <w:jc w:val="both"/>
              <w:rPr>
                <w:sz w:val="21"/>
              </w:rPr>
            </w:pPr>
            <w:r>
              <w:rPr>
                <w:spacing w:val="-8"/>
                <w:sz w:val="21"/>
              </w:rPr>
              <w:t>指经检测或鉴定，发生事故时车辆驾驶人员每百毫升血液中的酒精含量达到或超</w:t>
            </w:r>
            <w:r>
              <w:rPr>
                <w:spacing w:val="-9"/>
                <w:sz w:val="21"/>
              </w:rPr>
              <w:t>过一定的标准，公安机关交通管理部门依据《道路交通安全法》的规定认定为饮</w:t>
            </w:r>
            <w:r>
              <w:rPr>
                <w:spacing w:val="-5"/>
                <w:sz w:val="21"/>
              </w:rPr>
              <w:t>酒后驾驶或醉酒后驾驶。</w:t>
            </w:r>
          </w:p>
        </w:tc>
      </w:tr>
      <w:tr>
        <w:trPr>
          <w:trHeight w:val="1935" w:hRule="atLeast"/>
        </w:trPr>
        <w:tc>
          <w:tcPr>
            <w:tcW w:w="807" w:type="dxa"/>
          </w:tcPr>
          <w:p>
            <w:pPr>
              <w:pStyle w:val="TableParagraph"/>
              <w:spacing w:before="101"/>
              <w:ind w:left="0" w:right="182"/>
              <w:jc w:val="right"/>
              <w:rPr>
                <w:b/>
                <w:sz w:val="21"/>
              </w:rPr>
            </w:pPr>
            <w:r>
              <w:rPr>
                <w:b/>
                <w:w w:val="95"/>
                <w:sz w:val="21"/>
              </w:rPr>
              <w:t>10.7</w:t>
            </w:r>
          </w:p>
        </w:tc>
        <w:tc>
          <w:tcPr>
            <w:tcW w:w="2001" w:type="dxa"/>
          </w:tcPr>
          <w:p>
            <w:pPr>
              <w:pStyle w:val="TableParagraph"/>
              <w:spacing w:line="273" w:lineRule="auto" w:before="101"/>
              <w:ind w:left="185" w:right="106"/>
              <w:rPr>
                <w:b/>
                <w:sz w:val="21"/>
              </w:rPr>
            </w:pPr>
            <w:r>
              <w:rPr>
                <w:b/>
                <w:sz w:val="21"/>
              </w:rPr>
              <w:t>无合法有效驾驶证驾驶</w:t>
            </w:r>
          </w:p>
        </w:tc>
        <w:tc>
          <w:tcPr>
            <w:tcW w:w="7734" w:type="dxa"/>
          </w:tcPr>
          <w:p>
            <w:pPr>
              <w:pStyle w:val="TableParagraph"/>
              <w:spacing w:before="101"/>
              <w:ind w:left="109"/>
              <w:rPr>
                <w:sz w:val="21"/>
              </w:rPr>
            </w:pPr>
            <w:r>
              <w:rPr>
                <w:sz w:val="21"/>
              </w:rPr>
              <w:t>指下列情形之一：</w:t>
            </w:r>
          </w:p>
          <w:p>
            <w:pPr>
              <w:pStyle w:val="TableParagraph"/>
              <w:spacing w:before="37"/>
              <w:ind w:left="109"/>
              <w:rPr>
                <w:sz w:val="21"/>
              </w:rPr>
            </w:pPr>
            <w:r>
              <w:rPr>
                <w:sz w:val="21"/>
              </w:rPr>
              <w:t>（1）没有驾驶证驾驶；</w:t>
            </w:r>
          </w:p>
          <w:p>
            <w:pPr>
              <w:pStyle w:val="TableParagraph"/>
              <w:spacing w:before="37"/>
              <w:ind w:left="109"/>
              <w:rPr>
                <w:sz w:val="21"/>
              </w:rPr>
            </w:pPr>
            <w:r>
              <w:rPr>
                <w:sz w:val="21"/>
              </w:rPr>
              <w:t>（2）驾驶与驾驶证准驾车型不相符合的车辆；</w:t>
            </w:r>
          </w:p>
          <w:p>
            <w:pPr>
              <w:pStyle w:val="TableParagraph"/>
              <w:spacing w:before="37"/>
              <w:ind w:left="109"/>
              <w:rPr>
                <w:sz w:val="21"/>
              </w:rPr>
            </w:pPr>
            <w:r>
              <w:rPr>
                <w:sz w:val="21"/>
              </w:rPr>
              <w:t>（3）持审验不合格的驾驶证驾驶；</w:t>
            </w:r>
          </w:p>
          <w:p>
            <w:pPr>
              <w:pStyle w:val="TableParagraph"/>
              <w:spacing w:line="310" w:lineRule="atLeast" w:before="1"/>
              <w:ind w:left="635" w:right="308" w:hanging="527"/>
              <w:rPr>
                <w:sz w:val="21"/>
              </w:rPr>
            </w:pPr>
            <w:r>
              <w:rPr>
                <w:sz w:val="21"/>
              </w:rPr>
              <w:t>（4）持学习驾驶证学习驾车时，无教练员随车指导，或不按指定时间、路线学习驾车。</w:t>
            </w:r>
          </w:p>
        </w:tc>
      </w:tr>
    </w:tbl>
    <w:p>
      <w:pPr>
        <w:spacing w:after="0" w:line="310" w:lineRule="atLeast"/>
        <w:rPr>
          <w:sz w:val="21"/>
        </w:rPr>
        <w:sectPr>
          <w:pgSz w:w="11910" w:h="16840"/>
          <w:pgMar w:header="0" w:footer="353"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1947"/>
        <w:gridCol w:w="7735"/>
      </w:tblGrid>
      <w:tr>
        <w:trPr>
          <w:trHeight w:val="1000" w:hRule="atLeast"/>
        </w:trPr>
        <w:tc>
          <w:tcPr>
            <w:tcW w:w="860" w:type="dxa"/>
          </w:tcPr>
          <w:p>
            <w:pPr>
              <w:pStyle w:val="TableParagraph"/>
              <w:spacing w:line="211" w:lineRule="exact"/>
              <w:ind w:left="200"/>
              <w:rPr>
                <w:b/>
                <w:sz w:val="21"/>
              </w:rPr>
            </w:pPr>
            <w:r>
              <w:rPr>
                <w:b/>
                <w:sz w:val="21"/>
              </w:rPr>
              <w:t>10.8</w:t>
            </w:r>
          </w:p>
        </w:tc>
        <w:tc>
          <w:tcPr>
            <w:tcW w:w="1947" w:type="dxa"/>
          </w:tcPr>
          <w:p>
            <w:pPr>
              <w:pStyle w:val="TableParagraph"/>
              <w:spacing w:line="211" w:lineRule="exact"/>
              <w:ind w:left="132"/>
              <w:rPr>
                <w:b/>
                <w:sz w:val="21"/>
              </w:rPr>
            </w:pPr>
            <w:r>
              <w:rPr>
                <w:b/>
                <w:sz w:val="21"/>
              </w:rPr>
              <w:t>无有效行驶证</w:t>
            </w:r>
          </w:p>
        </w:tc>
        <w:tc>
          <w:tcPr>
            <w:tcW w:w="7735" w:type="dxa"/>
          </w:tcPr>
          <w:p>
            <w:pPr>
              <w:pStyle w:val="TableParagraph"/>
              <w:spacing w:line="211" w:lineRule="exact"/>
              <w:ind w:left="110"/>
              <w:rPr>
                <w:sz w:val="21"/>
              </w:rPr>
            </w:pPr>
            <w:r>
              <w:rPr>
                <w:sz w:val="21"/>
              </w:rPr>
              <w:t>指下列情形之一：</w:t>
            </w:r>
          </w:p>
          <w:p>
            <w:pPr>
              <w:pStyle w:val="TableParagraph"/>
              <w:spacing w:before="37"/>
              <w:ind w:left="110"/>
              <w:rPr>
                <w:sz w:val="21"/>
              </w:rPr>
            </w:pPr>
            <w:r>
              <w:rPr>
                <w:sz w:val="21"/>
              </w:rPr>
              <w:t>（1）机动车被依法注销登记的；</w:t>
            </w:r>
          </w:p>
          <w:p>
            <w:pPr>
              <w:pStyle w:val="TableParagraph"/>
              <w:spacing w:before="37"/>
              <w:ind w:left="110"/>
              <w:rPr>
                <w:sz w:val="21"/>
              </w:rPr>
            </w:pPr>
            <w:r>
              <w:rPr>
                <w:sz w:val="21"/>
              </w:rPr>
              <w:t>（2）未依法按时进行或通过机动车安全技术检验。</w:t>
            </w:r>
          </w:p>
        </w:tc>
      </w:tr>
      <w:tr>
        <w:trPr>
          <w:trHeight w:val="848" w:hRule="atLeast"/>
        </w:trPr>
        <w:tc>
          <w:tcPr>
            <w:tcW w:w="860" w:type="dxa"/>
          </w:tcPr>
          <w:p>
            <w:pPr>
              <w:pStyle w:val="TableParagraph"/>
              <w:spacing w:before="100"/>
              <w:ind w:left="200"/>
              <w:rPr>
                <w:b/>
                <w:sz w:val="21"/>
              </w:rPr>
            </w:pPr>
            <w:r>
              <w:rPr>
                <w:b/>
                <w:sz w:val="21"/>
              </w:rPr>
              <w:t>10.9</w:t>
            </w:r>
          </w:p>
        </w:tc>
        <w:tc>
          <w:tcPr>
            <w:tcW w:w="1947" w:type="dxa"/>
          </w:tcPr>
          <w:p>
            <w:pPr>
              <w:pStyle w:val="TableParagraph"/>
              <w:spacing w:before="100"/>
              <w:ind w:left="132"/>
              <w:rPr>
                <w:b/>
                <w:sz w:val="21"/>
              </w:rPr>
            </w:pPr>
            <w:r>
              <w:rPr>
                <w:b/>
                <w:sz w:val="21"/>
              </w:rPr>
              <w:t>机动车</w:t>
            </w:r>
          </w:p>
        </w:tc>
        <w:tc>
          <w:tcPr>
            <w:tcW w:w="7735" w:type="dxa"/>
          </w:tcPr>
          <w:p>
            <w:pPr>
              <w:pStyle w:val="TableParagraph"/>
              <w:spacing w:line="273" w:lineRule="auto" w:before="100"/>
              <w:ind w:left="110" w:right="300"/>
              <w:rPr>
                <w:sz w:val="21"/>
              </w:rPr>
            </w:pPr>
            <w:r>
              <w:rPr>
                <w:spacing w:val="-6"/>
                <w:sz w:val="21"/>
              </w:rPr>
              <w:t>指以动力装置驱动或牵引，上道路行驶的供人员乘用或用于运送物品以及进行工</w:t>
            </w:r>
            <w:r>
              <w:rPr>
                <w:spacing w:val="-4"/>
                <w:sz w:val="21"/>
              </w:rPr>
              <w:t>程专项作业的轮式车辆。</w:t>
            </w:r>
          </w:p>
        </w:tc>
      </w:tr>
      <w:tr>
        <w:trPr>
          <w:trHeight w:val="1478" w:hRule="atLeast"/>
        </w:trPr>
        <w:tc>
          <w:tcPr>
            <w:tcW w:w="860" w:type="dxa"/>
          </w:tcPr>
          <w:p>
            <w:pPr>
              <w:pStyle w:val="TableParagraph"/>
              <w:spacing w:before="104"/>
              <w:ind w:left="200"/>
              <w:rPr>
                <w:b/>
                <w:sz w:val="21"/>
              </w:rPr>
            </w:pPr>
            <w:r>
              <w:rPr>
                <w:b/>
                <w:sz w:val="21"/>
              </w:rPr>
              <w:t>10.10</w:t>
            </w:r>
          </w:p>
        </w:tc>
        <w:tc>
          <w:tcPr>
            <w:tcW w:w="1947" w:type="dxa"/>
          </w:tcPr>
          <w:p>
            <w:pPr>
              <w:pStyle w:val="TableParagraph"/>
              <w:spacing w:line="273" w:lineRule="auto" w:before="104"/>
              <w:ind w:left="132" w:right="105"/>
              <w:rPr>
                <w:b/>
                <w:sz w:val="21"/>
              </w:rPr>
            </w:pPr>
            <w:r>
              <w:rPr>
                <w:b/>
                <w:sz w:val="21"/>
              </w:rPr>
              <w:t>感染艾滋病病毒或患艾滋病</w:t>
            </w:r>
          </w:p>
        </w:tc>
        <w:tc>
          <w:tcPr>
            <w:tcW w:w="7735" w:type="dxa"/>
          </w:tcPr>
          <w:p>
            <w:pPr>
              <w:pStyle w:val="TableParagraph"/>
              <w:spacing w:line="261" w:lineRule="auto" w:before="104"/>
              <w:ind w:left="110" w:right="301"/>
              <w:jc w:val="both"/>
              <w:rPr>
                <w:sz w:val="21"/>
              </w:rPr>
            </w:pPr>
            <w:r>
              <w:rPr>
                <w:spacing w:val="-6"/>
                <w:sz w:val="21"/>
              </w:rPr>
              <w:t>艾滋病病毒指人类免疫缺陷病毒，英文缩写为 </w:t>
            </w:r>
            <w:r>
              <w:rPr>
                <w:rFonts w:ascii="Times New Roman" w:eastAsia="Times New Roman"/>
                <w:sz w:val="21"/>
              </w:rPr>
              <w:t>HIV</w:t>
            </w:r>
            <w:r>
              <w:rPr>
                <w:spacing w:val="-6"/>
                <w:sz w:val="21"/>
              </w:rPr>
              <w:t>。艾滋病指人类免疫缺陷病毒</w:t>
            </w:r>
            <w:r>
              <w:rPr>
                <w:spacing w:val="-3"/>
                <w:sz w:val="21"/>
              </w:rPr>
              <w:t>引起的获得性免疫缺陷综合征，英文缩写为 </w:t>
            </w:r>
            <w:r>
              <w:rPr>
                <w:rFonts w:ascii="Times New Roman" w:eastAsia="Times New Roman"/>
                <w:sz w:val="21"/>
              </w:rPr>
              <w:t>AIDS</w:t>
            </w:r>
            <w:r>
              <w:rPr>
                <w:spacing w:val="-3"/>
                <w:sz w:val="21"/>
              </w:rPr>
              <w:t>。在人体血液或其他样本中检</w:t>
            </w:r>
            <w:r>
              <w:rPr>
                <w:spacing w:val="-6"/>
                <w:sz w:val="21"/>
              </w:rPr>
              <w:t>测到艾滋病病毒或其抗体呈阳性，没有出现临床症状或体征的，为感染艾滋病病</w:t>
            </w:r>
            <w:r>
              <w:rPr>
                <w:spacing w:val="-4"/>
                <w:sz w:val="21"/>
              </w:rPr>
              <w:t>毒；如果同时出现了明显临床症状或体征的，为患艾滋病。</w:t>
            </w:r>
          </w:p>
        </w:tc>
      </w:tr>
      <w:tr>
        <w:trPr>
          <w:trHeight w:val="851" w:hRule="atLeast"/>
        </w:trPr>
        <w:tc>
          <w:tcPr>
            <w:tcW w:w="860" w:type="dxa"/>
          </w:tcPr>
          <w:p>
            <w:pPr>
              <w:pStyle w:val="TableParagraph"/>
              <w:spacing w:before="99"/>
              <w:ind w:left="200"/>
              <w:rPr>
                <w:b/>
                <w:sz w:val="21"/>
              </w:rPr>
            </w:pPr>
            <w:r>
              <w:rPr>
                <w:b/>
                <w:sz w:val="21"/>
              </w:rPr>
              <w:t>10.11</w:t>
            </w:r>
          </w:p>
        </w:tc>
        <w:tc>
          <w:tcPr>
            <w:tcW w:w="1947" w:type="dxa"/>
          </w:tcPr>
          <w:p>
            <w:pPr>
              <w:pStyle w:val="TableParagraph"/>
              <w:spacing w:before="99"/>
              <w:ind w:left="132"/>
              <w:rPr>
                <w:b/>
                <w:sz w:val="21"/>
              </w:rPr>
            </w:pPr>
            <w:r>
              <w:rPr>
                <w:b/>
                <w:sz w:val="21"/>
              </w:rPr>
              <w:t>遗传性疾病</w:t>
            </w:r>
          </w:p>
        </w:tc>
        <w:tc>
          <w:tcPr>
            <w:tcW w:w="7735" w:type="dxa"/>
          </w:tcPr>
          <w:p>
            <w:pPr>
              <w:pStyle w:val="TableParagraph"/>
              <w:spacing w:line="273" w:lineRule="auto" w:before="99"/>
              <w:ind w:left="110" w:right="196"/>
              <w:rPr>
                <w:sz w:val="21"/>
              </w:rPr>
            </w:pPr>
            <w:r>
              <w:rPr>
                <w:spacing w:val="-8"/>
                <w:sz w:val="21"/>
              </w:rPr>
              <w:t>指生殖细胞或受精卵的遗传物质</w:t>
            </w:r>
            <w:r>
              <w:rPr>
                <w:sz w:val="21"/>
              </w:rPr>
              <w:t>（</w:t>
            </w:r>
            <w:r>
              <w:rPr>
                <w:spacing w:val="-3"/>
                <w:sz w:val="21"/>
              </w:rPr>
              <w:t>染色体和基因</w:t>
            </w:r>
            <w:r>
              <w:rPr>
                <w:spacing w:val="-73"/>
                <w:sz w:val="21"/>
              </w:rPr>
              <w:t>）</w:t>
            </w:r>
            <w:r>
              <w:rPr>
                <w:spacing w:val="-3"/>
                <w:sz w:val="21"/>
              </w:rPr>
              <w:t>发生突变或畸变所引起的疾病， 通常具有由亲代传至后代的垂直传递的特征。</w:t>
            </w:r>
          </w:p>
        </w:tc>
      </w:tr>
      <w:tr>
        <w:trPr>
          <w:trHeight w:val="1163" w:hRule="atLeast"/>
        </w:trPr>
        <w:tc>
          <w:tcPr>
            <w:tcW w:w="860" w:type="dxa"/>
          </w:tcPr>
          <w:p>
            <w:pPr>
              <w:pStyle w:val="TableParagraph"/>
              <w:spacing w:before="101"/>
              <w:ind w:left="200"/>
              <w:rPr>
                <w:b/>
                <w:sz w:val="21"/>
              </w:rPr>
            </w:pPr>
            <w:r>
              <w:rPr>
                <w:b/>
                <w:sz w:val="21"/>
              </w:rPr>
              <w:t>10.12</w:t>
            </w:r>
          </w:p>
        </w:tc>
        <w:tc>
          <w:tcPr>
            <w:tcW w:w="1947" w:type="dxa"/>
          </w:tcPr>
          <w:p>
            <w:pPr>
              <w:pStyle w:val="TableParagraph"/>
              <w:spacing w:line="273" w:lineRule="auto" w:before="101"/>
              <w:ind w:left="132" w:right="105"/>
              <w:rPr>
                <w:b/>
                <w:sz w:val="21"/>
              </w:rPr>
            </w:pPr>
            <w:r>
              <w:rPr>
                <w:b/>
                <w:sz w:val="21"/>
              </w:rPr>
              <w:t>先天性畸形、变形或染色体异常</w:t>
            </w:r>
          </w:p>
        </w:tc>
        <w:tc>
          <w:tcPr>
            <w:tcW w:w="7735" w:type="dxa"/>
          </w:tcPr>
          <w:p>
            <w:pPr>
              <w:pStyle w:val="TableParagraph"/>
              <w:spacing w:line="264" w:lineRule="auto" w:before="101"/>
              <w:ind w:left="110" w:right="301"/>
              <w:jc w:val="both"/>
              <w:rPr>
                <w:sz w:val="21"/>
              </w:rPr>
            </w:pPr>
            <w:r>
              <w:rPr>
                <w:spacing w:val="-6"/>
                <w:sz w:val="21"/>
              </w:rPr>
              <w:t>指被保险人出生时就具有的畸形、变形或染色体异常。先天性畸形、变形和染色体异常依照世界卫生组织《疾病和有关健康问题的国际统计分类》</w:t>
            </w:r>
            <w:r>
              <w:rPr>
                <w:spacing w:val="-3"/>
                <w:sz w:val="21"/>
              </w:rPr>
              <w:t>（</w:t>
            </w:r>
            <w:r>
              <w:rPr>
                <w:rFonts w:ascii="Times New Roman" w:eastAsia="Times New Roman"/>
                <w:spacing w:val="-3"/>
                <w:sz w:val="21"/>
              </w:rPr>
              <w:t>ICD-10</w:t>
            </w:r>
            <w:r>
              <w:rPr>
                <w:spacing w:val="-3"/>
                <w:sz w:val="21"/>
              </w:rPr>
              <w:t>）</w:t>
            </w:r>
            <w:r>
              <w:rPr>
                <w:spacing w:val="-12"/>
                <w:sz w:val="21"/>
              </w:rPr>
              <w:t>确</w:t>
            </w:r>
            <w:r>
              <w:rPr>
                <w:sz w:val="21"/>
              </w:rPr>
              <w:t>定。</w:t>
            </w:r>
          </w:p>
        </w:tc>
      </w:tr>
      <w:tr>
        <w:trPr>
          <w:trHeight w:val="1162" w:hRule="atLeast"/>
        </w:trPr>
        <w:tc>
          <w:tcPr>
            <w:tcW w:w="860" w:type="dxa"/>
          </w:tcPr>
          <w:p>
            <w:pPr>
              <w:pStyle w:val="TableParagraph"/>
              <w:spacing w:before="99"/>
              <w:ind w:left="200"/>
              <w:rPr>
                <w:b/>
                <w:sz w:val="21"/>
              </w:rPr>
            </w:pPr>
            <w:r>
              <w:rPr>
                <w:b/>
                <w:sz w:val="21"/>
              </w:rPr>
              <w:t>10.13</w:t>
            </w:r>
          </w:p>
        </w:tc>
        <w:tc>
          <w:tcPr>
            <w:tcW w:w="1947" w:type="dxa"/>
          </w:tcPr>
          <w:p>
            <w:pPr>
              <w:pStyle w:val="TableParagraph"/>
              <w:spacing w:before="99"/>
              <w:ind w:left="132"/>
              <w:rPr>
                <w:b/>
                <w:sz w:val="21"/>
              </w:rPr>
            </w:pPr>
            <w:r>
              <w:rPr>
                <w:b/>
                <w:sz w:val="21"/>
              </w:rPr>
              <w:t>现金价值</w:t>
            </w:r>
          </w:p>
        </w:tc>
        <w:tc>
          <w:tcPr>
            <w:tcW w:w="7735" w:type="dxa"/>
          </w:tcPr>
          <w:p>
            <w:pPr>
              <w:pStyle w:val="TableParagraph"/>
              <w:spacing w:line="273" w:lineRule="auto" w:before="99"/>
              <w:ind w:left="110" w:right="301"/>
              <w:jc w:val="both"/>
              <w:rPr>
                <w:sz w:val="21"/>
              </w:rPr>
            </w:pPr>
            <w:r>
              <w:rPr>
                <w:spacing w:val="-6"/>
                <w:sz w:val="21"/>
              </w:rPr>
              <w:t>指保险合同所具有的价值，通常体现为解除合同时，根据精算原理计算的，由我</w:t>
            </w:r>
            <w:r>
              <w:rPr>
                <w:spacing w:val="-7"/>
                <w:sz w:val="21"/>
              </w:rPr>
              <w:t>们退还的那部分金额。本合同和被保险人对应的现金价值，投保人可以向我们查询。</w:t>
            </w:r>
          </w:p>
        </w:tc>
      </w:tr>
      <w:tr>
        <w:trPr>
          <w:trHeight w:val="852" w:hRule="atLeast"/>
        </w:trPr>
        <w:tc>
          <w:tcPr>
            <w:tcW w:w="860" w:type="dxa"/>
          </w:tcPr>
          <w:p>
            <w:pPr>
              <w:pStyle w:val="TableParagraph"/>
              <w:spacing w:before="100"/>
              <w:ind w:left="200"/>
              <w:rPr>
                <w:b/>
                <w:sz w:val="21"/>
              </w:rPr>
            </w:pPr>
            <w:r>
              <w:rPr>
                <w:b/>
                <w:sz w:val="21"/>
              </w:rPr>
              <w:t>10.14</w:t>
            </w:r>
          </w:p>
        </w:tc>
        <w:tc>
          <w:tcPr>
            <w:tcW w:w="1947" w:type="dxa"/>
          </w:tcPr>
          <w:p>
            <w:pPr>
              <w:pStyle w:val="TableParagraph"/>
              <w:spacing w:before="100"/>
              <w:ind w:left="132"/>
              <w:rPr>
                <w:b/>
                <w:sz w:val="21"/>
              </w:rPr>
            </w:pPr>
            <w:r>
              <w:rPr>
                <w:b/>
                <w:sz w:val="21"/>
              </w:rPr>
              <w:t>有效身份证件</w:t>
            </w:r>
          </w:p>
        </w:tc>
        <w:tc>
          <w:tcPr>
            <w:tcW w:w="7735" w:type="dxa"/>
          </w:tcPr>
          <w:p>
            <w:pPr>
              <w:pStyle w:val="TableParagraph"/>
              <w:spacing w:line="273" w:lineRule="auto" w:before="100"/>
              <w:ind w:left="110" w:right="301"/>
              <w:rPr>
                <w:sz w:val="21"/>
              </w:rPr>
            </w:pPr>
            <w:r>
              <w:rPr>
                <w:spacing w:val="-6"/>
                <w:sz w:val="21"/>
              </w:rPr>
              <w:t>指由政府主管部门规定的证明其身份的证件，如：居民身份证、按规定可使用的</w:t>
            </w:r>
            <w:r>
              <w:rPr>
                <w:spacing w:val="-4"/>
                <w:sz w:val="21"/>
              </w:rPr>
              <w:t>有效护照、军官证、警官证、士兵证、户口簿等证件。</w:t>
            </w:r>
          </w:p>
        </w:tc>
      </w:tr>
      <w:tr>
        <w:trPr>
          <w:trHeight w:val="1163" w:hRule="atLeast"/>
        </w:trPr>
        <w:tc>
          <w:tcPr>
            <w:tcW w:w="860" w:type="dxa"/>
          </w:tcPr>
          <w:p>
            <w:pPr>
              <w:pStyle w:val="TableParagraph"/>
              <w:spacing w:before="100"/>
              <w:ind w:left="200"/>
              <w:rPr>
                <w:b/>
                <w:sz w:val="21"/>
              </w:rPr>
            </w:pPr>
            <w:r>
              <w:rPr>
                <w:b/>
                <w:sz w:val="21"/>
              </w:rPr>
              <w:t>10.15</w:t>
            </w:r>
          </w:p>
        </w:tc>
        <w:tc>
          <w:tcPr>
            <w:tcW w:w="1947" w:type="dxa"/>
          </w:tcPr>
          <w:p>
            <w:pPr>
              <w:pStyle w:val="TableParagraph"/>
              <w:spacing w:before="100"/>
              <w:ind w:left="132"/>
              <w:rPr>
                <w:b/>
                <w:sz w:val="21"/>
              </w:rPr>
            </w:pPr>
            <w:r>
              <w:rPr>
                <w:b/>
                <w:sz w:val="21"/>
              </w:rPr>
              <w:t>医疗机构</w:t>
            </w:r>
          </w:p>
        </w:tc>
        <w:tc>
          <w:tcPr>
            <w:tcW w:w="7735" w:type="dxa"/>
          </w:tcPr>
          <w:p>
            <w:pPr>
              <w:pStyle w:val="TableParagraph"/>
              <w:spacing w:line="273" w:lineRule="auto" w:before="100"/>
              <w:ind w:left="110" w:right="267"/>
              <w:jc w:val="both"/>
              <w:rPr>
                <w:sz w:val="21"/>
              </w:rPr>
            </w:pPr>
            <w:r>
              <w:rPr>
                <w:sz w:val="21"/>
              </w:rPr>
              <w:t>指经中华人民共和国卫生部门正式评定的二级或以上之公立医院，但不包括上述医院的分院、联合病房或联合病床，精神病院，专供康复、休养、戒毒、戒酒、护理、养老等非以直接诊治病人为目的的医疗机构。</w:t>
            </w:r>
          </w:p>
        </w:tc>
      </w:tr>
      <w:tr>
        <w:trPr>
          <w:trHeight w:val="850" w:hRule="atLeast"/>
        </w:trPr>
        <w:tc>
          <w:tcPr>
            <w:tcW w:w="860" w:type="dxa"/>
          </w:tcPr>
          <w:p>
            <w:pPr>
              <w:pStyle w:val="TableParagraph"/>
              <w:spacing w:before="99"/>
              <w:ind w:left="200"/>
              <w:rPr>
                <w:b/>
                <w:sz w:val="21"/>
              </w:rPr>
            </w:pPr>
            <w:r>
              <w:rPr>
                <w:b/>
                <w:sz w:val="21"/>
              </w:rPr>
              <w:t>10.16</w:t>
            </w:r>
          </w:p>
        </w:tc>
        <w:tc>
          <w:tcPr>
            <w:tcW w:w="1947" w:type="dxa"/>
          </w:tcPr>
          <w:p>
            <w:pPr>
              <w:pStyle w:val="TableParagraph"/>
              <w:spacing w:before="99"/>
              <w:ind w:left="132"/>
              <w:rPr>
                <w:b/>
                <w:sz w:val="21"/>
              </w:rPr>
            </w:pPr>
            <w:r>
              <w:rPr>
                <w:b/>
                <w:sz w:val="21"/>
              </w:rPr>
              <w:t>保险费约定支付日</w:t>
            </w:r>
          </w:p>
        </w:tc>
        <w:tc>
          <w:tcPr>
            <w:tcW w:w="7735" w:type="dxa"/>
          </w:tcPr>
          <w:p>
            <w:pPr>
              <w:pStyle w:val="TableParagraph"/>
              <w:spacing w:line="273" w:lineRule="auto" w:before="99"/>
              <w:ind w:left="110" w:right="303"/>
              <w:rPr>
                <w:sz w:val="21"/>
              </w:rPr>
            </w:pPr>
            <w:r>
              <w:rPr>
                <w:spacing w:val="-6"/>
                <w:sz w:val="21"/>
              </w:rPr>
              <w:t>指本合同生效日在每年的对应日。若当月无对应的同一日，则以该月最后一日为</w:t>
            </w:r>
            <w:r>
              <w:rPr>
                <w:spacing w:val="-4"/>
                <w:sz w:val="21"/>
              </w:rPr>
              <w:t>对应日。</w:t>
            </w:r>
          </w:p>
        </w:tc>
      </w:tr>
      <w:tr>
        <w:trPr>
          <w:trHeight w:val="850" w:hRule="atLeast"/>
        </w:trPr>
        <w:tc>
          <w:tcPr>
            <w:tcW w:w="860" w:type="dxa"/>
          </w:tcPr>
          <w:p>
            <w:pPr>
              <w:pStyle w:val="TableParagraph"/>
              <w:spacing w:before="100"/>
              <w:ind w:left="200"/>
              <w:rPr>
                <w:b/>
                <w:sz w:val="21"/>
              </w:rPr>
            </w:pPr>
            <w:r>
              <w:rPr>
                <w:b/>
                <w:sz w:val="21"/>
              </w:rPr>
              <w:t>10.17</w:t>
            </w:r>
          </w:p>
        </w:tc>
        <w:tc>
          <w:tcPr>
            <w:tcW w:w="1947" w:type="dxa"/>
          </w:tcPr>
          <w:p>
            <w:pPr>
              <w:pStyle w:val="TableParagraph"/>
              <w:spacing w:before="100"/>
              <w:ind w:left="132"/>
              <w:rPr>
                <w:b/>
                <w:sz w:val="21"/>
              </w:rPr>
            </w:pPr>
            <w:r>
              <w:rPr>
                <w:b/>
                <w:sz w:val="21"/>
              </w:rPr>
              <w:t>利息</w:t>
            </w:r>
          </w:p>
        </w:tc>
        <w:tc>
          <w:tcPr>
            <w:tcW w:w="7735" w:type="dxa"/>
          </w:tcPr>
          <w:p>
            <w:pPr>
              <w:pStyle w:val="TableParagraph"/>
              <w:spacing w:line="273" w:lineRule="auto" w:before="100"/>
              <w:ind w:left="110" w:right="267"/>
              <w:rPr>
                <w:sz w:val="21"/>
              </w:rPr>
            </w:pPr>
            <w:r>
              <w:rPr>
                <w:spacing w:val="-9"/>
                <w:sz w:val="21"/>
              </w:rPr>
              <w:t>我们在每年的 </w:t>
            </w:r>
            <w:r>
              <w:rPr>
                <w:sz w:val="21"/>
              </w:rPr>
              <w:t>1</w:t>
            </w:r>
            <w:r>
              <w:rPr>
                <w:spacing w:val="-34"/>
                <w:sz w:val="21"/>
              </w:rPr>
              <w:t> 月 </w:t>
            </w:r>
            <w:r>
              <w:rPr>
                <w:sz w:val="21"/>
              </w:rPr>
              <w:t>1</w:t>
            </w:r>
            <w:r>
              <w:rPr>
                <w:spacing w:val="-27"/>
                <w:sz w:val="21"/>
              </w:rPr>
              <w:t> 日和 </w:t>
            </w:r>
            <w:r>
              <w:rPr>
                <w:sz w:val="21"/>
              </w:rPr>
              <w:t>7</w:t>
            </w:r>
            <w:r>
              <w:rPr>
                <w:spacing w:val="-33"/>
                <w:sz w:val="21"/>
              </w:rPr>
              <w:t> 月 </w:t>
            </w:r>
            <w:r>
              <w:rPr>
                <w:sz w:val="21"/>
              </w:rPr>
              <w:t>1</w:t>
            </w:r>
            <w:r>
              <w:rPr>
                <w:spacing w:val="-9"/>
                <w:sz w:val="21"/>
              </w:rPr>
              <w:t> 日根据监管规定和市场情况宣布两次借款利率， </w:t>
            </w:r>
            <w:r>
              <w:rPr>
                <w:spacing w:val="-5"/>
                <w:sz w:val="21"/>
              </w:rPr>
              <w:t>借款利率适用于本合同补交保险费的利息计算。</w:t>
            </w:r>
          </w:p>
        </w:tc>
      </w:tr>
      <w:tr>
        <w:trPr>
          <w:trHeight w:val="2099" w:hRule="atLeast"/>
        </w:trPr>
        <w:tc>
          <w:tcPr>
            <w:tcW w:w="860" w:type="dxa"/>
          </w:tcPr>
          <w:p>
            <w:pPr>
              <w:pStyle w:val="TableParagraph"/>
              <w:spacing w:before="99"/>
              <w:ind w:left="200"/>
              <w:rPr>
                <w:b/>
                <w:sz w:val="21"/>
              </w:rPr>
            </w:pPr>
            <w:r>
              <w:rPr>
                <w:b/>
                <w:sz w:val="21"/>
              </w:rPr>
              <w:t>10.18</w:t>
            </w:r>
          </w:p>
        </w:tc>
        <w:tc>
          <w:tcPr>
            <w:tcW w:w="1947" w:type="dxa"/>
          </w:tcPr>
          <w:p>
            <w:pPr>
              <w:pStyle w:val="TableParagraph"/>
              <w:spacing w:before="99"/>
              <w:ind w:left="132"/>
              <w:rPr>
                <w:b/>
                <w:sz w:val="21"/>
              </w:rPr>
            </w:pPr>
            <w:r>
              <w:rPr>
                <w:b/>
                <w:sz w:val="21"/>
              </w:rPr>
              <w:t>专科医生</w:t>
            </w:r>
          </w:p>
        </w:tc>
        <w:tc>
          <w:tcPr>
            <w:tcW w:w="7735" w:type="dxa"/>
          </w:tcPr>
          <w:p>
            <w:pPr>
              <w:pStyle w:val="TableParagraph"/>
              <w:spacing w:before="99"/>
              <w:ind w:left="110"/>
              <w:rPr>
                <w:sz w:val="21"/>
              </w:rPr>
            </w:pPr>
            <w:r>
              <w:rPr>
                <w:sz w:val="21"/>
              </w:rPr>
              <w:t>专科医生应当同时满足以下四项资格条件：</w:t>
            </w:r>
          </w:p>
          <w:p>
            <w:pPr>
              <w:pStyle w:val="TableParagraph"/>
              <w:spacing w:before="36"/>
              <w:ind w:left="110"/>
              <w:rPr>
                <w:sz w:val="21"/>
              </w:rPr>
            </w:pPr>
            <w:r>
              <w:rPr>
                <w:sz w:val="21"/>
              </w:rPr>
              <w:t>（1）具有有效的中华人民共和国《医师资格证书》；</w:t>
            </w:r>
          </w:p>
          <w:p>
            <w:pPr>
              <w:pStyle w:val="TableParagraph"/>
              <w:spacing w:before="36"/>
              <w:ind w:left="110"/>
              <w:rPr>
                <w:sz w:val="21"/>
              </w:rPr>
            </w:pPr>
            <w:r>
              <w:rPr>
                <w:spacing w:val="-17"/>
                <w:sz w:val="21"/>
              </w:rPr>
              <w:t>（2）</w:t>
            </w:r>
            <w:r>
              <w:rPr>
                <w:spacing w:val="-15"/>
                <w:sz w:val="21"/>
              </w:rPr>
              <w:t>具有有效的中华人民共和国《医师执业证书》，并按期到相关部门登记注册；</w:t>
            </w:r>
          </w:p>
          <w:p>
            <w:pPr>
              <w:pStyle w:val="TableParagraph"/>
              <w:spacing w:line="273" w:lineRule="auto" w:before="36"/>
              <w:ind w:left="636" w:right="304" w:hanging="527"/>
              <w:rPr>
                <w:sz w:val="21"/>
              </w:rPr>
            </w:pPr>
            <w:r>
              <w:rPr>
                <w:sz w:val="21"/>
              </w:rPr>
              <w:t>（3）具有有效的中华人民共和国主治医师或主治医师以上职称的《医师职称证书》；</w:t>
            </w:r>
          </w:p>
          <w:p>
            <w:pPr>
              <w:pStyle w:val="TableParagraph"/>
              <w:spacing w:before="7"/>
              <w:ind w:left="110"/>
              <w:rPr>
                <w:sz w:val="21"/>
              </w:rPr>
            </w:pPr>
            <w:r>
              <w:rPr>
                <w:sz w:val="21"/>
              </w:rPr>
              <w:t>（4）在二级或二级以上医院的相应科室从事临床工作三年以上。</w:t>
            </w:r>
          </w:p>
        </w:tc>
      </w:tr>
      <w:tr>
        <w:trPr>
          <w:trHeight w:val="687" w:hRule="atLeast"/>
        </w:trPr>
        <w:tc>
          <w:tcPr>
            <w:tcW w:w="860" w:type="dxa"/>
          </w:tcPr>
          <w:p>
            <w:pPr>
              <w:pStyle w:val="TableParagraph"/>
              <w:spacing w:before="100"/>
              <w:ind w:left="200"/>
              <w:rPr>
                <w:b/>
                <w:sz w:val="21"/>
              </w:rPr>
            </w:pPr>
            <w:r>
              <w:rPr>
                <w:b/>
                <w:sz w:val="21"/>
              </w:rPr>
              <w:t>10.19</w:t>
            </w:r>
          </w:p>
        </w:tc>
        <w:tc>
          <w:tcPr>
            <w:tcW w:w="1947" w:type="dxa"/>
          </w:tcPr>
          <w:p>
            <w:pPr>
              <w:pStyle w:val="TableParagraph"/>
              <w:spacing w:before="100"/>
              <w:ind w:left="132"/>
              <w:rPr>
                <w:b/>
                <w:sz w:val="21"/>
              </w:rPr>
            </w:pPr>
            <w:r>
              <w:rPr>
                <w:b/>
                <w:sz w:val="21"/>
              </w:rPr>
              <w:t>永久不可逆</w:t>
            </w:r>
          </w:p>
        </w:tc>
        <w:tc>
          <w:tcPr>
            <w:tcW w:w="7735" w:type="dxa"/>
          </w:tcPr>
          <w:p>
            <w:pPr>
              <w:pStyle w:val="TableParagraph"/>
              <w:spacing w:line="310" w:lineRule="atLeast" w:before="65"/>
              <w:ind w:left="110" w:right="303"/>
              <w:rPr>
                <w:sz w:val="21"/>
              </w:rPr>
            </w:pPr>
            <w:r>
              <w:rPr>
                <w:spacing w:val="-7"/>
                <w:sz w:val="21"/>
              </w:rPr>
              <w:t>指自疾病确诊或意外发生之日起，经过积极治疗 </w:t>
            </w:r>
            <w:r>
              <w:rPr>
                <w:sz w:val="21"/>
              </w:rPr>
              <w:t>180</w:t>
            </w:r>
            <w:r>
              <w:rPr>
                <w:spacing w:val="-9"/>
                <w:sz w:val="21"/>
              </w:rPr>
              <w:t> 天后，仍无法通过现有医疗</w:t>
            </w:r>
            <w:r>
              <w:rPr>
                <w:spacing w:val="-5"/>
                <w:sz w:val="21"/>
              </w:rPr>
              <w:t>手段恢复。</w:t>
            </w:r>
          </w:p>
        </w:tc>
      </w:tr>
    </w:tbl>
    <w:sectPr>
      <w:pgSz w:w="11910" w:h="16840"/>
      <w:pgMar w:header="0" w:footer="353" w:top="1160" w:bottom="540" w:left="62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Microsoft JhengHei">
    <w:altName w:val="Microsoft JhengHei"/>
    <w:charset w:val="0"/>
    <w:family w:val="swiss"/>
    <w:pitch w:val="variable"/>
  </w:font>
  <w:font w:name="黑体">
    <w:altName w:val="黑体"/>
    <w:charset w:val="86"/>
    <w:family w:val="modern"/>
    <w:pitch w:val="fixed"/>
  </w:font>
  <w:font w:name="等线">
    <w:altName w:val="等线"/>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firstLine="0"/>
      <w:rPr>
        <w:sz w:val="20"/>
      </w:rPr>
    </w:pPr>
    <w:r>
      <w:rPr/>
      <w:pict>
        <v:shapetype id="_x0000_t202" o:spt="202" coordsize="21600,21600" path="m,l,21600r21600,l21600,xe">
          <v:stroke joinstyle="miter"/>
          <v:path gradientshapeok="t" o:connecttype="rect"/>
        </v:shapetype>
        <v:shape style="position:absolute;margin-left:262.809998pt;margin-top:809.281616pt;width:69.7pt;height:11pt;mso-position-horizontal-relative:page;mso-position-vertical-relative:page;z-index:-38824" type="#_x0000_t202" filled="false" stroked="false">
          <v:textbox inset="0,0,0,0">
            <w:txbxContent>
              <w:p>
                <w:pPr>
                  <w:spacing w:line="200" w:lineRule="exact" w:before="0"/>
                  <w:ind w:left="20" w:right="0" w:firstLine="0"/>
                  <w:jc w:val="left"/>
                  <w:rPr>
                    <w:sz w:val="18"/>
                  </w:rPr>
                </w:pPr>
                <w:r>
                  <w:rPr>
                    <w:spacing w:val="-23"/>
                    <w:sz w:val="18"/>
                  </w:rPr>
                  <w:t>第 </w:t>
                </w:r>
                <w:r>
                  <w:rPr/>
                  <w:fldChar w:fldCharType="begin"/>
                </w:r>
                <w:r>
                  <w:rPr>
                    <w:sz w:val="18"/>
                  </w:rPr>
                  <w:instrText> PAGE </w:instrText>
                </w:r>
                <w:r>
                  <w:rPr/>
                  <w:fldChar w:fldCharType="separate"/>
                </w:r>
                <w:r>
                  <w:rPr/>
                  <w:t>10</w:t>
                </w:r>
                <w:r>
                  <w:rPr/>
                  <w:fldChar w:fldCharType="end"/>
                </w:r>
                <w:r>
                  <w:rPr>
                    <w:spacing w:val="-19"/>
                    <w:sz w:val="18"/>
                  </w:rPr>
                  <w:t> 页,共 </w:t>
                </w:r>
                <w:r>
                  <w:rPr>
                    <w:sz w:val="18"/>
                  </w:rPr>
                  <w:t>18</w:t>
                </w:r>
                <w:r>
                  <w:rPr>
                    <w:spacing w:val="-22"/>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532" w:hanging="423"/>
        <w:jc w:val="left"/>
      </w:pPr>
      <w:rPr>
        <w:rFonts w:hint="default" w:ascii="宋体" w:hAnsi="宋体" w:eastAsia="宋体" w:cs="宋体"/>
        <w:w w:val="100"/>
        <w:sz w:val="21"/>
        <w:szCs w:val="21"/>
      </w:rPr>
    </w:lvl>
    <w:lvl w:ilvl="1">
      <w:start w:val="0"/>
      <w:numFmt w:val="bullet"/>
      <w:lvlText w:val="•"/>
      <w:lvlJc w:val="left"/>
      <w:pPr>
        <w:ind w:left="1259" w:hanging="423"/>
      </w:pPr>
      <w:rPr>
        <w:rFonts w:hint="default"/>
      </w:rPr>
    </w:lvl>
    <w:lvl w:ilvl="2">
      <w:start w:val="0"/>
      <w:numFmt w:val="bullet"/>
      <w:lvlText w:val="•"/>
      <w:lvlJc w:val="left"/>
      <w:pPr>
        <w:ind w:left="1978" w:hanging="423"/>
      </w:pPr>
      <w:rPr>
        <w:rFonts w:hint="default"/>
      </w:rPr>
    </w:lvl>
    <w:lvl w:ilvl="3">
      <w:start w:val="0"/>
      <w:numFmt w:val="bullet"/>
      <w:lvlText w:val="•"/>
      <w:lvlJc w:val="left"/>
      <w:pPr>
        <w:ind w:left="2698" w:hanging="423"/>
      </w:pPr>
      <w:rPr>
        <w:rFonts w:hint="default"/>
      </w:rPr>
    </w:lvl>
    <w:lvl w:ilvl="4">
      <w:start w:val="0"/>
      <w:numFmt w:val="bullet"/>
      <w:lvlText w:val="•"/>
      <w:lvlJc w:val="left"/>
      <w:pPr>
        <w:ind w:left="3417" w:hanging="423"/>
      </w:pPr>
      <w:rPr>
        <w:rFonts w:hint="default"/>
      </w:rPr>
    </w:lvl>
    <w:lvl w:ilvl="5">
      <w:start w:val="0"/>
      <w:numFmt w:val="bullet"/>
      <w:lvlText w:val="•"/>
      <w:lvlJc w:val="left"/>
      <w:pPr>
        <w:ind w:left="4137" w:hanging="423"/>
      </w:pPr>
      <w:rPr>
        <w:rFonts w:hint="default"/>
      </w:rPr>
    </w:lvl>
    <w:lvl w:ilvl="6">
      <w:start w:val="0"/>
      <w:numFmt w:val="bullet"/>
      <w:lvlText w:val="•"/>
      <w:lvlJc w:val="left"/>
      <w:pPr>
        <w:ind w:left="4856" w:hanging="423"/>
      </w:pPr>
      <w:rPr>
        <w:rFonts w:hint="default"/>
      </w:rPr>
    </w:lvl>
    <w:lvl w:ilvl="7">
      <w:start w:val="0"/>
      <w:numFmt w:val="bullet"/>
      <w:lvlText w:val="•"/>
      <w:lvlJc w:val="left"/>
      <w:pPr>
        <w:ind w:left="5575" w:hanging="423"/>
      </w:pPr>
      <w:rPr>
        <w:rFonts w:hint="default"/>
      </w:rPr>
    </w:lvl>
    <w:lvl w:ilvl="8">
      <w:start w:val="0"/>
      <w:numFmt w:val="bullet"/>
      <w:lvlText w:val="•"/>
      <w:lvlJc w:val="left"/>
      <w:pPr>
        <w:ind w:left="6295" w:hanging="423"/>
      </w:pPr>
      <w:rPr>
        <w:rFonts w:hint="default"/>
      </w:rPr>
    </w:lvl>
  </w:abstractNum>
  <w:abstractNum w:abstractNumId="12">
    <w:multiLevelType w:val="hybridMultilevel"/>
    <w:lvl w:ilvl="0">
      <w:start w:val="1"/>
      <w:numFmt w:val="decimal"/>
      <w:lvlText w:val="（%1）"/>
      <w:lvlJc w:val="left"/>
      <w:pPr>
        <w:ind w:left="741" w:hanging="625"/>
        <w:jc w:val="left"/>
      </w:pPr>
      <w:rPr>
        <w:rFonts w:hint="default" w:ascii="宋体" w:hAnsi="宋体" w:eastAsia="宋体" w:cs="宋体"/>
        <w:w w:val="100"/>
        <w:sz w:val="21"/>
        <w:szCs w:val="21"/>
      </w:rPr>
    </w:lvl>
    <w:lvl w:ilvl="1">
      <w:start w:val="0"/>
      <w:numFmt w:val="bullet"/>
      <w:lvlText w:val="•"/>
      <w:lvlJc w:val="left"/>
      <w:pPr>
        <w:ind w:left="1439" w:hanging="625"/>
      </w:pPr>
      <w:rPr>
        <w:rFonts w:hint="default"/>
      </w:rPr>
    </w:lvl>
    <w:lvl w:ilvl="2">
      <w:start w:val="0"/>
      <w:numFmt w:val="bullet"/>
      <w:lvlText w:val="•"/>
      <w:lvlJc w:val="left"/>
      <w:pPr>
        <w:ind w:left="2138" w:hanging="625"/>
      </w:pPr>
      <w:rPr>
        <w:rFonts w:hint="default"/>
      </w:rPr>
    </w:lvl>
    <w:lvl w:ilvl="3">
      <w:start w:val="0"/>
      <w:numFmt w:val="bullet"/>
      <w:lvlText w:val="•"/>
      <w:lvlJc w:val="left"/>
      <w:pPr>
        <w:ind w:left="2838" w:hanging="625"/>
      </w:pPr>
      <w:rPr>
        <w:rFonts w:hint="default"/>
      </w:rPr>
    </w:lvl>
    <w:lvl w:ilvl="4">
      <w:start w:val="0"/>
      <w:numFmt w:val="bullet"/>
      <w:lvlText w:val="•"/>
      <w:lvlJc w:val="left"/>
      <w:pPr>
        <w:ind w:left="3537" w:hanging="625"/>
      </w:pPr>
      <w:rPr>
        <w:rFonts w:hint="default"/>
      </w:rPr>
    </w:lvl>
    <w:lvl w:ilvl="5">
      <w:start w:val="0"/>
      <w:numFmt w:val="bullet"/>
      <w:lvlText w:val="•"/>
      <w:lvlJc w:val="left"/>
      <w:pPr>
        <w:ind w:left="4237" w:hanging="625"/>
      </w:pPr>
      <w:rPr>
        <w:rFonts w:hint="default"/>
      </w:rPr>
    </w:lvl>
    <w:lvl w:ilvl="6">
      <w:start w:val="0"/>
      <w:numFmt w:val="bullet"/>
      <w:lvlText w:val="•"/>
      <w:lvlJc w:val="left"/>
      <w:pPr>
        <w:ind w:left="4936" w:hanging="625"/>
      </w:pPr>
      <w:rPr>
        <w:rFonts w:hint="default"/>
      </w:rPr>
    </w:lvl>
    <w:lvl w:ilvl="7">
      <w:start w:val="0"/>
      <w:numFmt w:val="bullet"/>
      <w:lvlText w:val="•"/>
      <w:lvlJc w:val="left"/>
      <w:pPr>
        <w:ind w:left="5635" w:hanging="625"/>
      </w:pPr>
      <w:rPr>
        <w:rFonts w:hint="default"/>
      </w:rPr>
    </w:lvl>
    <w:lvl w:ilvl="8">
      <w:start w:val="0"/>
      <w:numFmt w:val="bullet"/>
      <w:lvlText w:val="•"/>
      <w:lvlJc w:val="left"/>
      <w:pPr>
        <w:ind w:left="6335" w:hanging="625"/>
      </w:pPr>
      <w:rPr>
        <w:rFonts w:hint="default"/>
      </w:rPr>
    </w:lvl>
  </w:abstractNum>
  <w:abstractNum w:abstractNumId="11">
    <w:multiLevelType w:val="hybridMultilevel"/>
    <w:lvl w:ilvl="0">
      <w:start w:val="1"/>
      <w:numFmt w:val="decimal"/>
      <w:lvlText w:val="（%1）"/>
      <w:lvlJc w:val="left"/>
      <w:pPr>
        <w:ind w:left="751" w:hanging="632"/>
        <w:jc w:val="left"/>
      </w:pPr>
      <w:rPr>
        <w:rFonts w:hint="default" w:ascii="宋体" w:hAnsi="宋体" w:eastAsia="宋体" w:cs="宋体"/>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136" w:hanging="632"/>
      </w:pPr>
      <w:rPr>
        <w:rFonts w:hint="default"/>
      </w:rPr>
    </w:lvl>
    <w:lvl w:ilvl="3">
      <w:start w:val="0"/>
      <w:numFmt w:val="bullet"/>
      <w:lvlText w:val="•"/>
      <w:lvlJc w:val="left"/>
      <w:pPr>
        <w:ind w:left="2824" w:hanging="632"/>
      </w:pPr>
      <w:rPr>
        <w:rFonts w:hint="default"/>
      </w:rPr>
    </w:lvl>
    <w:lvl w:ilvl="4">
      <w:start w:val="0"/>
      <w:numFmt w:val="bullet"/>
      <w:lvlText w:val="•"/>
      <w:lvlJc w:val="left"/>
      <w:pPr>
        <w:ind w:left="3512" w:hanging="632"/>
      </w:pPr>
      <w:rPr>
        <w:rFonts w:hint="default"/>
      </w:rPr>
    </w:lvl>
    <w:lvl w:ilvl="5">
      <w:start w:val="0"/>
      <w:numFmt w:val="bullet"/>
      <w:lvlText w:val="•"/>
      <w:lvlJc w:val="left"/>
      <w:pPr>
        <w:ind w:left="4200" w:hanging="632"/>
      </w:pPr>
      <w:rPr>
        <w:rFonts w:hint="default"/>
      </w:rPr>
    </w:lvl>
    <w:lvl w:ilvl="6">
      <w:start w:val="0"/>
      <w:numFmt w:val="bullet"/>
      <w:lvlText w:val="•"/>
      <w:lvlJc w:val="left"/>
      <w:pPr>
        <w:ind w:left="4888" w:hanging="632"/>
      </w:pPr>
      <w:rPr>
        <w:rFonts w:hint="default"/>
      </w:rPr>
    </w:lvl>
    <w:lvl w:ilvl="7">
      <w:start w:val="0"/>
      <w:numFmt w:val="bullet"/>
      <w:lvlText w:val="•"/>
      <w:lvlJc w:val="left"/>
      <w:pPr>
        <w:ind w:left="5576" w:hanging="632"/>
      </w:pPr>
      <w:rPr>
        <w:rFonts w:hint="default"/>
      </w:rPr>
    </w:lvl>
    <w:lvl w:ilvl="8">
      <w:start w:val="0"/>
      <w:numFmt w:val="bullet"/>
      <w:lvlText w:val="•"/>
      <w:lvlJc w:val="left"/>
      <w:pPr>
        <w:ind w:left="6264" w:hanging="632"/>
      </w:pPr>
      <w:rPr>
        <w:rFonts w:hint="default"/>
      </w:rPr>
    </w:lvl>
  </w:abstractNum>
  <w:abstractNum w:abstractNumId="10">
    <w:multiLevelType w:val="hybridMultilevel"/>
    <w:lvl w:ilvl="0">
      <w:start w:val="1"/>
      <w:numFmt w:val="decimal"/>
      <w:lvlText w:val="(%1)"/>
      <w:lvlJc w:val="left"/>
      <w:pPr>
        <w:ind w:left="542" w:hanging="423"/>
        <w:jc w:val="left"/>
      </w:pPr>
      <w:rPr>
        <w:rFonts w:hint="default" w:ascii="宋体" w:hAnsi="宋体" w:eastAsia="宋体" w:cs="宋体"/>
        <w:b/>
        <w:bCs/>
        <w:i/>
        <w:w w:val="95"/>
        <w:sz w:val="22"/>
        <w:szCs w:val="22"/>
      </w:rPr>
    </w:lvl>
    <w:lvl w:ilvl="1">
      <w:start w:val="0"/>
      <w:numFmt w:val="bullet"/>
      <w:lvlText w:val="•"/>
      <w:lvlJc w:val="left"/>
      <w:pPr>
        <w:ind w:left="1260" w:hanging="423"/>
      </w:pPr>
      <w:rPr>
        <w:rFonts w:hint="default"/>
      </w:rPr>
    </w:lvl>
    <w:lvl w:ilvl="2">
      <w:start w:val="0"/>
      <w:numFmt w:val="bullet"/>
      <w:lvlText w:val="•"/>
      <w:lvlJc w:val="left"/>
      <w:pPr>
        <w:ind w:left="1981" w:hanging="423"/>
      </w:pPr>
      <w:rPr>
        <w:rFonts w:hint="default"/>
      </w:rPr>
    </w:lvl>
    <w:lvl w:ilvl="3">
      <w:start w:val="0"/>
      <w:numFmt w:val="bullet"/>
      <w:lvlText w:val="•"/>
      <w:lvlJc w:val="left"/>
      <w:pPr>
        <w:ind w:left="2701" w:hanging="423"/>
      </w:pPr>
      <w:rPr>
        <w:rFonts w:hint="default"/>
      </w:rPr>
    </w:lvl>
    <w:lvl w:ilvl="4">
      <w:start w:val="0"/>
      <w:numFmt w:val="bullet"/>
      <w:lvlText w:val="•"/>
      <w:lvlJc w:val="left"/>
      <w:pPr>
        <w:ind w:left="3422" w:hanging="423"/>
      </w:pPr>
      <w:rPr>
        <w:rFonts w:hint="default"/>
      </w:rPr>
    </w:lvl>
    <w:lvl w:ilvl="5">
      <w:start w:val="0"/>
      <w:numFmt w:val="bullet"/>
      <w:lvlText w:val="•"/>
      <w:lvlJc w:val="left"/>
      <w:pPr>
        <w:ind w:left="4142" w:hanging="423"/>
      </w:pPr>
      <w:rPr>
        <w:rFonts w:hint="default"/>
      </w:rPr>
    </w:lvl>
    <w:lvl w:ilvl="6">
      <w:start w:val="0"/>
      <w:numFmt w:val="bullet"/>
      <w:lvlText w:val="•"/>
      <w:lvlJc w:val="left"/>
      <w:pPr>
        <w:ind w:left="4863" w:hanging="423"/>
      </w:pPr>
      <w:rPr>
        <w:rFonts w:hint="default"/>
      </w:rPr>
    </w:lvl>
    <w:lvl w:ilvl="7">
      <w:start w:val="0"/>
      <w:numFmt w:val="bullet"/>
      <w:lvlText w:val="•"/>
      <w:lvlJc w:val="left"/>
      <w:pPr>
        <w:ind w:left="5583" w:hanging="423"/>
      </w:pPr>
      <w:rPr>
        <w:rFonts w:hint="default"/>
      </w:rPr>
    </w:lvl>
    <w:lvl w:ilvl="8">
      <w:start w:val="0"/>
      <w:numFmt w:val="bullet"/>
      <w:lvlText w:val="•"/>
      <w:lvlJc w:val="left"/>
      <w:pPr>
        <w:ind w:left="6304" w:hanging="423"/>
      </w:pPr>
      <w:rPr>
        <w:rFonts w:hint="default"/>
      </w:rPr>
    </w:lvl>
  </w:abstractNum>
  <w:abstractNum w:abstractNumId="9">
    <w:multiLevelType w:val="hybridMultilevel"/>
    <w:lvl w:ilvl="0">
      <w:start w:val="9"/>
      <w:numFmt w:val="decimal"/>
      <w:lvlText w:val="%1"/>
      <w:lvlJc w:val="left"/>
      <w:pPr>
        <w:ind w:left="1234" w:hanging="423"/>
        <w:jc w:val="left"/>
      </w:pPr>
      <w:rPr>
        <w:rFonts w:hint="default"/>
      </w:rPr>
    </w:lvl>
    <w:lvl w:ilvl="1">
      <w:start w:val="1"/>
      <w:numFmt w:val="decimal"/>
      <w:lvlText w:val="%1.%2"/>
      <w:lvlJc w:val="left"/>
      <w:pPr>
        <w:ind w:left="1234" w:hanging="423"/>
        <w:jc w:val="left"/>
      </w:pPr>
      <w:rPr>
        <w:rFonts w:hint="default" w:ascii="仿宋" w:hAnsi="仿宋" w:eastAsia="仿宋" w:cs="仿宋"/>
        <w:w w:val="100"/>
        <w:sz w:val="21"/>
        <w:szCs w:val="21"/>
      </w:rPr>
    </w:lvl>
    <w:lvl w:ilvl="2">
      <w:start w:val="0"/>
      <w:numFmt w:val="bullet"/>
      <w:lvlText w:val="•"/>
      <w:lvlJc w:val="left"/>
      <w:pPr>
        <w:ind w:left="1881" w:hanging="423"/>
      </w:pPr>
      <w:rPr>
        <w:rFonts w:hint="default"/>
      </w:rPr>
    </w:lvl>
    <w:lvl w:ilvl="3">
      <w:start w:val="0"/>
      <w:numFmt w:val="bullet"/>
      <w:lvlText w:val="•"/>
      <w:lvlJc w:val="left"/>
      <w:pPr>
        <w:ind w:left="2202" w:hanging="423"/>
      </w:pPr>
      <w:rPr>
        <w:rFonts w:hint="default"/>
      </w:rPr>
    </w:lvl>
    <w:lvl w:ilvl="4">
      <w:start w:val="0"/>
      <w:numFmt w:val="bullet"/>
      <w:lvlText w:val="•"/>
      <w:lvlJc w:val="left"/>
      <w:pPr>
        <w:ind w:left="2522" w:hanging="423"/>
      </w:pPr>
      <w:rPr>
        <w:rFonts w:hint="default"/>
      </w:rPr>
    </w:lvl>
    <w:lvl w:ilvl="5">
      <w:start w:val="0"/>
      <w:numFmt w:val="bullet"/>
      <w:lvlText w:val="•"/>
      <w:lvlJc w:val="left"/>
      <w:pPr>
        <w:ind w:left="2843" w:hanging="423"/>
      </w:pPr>
      <w:rPr>
        <w:rFonts w:hint="default"/>
      </w:rPr>
    </w:lvl>
    <w:lvl w:ilvl="6">
      <w:start w:val="0"/>
      <w:numFmt w:val="bullet"/>
      <w:lvlText w:val="•"/>
      <w:lvlJc w:val="left"/>
      <w:pPr>
        <w:ind w:left="3164" w:hanging="423"/>
      </w:pPr>
      <w:rPr>
        <w:rFonts w:hint="default"/>
      </w:rPr>
    </w:lvl>
    <w:lvl w:ilvl="7">
      <w:start w:val="0"/>
      <w:numFmt w:val="bullet"/>
      <w:lvlText w:val="•"/>
      <w:lvlJc w:val="left"/>
      <w:pPr>
        <w:ind w:left="3485" w:hanging="423"/>
      </w:pPr>
      <w:rPr>
        <w:rFonts w:hint="default"/>
      </w:rPr>
    </w:lvl>
    <w:lvl w:ilvl="8">
      <w:start w:val="0"/>
      <w:numFmt w:val="bullet"/>
      <w:lvlText w:val="•"/>
      <w:lvlJc w:val="left"/>
      <w:pPr>
        <w:ind w:left="3805" w:hanging="423"/>
      </w:pPr>
      <w:rPr>
        <w:rFonts w:hint="default"/>
      </w:rPr>
    </w:lvl>
  </w:abstractNum>
  <w:abstractNum w:abstractNumId="8">
    <w:multiLevelType w:val="hybridMultilevel"/>
    <w:lvl w:ilvl="0">
      <w:start w:val="8"/>
      <w:numFmt w:val="decimal"/>
      <w:lvlText w:val="%1"/>
      <w:lvlJc w:val="left"/>
      <w:pPr>
        <w:ind w:left="1234" w:hanging="423"/>
        <w:jc w:val="left"/>
      </w:pPr>
      <w:rPr>
        <w:rFonts w:hint="default"/>
      </w:rPr>
    </w:lvl>
    <w:lvl w:ilvl="1">
      <w:start w:val="1"/>
      <w:numFmt w:val="decimal"/>
      <w:lvlText w:val="%1.%2"/>
      <w:lvlJc w:val="left"/>
      <w:pPr>
        <w:ind w:left="1234" w:hanging="423"/>
        <w:jc w:val="left"/>
      </w:pPr>
      <w:rPr>
        <w:rFonts w:hint="default" w:ascii="仿宋" w:hAnsi="仿宋" w:eastAsia="仿宋" w:cs="仿宋"/>
        <w:w w:val="100"/>
        <w:sz w:val="21"/>
        <w:szCs w:val="21"/>
      </w:rPr>
    </w:lvl>
    <w:lvl w:ilvl="2">
      <w:start w:val="0"/>
      <w:numFmt w:val="bullet"/>
      <w:lvlText w:val="•"/>
      <w:lvlJc w:val="left"/>
      <w:pPr>
        <w:ind w:left="1881" w:hanging="423"/>
      </w:pPr>
      <w:rPr>
        <w:rFonts w:hint="default"/>
      </w:rPr>
    </w:lvl>
    <w:lvl w:ilvl="3">
      <w:start w:val="0"/>
      <w:numFmt w:val="bullet"/>
      <w:lvlText w:val="•"/>
      <w:lvlJc w:val="left"/>
      <w:pPr>
        <w:ind w:left="2202" w:hanging="423"/>
      </w:pPr>
      <w:rPr>
        <w:rFonts w:hint="default"/>
      </w:rPr>
    </w:lvl>
    <w:lvl w:ilvl="4">
      <w:start w:val="0"/>
      <w:numFmt w:val="bullet"/>
      <w:lvlText w:val="•"/>
      <w:lvlJc w:val="left"/>
      <w:pPr>
        <w:ind w:left="2522" w:hanging="423"/>
      </w:pPr>
      <w:rPr>
        <w:rFonts w:hint="default"/>
      </w:rPr>
    </w:lvl>
    <w:lvl w:ilvl="5">
      <w:start w:val="0"/>
      <w:numFmt w:val="bullet"/>
      <w:lvlText w:val="•"/>
      <w:lvlJc w:val="left"/>
      <w:pPr>
        <w:ind w:left="2843" w:hanging="423"/>
      </w:pPr>
      <w:rPr>
        <w:rFonts w:hint="default"/>
      </w:rPr>
    </w:lvl>
    <w:lvl w:ilvl="6">
      <w:start w:val="0"/>
      <w:numFmt w:val="bullet"/>
      <w:lvlText w:val="•"/>
      <w:lvlJc w:val="left"/>
      <w:pPr>
        <w:ind w:left="3164" w:hanging="423"/>
      </w:pPr>
      <w:rPr>
        <w:rFonts w:hint="default"/>
      </w:rPr>
    </w:lvl>
    <w:lvl w:ilvl="7">
      <w:start w:val="0"/>
      <w:numFmt w:val="bullet"/>
      <w:lvlText w:val="•"/>
      <w:lvlJc w:val="left"/>
      <w:pPr>
        <w:ind w:left="3485" w:hanging="423"/>
      </w:pPr>
      <w:rPr>
        <w:rFonts w:hint="default"/>
      </w:rPr>
    </w:lvl>
    <w:lvl w:ilvl="8">
      <w:start w:val="0"/>
      <w:numFmt w:val="bullet"/>
      <w:lvlText w:val="•"/>
      <w:lvlJc w:val="left"/>
      <w:pPr>
        <w:ind w:left="3805" w:hanging="423"/>
      </w:pPr>
      <w:rPr>
        <w:rFonts w:hint="default"/>
      </w:rPr>
    </w:lvl>
  </w:abstractNum>
  <w:abstractNum w:abstractNumId="7">
    <w:multiLevelType w:val="hybridMultilevel"/>
    <w:lvl w:ilvl="0">
      <w:start w:val="7"/>
      <w:numFmt w:val="decimal"/>
      <w:lvlText w:val="%1"/>
      <w:lvlJc w:val="left"/>
      <w:pPr>
        <w:ind w:left="1229" w:hanging="423"/>
        <w:jc w:val="left"/>
      </w:pPr>
      <w:rPr>
        <w:rFonts w:hint="default"/>
      </w:rPr>
    </w:lvl>
    <w:lvl w:ilvl="1">
      <w:start w:val="1"/>
      <w:numFmt w:val="decimal"/>
      <w:lvlText w:val="%1.%2"/>
      <w:lvlJc w:val="left"/>
      <w:pPr>
        <w:ind w:left="1229" w:hanging="423"/>
        <w:jc w:val="left"/>
      </w:pPr>
      <w:rPr>
        <w:rFonts w:hint="default" w:ascii="仿宋" w:hAnsi="仿宋" w:eastAsia="仿宋" w:cs="仿宋"/>
        <w:w w:val="100"/>
        <w:sz w:val="21"/>
        <w:szCs w:val="21"/>
      </w:rPr>
    </w:lvl>
    <w:lvl w:ilvl="2">
      <w:start w:val="0"/>
      <w:numFmt w:val="bullet"/>
      <w:lvlText w:val="•"/>
      <w:lvlJc w:val="left"/>
      <w:pPr>
        <w:ind w:left="1865" w:hanging="423"/>
      </w:pPr>
      <w:rPr>
        <w:rFonts w:hint="default"/>
      </w:rPr>
    </w:lvl>
    <w:lvl w:ilvl="3">
      <w:start w:val="0"/>
      <w:numFmt w:val="bullet"/>
      <w:lvlText w:val="•"/>
      <w:lvlJc w:val="left"/>
      <w:pPr>
        <w:ind w:left="2188" w:hanging="423"/>
      </w:pPr>
      <w:rPr>
        <w:rFonts w:hint="default"/>
      </w:rPr>
    </w:lvl>
    <w:lvl w:ilvl="4">
      <w:start w:val="0"/>
      <w:numFmt w:val="bullet"/>
      <w:lvlText w:val="•"/>
      <w:lvlJc w:val="left"/>
      <w:pPr>
        <w:ind w:left="2510" w:hanging="423"/>
      </w:pPr>
      <w:rPr>
        <w:rFonts w:hint="default"/>
      </w:rPr>
    </w:lvl>
    <w:lvl w:ilvl="5">
      <w:start w:val="0"/>
      <w:numFmt w:val="bullet"/>
      <w:lvlText w:val="•"/>
      <w:lvlJc w:val="left"/>
      <w:pPr>
        <w:ind w:left="2833" w:hanging="423"/>
      </w:pPr>
      <w:rPr>
        <w:rFonts w:hint="default"/>
      </w:rPr>
    </w:lvl>
    <w:lvl w:ilvl="6">
      <w:start w:val="0"/>
      <w:numFmt w:val="bullet"/>
      <w:lvlText w:val="•"/>
      <w:lvlJc w:val="left"/>
      <w:pPr>
        <w:ind w:left="3156" w:hanging="423"/>
      </w:pPr>
      <w:rPr>
        <w:rFonts w:hint="default"/>
      </w:rPr>
    </w:lvl>
    <w:lvl w:ilvl="7">
      <w:start w:val="0"/>
      <w:numFmt w:val="bullet"/>
      <w:lvlText w:val="•"/>
      <w:lvlJc w:val="left"/>
      <w:pPr>
        <w:ind w:left="3479" w:hanging="423"/>
      </w:pPr>
      <w:rPr>
        <w:rFonts w:hint="default"/>
      </w:rPr>
    </w:lvl>
    <w:lvl w:ilvl="8">
      <w:start w:val="0"/>
      <w:numFmt w:val="bullet"/>
      <w:lvlText w:val="•"/>
      <w:lvlJc w:val="left"/>
      <w:pPr>
        <w:ind w:left="3801" w:hanging="423"/>
      </w:pPr>
      <w:rPr>
        <w:rFonts w:hint="default"/>
      </w:rPr>
    </w:lvl>
  </w:abstractNum>
  <w:abstractNum w:abstractNumId="6">
    <w:multiLevelType w:val="hybridMultilevel"/>
    <w:lvl w:ilvl="0">
      <w:start w:val="6"/>
      <w:numFmt w:val="decimal"/>
      <w:lvlText w:val="%1"/>
      <w:lvlJc w:val="left"/>
      <w:pPr>
        <w:ind w:left="879" w:hanging="423"/>
        <w:jc w:val="left"/>
      </w:pPr>
      <w:rPr>
        <w:rFonts w:hint="default"/>
      </w:rPr>
    </w:lvl>
    <w:lvl w:ilvl="1">
      <w:start w:val="1"/>
      <w:numFmt w:val="decimal"/>
      <w:lvlText w:val="%1.%2"/>
      <w:lvlJc w:val="left"/>
      <w:pPr>
        <w:ind w:left="879" w:hanging="423"/>
        <w:jc w:val="left"/>
      </w:pPr>
      <w:rPr>
        <w:rFonts w:hint="default" w:ascii="仿宋" w:hAnsi="仿宋" w:eastAsia="仿宋" w:cs="仿宋"/>
        <w:w w:val="100"/>
        <w:sz w:val="21"/>
        <w:szCs w:val="21"/>
      </w:rPr>
    </w:lvl>
    <w:lvl w:ilvl="2">
      <w:start w:val="0"/>
      <w:numFmt w:val="bullet"/>
      <w:lvlText w:val="•"/>
      <w:lvlJc w:val="left"/>
      <w:pPr>
        <w:ind w:left="1216" w:hanging="423"/>
      </w:pPr>
      <w:rPr>
        <w:rFonts w:hint="default"/>
      </w:rPr>
    </w:lvl>
    <w:lvl w:ilvl="3">
      <w:start w:val="0"/>
      <w:numFmt w:val="bullet"/>
      <w:lvlText w:val="•"/>
      <w:lvlJc w:val="left"/>
      <w:pPr>
        <w:ind w:left="1384" w:hanging="423"/>
      </w:pPr>
      <w:rPr>
        <w:rFonts w:hint="default"/>
      </w:rPr>
    </w:lvl>
    <w:lvl w:ilvl="4">
      <w:start w:val="0"/>
      <w:numFmt w:val="bullet"/>
      <w:lvlText w:val="•"/>
      <w:lvlJc w:val="left"/>
      <w:pPr>
        <w:ind w:left="1552" w:hanging="423"/>
      </w:pPr>
      <w:rPr>
        <w:rFonts w:hint="default"/>
      </w:rPr>
    </w:lvl>
    <w:lvl w:ilvl="5">
      <w:start w:val="0"/>
      <w:numFmt w:val="bullet"/>
      <w:lvlText w:val="•"/>
      <w:lvlJc w:val="left"/>
      <w:pPr>
        <w:ind w:left="1720" w:hanging="423"/>
      </w:pPr>
      <w:rPr>
        <w:rFonts w:hint="default"/>
      </w:rPr>
    </w:lvl>
    <w:lvl w:ilvl="6">
      <w:start w:val="0"/>
      <w:numFmt w:val="bullet"/>
      <w:lvlText w:val="•"/>
      <w:lvlJc w:val="left"/>
      <w:pPr>
        <w:ind w:left="1888" w:hanging="423"/>
      </w:pPr>
      <w:rPr>
        <w:rFonts w:hint="default"/>
      </w:rPr>
    </w:lvl>
    <w:lvl w:ilvl="7">
      <w:start w:val="0"/>
      <w:numFmt w:val="bullet"/>
      <w:lvlText w:val="•"/>
      <w:lvlJc w:val="left"/>
      <w:pPr>
        <w:ind w:left="2056" w:hanging="423"/>
      </w:pPr>
      <w:rPr>
        <w:rFonts w:hint="default"/>
      </w:rPr>
    </w:lvl>
    <w:lvl w:ilvl="8">
      <w:start w:val="0"/>
      <w:numFmt w:val="bullet"/>
      <w:lvlText w:val="•"/>
      <w:lvlJc w:val="left"/>
      <w:pPr>
        <w:ind w:left="2224" w:hanging="423"/>
      </w:pPr>
      <w:rPr>
        <w:rFonts w:hint="default"/>
      </w:rPr>
    </w:lvl>
  </w:abstractNum>
  <w:abstractNum w:abstractNumId="5">
    <w:multiLevelType w:val="hybridMultilevel"/>
    <w:lvl w:ilvl="0">
      <w:start w:val="5"/>
      <w:numFmt w:val="decimal"/>
      <w:lvlText w:val="%1"/>
      <w:lvlJc w:val="left"/>
      <w:pPr>
        <w:ind w:left="877" w:hanging="420"/>
        <w:jc w:val="left"/>
      </w:pPr>
      <w:rPr>
        <w:rFonts w:hint="default"/>
      </w:rPr>
    </w:lvl>
    <w:lvl w:ilvl="1">
      <w:start w:val="1"/>
      <w:numFmt w:val="decimal"/>
      <w:lvlText w:val="%1.%2"/>
      <w:lvlJc w:val="left"/>
      <w:pPr>
        <w:ind w:left="877" w:hanging="420"/>
        <w:jc w:val="left"/>
      </w:pPr>
      <w:rPr>
        <w:rFonts w:hint="default" w:ascii="仿宋" w:hAnsi="仿宋" w:eastAsia="仿宋" w:cs="仿宋"/>
        <w:w w:val="100"/>
        <w:sz w:val="21"/>
        <w:szCs w:val="21"/>
      </w:rPr>
    </w:lvl>
    <w:lvl w:ilvl="2">
      <w:start w:val="0"/>
      <w:numFmt w:val="bullet"/>
      <w:lvlText w:val="•"/>
      <w:lvlJc w:val="left"/>
      <w:pPr>
        <w:ind w:left="1216" w:hanging="420"/>
      </w:pPr>
      <w:rPr>
        <w:rFonts w:hint="default"/>
      </w:rPr>
    </w:lvl>
    <w:lvl w:ilvl="3">
      <w:start w:val="0"/>
      <w:numFmt w:val="bullet"/>
      <w:lvlText w:val="•"/>
      <w:lvlJc w:val="left"/>
      <w:pPr>
        <w:ind w:left="1384" w:hanging="420"/>
      </w:pPr>
      <w:rPr>
        <w:rFonts w:hint="default"/>
      </w:rPr>
    </w:lvl>
    <w:lvl w:ilvl="4">
      <w:start w:val="0"/>
      <w:numFmt w:val="bullet"/>
      <w:lvlText w:val="•"/>
      <w:lvlJc w:val="left"/>
      <w:pPr>
        <w:ind w:left="1552" w:hanging="420"/>
      </w:pPr>
      <w:rPr>
        <w:rFonts w:hint="default"/>
      </w:rPr>
    </w:lvl>
    <w:lvl w:ilvl="5">
      <w:start w:val="0"/>
      <w:numFmt w:val="bullet"/>
      <w:lvlText w:val="•"/>
      <w:lvlJc w:val="left"/>
      <w:pPr>
        <w:ind w:left="1720" w:hanging="420"/>
      </w:pPr>
      <w:rPr>
        <w:rFonts w:hint="default"/>
      </w:rPr>
    </w:lvl>
    <w:lvl w:ilvl="6">
      <w:start w:val="0"/>
      <w:numFmt w:val="bullet"/>
      <w:lvlText w:val="•"/>
      <w:lvlJc w:val="left"/>
      <w:pPr>
        <w:ind w:left="1888" w:hanging="420"/>
      </w:pPr>
      <w:rPr>
        <w:rFonts w:hint="default"/>
      </w:rPr>
    </w:lvl>
    <w:lvl w:ilvl="7">
      <w:start w:val="0"/>
      <w:numFmt w:val="bullet"/>
      <w:lvlText w:val="•"/>
      <w:lvlJc w:val="left"/>
      <w:pPr>
        <w:ind w:left="2056" w:hanging="420"/>
      </w:pPr>
      <w:rPr>
        <w:rFonts w:hint="default"/>
      </w:rPr>
    </w:lvl>
    <w:lvl w:ilvl="8">
      <w:start w:val="0"/>
      <w:numFmt w:val="bullet"/>
      <w:lvlText w:val="•"/>
      <w:lvlJc w:val="left"/>
      <w:pPr>
        <w:ind w:left="2224" w:hanging="420"/>
      </w:pPr>
      <w:rPr>
        <w:rFonts w:hint="default"/>
      </w:rPr>
    </w:lvl>
  </w:abstractNum>
  <w:abstractNum w:abstractNumId="4">
    <w:multiLevelType w:val="hybridMultilevel"/>
    <w:lvl w:ilvl="0">
      <w:start w:val="4"/>
      <w:numFmt w:val="decimal"/>
      <w:lvlText w:val="%1"/>
      <w:lvlJc w:val="left"/>
      <w:pPr>
        <w:ind w:left="877" w:hanging="420"/>
        <w:jc w:val="left"/>
      </w:pPr>
      <w:rPr>
        <w:rFonts w:hint="default"/>
      </w:rPr>
    </w:lvl>
    <w:lvl w:ilvl="1">
      <w:start w:val="1"/>
      <w:numFmt w:val="decimal"/>
      <w:lvlText w:val="%1.%2"/>
      <w:lvlJc w:val="left"/>
      <w:pPr>
        <w:ind w:left="877" w:hanging="420"/>
        <w:jc w:val="left"/>
      </w:pPr>
      <w:rPr>
        <w:rFonts w:hint="default" w:ascii="仿宋" w:hAnsi="仿宋" w:eastAsia="仿宋" w:cs="仿宋"/>
        <w:w w:val="100"/>
        <w:sz w:val="21"/>
        <w:szCs w:val="21"/>
      </w:rPr>
    </w:lvl>
    <w:lvl w:ilvl="2">
      <w:start w:val="0"/>
      <w:numFmt w:val="bullet"/>
      <w:lvlText w:val="•"/>
      <w:lvlJc w:val="left"/>
      <w:pPr>
        <w:ind w:left="1216" w:hanging="420"/>
      </w:pPr>
      <w:rPr>
        <w:rFonts w:hint="default"/>
      </w:rPr>
    </w:lvl>
    <w:lvl w:ilvl="3">
      <w:start w:val="0"/>
      <w:numFmt w:val="bullet"/>
      <w:lvlText w:val="•"/>
      <w:lvlJc w:val="left"/>
      <w:pPr>
        <w:ind w:left="1384" w:hanging="420"/>
      </w:pPr>
      <w:rPr>
        <w:rFonts w:hint="default"/>
      </w:rPr>
    </w:lvl>
    <w:lvl w:ilvl="4">
      <w:start w:val="0"/>
      <w:numFmt w:val="bullet"/>
      <w:lvlText w:val="•"/>
      <w:lvlJc w:val="left"/>
      <w:pPr>
        <w:ind w:left="1552" w:hanging="420"/>
      </w:pPr>
      <w:rPr>
        <w:rFonts w:hint="default"/>
      </w:rPr>
    </w:lvl>
    <w:lvl w:ilvl="5">
      <w:start w:val="0"/>
      <w:numFmt w:val="bullet"/>
      <w:lvlText w:val="•"/>
      <w:lvlJc w:val="left"/>
      <w:pPr>
        <w:ind w:left="1720" w:hanging="420"/>
      </w:pPr>
      <w:rPr>
        <w:rFonts w:hint="default"/>
      </w:rPr>
    </w:lvl>
    <w:lvl w:ilvl="6">
      <w:start w:val="0"/>
      <w:numFmt w:val="bullet"/>
      <w:lvlText w:val="•"/>
      <w:lvlJc w:val="left"/>
      <w:pPr>
        <w:ind w:left="1888" w:hanging="420"/>
      </w:pPr>
      <w:rPr>
        <w:rFonts w:hint="default"/>
      </w:rPr>
    </w:lvl>
    <w:lvl w:ilvl="7">
      <w:start w:val="0"/>
      <w:numFmt w:val="bullet"/>
      <w:lvlText w:val="•"/>
      <w:lvlJc w:val="left"/>
      <w:pPr>
        <w:ind w:left="2056" w:hanging="420"/>
      </w:pPr>
      <w:rPr>
        <w:rFonts w:hint="default"/>
      </w:rPr>
    </w:lvl>
    <w:lvl w:ilvl="8">
      <w:start w:val="0"/>
      <w:numFmt w:val="bullet"/>
      <w:lvlText w:val="•"/>
      <w:lvlJc w:val="left"/>
      <w:pPr>
        <w:ind w:left="2224" w:hanging="420"/>
      </w:pPr>
      <w:rPr>
        <w:rFonts w:hint="default"/>
      </w:rPr>
    </w:lvl>
  </w:abstractNum>
  <w:abstractNum w:abstractNumId="3">
    <w:multiLevelType w:val="hybridMultilevel"/>
    <w:lvl w:ilvl="0">
      <w:start w:val="3"/>
      <w:numFmt w:val="decimal"/>
      <w:lvlText w:val="%1"/>
      <w:lvlJc w:val="left"/>
      <w:pPr>
        <w:ind w:left="1585" w:hanging="423"/>
        <w:jc w:val="left"/>
      </w:pPr>
      <w:rPr>
        <w:rFonts w:hint="default"/>
      </w:rPr>
    </w:lvl>
    <w:lvl w:ilvl="1">
      <w:start w:val="1"/>
      <w:numFmt w:val="decimal"/>
      <w:lvlText w:val="%1.%2"/>
      <w:lvlJc w:val="left"/>
      <w:pPr>
        <w:ind w:left="1585" w:hanging="423"/>
        <w:jc w:val="right"/>
      </w:pPr>
      <w:rPr>
        <w:rFonts w:hint="default" w:ascii="仿宋" w:hAnsi="仿宋" w:eastAsia="仿宋" w:cs="仿宋"/>
        <w:w w:val="100"/>
        <w:sz w:val="21"/>
        <w:szCs w:val="21"/>
      </w:rPr>
    </w:lvl>
    <w:lvl w:ilvl="2">
      <w:start w:val="0"/>
      <w:numFmt w:val="bullet"/>
      <w:lvlText w:val="•"/>
      <w:lvlJc w:val="left"/>
      <w:pPr>
        <w:ind w:left="2007" w:hanging="423"/>
      </w:pPr>
      <w:rPr>
        <w:rFonts w:hint="default"/>
      </w:rPr>
    </w:lvl>
    <w:lvl w:ilvl="3">
      <w:start w:val="0"/>
      <w:numFmt w:val="bullet"/>
      <w:lvlText w:val="•"/>
      <w:lvlJc w:val="left"/>
      <w:pPr>
        <w:ind w:left="2221" w:hanging="423"/>
      </w:pPr>
      <w:rPr>
        <w:rFonts w:hint="default"/>
      </w:rPr>
    </w:lvl>
    <w:lvl w:ilvl="4">
      <w:start w:val="0"/>
      <w:numFmt w:val="bullet"/>
      <w:lvlText w:val="•"/>
      <w:lvlJc w:val="left"/>
      <w:pPr>
        <w:ind w:left="2435" w:hanging="423"/>
      </w:pPr>
      <w:rPr>
        <w:rFonts w:hint="default"/>
      </w:rPr>
    </w:lvl>
    <w:lvl w:ilvl="5">
      <w:start w:val="0"/>
      <w:numFmt w:val="bullet"/>
      <w:lvlText w:val="•"/>
      <w:lvlJc w:val="left"/>
      <w:pPr>
        <w:ind w:left="2649" w:hanging="423"/>
      </w:pPr>
      <w:rPr>
        <w:rFonts w:hint="default"/>
      </w:rPr>
    </w:lvl>
    <w:lvl w:ilvl="6">
      <w:start w:val="0"/>
      <w:numFmt w:val="bullet"/>
      <w:lvlText w:val="•"/>
      <w:lvlJc w:val="left"/>
      <w:pPr>
        <w:ind w:left="2863" w:hanging="423"/>
      </w:pPr>
      <w:rPr>
        <w:rFonts w:hint="default"/>
      </w:rPr>
    </w:lvl>
    <w:lvl w:ilvl="7">
      <w:start w:val="0"/>
      <w:numFmt w:val="bullet"/>
      <w:lvlText w:val="•"/>
      <w:lvlJc w:val="left"/>
      <w:pPr>
        <w:ind w:left="3077" w:hanging="423"/>
      </w:pPr>
      <w:rPr>
        <w:rFonts w:hint="default"/>
      </w:rPr>
    </w:lvl>
    <w:lvl w:ilvl="8">
      <w:start w:val="0"/>
      <w:numFmt w:val="bullet"/>
      <w:lvlText w:val="•"/>
      <w:lvlJc w:val="left"/>
      <w:pPr>
        <w:ind w:left="3291" w:hanging="423"/>
      </w:pPr>
      <w:rPr>
        <w:rFonts w:hint="default"/>
      </w:rPr>
    </w:lvl>
  </w:abstractNum>
  <w:abstractNum w:abstractNumId="2">
    <w:multiLevelType w:val="hybridMultilevel"/>
    <w:lvl w:ilvl="0">
      <w:start w:val="2"/>
      <w:numFmt w:val="decimal"/>
      <w:lvlText w:val="%1"/>
      <w:lvlJc w:val="left"/>
      <w:pPr>
        <w:ind w:left="1585" w:hanging="423"/>
        <w:jc w:val="left"/>
      </w:pPr>
      <w:rPr>
        <w:rFonts w:hint="default"/>
      </w:rPr>
    </w:lvl>
    <w:lvl w:ilvl="1">
      <w:start w:val="1"/>
      <w:numFmt w:val="decimal"/>
      <w:lvlText w:val="%1.%2"/>
      <w:lvlJc w:val="left"/>
      <w:pPr>
        <w:ind w:left="1582" w:hanging="423"/>
        <w:jc w:val="left"/>
      </w:pPr>
      <w:rPr>
        <w:rFonts w:hint="default" w:ascii="仿宋" w:hAnsi="仿宋" w:eastAsia="仿宋" w:cs="仿宋"/>
        <w:w w:val="100"/>
        <w:sz w:val="21"/>
        <w:szCs w:val="21"/>
      </w:rPr>
    </w:lvl>
    <w:lvl w:ilvl="2">
      <w:start w:val="0"/>
      <w:numFmt w:val="bullet"/>
      <w:lvlText w:val="•"/>
      <w:lvlJc w:val="left"/>
      <w:pPr>
        <w:ind w:left="2007" w:hanging="423"/>
      </w:pPr>
      <w:rPr>
        <w:rFonts w:hint="default"/>
      </w:rPr>
    </w:lvl>
    <w:lvl w:ilvl="3">
      <w:start w:val="0"/>
      <w:numFmt w:val="bullet"/>
      <w:lvlText w:val="•"/>
      <w:lvlJc w:val="left"/>
      <w:pPr>
        <w:ind w:left="2221" w:hanging="423"/>
      </w:pPr>
      <w:rPr>
        <w:rFonts w:hint="default"/>
      </w:rPr>
    </w:lvl>
    <w:lvl w:ilvl="4">
      <w:start w:val="0"/>
      <w:numFmt w:val="bullet"/>
      <w:lvlText w:val="•"/>
      <w:lvlJc w:val="left"/>
      <w:pPr>
        <w:ind w:left="2435" w:hanging="423"/>
      </w:pPr>
      <w:rPr>
        <w:rFonts w:hint="default"/>
      </w:rPr>
    </w:lvl>
    <w:lvl w:ilvl="5">
      <w:start w:val="0"/>
      <w:numFmt w:val="bullet"/>
      <w:lvlText w:val="•"/>
      <w:lvlJc w:val="left"/>
      <w:pPr>
        <w:ind w:left="2649" w:hanging="423"/>
      </w:pPr>
      <w:rPr>
        <w:rFonts w:hint="default"/>
      </w:rPr>
    </w:lvl>
    <w:lvl w:ilvl="6">
      <w:start w:val="0"/>
      <w:numFmt w:val="bullet"/>
      <w:lvlText w:val="•"/>
      <w:lvlJc w:val="left"/>
      <w:pPr>
        <w:ind w:left="2863" w:hanging="423"/>
      </w:pPr>
      <w:rPr>
        <w:rFonts w:hint="default"/>
      </w:rPr>
    </w:lvl>
    <w:lvl w:ilvl="7">
      <w:start w:val="0"/>
      <w:numFmt w:val="bullet"/>
      <w:lvlText w:val="•"/>
      <w:lvlJc w:val="left"/>
      <w:pPr>
        <w:ind w:left="3077" w:hanging="423"/>
      </w:pPr>
      <w:rPr>
        <w:rFonts w:hint="default"/>
      </w:rPr>
    </w:lvl>
    <w:lvl w:ilvl="8">
      <w:start w:val="0"/>
      <w:numFmt w:val="bullet"/>
      <w:lvlText w:val="•"/>
      <w:lvlJc w:val="left"/>
      <w:pPr>
        <w:ind w:left="3291" w:hanging="423"/>
      </w:pPr>
      <w:rPr>
        <w:rFonts w:hint="default"/>
      </w:rPr>
    </w:lvl>
  </w:abstractNum>
  <w:abstractNum w:abstractNumId="1">
    <w:multiLevelType w:val="hybridMultilevel"/>
    <w:lvl w:ilvl="0">
      <w:start w:val="1"/>
      <w:numFmt w:val="decimal"/>
      <w:lvlText w:val="%1"/>
      <w:lvlJc w:val="left"/>
      <w:pPr>
        <w:ind w:left="1585" w:hanging="423"/>
        <w:jc w:val="left"/>
      </w:pPr>
      <w:rPr>
        <w:rFonts w:hint="default"/>
      </w:rPr>
    </w:lvl>
    <w:lvl w:ilvl="1">
      <w:start w:val="1"/>
      <w:numFmt w:val="decimal"/>
      <w:lvlText w:val="%1.%2"/>
      <w:lvlJc w:val="left"/>
      <w:pPr>
        <w:ind w:left="1585" w:hanging="423"/>
        <w:jc w:val="left"/>
      </w:pPr>
      <w:rPr>
        <w:rFonts w:hint="default" w:ascii="仿宋" w:hAnsi="仿宋" w:eastAsia="仿宋" w:cs="仿宋"/>
        <w:w w:val="100"/>
        <w:sz w:val="21"/>
        <w:szCs w:val="21"/>
      </w:rPr>
    </w:lvl>
    <w:lvl w:ilvl="2">
      <w:start w:val="0"/>
      <w:numFmt w:val="bullet"/>
      <w:lvlText w:val="•"/>
      <w:lvlJc w:val="left"/>
      <w:pPr>
        <w:ind w:left="2007" w:hanging="423"/>
      </w:pPr>
      <w:rPr>
        <w:rFonts w:hint="default"/>
      </w:rPr>
    </w:lvl>
    <w:lvl w:ilvl="3">
      <w:start w:val="0"/>
      <w:numFmt w:val="bullet"/>
      <w:lvlText w:val="•"/>
      <w:lvlJc w:val="left"/>
      <w:pPr>
        <w:ind w:left="2221" w:hanging="423"/>
      </w:pPr>
      <w:rPr>
        <w:rFonts w:hint="default"/>
      </w:rPr>
    </w:lvl>
    <w:lvl w:ilvl="4">
      <w:start w:val="0"/>
      <w:numFmt w:val="bullet"/>
      <w:lvlText w:val="•"/>
      <w:lvlJc w:val="left"/>
      <w:pPr>
        <w:ind w:left="2435" w:hanging="423"/>
      </w:pPr>
      <w:rPr>
        <w:rFonts w:hint="default"/>
      </w:rPr>
    </w:lvl>
    <w:lvl w:ilvl="5">
      <w:start w:val="0"/>
      <w:numFmt w:val="bullet"/>
      <w:lvlText w:val="•"/>
      <w:lvlJc w:val="left"/>
      <w:pPr>
        <w:ind w:left="2649" w:hanging="423"/>
      </w:pPr>
      <w:rPr>
        <w:rFonts w:hint="default"/>
      </w:rPr>
    </w:lvl>
    <w:lvl w:ilvl="6">
      <w:start w:val="0"/>
      <w:numFmt w:val="bullet"/>
      <w:lvlText w:val="•"/>
      <w:lvlJc w:val="left"/>
      <w:pPr>
        <w:ind w:left="2863" w:hanging="423"/>
      </w:pPr>
      <w:rPr>
        <w:rFonts w:hint="default"/>
      </w:rPr>
    </w:lvl>
    <w:lvl w:ilvl="7">
      <w:start w:val="0"/>
      <w:numFmt w:val="bullet"/>
      <w:lvlText w:val="•"/>
      <w:lvlJc w:val="left"/>
      <w:pPr>
        <w:ind w:left="3077" w:hanging="423"/>
      </w:pPr>
      <w:rPr>
        <w:rFonts w:hint="default"/>
      </w:rPr>
    </w:lvl>
    <w:lvl w:ilvl="8">
      <w:start w:val="0"/>
      <w:numFmt w:val="bullet"/>
      <w:lvlText w:val="•"/>
      <w:lvlJc w:val="left"/>
      <w:pPr>
        <w:ind w:left="3291" w:hanging="423"/>
      </w:pPr>
      <w:rPr>
        <w:rFonts w:hint="default"/>
      </w:rPr>
    </w:lvl>
  </w:abstractNum>
  <w:abstractNum w:abstractNumId="0">
    <w:multiLevelType w:val="hybridMultilevel"/>
    <w:lvl w:ilvl="0">
      <w:start w:val="0"/>
      <w:numFmt w:val="bullet"/>
      <w:lvlText w:val=""/>
      <w:lvlJc w:val="left"/>
      <w:pPr>
        <w:ind w:left="1554" w:hanging="334"/>
      </w:pPr>
      <w:rPr>
        <w:rFonts w:hint="default" w:ascii="Wingdings" w:hAnsi="Wingdings" w:eastAsia="Wingdings" w:cs="Wingdings"/>
        <w:w w:val="100"/>
        <w:sz w:val="21"/>
        <w:szCs w:val="21"/>
      </w:rPr>
    </w:lvl>
    <w:lvl w:ilvl="1">
      <w:start w:val="0"/>
      <w:numFmt w:val="bullet"/>
      <w:lvlText w:val="•"/>
      <w:lvlJc w:val="left"/>
      <w:pPr>
        <w:ind w:left="2484" w:hanging="334"/>
      </w:pPr>
      <w:rPr>
        <w:rFonts w:hint="default"/>
      </w:rPr>
    </w:lvl>
    <w:lvl w:ilvl="2">
      <w:start w:val="0"/>
      <w:numFmt w:val="bullet"/>
      <w:lvlText w:val="•"/>
      <w:lvlJc w:val="left"/>
      <w:pPr>
        <w:ind w:left="3409" w:hanging="334"/>
      </w:pPr>
      <w:rPr>
        <w:rFonts w:hint="default"/>
      </w:rPr>
    </w:lvl>
    <w:lvl w:ilvl="3">
      <w:start w:val="0"/>
      <w:numFmt w:val="bullet"/>
      <w:lvlText w:val="•"/>
      <w:lvlJc w:val="left"/>
      <w:pPr>
        <w:ind w:left="4333" w:hanging="334"/>
      </w:pPr>
      <w:rPr>
        <w:rFonts w:hint="default"/>
      </w:rPr>
    </w:lvl>
    <w:lvl w:ilvl="4">
      <w:start w:val="0"/>
      <w:numFmt w:val="bullet"/>
      <w:lvlText w:val="•"/>
      <w:lvlJc w:val="left"/>
      <w:pPr>
        <w:ind w:left="5258" w:hanging="334"/>
      </w:pPr>
      <w:rPr>
        <w:rFonts w:hint="default"/>
      </w:rPr>
    </w:lvl>
    <w:lvl w:ilvl="5">
      <w:start w:val="0"/>
      <w:numFmt w:val="bullet"/>
      <w:lvlText w:val="•"/>
      <w:lvlJc w:val="left"/>
      <w:pPr>
        <w:ind w:left="6183" w:hanging="334"/>
      </w:pPr>
      <w:rPr>
        <w:rFonts w:hint="default"/>
      </w:rPr>
    </w:lvl>
    <w:lvl w:ilvl="6">
      <w:start w:val="0"/>
      <w:numFmt w:val="bullet"/>
      <w:lvlText w:val="•"/>
      <w:lvlJc w:val="left"/>
      <w:pPr>
        <w:ind w:left="7107" w:hanging="334"/>
      </w:pPr>
      <w:rPr>
        <w:rFonts w:hint="default"/>
      </w:rPr>
    </w:lvl>
    <w:lvl w:ilvl="7">
      <w:start w:val="0"/>
      <w:numFmt w:val="bullet"/>
      <w:lvlText w:val="•"/>
      <w:lvlJc w:val="left"/>
      <w:pPr>
        <w:ind w:left="8032" w:hanging="334"/>
      </w:pPr>
      <w:rPr>
        <w:rFonts w:hint="default"/>
      </w:rPr>
    </w:lvl>
    <w:lvl w:ilvl="8">
      <w:start w:val="0"/>
      <w:numFmt w:val="bullet"/>
      <w:lvlText w:val="•"/>
      <w:lvlJc w:val="left"/>
      <w:pPr>
        <w:ind w:left="8957" w:hanging="334"/>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hanging="422"/>
    </w:pPr>
    <w:rPr>
      <w:rFonts w:ascii="仿宋" w:hAnsi="仿宋" w:eastAsia="仿宋" w:cs="仿宋"/>
      <w:sz w:val="21"/>
      <w:szCs w:val="21"/>
    </w:rPr>
  </w:style>
  <w:style w:styleId="Heading1" w:type="paragraph">
    <w:name w:val="Heading 1"/>
    <w:basedOn w:val="Normal"/>
    <w:uiPriority w:val="1"/>
    <w:qFormat/>
    <w:pPr>
      <w:spacing w:before="48"/>
      <w:ind w:left="370"/>
      <w:jc w:val="center"/>
      <w:outlineLvl w:val="1"/>
    </w:pPr>
    <w:rPr>
      <w:rFonts w:ascii="宋体" w:hAnsi="宋体" w:eastAsia="宋体" w:cs="宋体"/>
      <w:b/>
      <w:bCs/>
      <w:sz w:val="44"/>
      <w:szCs w:val="44"/>
    </w:rPr>
  </w:style>
  <w:style w:styleId="ListParagraph" w:type="paragraph">
    <w:name w:val="List Paragraph"/>
    <w:basedOn w:val="Normal"/>
    <w:uiPriority w:val="1"/>
    <w:qFormat/>
    <w:pPr>
      <w:spacing w:before="37"/>
      <w:ind w:left="1234" w:hanging="422"/>
    </w:pPr>
    <w:rPr>
      <w:rFonts w:ascii="仿宋" w:hAnsi="仿宋" w:eastAsia="仿宋" w:cs="仿宋"/>
    </w:rPr>
  </w:style>
  <w:style w:styleId="TableParagraph" w:type="paragraph">
    <w:name w:val="Table Paragraph"/>
    <w:basedOn w:val="Normal"/>
    <w:uiPriority w:val="1"/>
    <w:qFormat/>
    <w:pPr>
      <w:ind w:left="11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wenxuan</dc:creator>
  <dc:title>鸿运两全保险（分红型，C款）条款</dc:title>
  <dcterms:created xsi:type="dcterms:W3CDTF">2018-10-20T00:47:35Z</dcterms:created>
  <dcterms:modified xsi:type="dcterms:W3CDTF">2018-10-20T00:47:35Z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2016-03-24T00:00:00Z</vt:filetime>
  </property>
  <property fmtid="{D5CDD505-2E9C-101B-9397-08002B2CF9AE}" pid="3" name="Creator">
    <vt:lpwstr>Microsoft® Word 2010</vt:lpwstr>
  </property>
  <property fmtid="{D5CDD505-2E9C-101B-9397-08002B2CF9AE}" pid="4" name="LastSaved">
    <vt:filetime>2018-10-19T00:00:00Z</vt:filetime>
  </property>
</Properties>
</file>