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8" w:right="0" w:firstLine="0"/>
        <w:rPr>
          <w:rFonts w:ascii="Times New Roman"/>
          <w:sz w:val="20"/>
        </w:rPr>
      </w:pPr>
      <w:r>
        <w:rPr>
          <w:rFonts w:ascii="Times New Roman"/>
          <w:spacing w:val="-42"/>
          <w:sz w:val="20"/>
        </w:rPr>
        <w:t> </w:t>
      </w:r>
      <w:r>
        <w:rPr>
          <w:rFonts w:ascii="Times New Roman"/>
          <w:spacing w:val="-42"/>
          <w:sz w:val="20"/>
        </w:rPr>
        <w:pict>
          <v:group style="width:502.05pt;height:59.25pt;mso-position-horizontal-relative:char;mso-position-vertical-relative:line" coordorigin="0,0" coordsize="10041,1185">
            <v:line style="position:absolute" from="0,1178" to="10041,1178" stroked="true" strokeweight=".72pt" strokecolor="#000000">
              <v:stroke dashstyle="solid"/>
            </v:line>
            <v:shape style="position:absolute;left:8828;top:0;width:1140;height:1140" type="#_x0000_t75" stroked="false">
              <v:imagedata r:id="rId5" o:title=""/>
            </v:shape>
            <v:shapetype id="_x0000_t202" o:spt="202" coordsize="21600,21600" path="m,l,21600r21600,l21600,xe">
              <v:stroke joinstyle="miter"/>
              <v:path gradientshapeok="t" o:connecttype="rect"/>
            </v:shapetype>
            <v:shape style="position:absolute;left:0;top:0;width:10041;height:1185" type="#_x0000_t202" filled="false" stroked="false">
              <v:textbox inset="0,0,0,0">
                <w:txbxContent>
                  <w:p>
                    <w:pPr>
                      <w:spacing w:line="240" w:lineRule="auto" w:before="0"/>
                      <w:rPr>
                        <w:rFonts w:ascii="Times New Roman"/>
                        <w:sz w:val="24"/>
                      </w:rPr>
                    </w:pPr>
                  </w:p>
                  <w:p>
                    <w:pPr>
                      <w:spacing w:line="240" w:lineRule="auto" w:before="3"/>
                      <w:rPr>
                        <w:rFonts w:ascii="Times New Roman"/>
                        <w:sz w:val="29"/>
                      </w:rPr>
                    </w:pPr>
                  </w:p>
                  <w:p>
                    <w:pPr>
                      <w:spacing w:line="180" w:lineRule="auto" w:before="0"/>
                      <w:ind w:left="5723" w:right="1324" w:firstLine="878"/>
                      <w:jc w:val="left"/>
                      <w:rPr>
                        <w:rFonts w:ascii="微软雅黑" w:eastAsia="微软雅黑" w:hint="eastAsia"/>
                        <w:b/>
                        <w:sz w:val="21"/>
                      </w:rPr>
                    </w:pPr>
                    <w:r>
                      <w:rPr>
                        <w:rFonts w:ascii="微软雅黑" w:eastAsia="微软雅黑" w:hint="eastAsia"/>
                        <w:b/>
                        <w:sz w:val="21"/>
                      </w:rPr>
                      <w:t>请扫描以查询验证条款招商信诺</w:t>
                    </w:r>
                    <w:r>
                      <w:rPr>
                        <w:rFonts w:ascii="Arial" w:eastAsia="Arial"/>
                        <w:b/>
                        <w:sz w:val="21"/>
                      </w:rPr>
                      <w:t>[2017]</w:t>
                    </w:r>
                    <w:r>
                      <w:rPr>
                        <w:rFonts w:ascii="微软雅黑" w:eastAsia="微软雅黑" w:hint="eastAsia"/>
                        <w:b/>
                        <w:sz w:val="21"/>
                      </w:rPr>
                      <w:t>疾病保险 </w:t>
                    </w:r>
                    <w:r>
                      <w:rPr>
                        <w:rFonts w:ascii="Arial" w:eastAsia="Arial"/>
                        <w:b/>
                        <w:sz w:val="21"/>
                      </w:rPr>
                      <w:t>032 </w:t>
                    </w:r>
                    <w:r>
                      <w:rPr>
                        <w:rFonts w:ascii="微软雅黑" w:eastAsia="微软雅黑" w:hint="eastAsia"/>
                        <w:b/>
                        <w:sz w:val="21"/>
                      </w:rPr>
                      <w:t>号</w:t>
                    </w:r>
                  </w:p>
                </w:txbxContent>
              </v:textbox>
              <w10:wrap type="none"/>
            </v:shape>
          </v:group>
        </w:pict>
      </w:r>
      <w:r>
        <w:rPr>
          <w:rFonts w:ascii="Times New Roman"/>
          <w:spacing w:val="-42"/>
          <w:sz w:val="20"/>
        </w:rPr>
      </w:r>
    </w:p>
    <w:p>
      <w:pPr>
        <w:pStyle w:val="Heading1"/>
      </w:pPr>
      <w:r>
        <w:rPr/>
        <w:t>招商信诺爱之诺少儿重大疾病保险条款阅读指引</w:t>
      </w:r>
    </w:p>
    <w:p>
      <w:pPr>
        <w:pStyle w:val="Heading2"/>
        <w:spacing w:before="233"/>
        <w:ind w:left="145"/>
      </w:pPr>
      <w:r>
        <w:rPr/>
        <w:t>本阅读指引帮助您理解条款，保险合同的内容以条款为准。</w:t>
      </w:r>
    </w:p>
    <w:p>
      <w:pPr>
        <w:pStyle w:val="ListParagraph"/>
        <w:numPr>
          <w:ilvl w:val="0"/>
          <w:numId w:val="1"/>
        </w:numPr>
        <w:tabs>
          <w:tab w:pos="567" w:val="left" w:leader="none"/>
          <w:tab w:pos="568" w:val="left" w:leader="none"/>
        </w:tabs>
        <w:spacing w:line="240" w:lineRule="auto" w:before="174" w:after="0"/>
        <w:ind w:left="567" w:right="0" w:hanging="422"/>
        <w:jc w:val="left"/>
        <w:rPr>
          <w:rFonts w:ascii="微软雅黑" w:eastAsia="微软雅黑" w:hint="eastAsia"/>
          <w:b/>
          <w:sz w:val="21"/>
        </w:rPr>
      </w:pPr>
      <w:r>
        <w:rPr>
          <w:rFonts w:ascii="微软雅黑" w:eastAsia="微软雅黑" w:hint="eastAsia"/>
          <w:b/>
          <w:sz w:val="21"/>
          <w:u w:val="single"/>
        </w:rPr>
        <w:t>您应特别注意的事项</w:t>
      </w:r>
    </w:p>
    <w:p>
      <w:pPr>
        <w:pStyle w:val="BodyText"/>
        <w:spacing w:before="12"/>
        <w:ind w:left="0"/>
        <w:rPr>
          <w:rFonts w:ascii="微软雅黑"/>
          <w:b/>
          <w:sz w:val="11"/>
        </w:rPr>
      </w:pPr>
    </w:p>
    <w:p>
      <w:pPr>
        <w:pStyle w:val="ListParagraph"/>
        <w:numPr>
          <w:ilvl w:val="1"/>
          <w:numId w:val="1"/>
        </w:numPr>
        <w:tabs>
          <w:tab w:pos="985" w:val="left" w:leader="none"/>
          <w:tab w:pos="986" w:val="left" w:leader="none"/>
          <w:tab w:pos="9811" w:val="left" w:leader="none"/>
        </w:tabs>
        <w:spacing w:line="345" w:lineRule="exact" w:before="0" w:after="0"/>
        <w:ind w:left="985" w:right="0" w:hanging="418"/>
        <w:jc w:val="left"/>
        <w:rPr>
          <w:rFonts w:ascii="微软雅黑" w:eastAsia="微软雅黑" w:hint="eastAsia"/>
          <w:b/>
          <w:sz w:val="21"/>
        </w:rPr>
      </w:pPr>
      <w:r>
        <w:rPr/>
        <w:pict>
          <v:line style="position:absolute;mso-position-horizontal-relative:page;mso-position-vertical-relative:paragraph;z-index:-22144" from="90.264pt,16.175058pt" to="547.414pt,16.175058pt" stroked="true" strokeweight=".48pt" strokecolor="#000000">
            <v:stroke dashstyle="solid"/>
            <w10:wrap type="none"/>
          </v:line>
        </w:pict>
      </w:r>
      <w:r>
        <w:rPr>
          <w:rFonts w:ascii="微软雅黑" w:eastAsia="微软雅黑" w:hint="eastAsia"/>
          <w:b/>
          <w:w w:val="100"/>
          <w:sz w:val="21"/>
        </w:rPr>
        <w:t>责任免除中任一情形导致被保险</w:t>
      </w:r>
      <w:r>
        <w:rPr>
          <w:rFonts w:ascii="微软雅黑" w:eastAsia="微软雅黑" w:hint="eastAsia"/>
          <w:b/>
          <w:spacing w:val="0"/>
          <w:w w:val="100"/>
          <w:sz w:val="21"/>
        </w:rPr>
        <w:t>人</w:t>
      </w:r>
      <w:r>
        <w:rPr>
          <w:rFonts w:ascii="微软雅黑" w:eastAsia="微软雅黑" w:hint="eastAsia"/>
          <w:b/>
          <w:w w:val="100"/>
          <w:sz w:val="21"/>
        </w:rPr>
        <w:t>患</w:t>
      </w:r>
      <w:r>
        <w:rPr>
          <w:rFonts w:ascii="微软雅黑" w:eastAsia="微软雅黑" w:hint="eastAsia"/>
          <w:b/>
          <w:spacing w:val="-5"/>
          <w:w w:val="100"/>
          <w:sz w:val="21"/>
        </w:rPr>
        <w:t>有</w:t>
      </w:r>
      <w:r>
        <w:rPr>
          <w:rFonts w:ascii="微软雅黑" w:eastAsia="微软雅黑" w:hint="eastAsia"/>
          <w:b/>
          <w:w w:val="100"/>
          <w:sz w:val="21"/>
        </w:rPr>
        <w:t>重大疾病的</w:t>
      </w:r>
      <w:r>
        <w:rPr>
          <w:rFonts w:ascii="微软雅黑" w:eastAsia="微软雅黑" w:hint="eastAsia"/>
          <w:b/>
          <w:spacing w:val="-24"/>
          <w:w w:val="100"/>
          <w:sz w:val="21"/>
        </w:rPr>
        <w:t>，</w:t>
      </w:r>
      <w:r>
        <w:rPr>
          <w:rFonts w:ascii="微软雅黑" w:eastAsia="微软雅黑" w:hint="eastAsia"/>
          <w:b/>
          <w:w w:val="100"/>
          <w:sz w:val="21"/>
        </w:rPr>
        <w:t>我方将不承担给付保险金的责任。</w:t>
      </w:r>
      <w:r>
        <w:rPr>
          <w:rFonts w:ascii="微软雅黑" w:eastAsia="微软雅黑" w:hint="eastAsia"/>
          <w:b/>
          <w:sz w:val="21"/>
        </w:rPr>
        <w:tab/>
      </w:r>
      <w:r>
        <w:rPr>
          <w:rFonts w:ascii="微软雅黑" w:eastAsia="微软雅黑" w:hint="eastAsia"/>
          <w:b/>
          <w:w w:val="81"/>
          <w:sz w:val="21"/>
        </w:rPr>
        <w:t>20</w:t>
      </w:r>
      <w:r>
        <w:rPr>
          <w:rFonts w:ascii="微软雅黑" w:eastAsia="微软雅黑" w:hint="eastAsia"/>
          <w:b/>
          <w:w w:val="176"/>
          <w:sz w:val="21"/>
        </w:rPr>
        <w:t>.</w:t>
      </w:r>
    </w:p>
    <w:p>
      <w:pPr>
        <w:pStyle w:val="ListParagraph"/>
        <w:numPr>
          <w:ilvl w:val="1"/>
          <w:numId w:val="1"/>
        </w:numPr>
        <w:tabs>
          <w:tab w:pos="985" w:val="left" w:leader="none"/>
          <w:tab w:pos="986" w:val="left" w:leader="none"/>
          <w:tab w:pos="9917" w:val="left" w:leader="none"/>
        </w:tabs>
        <w:spacing w:line="240" w:lineRule="auto" w:before="12" w:after="0"/>
        <w:ind w:left="985" w:right="0" w:hanging="418"/>
        <w:jc w:val="left"/>
        <w:rPr>
          <w:rFonts w:ascii="微软雅黑" w:eastAsia="微软雅黑" w:hint="eastAsia"/>
          <w:b/>
          <w:sz w:val="21"/>
        </w:rPr>
      </w:pPr>
      <w:r>
        <w:rPr/>
        <w:pict>
          <v:line style="position:absolute;mso-position-horizontal-relative:page;mso-position-vertical-relative:paragraph;z-index:-22120" from="90.264pt,17.666647pt" to="547.414pt,17.666647pt" stroked="true" strokeweight=".48001pt" strokecolor="#000000">
            <v:stroke dashstyle="solid"/>
            <w10:wrap type="none"/>
          </v:line>
        </w:pict>
      </w:r>
      <w:r>
        <w:rPr>
          <w:rFonts w:ascii="微软雅黑" w:eastAsia="微软雅黑" w:hint="eastAsia"/>
          <w:b/>
          <w:sz w:val="21"/>
        </w:rPr>
        <w:t>您有解除本合同的权利</w:t>
      </w:r>
      <w:r>
        <w:rPr>
          <w:rFonts w:ascii="微软雅黑" w:eastAsia="微软雅黑" w:hint="eastAsia"/>
          <w:b/>
          <w:spacing w:val="-82"/>
          <w:sz w:val="21"/>
        </w:rPr>
        <w:t>，</w:t>
      </w:r>
      <w:r>
        <w:rPr>
          <w:rFonts w:ascii="微软雅黑" w:eastAsia="微软雅黑" w:hint="eastAsia"/>
          <w:b/>
          <w:sz w:val="21"/>
        </w:rPr>
        <w:t>但会存在一</w:t>
      </w:r>
      <w:r>
        <w:rPr>
          <w:rFonts w:ascii="微软雅黑" w:eastAsia="微软雅黑" w:hint="eastAsia"/>
          <w:b/>
          <w:spacing w:val="-5"/>
          <w:sz w:val="21"/>
        </w:rPr>
        <w:t>定</w:t>
      </w:r>
      <w:r>
        <w:rPr>
          <w:rFonts w:ascii="微软雅黑" w:eastAsia="微软雅黑" w:hint="eastAsia"/>
          <w:b/>
          <w:sz w:val="21"/>
        </w:rPr>
        <w:t>的退保损失</w:t>
      </w:r>
      <w:r>
        <w:rPr>
          <w:rFonts w:ascii="微软雅黑" w:eastAsia="微软雅黑" w:hint="eastAsia"/>
          <w:b/>
          <w:spacing w:val="-82"/>
          <w:sz w:val="21"/>
        </w:rPr>
        <w:t>，</w:t>
      </w:r>
      <w:r>
        <w:rPr>
          <w:rFonts w:ascii="微软雅黑" w:eastAsia="微软雅黑" w:hint="eastAsia"/>
          <w:b/>
          <w:spacing w:val="-5"/>
          <w:sz w:val="21"/>
        </w:rPr>
        <w:t>请</w:t>
      </w:r>
      <w:r>
        <w:rPr>
          <w:rFonts w:ascii="微软雅黑" w:eastAsia="微软雅黑" w:hint="eastAsia"/>
          <w:b/>
          <w:sz w:val="21"/>
        </w:rPr>
        <w:t>您慎重决策。</w:t>
        <w:tab/>
        <w:t>5.</w:t>
      </w:r>
    </w:p>
    <w:p>
      <w:pPr>
        <w:pStyle w:val="ListParagraph"/>
        <w:numPr>
          <w:ilvl w:val="1"/>
          <w:numId w:val="1"/>
        </w:numPr>
        <w:tabs>
          <w:tab w:pos="985" w:val="left" w:leader="none"/>
          <w:tab w:pos="986" w:val="left" w:leader="none"/>
          <w:tab w:pos="9811" w:val="left" w:leader="none"/>
        </w:tabs>
        <w:spacing w:line="240" w:lineRule="auto" w:before="11" w:after="0"/>
        <w:ind w:left="985" w:right="0" w:hanging="418"/>
        <w:jc w:val="left"/>
        <w:rPr>
          <w:rFonts w:ascii="微软雅黑" w:eastAsia="微软雅黑" w:hint="eastAsia"/>
          <w:b/>
          <w:sz w:val="21"/>
        </w:rPr>
      </w:pPr>
      <w:r>
        <w:rPr/>
        <w:pict>
          <v:line style="position:absolute;mso-position-horizontal-relative:page;mso-position-vertical-relative:paragraph;z-index:-22096" from="90.264pt,17.616615pt" to="547.414pt,17.616615pt" stroked="true" strokeweight=".48001pt" strokecolor="#000000">
            <v:stroke dashstyle="solid"/>
            <w10:wrap type="none"/>
          </v:line>
        </w:pict>
      </w:r>
      <w:r>
        <w:rPr>
          <w:rFonts w:ascii="微软雅黑" w:eastAsia="微软雅黑" w:hint="eastAsia"/>
          <w:b/>
          <w:w w:val="100"/>
          <w:sz w:val="21"/>
        </w:rPr>
        <w:t>本合同可续保</w:t>
      </w:r>
      <w:r>
        <w:rPr>
          <w:rFonts w:ascii="微软雅黑" w:eastAsia="微软雅黑" w:hint="eastAsia"/>
          <w:b/>
          <w:spacing w:val="-20"/>
          <w:w w:val="100"/>
          <w:sz w:val="21"/>
        </w:rPr>
        <w:t>，</w:t>
      </w:r>
      <w:r>
        <w:rPr>
          <w:rFonts w:ascii="微软雅黑" w:eastAsia="微软雅黑" w:hint="eastAsia"/>
          <w:b/>
          <w:w w:val="100"/>
          <w:sz w:val="21"/>
        </w:rPr>
        <w:t>请留意续保的条件。</w:t>
      </w:r>
      <w:r>
        <w:rPr>
          <w:rFonts w:ascii="微软雅黑" w:eastAsia="微软雅黑" w:hint="eastAsia"/>
          <w:b/>
          <w:sz w:val="21"/>
        </w:rPr>
        <w:tab/>
      </w:r>
      <w:r>
        <w:rPr>
          <w:rFonts w:ascii="微软雅黑" w:eastAsia="微软雅黑" w:hint="eastAsia"/>
          <w:b/>
          <w:w w:val="81"/>
          <w:sz w:val="21"/>
        </w:rPr>
        <w:t>22</w:t>
      </w:r>
      <w:r>
        <w:rPr>
          <w:rFonts w:ascii="微软雅黑" w:eastAsia="微软雅黑" w:hint="eastAsia"/>
          <w:b/>
          <w:w w:val="176"/>
          <w:sz w:val="21"/>
        </w:rPr>
        <w:t>.</w:t>
      </w:r>
    </w:p>
    <w:p>
      <w:pPr>
        <w:pStyle w:val="ListParagraph"/>
        <w:numPr>
          <w:ilvl w:val="1"/>
          <w:numId w:val="1"/>
        </w:numPr>
        <w:tabs>
          <w:tab w:pos="985" w:val="left" w:leader="none"/>
          <w:tab w:pos="986" w:val="left" w:leader="none"/>
          <w:tab w:pos="9917" w:val="left" w:leader="none"/>
        </w:tabs>
        <w:spacing w:line="240" w:lineRule="auto" w:before="6" w:after="0"/>
        <w:ind w:left="985" w:right="0" w:hanging="418"/>
        <w:jc w:val="left"/>
        <w:rPr>
          <w:rFonts w:ascii="微软雅黑" w:eastAsia="微软雅黑" w:hint="eastAsia"/>
          <w:b/>
          <w:sz w:val="21"/>
        </w:rPr>
      </w:pPr>
      <w:r>
        <w:rPr/>
        <w:pict>
          <v:line style="position:absolute;mso-position-horizontal-relative:page;mso-position-vertical-relative:paragraph;z-index:-22072" from="90.264pt,17.36664pt" to="547.414pt,17.36664pt" stroked="true" strokeweight=".48pt" strokecolor="#000000">
            <v:stroke dashstyle="solid"/>
            <w10:wrap type="none"/>
          </v:line>
        </w:pict>
      </w:r>
      <w:r>
        <w:rPr>
          <w:rFonts w:ascii="微软雅黑" w:eastAsia="微软雅黑" w:hint="eastAsia"/>
          <w:b/>
          <w:w w:val="100"/>
          <w:sz w:val="21"/>
        </w:rPr>
        <w:t>您有如实告知的义务。</w:t>
      </w:r>
      <w:r>
        <w:rPr>
          <w:rFonts w:ascii="微软雅黑" w:eastAsia="微软雅黑" w:hint="eastAsia"/>
          <w:b/>
          <w:sz w:val="21"/>
        </w:rPr>
        <w:tab/>
      </w:r>
      <w:r>
        <w:rPr>
          <w:rFonts w:ascii="微软雅黑" w:eastAsia="微软雅黑" w:hint="eastAsia"/>
          <w:b/>
          <w:w w:val="81"/>
          <w:sz w:val="21"/>
        </w:rPr>
        <w:t>7</w:t>
      </w:r>
      <w:r>
        <w:rPr>
          <w:rFonts w:ascii="微软雅黑" w:eastAsia="微软雅黑" w:hint="eastAsia"/>
          <w:b/>
          <w:w w:val="176"/>
          <w:sz w:val="21"/>
        </w:rPr>
        <w:t>.</w:t>
      </w:r>
    </w:p>
    <w:p>
      <w:pPr>
        <w:pStyle w:val="ListParagraph"/>
        <w:numPr>
          <w:ilvl w:val="1"/>
          <w:numId w:val="1"/>
        </w:numPr>
        <w:tabs>
          <w:tab w:pos="985" w:val="left" w:leader="none"/>
          <w:tab w:pos="986" w:val="left" w:leader="none"/>
          <w:tab w:pos="9816" w:val="left" w:leader="none"/>
          <w:tab w:pos="10133" w:val="right" w:leader="none"/>
        </w:tabs>
        <w:spacing w:line="240" w:lineRule="auto" w:before="11" w:after="0"/>
        <w:ind w:left="985" w:right="0" w:hanging="418"/>
        <w:jc w:val="left"/>
        <w:rPr>
          <w:rFonts w:ascii="微软雅黑" w:eastAsia="微软雅黑" w:hint="eastAsia"/>
          <w:b/>
          <w:sz w:val="21"/>
        </w:rPr>
      </w:pPr>
      <w:r>
        <w:rPr/>
        <w:pict>
          <v:line style="position:absolute;mso-position-horizontal-relative:page;mso-position-vertical-relative:paragraph;z-index:-22048" from="90.264pt,17.616680pt" to="547.414pt,17.616680pt" stroked="true" strokeweight=".47998pt" strokecolor="#000000">
            <v:stroke dashstyle="solid"/>
            <w10:wrap type="none"/>
          </v:line>
        </w:pict>
      </w:r>
      <w:r>
        <w:rPr>
          <w:rFonts w:ascii="微软雅黑" w:eastAsia="微软雅黑" w:hint="eastAsia"/>
          <w:b/>
          <w:w w:val="100"/>
          <w:sz w:val="21"/>
        </w:rPr>
        <w:t>请留意关于合同成立</w:t>
      </w:r>
      <w:r>
        <w:rPr>
          <w:rFonts w:ascii="微软雅黑" w:eastAsia="微软雅黑" w:hint="eastAsia"/>
          <w:b/>
          <w:spacing w:val="-73"/>
          <w:w w:val="100"/>
          <w:sz w:val="21"/>
        </w:rPr>
        <w:t>、</w:t>
      </w:r>
      <w:r>
        <w:rPr>
          <w:rFonts w:ascii="微软雅黑" w:eastAsia="微软雅黑" w:hint="eastAsia"/>
          <w:b/>
          <w:w w:val="100"/>
          <w:sz w:val="21"/>
        </w:rPr>
        <w:t>生效和保险期间的条款。</w:t>
      </w:r>
      <w:r>
        <w:rPr>
          <w:rFonts w:ascii="微软雅黑" w:eastAsia="微软雅黑" w:hint="eastAsia"/>
          <w:b/>
          <w:w w:val="168"/>
          <w:sz w:val="21"/>
        </w:rPr>
        <w:t> </w:t>
      </w:r>
      <w:r>
        <w:rPr>
          <w:rFonts w:ascii="微软雅黑" w:eastAsia="微软雅黑" w:hint="eastAsia"/>
          <w:b/>
          <w:sz w:val="21"/>
        </w:rPr>
        <w:tab/>
        <w:tab/>
      </w:r>
      <w:r>
        <w:rPr>
          <w:rFonts w:ascii="微软雅黑" w:eastAsia="微软雅黑" w:hint="eastAsia"/>
          <w:b/>
          <w:w w:val="81"/>
          <w:sz w:val="21"/>
        </w:rPr>
        <w:t>2</w:t>
      </w:r>
      <w:r>
        <w:rPr>
          <w:rFonts w:ascii="微软雅黑" w:eastAsia="微软雅黑" w:hint="eastAsia"/>
          <w:b/>
          <w:w w:val="176"/>
          <w:sz w:val="21"/>
        </w:rPr>
        <w:t>.</w:t>
      </w:r>
      <w:r>
        <w:rPr>
          <w:rFonts w:ascii="微软雅黑" w:eastAsia="微软雅黑" w:hint="eastAsia"/>
          <w:b/>
          <w:sz w:val="21"/>
        </w:rPr>
        <w:tab/>
      </w:r>
      <w:r>
        <w:rPr>
          <w:rFonts w:ascii="微软雅黑" w:eastAsia="微软雅黑" w:hint="eastAsia"/>
          <w:b/>
          <w:spacing w:val="-66"/>
          <w:w w:val="81"/>
          <w:sz w:val="21"/>
        </w:rPr>
        <w:t>21</w:t>
      </w:r>
      <w:r>
        <w:rPr>
          <w:rFonts w:ascii="微软雅黑" w:eastAsia="微软雅黑" w:hint="eastAsia"/>
          <w:b/>
          <w:spacing w:val="-66"/>
          <w:w w:val="176"/>
          <w:sz w:val="21"/>
        </w:rPr>
        <w:t>.</w:t>
      </w:r>
    </w:p>
    <w:p>
      <w:pPr>
        <w:pStyle w:val="ListParagraph"/>
        <w:numPr>
          <w:ilvl w:val="1"/>
          <w:numId w:val="1"/>
        </w:numPr>
        <w:tabs>
          <w:tab w:pos="985" w:val="left" w:leader="none"/>
          <w:tab w:pos="986" w:val="left" w:leader="none"/>
          <w:tab w:pos="9811" w:val="left" w:leader="none"/>
        </w:tabs>
        <w:spacing w:line="240" w:lineRule="auto" w:before="11" w:after="0"/>
        <w:ind w:left="985" w:right="0" w:hanging="418"/>
        <w:jc w:val="left"/>
        <w:rPr>
          <w:rFonts w:ascii="微软雅黑" w:eastAsia="微软雅黑" w:hint="eastAsia"/>
          <w:b/>
          <w:sz w:val="21"/>
        </w:rPr>
      </w:pPr>
      <w:r>
        <w:rPr/>
        <w:pict>
          <v:line style="position:absolute;mso-position-horizontal-relative:page;mso-position-vertical-relative:paragraph;z-index:-22024" from="90.264pt,17.616648pt" to="547.414pt,17.616648pt" stroked="true" strokeweight=".47998pt" strokecolor="#000000">
            <v:stroke dashstyle="solid"/>
            <w10:wrap type="none"/>
          </v:line>
        </w:pict>
      </w:r>
      <w:r>
        <w:rPr>
          <w:rFonts w:ascii="微软雅黑" w:eastAsia="微软雅黑" w:hint="eastAsia"/>
          <w:b/>
          <w:w w:val="100"/>
          <w:sz w:val="21"/>
        </w:rPr>
        <w:t>请留意本合同所保障的重大疾病的种</w:t>
      </w:r>
      <w:r>
        <w:rPr>
          <w:rFonts w:ascii="微软雅黑" w:eastAsia="微软雅黑" w:hint="eastAsia"/>
          <w:b/>
          <w:spacing w:val="-5"/>
          <w:w w:val="100"/>
          <w:sz w:val="21"/>
        </w:rPr>
        <w:t>类</w:t>
      </w:r>
      <w:r>
        <w:rPr>
          <w:rFonts w:ascii="微软雅黑" w:eastAsia="微软雅黑" w:hint="eastAsia"/>
          <w:b/>
          <w:w w:val="100"/>
          <w:sz w:val="21"/>
        </w:rPr>
        <w:t>及定义。</w:t>
      </w:r>
      <w:r>
        <w:rPr>
          <w:rFonts w:ascii="微软雅黑" w:eastAsia="微软雅黑" w:hint="eastAsia"/>
          <w:b/>
          <w:sz w:val="21"/>
        </w:rPr>
        <w:tab/>
      </w:r>
      <w:r>
        <w:rPr>
          <w:rFonts w:ascii="微软雅黑" w:eastAsia="微软雅黑" w:hint="eastAsia"/>
          <w:b/>
          <w:w w:val="81"/>
          <w:sz w:val="21"/>
        </w:rPr>
        <w:t>28</w:t>
      </w:r>
      <w:r>
        <w:rPr>
          <w:rFonts w:ascii="微软雅黑" w:eastAsia="微软雅黑" w:hint="eastAsia"/>
          <w:b/>
          <w:w w:val="176"/>
          <w:sz w:val="21"/>
        </w:rPr>
        <w:t>.</w:t>
      </w:r>
    </w:p>
    <w:p>
      <w:pPr>
        <w:pStyle w:val="ListParagraph"/>
        <w:numPr>
          <w:ilvl w:val="1"/>
          <w:numId w:val="1"/>
        </w:numPr>
        <w:tabs>
          <w:tab w:pos="985" w:val="left" w:leader="none"/>
          <w:tab w:pos="986" w:val="left" w:leader="none"/>
          <w:tab w:pos="10128" w:val="left" w:leader="none"/>
        </w:tabs>
        <w:spacing w:line="240" w:lineRule="auto" w:before="12" w:after="0"/>
        <w:ind w:left="985" w:right="0" w:hanging="418"/>
        <w:jc w:val="left"/>
        <w:rPr>
          <w:rFonts w:ascii="微软雅黑" w:eastAsia="微软雅黑" w:hint="eastAsia"/>
          <w:b/>
          <w:sz w:val="21"/>
        </w:rPr>
      </w:pPr>
      <w:r>
        <w:rPr>
          <w:rFonts w:ascii="微软雅黑" w:eastAsia="微软雅黑" w:hint="eastAsia"/>
          <w:b/>
          <w:sz w:val="21"/>
          <w:u w:val="single"/>
        </w:rPr>
        <w:t>请留意保险条款中特定用语的脚注及</w:t>
      </w:r>
      <w:r>
        <w:rPr>
          <w:rFonts w:ascii="微软雅黑" w:eastAsia="微软雅黑" w:hint="eastAsia"/>
          <w:b/>
          <w:spacing w:val="-5"/>
          <w:sz w:val="21"/>
          <w:u w:val="single"/>
        </w:rPr>
        <w:t>其</w:t>
      </w:r>
      <w:r>
        <w:rPr>
          <w:rFonts w:ascii="微软雅黑" w:eastAsia="微软雅黑" w:hint="eastAsia"/>
          <w:b/>
          <w:sz w:val="21"/>
          <w:u w:val="single"/>
        </w:rPr>
        <w:t>释义。</w:t>
        <w:tab/>
      </w:r>
    </w:p>
    <w:p>
      <w:pPr>
        <w:pStyle w:val="ListParagraph"/>
        <w:numPr>
          <w:ilvl w:val="0"/>
          <w:numId w:val="1"/>
        </w:numPr>
        <w:tabs>
          <w:tab w:pos="567" w:val="left" w:leader="none"/>
          <w:tab w:pos="568" w:val="left" w:leader="none"/>
        </w:tabs>
        <w:spacing w:line="240" w:lineRule="auto" w:before="199" w:after="0"/>
        <w:ind w:left="567" w:right="0" w:hanging="422"/>
        <w:jc w:val="left"/>
        <w:rPr>
          <w:rFonts w:ascii="微软雅黑" w:eastAsia="微软雅黑" w:hint="eastAsia"/>
          <w:b/>
          <w:sz w:val="21"/>
        </w:rPr>
      </w:pPr>
      <w:r>
        <w:rPr>
          <w:rFonts w:ascii="微软雅黑" w:eastAsia="微软雅黑" w:hint="eastAsia"/>
          <w:b/>
          <w:sz w:val="21"/>
        </w:rPr>
        <w:t>条款目录</w:t>
      </w:r>
    </w:p>
    <w:p>
      <w:pPr>
        <w:spacing w:after="0" w:line="240" w:lineRule="auto"/>
        <w:jc w:val="left"/>
        <w:rPr>
          <w:rFonts w:ascii="微软雅黑" w:eastAsia="微软雅黑" w:hint="eastAsia"/>
          <w:sz w:val="21"/>
        </w:rPr>
        <w:sectPr>
          <w:type w:val="continuous"/>
          <w:pgSz w:w="11910" w:h="16840"/>
          <w:pgMar w:top="500" w:bottom="280" w:left="820" w:right="820"/>
        </w:sectPr>
      </w:pPr>
    </w:p>
    <w:p>
      <w:pPr>
        <w:pStyle w:val="BodyText"/>
        <w:spacing w:before="3"/>
        <w:ind w:left="0"/>
        <w:rPr>
          <w:rFonts w:ascii="微软雅黑"/>
          <w:b/>
          <w:sz w:val="15"/>
        </w:rPr>
      </w:pPr>
    </w:p>
    <w:p>
      <w:pPr>
        <w:tabs>
          <w:tab w:pos="1412" w:val="left" w:leader="none"/>
        </w:tabs>
        <w:spacing w:line="223" w:lineRule="auto" w:before="0"/>
        <w:ind w:left="567" w:right="0" w:firstLine="0"/>
        <w:jc w:val="left"/>
        <w:rPr>
          <w:rFonts w:ascii="微软雅黑" w:eastAsia="微软雅黑" w:hint="eastAsia"/>
          <w:b/>
          <w:sz w:val="21"/>
        </w:rPr>
      </w:pPr>
      <w:r>
        <w:rPr>
          <w:rFonts w:ascii="微软雅黑" w:eastAsia="微软雅黑" w:hint="eastAsia"/>
          <w:b/>
          <w:sz w:val="21"/>
          <w:u w:val="single"/>
        </w:rPr>
        <w:t>第一部分</w:t>
      </w:r>
      <w:r>
        <w:rPr>
          <w:rFonts w:ascii="微软雅黑" w:eastAsia="微软雅黑" w:hint="eastAsia"/>
          <w:b/>
          <w:spacing w:val="60"/>
          <w:sz w:val="21"/>
          <w:u w:val="single"/>
        </w:rPr>
        <w:t> </w:t>
      </w:r>
      <w:r>
        <w:rPr>
          <w:rFonts w:ascii="微软雅黑" w:eastAsia="微软雅黑" w:hint="eastAsia"/>
          <w:b/>
          <w:sz w:val="21"/>
          <w:u w:val="single"/>
        </w:rPr>
        <w:t>本保险合同的共同条款</w:t>
      </w:r>
      <w:r>
        <w:rPr>
          <w:rFonts w:ascii="微软雅黑" w:eastAsia="微软雅黑" w:hint="eastAsia"/>
          <w:b/>
          <w:sz w:val="21"/>
        </w:rPr>
        <w:t>第一章</w:t>
        <w:tab/>
        <w:t>合同的构成与效力</w:t>
      </w:r>
    </w:p>
    <w:p>
      <w:pPr>
        <w:pStyle w:val="ListParagraph"/>
        <w:numPr>
          <w:ilvl w:val="0"/>
          <w:numId w:val="2"/>
        </w:numPr>
        <w:tabs>
          <w:tab w:pos="885" w:val="left" w:leader="none"/>
        </w:tabs>
        <w:spacing w:line="240" w:lineRule="auto" w:before="30" w:after="0"/>
        <w:ind w:left="567" w:right="0" w:firstLine="0"/>
        <w:jc w:val="left"/>
        <w:rPr>
          <w:sz w:val="21"/>
        </w:rPr>
      </w:pPr>
      <w:r>
        <w:rPr>
          <w:spacing w:val="-2"/>
          <w:sz w:val="21"/>
        </w:rPr>
        <w:t>合同的构成</w:t>
      </w:r>
    </w:p>
    <w:p>
      <w:pPr>
        <w:pStyle w:val="ListParagraph"/>
        <w:numPr>
          <w:ilvl w:val="0"/>
          <w:numId w:val="2"/>
        </w:numPr>
        <w:tabs>
          <w:tab w:pos="885" w:val="left" w:leader="none"/>
        </w:tabs>
        <w:spacing w:line="240" w:lineRule="auto" w:before="61" w:after="0"/>
        <w:ind w:left="567" w:right="0" w:firstLine="0"/>
        <w:jc w:val="left"/>
        <w:rPr>
          <w:sz w:val="21"/>
        </w:rPr>
      </w:pPr>
      <w:r>
        <w:rPr>
          <w:spacing w:val="-2"/>
          <w:sz w:val="21"/>
        </w:rPr>
        <w:t>合同的成立与生效</w:t>
      </w:r>
    </w:p>
    <w:p>
      <w:pPr>
        <w:pStyle w:val="ListParagraph"/>
        <w:numPr>
          <w:ilvl w:val="0"/>
          <w:numId w:val="2"/>
        </w:numPr>
        <w:tabs>
          <w:tab w:pos="885" w:val="left" w:leader="none"/>
        </w:tabs>
        <w:spacing w:line="240" w:lineRule="auto" w:before="61" w:after="0"/>
        <w:ind w:left="567" w:right="0" w:firstLine="0"/>
        <w:jc w:val="left"/>
        <w:rPr>
          <w:sz w:val="21"/>
        </w:rPr>
      </w:pPr>
      <w:r>
        <w:rPr>
          <w:spacing w:val="-2"/>
          <w:sz w:val="21"/>
        </w:rPr>
        <w:t>联系方式变更</w:t>
      </w:r>
    </w:p>
    <w:p>
      <w:pPr>
        <w:pStyle w:val="ListParagraph"/>
        <w:numPr>
          <w:ilvl w:val="0"/>
          <w:numId w:val="2"/>
        </w:numPr>
        <w:tabs>
          <w:tab w:pos="885" w:val="left" w:leader="none"/>
        </w:tabs>
        <w:spacing w:line="240" w:lineRule="auto" w:before="56" w:after="0"/>
        <w:ind w:left="567" w:right="0" w:firstLine="0"/>
        <w:jc w:val="left"/>
        <w:rPr>
          <w:sz w:val="21"/>
        </w:rPr>
      </w:pPr>
      <w:r>
        <w:rPr>
          <w:spacing w:val="-2"/>
          <w:sz w:val="21"/>
        </w:rPr>
        <w:t>合同内容变更</w:t>
      </w:r>
    </w:p>
    <w:p>
      <w:pPr>
        <w:pStyle w:val="ListParagraph"/>
        <w:numPr>
          <w:ilvl w:val="0"/>
          <w:numId w:val="2"/>
        </w:numPr>
        <w:tabs>
          <w:tab w:pos="885" w:val="left" w:leader="none"/>
          <w:tab w:pos="1412" w:val="left" w:leader="none"/>
        </w:tabs>
        <w:spacing w:line="240" w:lineRule="auto" w:before="61" w:after="0"/>
        <w:ind w:left="567" w:right="218" w:firstLine="0"/>
        <w:jc w:val="left"/>
        <w:rPr>
          <w:rFonts w:ascii="微软雅黑" w:eastAsia="微软雅黑" w:hint="eastAsia"/>
          <w:b/>
          <w:sz w:val="21"/>
        </w:rPr>
      </w:pPr>
      <w:r>
        <w:rPr>
          <w:sz w:val="21"/>
        </w:rPr>
        <w:t>您方解</w:t>
      </w:r>
      <w:r>
        <w:rPr>
          <w:spacing w:val="-5"/>
          <w:sz w:val="21"/>
        </w:rPr>
        <w:t>除</w:t>
      </w:r>
      <w:r>
        <w:rPr>
          <w:sz w:val="21"/>
        </w:rPr>
        <w:t>合同的</w:t>
      </w:r>
      <w:r>
        <w:rPr>
          <w:spacing w:val="-5"/>
          <w:sz w:val="21"/>
        </w:rPr>
        <w:t>手</w:t>
      </w:r>
      <w:r>
        <w:rPr>
          <w:sz w:val="21"/>
        </w:rPr>
        <w:t>续及风险</w:t>
      </w:r>
      <w:r>
        <w:rPr>
          <w:rFonts w:ascii="微软雅黑" w:eastAsia="微软雅黑" w:hint="eastAsia"/>
          <w:b/>
          <w:sz w:val="21"/>
        </w:rPr>
        <w:t>第二章</w:t>
        <w:tab/>
        <w:t>明确说明与如实告知</w:t>
      </w:r>
    </w:p>
    <w:p>
      <w:pPr>
        <w:pStyle w:val="ListParagraph"/>
        <w:numPr>
          <w:ilvl w:val="0"/>
          <w:numId w:val="2"/>
        </w:numPr>
        <w:tabs>
          <w:tab w:pos="885" w:val="left" w:leader="none"/>
        </w:tabs>
        <w:spacing w:line="240" w:lineRule="auto" w:before="30" w:after="0"/>
        <w:ind w:left="567" w:right="0" w:firstLine="0"/>
        <w:jc w:val="left"/>
        <w:rPr>
          <w:sz w:val="21"/>
        </w:rPr>
      </w:pPr>
      <w:r>
        <w:rPr>
          <w:spacing w:val="-3"/>
          <w:sz w:val="21"/>
        </w:rPr>
        <w:t>年龄的计算与错误处理</w:t>
      </w:r>
    </w:p>
    <w:p>
      <w:pPr>
        <w:pStyle w:val="ListParagraph"/>
        <w:numPr>
          <w:ilvl w:val="0"/>
          <w:numId w:val="2"/>
        </w:numPr>
        <w:tabs>
          <w:tab w:pos="885" w:val="left" w:leader="none"/>
        </w:tabs>
        <w:spacing w:line="240" w:lineRule="auto" w:before="60" w:after="0"/>
        <w:ind w:left="567" w:right="0" w:firstLine="0"/>
        <w:jc w:val="left"/>
        <w:rPr>
          <w:sz w:val="21"/>
        </w:rPr>
      </w:pPr>
      <w:r>
        <w:rPr>
          <w:spacing w:val="-3"/>
          <w:sz w:val="21"/>
        </w:rPr>
        <w:t>明确说明和如实告知</w:t>
      </w:r>
    </w:p>
    <w:p>
      <w:pPr>
        <w:pStyle w:val="ListParagraph"/>
        <w:numPr>
          <w:ilvl w:val="0"/>
          <w:numId w:val="2"/>
        </w:numPr>
        <w:tabs>
          <w:tab w:pos="885" w:val="left" w:leader="none"/>
          <w:tab w:pos="1412" w:val="left" w:leader="none"/>
        </w:tabs>
        <w:spacing w:line="240" w:lineRule="auto" w:before="55" w:after="0"/>
        <w:ind w:left="567" w:right="641" w:firstLine="0"/>
        <w:jc w:val="left"/>
        <w:rPr>
          <w:rFonts w:ascii="微软雅黑" w:eastAsia="微软雅黑" w:hint="eastAsia"/>
          <w:b/>
          <w:sz w:val="21"/>
        </w:rPr>
      </w:pPr>
      <w:r>
        <w:rPr>
          <w:sz w:val="21"/>
        </w:rPr>
        <w:t>我方合</w:t>
      </w:r>
      <w:r>
        <w:rPr>
          <w:spacing w:val="-5"/>
          <w:sz w:val="21"/>
        </w:rPr>
        <w:t>同</w:t>
      </w:r>
      <w:r>
        <w:rPr>
          <w:sz w:val="21"/>
        </w:rPr>
        <w:t>解除权</w:t>
      </w:r>
      <w:r>
        <w:rPr>
          <w:spacing w:val="-5"/>
          <w:sz w:val="21"/>
        </w:rPr>
        <w:t>的</w:t>
      </w:r>
      <w:r>
        <w:rPr>
          <w:sz w:val="21"/>
        </w:rPr>
        <w:t>限制</w:t>
      </w:r>
      <w:r>
        <w:rPr>
          <w:rFonts w:ascii="微软雅黑" w:eastAsia="微软雅黑" w:hint="eastAsia"/>
          <w:b/>
          <w:sz w:val="21"/>
        </w:rPr>
        <w:t>第三章</w:t>
        <w:tab/>
        <w:t>保险费</w:t>
      </w:r>
    </w:p>
    <w:p>
      <w:pPr>
        <w:pStyle w:val="ListParagraph"/>
        <w:numPr>
          <w:ilvl w:val="0"/>
          <w:numId w:val="2"/>
        </w:numPr>
        <w:tabs>
          <w:tab w:pos="885" w:val="left" w:leader="none"/>
        </w:tabs>
        <w:spacing w:line="240" w:lineRule="auto" w:before="35" w:after="0"/>
        <w:ind w:left="567" w:right="0" w:firstLine="0"/>
        <w:jc w:val="left"/>
        <w:rPr>
          <w:sz w:val="21"/>
        </w:rPr>
      </w:pPr>
      <w:r>
        <w:rPr>
          <w:spacing w:val="-2"/>
          <w:sz w:val="21"/>
        </w:rPr>
        <w:t>保险费的支付</w:t>
      </w:r>
    </w:p>
    <w:p>
      <w:pPr>
        <w:pStyle w:val="ListParagraph"/>
        <w:numPr>
          <w:ilvl w:val="0"/>
          <w:numId w:val="2"/>
        </w:numPr>
        <w:tabs>
          <w:tab w:pos="991" w:val="left" w:leader="none"/>
        </w:tabs>
        <w:spacing w:line="274" w:lineRule="exact" w:before="56" w:after="0"/>
        <w:ind w:left="990" w:right="0" w:hanging="423"/>
        <w:jc w:val="left"/>
        <w:rPr>
          <w:sz w:val="21"/>
        </w:rPr>
      </w:pPr>
      <w:r>
        <w:rPr>
          <w:sz w:val="21"/>
        </w:rPr>
        <w:t>宽限期</w:t>
      </w:r>
    </w:p>
    <w:p>
      <w:pPr>
        <w:pStyle w:val="Heading2"/>
        <w:tabs>
          <w:tab w:pos="1412" w:val="left" w:leader="none"/>
        </w:tabs>
        <w:spacing w:line="362" w:lineRule="exact"/>
        <w:ind w:left="567"/>
      </w:pPr>
      <w:r>
        <w:rPr/>
        <w:t>第四章</w:t>
        <w:tab/>
        <w:t>事故通知与责任核定</w:t>
      </w:r>
    </w:p>
    <w:p>
      <w:pPr>
        <w:pStyle w:val="ListParagraph"/>
        <w:numPr>
          <w:ilvl w:val="0"/>
          <w:numId w:val="2"/>
        </w:numPr>
        <w:tabs>
          <w:tab w:pos="991" w:val="left" w:leader="none"/>
        </w:tabs>
        <w:spacing w:line="240" w:lineRule="auto" w:before="36" w:after="0"/>
        <w:ind w:left="990" w:right="0" w:hanging="423"/>
        <w:jc w:val="left"/>
        <w:rPr>
          <w:sz w:val="21"/>
        </w:rPr>
      </w:pPr>
      <w:r>
        <w:rPr>
          <w:spacing w:val="-2"/>
          <w:sz w:val="21"/>
        </w:rPr>
        <w:t>保险事故通知</w:t>
      </w:r>
    </w:p>
    <w:p>
      <w:pPr>
        <w:pStyle w:val="ListParagraph"/>
        <w:numPr>
          <w:ilvl w:val="0"/>
          <w:numId w:val="2"/>
        </w:numPr>
        <w:tabs>
          <w:tab w:pos="976" w:val="left" w:leader="none"/>
        </w:tabs>
        <w:spacing w:line="240" w:lineRule="auto" w:before="56" w:after="0"/>
        <w:ind w:left="975" w:right="0" w:hanging="408"/>
        <w:jc w:val="left"/>
        <w:rPr>
          <w:sz w:val="21"/>
        </w:rPr>
      </w:pPr>
      <w:r>
        <w:rPr>
          <w:spacing w:val="-3"/>
          <w:sz w:val="21"/>
        </w:rPr>
        <w:t>申领保险金的注意事项</w:t>
      </w:r>
    </w:p>
    <w:p>
      <w:pPr>
        <w:pStyle w:val="ListParagraph"/>
        <w:numPr>
          <w:ilvl w:val="0"/>
          <w:numId w:val="2"/>
        </w:numPr>
        <w:tabs>
          <w:tab w:pos="991" w:val="left" w:leader="none"/>
        </w:tabs>
        <w:spacing w:line="240" w:lineRule="auto" w:before="61" w:after="0"/>
        <w:ind w:left="990" w:right="0" w:hanging="423"/>
        <w:jc w:val="left"/>
        <w:rPr>
          <w:sz w:val="21"/>
        </w:rPr>
      </w:pPr>
      <w:r>
        <w:rPr>
          <w:spacing w:val="-2"/>
          <w:sz w:val="21"/>
        </w:rPr>
        <w:t>保险金核定</w:t>
      </w:r>
    </w:p>
    <w:p>
      <w:pPr>
        <w:pStyle w:val="ListParagraph"/>
        <w:numPr>
          <w:ilvl w:val="0"/>
          <w:numId w:val="2"/>
        </w:numPr>
        <w:tabs>
          <w:tab w:pos="976" w:val="left" w:leader="none"/>
        </w:tabs>
        <w:spacing w:line="240" w:lineRule="auto" w:before="61" w:after="0"/>
        <w:ind w:left="975" w:right="0" w:hanging="408"/>
        <w:jc w:val="left"/>
        <w:rPr>
          <w:sz w:val="21"/>
        </w:rPr>
      </w:pPr>
      <w:r>
        <w:rPr>
          <w:spacing w:val="-2"/>
          <w:sz w:val="21"/>
        </w:rPr>
        <w:t>其他核定结果</w:t>
      </w:r>
    </w:p>
    <w:p>
      <w:pPr>
        <w:pStyle w:val="ListParagraph"/>
        <w:numPr>
          <w:ilvl w:val="0"/>
          <w:numId w:val="2"/>
        </w:numPr>
        <w:tabs>
          <w:tab w:pos="976" w:val="left" w:leader="none"/>
        </w:tabs>
        <w:spacing w:line="240" w:lineRule="auto" w:before="56" w:after="0"/>
        <w:ind w:left="975" w:right="0" w:hanging="408"/>
        <w:jc w:val="left"/>
        <w:rPr>
          <w:sz w:val="21"/>
        </w:rPr>
      </w:pPr>
      <w:r>
        <w:rPr>
          <w:spacing w:val="-2"/>
          <w:sz w:val="21"/>
        </w:rPr>
        <w:t>宣告死亡处理</w:t>
      </w:r>
    </w:p>
    <w:p>
      <w:pPr>
        <w:pStyle w:val="BodyText"/>
        <w:spacing w:before="11"/>
        <w:ind w:left="0"/>
        <w:rPr>
          <w:sz w:val="22"/>
        </w:rPr>
      </w:pPr>
      <w:r>
        <w:rPr/>
        <w:br w:type="column"/>
      </w:r>
      <w:r>
        <w:rPr>
          <w:sz w:val="22"/>
        </w:rPr>
      </w:r>
    </w:p>
    <w:p>
      <w:pPr>
        <w:pStyle w:val="ListParagraph"/>
        <w:numPr>
          <w:ilvl w:val="0"/>
          <w:numId w:val="2"/>
        </w:numPr>
        <w:tabs>
          <w:tab w:pos="991" w:val="left" w:leader="none"/>
        </w:tabs>
        <w:spacing w:line="274" w:lineRule="exact" w:before="1" w:after="0"/>
        <w:ind w:left="990" w:right="0" w:hanging="423"/>
        <w:jc w:val="left"/>
        <w:rPr>
          <w:sz w:val="21"/>
        </w:rPr>
      </w:pPr>
      <w:r>
        <w:rPr>
          <w:sz w:val="21"/>
        </w:rPr>
        <w:t>调查权</w:t>
      </w:r>
    </w:p>
    <w:p>
      <w:pPr>
        <w:pStyle w:val="Heading2"/>
        <w:tabs>
          <w:tab w:pos="1412" w:val="left" w:leader="none"/>
        </w:tabs>
        <w:spacing w:line="362" w:lineRule="exact"/>
        <w:ind w:left="567"/>
      </w:pPr>
      <w:r>
        <w:rPr/>
        <w:t>第五章</w:t>
        <w:tab/>
        <w:t>其他规定</w:t>
      </w:r>
    </w:p>
    <w:p>
      <w:pPr>
        <w:pStyle w:val="ListParagraph"/>
        <w:numPr>
          <w:ilvl w:val="0"/>
          <w:numId w:val="2"/>
        </w:numPr>
        <w:tabs>
          <w:tab w:pos="991" w:val="left" w:leader="none"/>
        </w:tabs>
        <w:spacing w:line="274" w:lineRule="exact" w:before="31" w:after="0"/>
        <w:ind w:left="990" w:right="0" w:hanging="423"/>
        <w:jc w:val="left"/>
        <w:rPr>
          <w:sz w:val="21"/>
        </w:rPr>
      </w:pPr>
      <w:r>
        <w:rPr>
          <w:spacing w:val="-3"/>
          <w:sz w:val="21"/>
        </w:rPr>
        <w:t>管辖权及争议处理</w:t>
      </w:r>
    </w:p>
    <w:p>
      <w:pPr>
        <w:pStyle w:val="Heading2"/>
        <w:tabs>
          <w:tab w:pos="1412" w:val="left" w:leader="none"/>
        </w:tabs>
        <w:spacing w:line="223" w:lineRule="auto" w:before="25"/>
        <w:ind w:left="567" w:right="1748"/>
      </w:pPr>
      <w:r>
        <w:rPr>
          <w:u w:val="single"/>
        </w:rPr>
        <w:t>第二部分</w:t>
      </w:r>
      <w:r>
        <w:rPr>
          <w:spacing w:val="48"/>
          <w:u w:val="single"/>
        </w:rPr>
        <w:t> </w:t>
      </w:r>
      <w:r>
        <w:rPr>
          <w:u w:val="single"/>
        </w:rPr>
        <w:t>主合同的特别条款</w:t>
      </w:r>
      <w:r>
        <w:rPr/>
        <w:t>第六章</w:t>
        <w:tab/>
        <w:t>保障范围及责任免除</w:t>
      </w:r>
    </w:p>
    <w:p>
      <w:pPr>
        <w:pStyle w:val="ListParagraph"/>
        <w:numPr>
          <w:ilvl w:val="0"/>
          <w:numId w:val="2"/>
        </w:numPr>
        <w:tabs>
          <w:tab w:pos="991" w:val="left" w:leader="none"/>
        </w:tabs>
        <w:spacing w:line="240" w:lineRule="auto" w:before="31" w:after="0"/>
        <w:ind w:left="990" w:right="0" w:hanging="423"/>
        <w:jc w:val="left"/>
        <w:rPr>
          <w:sz w:val="21"/>
        </w:rPr>
      </w:pPr>
      <w:r>
        <w:rPr>
          <w:spacing w:val="-2"/>
          <w:sz w:val="21"/>
        </w:rPr>
        <w:t>投保范围</w:t>
      </w:r>
    </w:p>
    <w:p>
      <w:pPr>
        <w:pStyle w:val="ListParagraph"/>
        <w:numPr>
          <w:ilvl w:val="0"/>
          <w:numId w:val="2"/>
        </w:numPr>
        <w:tabs>
          <w:tab w:pos="991" w:val="left" w:leader="none"/>
        </w:tabs>
        <w:spacing w:line="240" w:lineRule="auto" w:before="61" w:after="0"/>
        <w:ind w:left="990" w:right="0" w:hanging="423"/>
        <w:jc w:val="left"/>
        <w:rPr>
          <w:sz w:val="21"/>
        </w:rPr>
      </w:pPr>
      <w:r>
        <w:rPr>
          <w:spacing w:val="-2"/>
          <w:sz w:val="21"/>
        </w:rPr>
        <w:t>保险责任</w:t>
      </w:r>
    </w:p>
    <w:p>
      <w:pPr>
        <w:pStyle w:val="ListParagraph"/>
        <w:numPr>
          <w:ilvl w:val="0"/>
          <w:numId w:val="2"/>
        </w:numPr>
        <w:tabs>
          <w:tab w:pos="991" w:val="left" w:leader="none"/>
        </w:tabs>
        <w:spacing w:line="272" w:lineRule="exact" w:before="60" w:after="0"/>
        <w:ind w:left="990" w:right="0" w:hanging="423"/>
        <w:jc w:val="left"/>
        <w:rPr>
          <w:sz w:val="21"/>
        </w:rPr>
      </w:pPr>
      <w:r>
        <w:rPr>
          <w:spacing w:val="-2"/>
          <w:sz w:val="21"/>
        </w:rPr>
        <w:t>责任免除</w:t>
      </w:r>
    </w:p>
    <w:p>
      <w:pPr>
        <w:pStyle w:val="Heading2"/>
        <w:tabs>
          <w:tab w:pos="1412" w:val="left" w:leader="none"/>
        </w:tabs>
        <w:spacing w:line="360" w:lineRule="exact"/>
        <w:ind w:left="567"/>
      </w:pPr>
      <w:r>
        <w:rPr/>
        <w:t>第七章</w:t>
        <w:tab/>
        <w:t>保险期间、续保及基本保险</w:t>
      </w:r>
      <w:r>
        <w:rPr>
          <w:spacing w:val="-5"/>
        </w:rPr>
        <w:t>金</w:t>
      </w:r>
      <w:r>
        <w:rPr/>
        <w:t>额</w:t>
      </w:r>
    </w:p>
    <w:p>
      <w:pPr>
        <w:pStyle w:val="ListParagraph"/>
        <w:numPr>
          <w:ilvl w:val="0"/>
          <w:numId w:val="2"/>
        </w:numPr>
        <w:tabs>
          <w:tab w:pos="991" w:val="left" w:leader="none"/>
        </w:tabs>
        <w:spacing w:line="240" w:lineRule="auto" w:before="36" w:after="0"/>
        <w:ind w:left="990" w:right="0" w:hanging="423"/>
        <w:jc w:val="left"/>
        <w:rPr>
          <w:sz w:val="21"/>
        </w:rPr>
      </w:pPr>
      <w:r>
        <w:rPr>
          <w:spacing w:val="-2"/>
          <w:sz w:val="21"/>
        </w:rPr>
        <w:t>保险期间</w:t>
      </w:r>
    </w:p>
    <w:p>
      <w:pPr>
        <w:pStyle w:val="ListParagraph"/>
        <w:numPr>
          <w:ilvl w:val="0"/>
          <w:numId w:val="2"/>
        </w:numPr>
        <w:tabs>
          <w:tab w:pos="991" w:val="left" w:leader="none"/>
        </w:tabs>
        <w:spacing w:line="240" w:lineRule="auto" w:before="56" w:after="0"/>
        <w:ind w:left="990" w:right="0" w:hanging="423"/>
        <w:jc w:val="left"/>
        <w:rPr>
          <w:sz w:val="21"/>
        </w:rPr>
      </w:pPr>
      <w:r>
        <w:rPr>
          <w:sz w:val="21"/>
        </w:rPr>
        <w:t>续保</w:t>
      </w:r>
    </w:p>
    <w:p>
      <w:pPr>
        <w:pStyle w:val="ListParagraph"/>
        <w:numPr>
          <w:ilvl w:val="0"/>
          <w:numId w:val="2"/>
        </w:numPr>
        <w:tabs>
          <w:tab w:pos="991" w:val="left" w:leader="none"/>
          <w:tab w:pos="1412" w:val="left" w:leader="none"/>
        </w:tabs>
        <w:spacing w:line="240" w:lineRule="auto" w:before="62" w:after="0"/>
        <w:ind w:left="567" w:right="2592" w:firstLine="0"/>
        <w:jc w:val="left"/>
        <w:rPr>
          <w:rFonts w:ascii="微软雅黑" w:eastAsia="微软雅黑" w:hint="eastAsia"/>
          <w:b/>
          <w:sz w:val="21"/>
        </w:rPr>
      </w:pPr>
      <w:r>
        <w:rPr>
          <w:sz w:val="21"/>
        </w:rPr>
        <w:t>基本</w:t>
      </w:r>
      <w:r>
        <w:rPr>
          <w:spacing w:val="-5"/>
          <w:sz w:val="21"/>
        </w:rPr>
        <w:t>保</w:t>
      </w:r>
      <w:r>
        <w:rPr>
          <w:sz w:val="21"/>
        </w:rPr>
        <w:t>险金额 </w:t>
      </w:r>
      <w:r>
        <w:rPr>
          <w:rFonts w:ascii="微软雅黑" w:eastAsia="微软雅黑" w:hint="eastAsia"/>
          <w:b/>
          <w:sz w:val="21"/>
        </w:rPr>
        <w:t>第八章</w:t>
        <w:tab/>
        <w:t>保险金申领</w:t>
      </w:r>
    </w:p>
    <w:p>
      <w:pPr>
        <w:pStyle w:val="BodyText"/>
        <w:spacing w:before="31"/>
        <w:ind w:left="567"/>
      </w:pPr>
      <w:r>
        <w:rPr/>
        <w:t>24．受益人</w:t>
      </w:r>
    </w:p>
    <w:p>
      <w:pPr>
        <w:pStyle w:val="ListParagraph"/>
        <w:numPr>
          <w:ilvl w:val="0"/>
          <w:numId w:val="3"/>
        </w:numPr>
        <w:tabs>
          <w:tab w:pos="991" w:val="left" w:leader="none"/>
        </w:tabs>
        <w:spacing w:line="240" w:lineRule="auto" w:before="61" w:after="0"/>
        <w:ind w:left="990" w:right="0" w:hanging="423"/>
        <w:jc w:val="left"/>
        <w:rPr>
          <w:sz w:val="21"/>
        </w:rPr>
      </w:pPr>
      <w:r>
        <w:rPr>
          <w:spacing w:val="-2"/>
          <w:sz w:val="21"/>
        </w:rPr>
        <w:t>保险金申领资料</w:t>
      </w:r>
    </w:p>
    <w:p>
      <w:pPr>
        <w:pStyle w:val="ListParagraph"/>
        <w:numPr>
          <w:ilvl w:val="0"/>
          <w:numId w:val="3"/>
        </w:numPr>
        <w:tabs>
          <w:tab w:pos="991" w:val="left" w:leader="none"/>
        </w:tabs>
        <w:spacing w:line="272" w:lineRule="exact" w:before="61" w:after="0"/>
        <w:ind w:left="990" w:right="0" w:hanging="423"/>
        <w:jc w:val="left"/>
        <w:rPr>
          <w:sz w:val="21"/>
        </w:rPr>
      </w:pPr>
      <w:r>
        <w:rPr>
          <w:spacing w:val="-2"/>
          <w:sz w:val="21"/>
        </w:rPr>
        <w:t>诉讼时效</w:t>
      </w:r>
    </w:p>
    <w:p>
      <w:pPr>
        <w:pStyle w:val="Heading2"/>
        <w:tabs>
          <w:tab w:pos="1412" w:val="left" w:leader="none"/>
        </w:tabs>
        <w:spacing w:line="358" w:lineRule="exact"/>
        <w:ind w:left="567"/>
      </w:pPr>
      <w:r>
        <w:rPr/>
        <w:t>第九章</w:t>
        <w:tab/>
        <w:t>其他规定</w:t>
      </w:r>
    </w:p>
    <w:p>
      <w:pPr>
        <w:pStyle w:val="ListParagraph"/>
        <w:numPr>
          <w:ilvl w:val="0"/>
          <w:numId w:val="3"/>
        </w:numPr>
        <w:tabs>
          <w:tab w:pos="991" w:val="left" w:leader="none"/>
        </w:tabs>
        <w:spacing w:line="273" w:lineRule="exact" w:before="0" w:after="0"/>
        <w:ind w:left="990" w:right="0" w:hanging="423"/>
        <w:jc w:val="left"/>
        <w:rPr>
          <w:sz w:val="21"/>
        </w:rPr>
      </w:pPr>
      <w:r>
        <w:rPr>
          <w:sz w:val="21"/>
        </w:rPr>
        <w:t>手续费</w:t>
      </w:r>
    </w:p>
    <w:p>
      <w:pPr>
        <w:pStyle w:val="ListParagraph"/>
        <w:numPr>
          <w:ilvl w:val="0"/>
          <w:numId w:val="3"/>
        </w:numPr>
        <w:tabs>
          <w:tab w:pos="991" w:val="left" w:leader="none"/>
        </w:tabs>
        <w:spacing w:line="240" w:lineRule="auto" w:before="36" w:after="0"/>
        <w:ind w:left="990" w:right="0" w:hanging="423"/>
        <w:jc w:val="left"/>
        <w:rPr>
          <w:sz w:val="21"/>
        </w:rPr>
      </w:pPr>
      <w:r>
        <w:rPr>
          <w:spacing w:val="-3"/>
          <w:sz w:val="21"/>
        </w:rPr>
        <w:t>重大疾病的种类和定义</w:t>
      </w:r>
    </w:p>
    <w:p>
      <w:pPr>
        <w:spacing w:after="0" w:line="240" w:lineRule="auto"/>
        <w:jc w:val="left"/>
        <w:rPr>
          <w:sz w:val="21"/>
        </w:rPr>
        <w:sectPr>
          <w:type w:val="continuous"/>
          <w:pgSz w:w="11910" w:h="16840"/>
          <w:pgMar w:top="500" w:bottom="280" w:left="820" w:right="820"/>
          <w:cols w:num="2" w:equalWidth="0">
            <w:col w:w="3631" w:space="1569"/>
            <w:col w:w="50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pPr>
    </w:p>
    <w:p>
      <w:pPr>
        <w:pStyle w:val="BodyText"/>
        <w:spacing w:before="92"/>
        <w:ind w:left="4"/>
        <w:jc w:val="center"/>
        <w:rPr>
          <w:rFonts w:ascii="Times New Roman"/>
        </w:rPr>
      </w:pPr>
      <w:r>
        <w:rPr>
          <w:rFonts w:ascii="Times New Roman"/>
          <w:w w:val="100"/>
        </w:rPr>
        <w:t>1</w:t>
      </w:r>
    </w:p>
    <w:p>
      <w:pPr>
        <w:spacing w:after="0"/>
        <w:jc w:val="center"/>
        <w:rPr>
          <w:rFonts w:ascii="Times New Roman"/>
        </w:rPr>
        <w:sectPr>
          <w:type w:val="continuous"/>
          <w:pgSz w:w="11910" w:h="16840"/>
          <w:pgMar w:top="500" w:bottom="280" w:left="820" w:right="820"/>
        </w:sectPr>
      </w:pPr>
    </w:p>
    <w:p>
      <w:pPr>
        <w:pStyle w:val="Heading1"/>
        <w:spacing w:line="418" w:lineRule="exact"/>
        <w:ind w:left="2535"/>
      </w:pPr>
      <w:r>
        <w:rPr/>
        <w:t>招商信诺爱之诺少儿重大疾病保险条款</w:t>
      </w:r>
    </w:p>
    <w:p>
      <w:pPr>
        <w:pStyle w:val="BodyText"/>
        <w:spacing w:before="6"/>
        <w:ind w:left="0"/>
        <w:rPr>
          <w:rFonts w:ascii="微软雅黑"/>
          <w:b/>
          <w:sz w:val="19"/>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757"/>
        <w:gridCol w:w="7650"/>
      </w:tblGrid>
      <w:tr>
        <w:trPr>
          <w:trHeight w:val="1080" w:hRule="atLeast"/>
        </w:trPr>
        <w:tc>
          <w:tcPr>
            <w:tcW w:w="10041" w:type="dxa"/>
            <w:gridSpan w:val="3"/>
            <w:tcBorders>
              <w:top w:val="single" w:sz="4" w:space="0" w:color="000000"/>
              <w:bottom w:val="single" w:sz="4" w:space="0" w:color="000000"/>
            </w:tcBorders>
          </w:tcPr>
          <w:p>
            <w:pPr>
              <w:pStyle w:val="TableParagraph"/>
              <w:spacing w:before="14"/>
              <w:ind w:left="0"/>
              <w:rPr>
                <w:rFonts w:ascii="微软雅黑"/>
                <w:b/>
                <w:sz w:val="15"/>
              </w:rPr>
            </w:pPr>
          </w:p>
          <w:p>
            <w:pPr>
              <w:pStyle w:val="TableParagraph"/>
              <w:tabs>
                <w:tab w:pos="1162" w:val="left" w:leader="none"/>
              </w:tabs>
              <w:rPr>
                <w:rFonts w:ascii="微软雅黑" w:eastAsia="微软雅黑" w:hint="eastAsia"/>
                <w:b/>
                <w:sz w:val="21"/>
              </w:rPr>
            </w:pPr>
            <w:r>
              <w:rPr>
                <w:rFonts w:ascii="微软雅黑" w:eastAsia="微软雅黑" w:hint="eastAsia"/>
                <w:b/>
                <w:sz w:val="21"/>
              </w:rPr>
              <w:t>第一部分</w:t>
              <w:tab/>
              <w:t>本保险合同的共同条款</w:t>
            </w:r>
          </w:p>
        </w:tc>
      </w:tr>
      <w:tr>
        <w:trPr>
          <w:trHeight w:val="373" w:hRule="atLeast"/>
        </w:trPr>
        <w:tc>
          <w:tcPr>
            <w:tcW w:w="634" w:type="dxa"/>
            <w:tcBorders>
              <w:top w:val="single" w:sz="4" w:space="0" w:color="000000"/>
              <w:bottom w:val="single" w:sz="4" w:space="0" w:color="000000"/>
            </w:tcBorders>
          </w:tcPr>
          <w:p>
            <w:pPr>
              <w:pStyle w:val="TableParagraph"/>
              <w:ind w:left="0"/>
              <w:rPr>
                <w:rFonts w:ascii="Times New Roman"/>
                <w:sz w:val="20"/>
              </w:rPr>
            </w:pPr>
          </w:p>
        </w:tc>
        <w:tc>
          <w:tcPr>
            <w:tcW w:w="1757" w:type="dxa"/>
            <w:tcBorders>
              <w:top w:val="single" w:sz="4" w:space="0" w:color="000000"/>
              <w:bottom w:val="single" w:sz="4" w:space="0" w:color="000000"/>
            </w:tcBorders>
          </w:tcPr>
          <w:p>
            <w:pPr>
              <w:pStyle w:val="TableParagraph"/>
              <w:ind w:left="0"/>
              <w:rPr>
                <w:rFonts w:ascii="Times New Roman"/>
                <w:sz w:val="20"/>
              </w:rPr>
            </w:pPr>
          </w:p>
        </w:tc>
        <w:tc>
          <w:tcPr>
            <w:tcW w:w="7650" w:type="dxa"/>
            <w:tcBorders>
              <w:top w:val="single" w:sz="4" w:space="0" w:color="000000"/>
              <w:bottom w:val="single" w:sz="4" w:space="0" w:color="000000"/>
            </w:tcBorders>
          </w:tcPr>
          <w:p>
            <w:pPr>
              <w:pStyle w:val="TableParagraph"/>
              <w:tabs>
                <w:tab w:pos="2204" w:val="left" w:leader="none"/>
              </w:tabs>
              <w:spacing w:line="285" w:lineRule="exact"/>
              <w:ind w:left="1359"/>
              <w:rPr>
                <w:rFonts w:ascii="微软雅黑" w:eastAsia="微软雅黑" w:hint="eastAsia"/>
                <w:b/>
                <w:sz w:val="21"/>
              </w:rPr>
            </w:pPr>
            <w:r>
              <w:rPr>
                <w:rFonts w:ascii="微软雅黑" w:eastAsia="微软雅黑" w:hint="eastAsia"/>
                <w:b/>
                <w:sz w:val="21"/>
              </w:rPr>
              <w:t>第一章</w:t>
              <w:tab/>
              <w:t>合同的构成与效力</w:t>
            </w:r>
          </w:p>
        </w:tc>
      </w:tr>
      <w:tr>
        <w:trPr>
          <w:trHeight w:val="1837" w:hRule="atLeast"/>
        </w:trPr>
        <w:tc>
          <w:tcPr>
            <w:tcW w:w="634" w:type="dxa"/>
            <w:tcBorders>
              <w:top w:val="single" w:sz="4" w:space="0" w:color="000000"/>
            </w:tcBorders>
          </w:tcPr>
          <w:p>
            <w:pPr>
              <w:pStyle w:val="TableParagraph"/>
              <w:spacing w:line="261" w:lineRule="exact"/>
              <w:rPr>
                <w:rFonts w:ascii="微软雅黑"/>
                <w:b/>
                <w:sz w:val="21"/>
              </w:rPr>
            </w:pPr>
            <w:r>
              <w:rPr>
                <w:rFonts w:ascii="微软雅黑"/>
                <w:b/>
                <w:w w:val="110"/>
                <w:sz w:val="21"/>
              </w:rPr>
              <w:t>1.</w:t>
            </w:r>
          </w:p>
        </w:tc>
        <w:tc>
          <w:tcPr>
            <w:tcW w:w="1757" w:type="dxa"/>
            <w:tcBorders>
              <w:top w:val="single" w:sz="4" w:space="0" w:color="000000"/>
            </w:tcBorders>
          </w:tcPr>
          <w:p>
            <w:pPr>
              <w:pStyle w:val="TableParagraph"/>
              <w:spacing w:line="261" w:lineRule="exact"/>
              <w:ind w:left="316"/>
              <w:rPr>
                <w:rFonts w:ascii="微软雅黑" w:eastAsia="微软雅黑" w:hint="eastAsia"/>
                <w:b/>
                <w:sz w:val="21"/>
              </w:rPr>
            </w:pPr>
            <w:r>
              <w:rPr>
                <w:rFonts w:ascii="微软雅黑" w:eastAsia="微软雅黑" w:hint="eastAsia"/>
                <w:b/>
                <w:sz w:val="21"/>
              </w:rPr>
              <w:t>合同的构成</w:t>
            </w:r>
          </w:p>
        </w:tc>
        <w:tc>
          <w:tcPr>
            <w:tcW w:w="7650" w:type="dxa"/>
            <w:tcBorders>
              <w:top w:val="single" w:sz="4" w:space="0" w:color="000000"/>
            </w:tcBorders>
          </w:tcPr>
          <w:p>
            <w:pPr>
              <w:pStyle w:val="TableParagraph"/>
              <w:spacing w:line="260" w:lineRule="exact"/>
              <w:rPr>
                <w:sz w:val="21"/>
              </w:rPr>
            </w:pPr>
            <w:r>
              <w:rPr>
                <w:spacing w:val="-1"/>
                <w:w w:val="100"/>
                <w:sz w:val="21"/>
              </w:rPr>
              <w:t>本保险合同</w:t>
            </w:r>
            <w:r>
              <w:rPr>
                <w:spacing w:val="-5"/>
                <w:w w:val="100"/>
                <w:sz w:val="21"/>
              </w:rPr>
              <w:t>（</w:t>
            </w:r>
            <w:r>
              <w:rPr>
                <w:spacing w:val="-16"/>
                <w:w w:val="100"/>
                <w:sz w:val="21"/>
              </w:rPr>
              <w:t>以下简称“本合同”</w:t>
            </w:r>
            <w:r>
              <w:rPr>
                <w:spacing w:val="-5"/>
                <w:w w:val="100"/>
                <w:sz w:val="21"/>
              </w:rPr>
              <w:t>）</w:t>
            </w:r>
            <w:r>
              <w:rPr>
                <w:spacing w:val="-4"/>
                <w:w w:val="100"/>
                <w:sz w:val="21"/>
              </w:rPr>
              <w:t>包括以下部分：保险单</w:t>
            </w:r>
            <w:r>
              <w:rPr>
                <w:w w:val="100"/>
                <w:sz w:val="21"/>
              </w:rPr>
              <w:t>（</w:t>
            </w:r>
            <w:r>
              <w:rPr>
                <w:spacing w:val="-3"/>
                <w:w w:val="100"/>
                <w:sz w:val="21"/>
              </w:rPr>
              <w:t>或其他保险凭证</w:t>
            </w:r>
            <w:r>
              <w:rPr>
                <w:spacing w:val="-5"/>
                <w:w w:val="100"/>
                <w:sz w:val="21"/>
              </w:rPr>
              <w:t>）</w:t>
            </w:r>
            <w:r>
              <w:rPr>
                <w:w w:val="100"/>
                <w:sz w:val="21"/>
              </w:rPr>
              <w:t>及</w:t>
            </w:r>
          </w:p>
          <w:p>
            <w:pPr>
              <w:pStyle w:val="TableParagraph"/>
              <w:spacing w:line="273" w:lineRule="auto" w:before="37"/>
              <w:ind w:right="122"/>
              <w:rPr>
                <w:sz w:val="21"/>
              </w:rPr>
            </w:pPr>
            <w:r>
              <w:rPr>
                <w:sz w:val="21"/>
              </w:rPr>
              <w:t>所附条款、与本合同有关的投保文件、合法有效的声明、批注、附贴批单、其他协议。</w:t>
            </w:r>
          </w:p>
          <w:p>
            <w:pPr>
              <w:pStyle w:val="TableParagraph"/>
              <w:spacing w:before="69"/>
              <w:rPr>
                <w:sz w:val="21"/>
              </w:rPr>
            </w:pPr>
            <w:r>
              <w:rPr>
                <w:sz w:val="21"/>
              </w:rPr>
              <w:t>《招商信诺爱之诺少儿重大疾病保险》为本合同的主合同。</w:t>
            </w:r>
          </w:p>
          <w:p>
            <w:pPr>
              <w:pStyle w:val="TableParagraph"/>
              <w:spacing w:before="75"/>
              <w:rPr>
                <w:sz w:val="21"/>
              </w:rPr>
            </w:pPr>
            <w:r>
              <w:rPr>
                <w:spacing w:val="-17"/>
                <w:w w:val="100"/>
                <w:sz w:val="21"/>
              </w:rPr>
              <w:t>在本合同中，“您方”指投保人，“我方”指招商信诺人寿保险有限公司。</w:t>
            </w:r>
          </w:p>
        </w:tc>
      </w:tr>
      <w:tr>
        <w:trPr>
          <w:trHeight w:val="2825" w:hRule="atLeast"/>
        </w:trPr>
        <w:tc>
          <w:tcPr>
            <w:tcW w:w="634" w:type="dxa"/>
          </w:tcPr>
          <w:p>
            <w:pPr>
              <w:pStyle w:val="TableParagraph"/>
              <w:spacing w:before="102"/>
              <w:rPr>
                <w:rFonts w:ascii="微软雅黑"/>
                <w:b/>
                <w:sz w:val="21"/>
              </w:rPr>
            </w:pPr>
            <w:r>
              <w:rPr>
                <w:rFonts w:ascii="微软雅黑"/>
                <w:b/>
                <w:w w:val="81"/>
                <w:sz w:val="21"/>
              </w:rPr>
              <w:t>2</w:t>
            </w:r>
            <w:r>
              <w:rPr>
                <w:rFonts w:ascii="微软雅黑"/>
                <w:b/>
                <w:w w:val="176"/>
                <w:sz w:val="21"/>
              </w:rPr>
              <w:t>.</w:t>
            </w:r>
          </w:p>
        </w:tc>
        <w:tc>
          <w:tcPr>
            <w:tcW w:w="1757" w:type="dxa"/>
          </w:tcPr>
          <w:p>
            <w:pPr>
              <w:pStyle w:val="TableParagraph"/>
              <w:spacing w:before="2"/>
              <w:ind w:left="0"/>
              <w:rPr>
                <w:rFonts w:ascii="微软雅黑"/>
                <w:b/>
                <w:sz w:val="11"/>
              </w:rPr>
            </w:pPr>
          </w:p>
          <w:p>
            <w:pPr>
              <w:pStyle w:val="TableParagraph"/>
              <w:spacing w:line="180" w:lineRule="auto"/>
              <w:ind w:left="316" w:right="105"/>
              <w:rPr>
                <w:rFonts w:ascii="微软雅黑" w:eastAsia="微软雅黑" w:hint="eastAsia"/>
                <w:b/>
                <w:sz w:val="21"/>
              </w:rPr>
            </w:pPr>
            <w:r>
              <w:rPr>
                <w:rFonts w:ascii="微软雅黑" w:eastAsia="微软雅黑" w:hint="eastAsia"/>
                <w:b/>
                <w:sz w:val="21"/>
              </w:rPr>
              <w:t>合同的成立与生效</w:t>
            </w:r>
          </w:p>
        </w:tc>
        <w:tc>
          <w:tcPr>
            <w:tcW w:w="7650" w:type="dxa"/>
          </w:tcPr>
          <w:p>
            <w:pPr>
              <w:pStyle w:val="TableParagraph"/>
              <w:spacing w:line="292" w:lineRule="auto" w:before="164"/>
              <w:ind w:right="2707"/>
              <w:rPr>
                <w:sz w:val="21"/>
              </w:rPr>
            </w:pPr>
            <w:r>
              <w:rPr>
                <w:sz w:val="21"/>
              </w:rPr>
              <w:t>您方提出保险申请，经我方同意承保，本合同成立。本合同生效时间在保险单上载明。</w:t>
            </w:r>
          </w:p>
          <w:p>
            <w:pPr>
              <w:pStyle w:val="TableParagraph"/>
              <w:spacing w:before="14"/>
              <w:rPr>
                <w:sz w:val="21"/>
              </w:rPr>
            </w:pPr>
            <w:r>
              <w:rPr>
                <w:sz w:val="21"/>
              </w:rPr>
              <w:t>您方未支付本合同首期保险费的，本合同自始无效。</w:t>
            </w:r>
          </w:p>
          <w:p>
            <w:pPr>
              <w:pStyle w:val="TableParagraph"/>
              <w:spacing w:before="56"/>
              <w:ind w:right="6"/>
              <w:rPr>
                <w:sz w:val="21"/>
              </w:rPr>
            </w:pPr>
            <w:r>
              <w:rPr>
                <w:sz w:val="21"/>
              </w:rPr>
              <w:t>保单周年日为本合同生效日在每年的对应日；保单年度为在本合同有效期间内， 自本合同生效日起或者每一保单周年日起一年；保险费约定支付日为本合同生效</w:t>
            </w:r>
            <w:r>
              <w:rPr>
                <w:spacing w:val="-5"/>
                <w:sz w:val="21"/>
              </w:rPr>
              <w:t>日在每月、每季、每半年或者每年</w:t>
            </w:r>
            <w:r>
              <w:rPr>
                <w:sz w:val="21"/>
              </w:rPr>
              <w:t>（</w:t>
            </w:r>
            <w:r>
              <w:rPr>
                <w:spacing w:val="-5"/>
                <w:sz w:val="21"/>
              </w:rPr>
              <w:t>根据本合同约定的交费方式确定</w:t>
            </w:r>
            <w:r>
              <w:rPr>
                <w:spacing w:val="-10"/>
                <w:sz w:val="21"/>
              </w:rPr>
              <w:t>）</w:t>
            </w:r>
            <w:r>
              <w:rPr>
                <w:spacing w:val="-2"/>
                <w:sz w:val="21"/>
              </w:rPr>
              <w:t>的对应日。</w:t>
            </w:r>
            <w:r>
              <w:rPr>
                <w:spacing w:val="-5"/>
                <w:sz w:val="21"/>
              </w:rPr>
              <w:t>如果当月无对应的同一日，则以该月最后一日为对应日。</w:t>
            </w:r>
          </w:p>
          <w:p>
            <w:pPr>
              <w:pStyle w:val="TableParagraph"/>
              <w:spacing w:before="56"/>
              <w:rPr>
                <w:sz w:val="21"/>
              </w:rPr>
            </w:pPr>
            <w:r>
              <w:rPr>
                <w:sz w:val="21"/>
              </w:rPr>
              <w:t>本合同中的时间均为北京时间。</w:t>
            </w:r>
          </w:p>
        </w:tc>
      </w:tr>
      <w:tr>
        <w:trPr>
          <w:trHeight w:val="1485" w:hRule="atLeast"/>
        </w:trPr>
        <w:tc>
          <w:tcPr>
            <w:tcW w:w="634" w:type="dxa"/>
          </w:tcPr>
          <w:p>
            <w:pPr>
              <w:pStyle w:val="TableParagraph"/>
              <w:spacing w:before="104"/>
              <w:rPr>
                <w:rFonts w:ascii="微软雅黑"/>
                <w:b/>
                <w:sz w:val="21"/>
              </w:rPr>
            </w:pPr>
            <w:r>
              <w:rPr>
                <w:rFonts w:ascii="微软雅黑"/>
                <w:b/>
                <w:w w:val="81"/>
                <w:sz w:val="21"/>
              </w:rPr>
              <w:t>3</w:t>
            </w:r>
            <w:r>
              <w:rPr>
                <w:rFonts w:ascii="微软雅黑"/>
                <w:b/>
                <w:w w:val="176"/>
                <w:sz w:val="21"/>
              </w:rPr>
              <w:t>.</w:t>
            </w:r>
          </w:p>
        </w:tc>
        <w:tc>
          <w:tcPr>
            <w:tcW w:w="1757" w:type="dxa"/>
          </w:tcPr>
          <w:p>
            <w:pPr>
              <w:pStyle w:val="TableParagraph"/>
              <w:spacing w:before="104"/>
              <w:ind w:left="316"/>
              <w:rPr>
                <w:rFonts w:ascii="微软雅黑" w:eastAsia="微软雅黑" w:hint="eastAsia"/>
                <w:b/>
                <w:sz w:val="21"/>
              </w:rPr>
            </w:pPr>
            <w:r>
              <w:rPr>
                <w:rFonts w:ascii="微软雅黑" w:eastAsia="微软雅黑" w:hint="eastAsia"/>
                <w:b/>
                <w:sz w:val="21"/>
              </w:rPr>
              <w:t>联系方式变更</w:t>
            </w:r>
          </w:p>
        </w:tc>
        <w:tc>
          <w:tcPr>
            <w:tcW w:w="7650" w:type="dxa"/>
          </w:tcPr>
          <w:p>
            <w:pPr>
              <w:pStyle w:val="TableParagraph"/>
              <w:spacing w:line="237" w:lineRule="auto" w:before="169"/>
              <w:ind w:right="1"/>
              <w:rPr>
                <w:sz w:val="21"/>
              </w:rPr>
            </w:pPr>
            <w:r>
              <w:rPr>
                <w:spacing w:val="-6"/>
                <w:sz w:val="21"/>
              </w:rPr>
              <w:t>为了保障您方的合法权益，如果您方的住所、通讯地址或电话等联系方式变更时， </w:t>
            </w:r>
            <w:r>
              <w:rPr>
                <w:spacing w:val="-5"/>
                <w:sz w:val="21"/>
              </w:rPr>
              <w:t>请及时以书面或双方认可的其他形式通知我方。如果您方未以书面或双方认可的</w:t>
            </w:r>
            <w:r>
              <w:rPr>
                <w:spacing w:val="-4"/>
                <w:sz w:val="21"/>
              </w:rPr>
              <w:t>其他形式通知我方，我方按本合同最终载明的住所或通讯地址发送的有关通知， </w:t>
            </w:r>
            <w:r>
              <w:rPr>
                <w:spacing w:val="-5"/>
                <w:sz w:val="21"/>
              </w:rPr>
              <w:t>均视为已送达给您方。</w:t>
            </w:r>
          </w:p>
        </w:tc>
      </w:tr>
      <w:tr>
        <w:trPr>
          <w:trHeight w:val="1820" w:hRule="atLeast"/>
        </w:trPr>
        <w:tc>
          <w:tcPr>
            <w:tcW w:w="634" w:type="dxa"/>
          </w:tcPr>
          <w:p>
            <w:pPr>
              <w:pStyle w:val="TableParagraph"/>
              <w:spacing w:before="101"/>
              <w:rPr>
                <w:rFonts w:ascii="微软雅黑"/>
                <w:b/>
                <w:sz w:val="21"/>
              </w:rPr>
            </w:pPr>
            <w:r>
              <w:rPr>
                <w:rFonts w:ascii="微软雅黑"/>
                <w:b/>
                <w:w w:val="81"/>
                <w:sz w:val="21"/>
              </w:rPr>
              <w:t>4</w:t>
            </w:r>
            <w:r>
              <w:rPr>
                <w:rFonts w:ascii="微软雅黑"/>
                <w:b/>
                <w:w w:val="176"/>
                <w:sz w:val="21"/>
              </w:rPr>
              <w:t>.</w:t>
            </w:r>
          </w:p>
        </w:tc>
        <w:tc>
          <w:tcPr>
            <w:tcW w:w="1757" w:type="dxa"/>
          </w:tcPr>
          <w:p>
            <w:pPr>
              <w:pStyle w:val="TableParagraph"/>
              <w:spacing w:before="101"/>
              <w:ind w:left="316"/>
              <w:rPr>
                <w:rFonts w:ascii="微软雅黑" w:eastAsia="微软雅黑" w:hint="eastAsia"/>
                <w:b/>
                <w:sz w:val="21"/>
              </w:rPr>
            </w:pPr>
            <w:r>
              <w:rPr>
                <w:rFonts w:ascii="微软雅黑" w:eastAsia="微软雅黑" w:hint="eastAsia"/>
                <w:b/>
                <w:sz w:val="21"/>
              </w:rPr>
              <w:t>合同内容变更</w:t>
            </w:r>
          </w:p>
        </w:tc>
        <w:tc>
          <w:tcPr>
            <w:tcW w:w="7650" w:type="dxa"/>
          </w:tcPr>
          <w:p>
            <w:pPr>
              <w:pStyle w:val="TableParagraph"/>
              <w:spacing w:before="164"/>
              <w:ind w:right="122"/>
              <w:jc w:val="both"/>
              <w:rPr>
                <w:sz w:val="21"/>
              </w:rPr>
            </w:pPr>
            <w:r>
              <w:rPr>
                <w:sz w:val="21"/>
              </w:rPr>
              <w:t>本合同有效期间内，经您我双方协商一致，可以变更本合同的有关内容。变更本合同的，我方将会给您方送交一份新的保险单或在原保险合同上批注，或者寄送批单。</w:t>
            </w:r>
          </w:p>
          <w:p>
            <w:pPr>
              <w:pStyle w:val="TableParagraph"/>
              <w:spacing w:before="56"/>
              <w:ind w:right="4"/>
              <w:rPr>
                <w:sz w:val="21"/>
              </w:rPr>
            </w:pPr>
            <w:r>
              <w:rPr>
                <w:spacing w:val="-6"/>
                <w:sz w:val="21"/>
              </w:rPr>
              <w:t>未经我方批准或批注，本合同的任何变动都将是无效的。我方的任何保险代理人、</w:t>
            </w:r>
            <w:r>
              <w:rPr>
                <w:spacing w:val="-5"/>
                <w:sz w:val="21"/>
              </w:rPr>
              <w:t>销售代表和服务代表都无权修正或豁免本合同的任何规定。</w:t>
            </w:r>
          </w:p>
        </w:tc>
      </w:tr>
      <w:tr>
        <w:trPr>
          <w:trHeight w:val="2187" w:hRule="atLeast"/>
        </w:trPr>
        <w:tc>
          <w:tcPr>
            <w:tcW w:w="634" w:type="dxa"/>
          </w:tcPr>
          <w:p>
            <w:pPr>
              <w:pStyle w:val="TableParagraph"/>
              <w:spacing w:before="102"/>
              <w:rPr>
                <w:rFonts w:ascii="微软雅黑"/>
                <w:b/>
                <w:sz w:val="21"/>
              </w:rPr>
            </w:pPr>
            <w:r>
              <w:rPr>
                <w:rFonts w:ascii="微软雅黑"/>
                <w:b/>
                <w:w w:val="81"/>
                <w:sz w:val="21"/>
              </w:rPr>
              <w:t>5</w:t>
            </w:r>
            <w:r>
              <w:rPr>
                <w:rFonts w:ascii="微软雅黑"/>
                <w:b/>
                <w:w w:val="176"/>
                <w:sz w:val="21"/>
              </w:rPr>
              <w:t>.</w:t>
            </w:r>
          </w:p>
        </w:tc>
        <w:tc>
          <w:tcPr>
            <w:tcW w:w="1757" w:type="dxa"/>
          </w:tcPr>
          <w:p>
            <w:pPr>
              <w:pStyle w:val="TableParagraph"/>
              <w:spacing w:before="2"/>
              <w:ind w:left="0"/>
              <w:rPr>
                <w:rFonts w:ascii="微软雅黑"/>
                <w:b/>
                <w:sz w:val="11"/>
              </w:rPr>
            </w:pPr>
          </w:p>
          <w:p>
            <w:pPr>
              <w:pStyle w:val="TableParagraph"/>
              <w:spacing w:line="180" w:lineRule="auto"/>
              <w:ind w:left="316" w:right="104"/>
              <w:rPr>
                <w:rFonts w:ascii="微软雅黑" w:eastAsia="微软雅黑" w:hint="eastAsia"/>
                <w:b/>
                <w:sz w:val="21"/>
              </w:rPr>
            </w:pPr>
            <w:r>
              <w:rPr>
                <w:rFonts w:ascii="微软雅黑" w:eastAsia="微软雅黑" w:hint="eastAsia"/>
                <w:b/>
                <w:sz w:val="21"/>
              </w:rPr>
              <w:t>您方解除合同的手续及风险</w:t>
            </w:r>
          </w:p>
        </w:tc>
        <w:tc>
          <w:tcPr>
            <w:tcW w:w="7650" w:type="dxa"/>
          </w:tcPr>
          <w:p>
            <w:pPr>
              <w:pStyle w:val="TableParagraph"/>
              <w:spacing w:before="5"/>
              <w:ind w:left="0"/>
              <w:rPr>
                <w:rFonts w:ascii="微软雅黑"/>
                <w:b/>
                <w:sz w:val="12"/>
              </w:rPr>
            </w:pPr>
          </w:p>
          <w:p>
            <w:pPr>
              <w:pStyle w:val="TableParagraph"/>
              <w:ind w:right="103"/>
              <w:rPr>
                <w:sz w:val="21"/>
              </w:rPr>
            </w:pPr>
            <w:r>
              <w:rPr>
                <w:spacing w:val="-6"/>
                <w:sz w:val="21"/>
              </w:rPr>
              <w:t>您方要求解除本合同的，应向我方提出申请，并提供保险合同及有效身份证件,我</w:t>
            </w:r>
            <w:r>
              <w:rPr>
                <w:spacing w:val="-8"/>
                <w:sz w:val="21"/>
              </w:rPr>
              <w:t>方自收到解除合同通知之日起 </w:t>
            </w:r>
            <w:r>
              <w:rPr>
                <w:sz w:val="21"/>
              </w:rPr>
              <w:t>30</w:t>
            </w:r>
            <w:r>
              <w:rPr>
                <w:spacing w:val="-8"/>
                <w:sz w:val="21"/>
              </w:rPr>
              <w:t> 天内按如下方式处理：</w:t>
            </w:r>
          </w:p>
          <w:p>
            <w:pPr>
              <w:pStyle w:val="TableParagraph"/>
              <w:spacing w:line="235" w:lineRule="auto" w:before="66"/>
              <w:ind w:right="119"/>
              <w:rPr>
                <w:sz w:val="21"/>
              </w:rPr>
            </w:pPr>
            <w:r>
              <w:rPr>
                <w:sz w:val="21"/>
              </w:rPr>
              <w:t>一、如果您方选择的交费方式为月交，则本合同将自我方收到解除合同要求之日后的第一个保险费约定支付日起效力终止；</w:t>
            </w:r>
          </w:p>
          <w:p>
            <w:pPr>
              <w:pStyle w:val="TableParagraph"/>
              <w:ind w:right="104"/>
              <w:rPr>
                <w:sz w:val="21"/>
              </w:rPr>
            </w:pPr>
            <w:r>
              <w:rPr>
                <w:sz w:val="21"/>
              </w:rPr>
              <w:t>二、如果您方选择的交费方式为月交以外的其他交费方式，则本合同自我方收到</w:t>
            </w:r>
            <w:r>
              <w:rPr>
                <w:spacing w:val="-6"/>
                <w:sz w:val="21"/>
              </w:rPr>
              <w:t>解除合同要求之日起效力终止，我方自收到解除合同要求之日起 </w:t>
            </w:r>
            <w:r>
              <w:rPr>
                <w:spacing w:val="-3"/>
                <w:sz w:val="21"/>
              </w:rPr>
              <w:t>30</w:t>
            </w:r>
            <w:r>
              <w:rPr>
                <w:spacing w:val="-7"/>
                <w:sz w:val="21"/>
              </w:rPr>
              <w:t> 天内向您方退</w:t>
            </w:r>
          </w:p>
          <w:p>
            <w:pPr>
              <w:pStyle w:val="TableParagraph"/>
              <w:spacing w:line="254" w:lineRule="exact" w:before="1"/>
              <w:rPr>
                <w:sz w:val="21"/>
              </w:rPr>
            </w:pPr>
            <w:r>
              <w:rPr>
                <w:sz w:val="21"/>
              </w:rPr>
              <w:t>还本合同的</w:t>
            </w:r>
            <w:r>
              <w:rPr>
                <w:rFonts w:ascii="微软雅黑" w:eastAsia="微软雅黑" w:hint="eastAsia"/>
                <w:b/>
                <w:sz w:val="21"/>
              </w:rPr>
              <w:t>未满期净保费</w:t>
            </w:r>
            <w:r>
              <w:rPr>
                <w:rFonts w:ascii="微软雅黑" w:eastAsia="微软雅黑" w:hint="eastAsia"/>
                <w:b/>
                <w:position w:val="11"/>
                <w:sz w:val="11"/>
              </w:rPr>
              <w:t>1</w:t>
            </w:r>
            <w:r>
              <w:rPr>
                <w:sz w:val="21"/>
              </w:rPr>
              <w:t>。</w:t>
            </w:r>
          </w:p>
        </w:tc>
      </w:tr>
    </w:tbl>
    <w:p>
      <w:pPr>
        <w:pStyle w:val="BodyText"/>
        <w:ind w:left="0"/>
        <w:rPr>
          <w:rFonts w:ascii="微软雅黑"/>
          <w:b/>
          <w:sz w:val="20"/>
        </w:rPr>
      </w:pPr>
    </w:p>
    <w:p>
      <w:pPr>
        <w:pStyle w:val="BodyText"/>
        <w:spacing w:before="14"/>
        <w:ind w:left="0"/>
        <w:rPr>
          <w:rFonts w:ascii="微软雅黑"/>
          <w:b/>
          <w:sz w:val="23"/>
        </w:rPr>
      </w:pPr>
      <w:r>
        <w:rPr/>
        <w:pict>
          <v:line style="position:absolute;mso-position-horizontal-relative:page;mso-position-vertical-relative:paragraph;z-index:1216;mso-wrap-distance-left:0;mso-wrap-distance-right:0" from="48.264pt,22.763872pt" to="192.314pt,22.763872pt" stroked="true" strokeweight=".47998pt" strokecolor="#000000">
            <v:stroke dashstyle="solid"/>
            <w10:wrap type="topAndBottom"/>
          </v:line>
        </w:pict>
      </w:r>
    </w:p>
    <w:p>
      <w:pPr>
        <w:spacing w:line="351" w:lineRule="exact" w:before="28"/>
        <w:ind w:left="105" w:right="0" w:firstLine="0"/>
        <w:jc w:val="left"/>
        <w:rPr>
          <w:sz w:val="21"/>
        </w:rPr>
      </w:pPr>
      <w:r>
        <w:rPr>
          <w:rFonts w:ascii="Microsoft JhengHei" w:hAnsi="Microsoft JhengHei" w:eastAsia="Microsoft JhengHei" w:hint="eastAsia"/>
          <w:b/>
          <w:position w:val="11"/>
          <w:sz w:val="11"/>
        </w:rPr>
        <w:t>1     </w:t>
      </w:r>
      <w:r>
        <w:rPr>
          <w:rFonts w:ascii="Microsoft JhengHei" w:hAnsi="Microsoft JhengHei" w:eastAsia="Microsoft JhengHei" w:hint="eastAsia"/>
          <w:b/>
          <w:sz w:val="21"/>
        </w:rPr>
        <w:t>未满期净保费：</w:t>
      </w:r>
      <w:r>
        <w:rPr>
          <w:sz w:val="21"/>
        </w:rPr>
        <w:t>指未满期保险费扣除手续费后的剩余保费。其计算公式为：最近一期所支付的保险费×（1</w:t>
      </w:r>
    </w:p>
    <w:p>
      <w:pPr>
        <w:pStyle w:val="BodyText"/>
        <w:spacing w:line="274" w:lineRule="exact" w:before="11"/>
        <w:ind w:left="105" w:right="174"/>
      </w:pPr>
      <w:r>
        <w:rPr>
          <w:spacing w:val="-3"/>
          <w:w w:val="100"/>
        </w:rPr>
        <w:t>－该保险费所保障的已经过天数</w:t>
      </w:r>
      <w:r>
        <w:rPr>
          <w:w w:val="100"/>
        </w:rPr>
        <w:t>/</w:t>
      </w:r>
      <w:r>
        <w:rPr>
          <w:spacing w:val="-3"/>
          <w:w w:val="100"/>
        </w:rPr>
        <w:t>该保险费所保障的期间天数</w:t>
      </w:r>
      <w:r>
        <w:rPr>
          <w:w w:val="100"/>
        </w:rPr>
        <w:t>）</w:t>
      </w:r>
      <w:r>
        <w:rPr>
          <w:spacing w:val="-5"/>
          <w:w w:val="100"/>
        </w:rPr>
        <w:t>×</w:t>
      </w:r>
      <w:r>
        <w:rPr>
          <w:spacing w:val="0"/>
          <w:w w:val="100"/>
        </w:rPr>
        <w:t>（</w:t>
      </w:r>
      <w:r>
        <w:rPr>
          <w:w w:val="100"/>
        </w:rPr>
        <w:t>1－</w:t>
      </w:r>
      <w:r>
        <w:rPr>
          <w:spacing w:val="-2"/>
          <w:w w:val="100"/>
        </w:rPr>
        <w:t>手续费比例</w:t>
      </w:r>
      <w:r>
        <w:rPr>
          <w:spacing w:val="-111"/>
          <w:w w:val="100"/>
        </w:rPr>
        <w:t>）</w:t>
      </w:r>
      <w:r>
        <w:rPr>
          <w:spacing w:val="-4"/>
          <w:w w:val="100"/>
        </w:rPr>
        <w:t>，手续费比例由主合同特</w:t>
      </w:r>
      <w:r>
        <w:rPr>
          <w:spacing w:val="-5"/>
        </w:rPr>
        <w:t>别条款和附加合同条款规定。</w:t>
      </w:r>
    </w:p>
    <w:p>
      <w:pPr>
        <w:spacing w:after="0" w:line="274" w:lineRule="exact"/>
        <w:sectPr>
          <w:footerReference w:type="default" r:id="rId6"/>
          <w:pgSz w:w="11910" w:h="16840"/>
          <w:pgMar w:footer="863" w:header="0" w:top="1500" w:bottom="1060" w:left="860" w:right="780"/>
          <w:pgNumType w:start="2"/>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04"/>
        <w:gridCol w:w="7650"/>
      </w:tblGrid>
      <w:tr>
        <w:trPr>
          <w:trHeight w:val="310" w:hRule="atLeast"/>
        </w:trPr>
        <w:tc>
          <w:tcPr>
            <w:tcW w:w="687" w:type="dxa"/>
            <w:tcBorders>
              <w:bottom w:val="single" w:sz="4" w:space="0" w:color="000000"/>
            </w:tcBorders>
          </w:tcPr>
          <w:p>
            <w:pPr>
              <w:pStyle w:val="TableParagraph"/>
              <w:ind w:left="0"/>
              <w:rPr>
                <w:rFonts w:ascii="Times New Roman"/>
                <w:sz w:val="20"/>
              </w:rPr>
            </w:pPr>
          </w:p>
        </w:tc>
        <w:tc>
          <w:tcPr>
            <w:tcW w:w="1704" w:type="dxa"/>
            <w:tcBorders>
              <w:bottom w:val="single" w:sz="4" w:space="0" w:color="000000"/>
            </w:tcBorders>
          </w:tcPr>
          <w:p>
            <w:pPr>
              <w:pStyle w:val="TableParagraph"/>
              <w:ind w:left="0"/>
              <w:rPr>
                <w:rFonts w:ascii="Times New Roman"/>
                <w:sz w:val="20"/>
              </w:rPr>
            </w:pPr>
          </w:p>
        </w:tc>
        <w:tc>
          <w:tcPr>
            <w:tcW w:w="7650" w:type="dxa"/>
            <w:tcBorders>
              <w:bottom w:val="single" w:sz="4" w:space="0" w:color="000000"/>
            </w:tcBorders>
          </w:tcPr>
          <w:p>
            <w:pPr>
              <w:pStyle w:val="TableParagraph"/>
              <w:tabs>
                <w:tab w:pos="844" w:val="left" w:leader="none"/>
              </w:tabs>
              <w:spacing w:line="236" w:lineRule="exact"/>
              <w:ind w:left="0" w:right="2394"/>
              <w:jc w:val="center"/>
              <w:rPr>
                <w:rFonts w:ascii="微软雅黑" w:eastAsia="微软雅黑" w:hint="eastAsia"/>
                <w:b/>
                <w:sz w:val="21"/>
              </w:rPr>
            </w:pPr>
            <w:r>
              <w:rPr>
                <w:rFonts w:ascii="微软雅黑" w:eastAsia="微软雅黑" w:hint="eastAsia"/>
                <w:b/>
                <w:sz w:val="21"/>
              </w:rPr>
              <w:t>第二章</w:t>
              <w:tab/>
              <w:t>明确说明与如实告知</w:t>
            </w:r>
          </w:p>
        </w:tc>
      </w:tr>
      <w:tr>
        <w:trPr>
          <w:trHeight w:val="3373" w:hRule="atLeast"/>
        </w:trPr>
        <w:tc>
          <w:tcPr>
            <w:tcW w:w="687" w:type="dxa"/>
            <w:tcBorders>
              <w:top w:val="single" w:sz="4" w:space="0" w:color="000000"/>
            </w:tcBorders>
          </w:tcPr>
          <w:p>
            <w:pPr>
              <w:pStyle w:val="TableParagraph"/>
              <w:spacing w:line="261" w:lineRule="exact"/>
              <w:rPr>
                <w:rFonts w:ascii="微软雅黑"/>
                <w:b/>
                <w:sz w:val="21"/>
              </w:rPr>
            </w:pPr>
            <w:r>
              <w:rPr>
                <w:rFonts w:ascii="微软雅黑"/>
                <w:b/>
                <w:w w:val="81"/>
                <w:sz w:val="21"/>
              </w:rPr>
              <w:t>6</w:t>
            </w:r>
            <w:r>
              <w:rPr>
                <w:rFonts w:ascii="微软雅黑"/>
                <w:b/>
                <w:w w:val="176"/>
                <w:sz w:val="21"/>
              </w:rPr>
              <w:t>.</w:t>
            </w:r>
          </w:p>
        </w:tc>
        <w:tc>
          <w:tcPr>
            <w:tcW w:w="1704" w:type="dxa"/>
            <w:tcBorders>
              <w:top w:val="single" w:sz="4" w:space="0" w:color="000000"/>
            </w:tcBorders>
          </w:tcPr>
          <w:p>
            <w:pPr>
              <w:pStyle w:val="TableParagraph"/>
              <w:spacing w:line="180" w:lineRule="auto"/>
              <w:ind w:left="263" w:right="105"/>
              <w:rPr>
                <w:rFonts w:ascii="微软雅黑" w:eastAsia="微软雅黑" w:hint="eastAsia"/>
                <w:b/>
                <w:sz w:val="21"/>
              </w:rPr>
            </w:pPr>
            <w:r>
              <w:rPr>
                <w:rFonts w:ascii="微软雅黑" w:eastAsia="微软雅黑" w:hint="eastAsia"/>
                <w:b/>
                <w:sz w:val="21"/>
              </w:rPr>
              <w:t>年龄的计算与错误处理</w:t>
            </w:r>
          </w:p>
        </w:tc>
        <w:tc>
          <w:tcPr>
            <w:tcW w:w="7650" w:type="dxa"/>
            <w:tcBorders>
              <w:top w:val="single" w:sz="4" w:space="0" w:color="000000"/>
            </w:tcBorders>
          </w:tcPr>
          <w:p>
            <w:pPr>
              <w:pStyle w:val="TableParagraph"/>
              <w:spacing w:line="235" w:lineRule="exact"/>
              <w:ind w:left="139"/>
              <w:rPr>
                <w:sz w:val="21"/>
              </w:rPr>
            </w:pPr>
            <w:r>
              <w:rPr>
                <w:sz w:val="21"/>
              </w:rPr>
              <w:t>本合同中的年龄为以出生证明载明的出生时间计算的周岁年龄，自出生时起为零</w:t>
            </w:r>
          </w:p>
          <w:p>
            <w:pPr>
              <w:pStyle w:val="TableParagraph"/>
              <w:spacing w:line="274" w:lineRule="exact"/>
              <w:ind w:left="139"/>
              <w:rPr>
                <w:sz w:val="21"/>
              </w:rPr>
            </w:pPr>
            <w:r>
              <w:rPr>
                <w:spacing w:val="-9"/>
                <w:sz w:val="21"/>
              </w:rPr>
              <w:t>周岁；没有出生证明的，以户籍登记或者其他有效身份证件记载的出生时间为准。</w:t>
            </w:r>
          </w:p>
          <w:p>
            <w:pPr>
              <w:pStyle w:val="TableParagraph"/>
              <w:spacing w:before="56"/>
              <w:ind w:left="139" w:right="113"/>
              <w:jc w:val="both"/>
              <w:rPr>
                <w:sz w:val="21"/>
              </w:rPr>
            </w:pPr>
            <w:r>
              <w:rPr>
                <w:sz w:val="21"/>
              </w:rPr>
              <w:t>您方申报的被保险人年龄不真实，并且其真实年龄不符合本合同约定的投保年龄范围的，我方可解除本合同。解除合同时，我方将向您方退还未满期净保费。若已给付保险金，则我方有权要求受益人退还已给付的全部保险金。</w:t>
            </w:r>
          </w:p>
          <w:p>
            <w:pPr>
              <w:pStyle w:val="TableParagraph"/>
              <w:spacing w:line="237" w:lineRule="auto" w:before="63"/>
              <w:ind w:left="139" w:right="116"/>
              <w:jc w:val="both"/>
              <w:rPr>
                <w:sz w:val="21"/>
              </w:rPr>
            </w:pPr>
            <w:r>
              <w:rPr>
                <w:sz w:val="21"/>
              </w:rPr>
              <w:t>您方申报的被保险人年龄不真实，致使实付保险费少于应付保险费的，我方有权更正并要求您方补交保险费。若补交保险费前已发生保险事故，我方在给付保险金时按照实付保险费与应付保险费的比例折算给付保险金；折算给付的保险金＝ 应给付的保险金×(实付保险费÷应付保险费)。</w:t>
            </w:r>
          </w:p>
          <w:p>
            <w:pPr>
              <w:pStyle w:val="TableParagraph"/>
              <w:spacing w:before="56"/>
              <w:ind w:left="139" w:right="116"/>
              <w:jc w:val="both"/>
              <w:rPr>
                <w:sz w:val="21"/>
              </w:rPr>
            </w:pPr>
            <w:r>
              <w:rPr>
                <w:sz w:val="21"/>
              </w:rPr>
              <w:t>您方申报的被保险人年龄不真实，致使实付保险费多于应付保险费的，我方将多收的保险费无息退还您方。</w:t>
            </w:r>
          </w:p>
        </w:tc>
      </w:tr>
      <w:tr>
        <w:trPr>
          <w:trHeight w:val="4585" w:hRule="atLeast"/>
        </w:trPr>
        <w:tc>
          <w:tcPr>
            <w:tcW w:w="687" w:type="dxa"/>
          </w:tcPr>
          <w:p>
            <w:pPr>
              <w:pStyle w:val="TableParagraph"/>
              <w:spacing w:before="101"/>
              <w:rPr>
                <w:rFonts w:ascii="微软雅黑"/>
                <w:b/>
                <w:sz w:val="21"/>
              </w:rPr>
            </w:pPr>
            <w:r>
              <w:rPr>
                <w:rFonts w:ascii="微软雅黑"/>
                <w:b/>
                <w:w w:val="81"/>
                <w:sz w:val="21"/>
              </w:rPr>
              <w:t>7</w:t>
            </w:r>
            <w:r>
              <w:rPr>
                <w:rFonts w:ascii="微软雅黑"/>
                <w:b/>
                <w:w w:val="176"/>
                <w:sz w:val="21"/>
              </w:rPr>
              <w:t>.</w:t>
            </w:r>
          </w:p>
        </w:tc>
        <w:tc>
          <w:tcPr>
            <w:tcW w:w="1704" w:type="dxa"/>
          </w:tcPr>
          <w:p>
            <w:pPr>
              <w:pStyle w:val="TableParagraph"/>
              <w:spacing w:before="9"/>
              <w:ind w:left="0"/>
              <w:rPr>
                <w:sz w:val="14"/>
              </w:rPr>
            </w:pPr>
          </w:p>
          <w:p>
            <w:pPr>
              <w:pStyle w:val="TableParagraph"/>
              <w:spacing w:line="180" w:lineRule="auto"/>
              <w:ind w:left="263" w:right="105"/>
              <w:rPr>
                <w:rFonts w:ascii="微软雅黑" w:eastAsia="微软雅黑" w:hint="eastAsia"/>
                <w:b/>
                <w:sz w:val="21"/>
              </w:rPr>
            </w:pPr>
            <w:r>
              <w:rPr>
                <w:rFonts w:ascii="微软雅黑" w:eastAsia="微软雅黑" w:hint="eastAsia"/>
                <w:b/>
                <w:sz w:val="21"/>
              </w:rPr>
              <w:t>明确说明和如实告知</w:t>
            </w:r>
          </w:p>
        </w:tc>
        <w:tc>
          <w:tcPr>
            <w:tcW w:w="7650" w:type="dxa"/>
          </w:tcPr>
          <w:p>
            <w:pPr>
              <w:pStyle w:val="TableParagraph"/>
              <w:spacing w:before="164"/>
              <w:rPr>
                <w:sz w:val="21"/>
              </w:rPr>
            </w:pPr>
            <w:r>
              <w:rPr>
                <w:sz w:val="21"/>
              </w:rPr>
              <w:t>订立本合同时，我方应向您方明确说明本合同的条款内容。</w:t>
            </w:r>
          </w:p>
          <w:p>
            <w:pPr>
              <w:pStyle w:val="TableParagraph"/>
              <w:spacing w:before="61"/>
              <w:ind w:right="5"/>
              <w:jc w:val="both"/>
              <w:rPr>
                <w:sz w:val="21"/>
              </w:rPr>
            </w:pPr>
            <w:r>
              <w:rPr>
                <w:sz w:val="21"/>
              </w:rPr>
              <w:t>对保险条款中免除我方责任的条款，我方在订立本合同时应当在投保单、保险单或者其他保险凭证上作出足以引起您方注意的提示，并对该条款的内容以书面或</w:t>
            </w:r>
            <w:r>
              <w:rPr>
                <w:spacing w:val="-6"/>
                <w:sz w:val="21"/>
              </w:rPr>
              <w:t>者口头形式向您方作出明确说明，未作提示或者明确说明的，该条款不产生效力。</w:t>
            </w:r>
          </w:p>
          <w:p>
            <w:pPr>
              <w:pStyle w:val="TableParagraph"/>
              <w:spacing w:before="56"/>
              <w:rPr>
                <w:sz w:val="21"/>
              </w:rPr>
            </w:pPr>
            <w:r>
              <w:rPr>
                <w:spacing w:val="-6"/>
                <w:sz w:val="21"/>
              </w:rPr>
              <w:t>订立本合同时，我方就您方和被保险人的有关情况提出询问，您方应当如实告知。</w:t>
            </w:r>
          </w:p>
          <w:p>
            <w:pPr>
              <w:pStyle w:val="TableParagraph"/>
              <w:spacing w:before="60"/>
              <w:ind w:right="122"/>
              <w:rPr>
                <w:sz w:val="21"/>
              </w:rPr>
            </w:pPr>
            <w:r>
              <w:rPr>
                <w:sz w:val="21"/>
              </w:rPr>
              <w:t>如果您方故意或因重大过失未履行前款规定的如实告知义务，足以影响我方决定是否同意承保或者提高保险费率的，我方有权解除本合同。</w:t>
            </w:r>
          </w:p>
          <w:p>
            <w:pPr>
              <w:pStyle w:val="TableParagraph"/>
              <w:spacing w:before="56"/>
              <w:ind w:right="119"/>
              <w:rPr>
                <w:sz w:val="21"/>
              </w:rPr>
            </w:pPr>
            <w:r>
              <w:rPr>
                <w:sz w:val="21"/>
              </w:rPr>
              <w:t>如果您方故意不履行如实告知义务的，我方对于本合同解除前发生的保险事故， 不承担给付保险金的责任，并不退还保险费。</w:t>
            </w:r>
          </w:p>
          <w:p>
            <w:pPr>
              <w:pStyle w:val="TableParagraph"/>
              <w:spacing w:line="237" w:lineRule="auto" w:before="64"/>
              <w:ind w:right="118"/>
              <w:jc w:val="both"/>
              <w:rPr>
                <w:sz w:val="21"/>
              </w:rPr>
            </w:pPr>
            <w:r>
              <w:rPr>
                <w:sz w:val="21"/>
              </w:rPr>
              <w:t>如果您方因重大过失未履行如实告知义务，对保险事故的发生有严重影响的，我方对于本合同解除前发生的保险事故，不承担给付保险金的责任，但应当无息退还保险费。</w:t>
            </w:r>
          </w:p>
          <w:p>
            <w:pPr>
              <w:pStyle w:val="TableParagraph"/>
              <w:spacing w:before="61"/>
              <w:ind w:right="120"/>
              <w:rPr>
                <w:sz w:val="21"/>
              </w:rPr>
            </w:pPr>
            <w:r>
              <w:rPr>
                <w:sz w:val="21"/>
              </w:rPr>
              <w:t>我方在合同订立时已经知道您方未如实告知的情况的，不会解除合同；发生保险事故的，我方承担给付保险金的责任。</w:t>
            </w:r>
          </w:p>
        </w:tc>
      </w:tr>
      <w:tr>
        <w:trPr>
          <w:trHeight w:val="953" w:hRule="atLeast"/>
        </w:trPr>
        <w:tc>
          <w:tcPr>
            <w:tcW w:w="687" w:type="dxa"/>
          </w:tcPr>
          <w:p>
            <w:pPr>
              <w:pStyle w:val="TableParagraph"/>
              <w:spacing w:before="101"/>
              <w:rPr>
                <w:rFonts w:ascii="微软雅黑"/>
                <w:b/>
                <w:sz w:val="21"/>
              </w:rPr>
            </w:pPr>
            <w:r>
              <w:rPr>
                <w:rFonts w:ascii="微软雅黑"/>
                <w:b/>
                <w:w w:val="81"/>
                <w:sz w:val="21"/>
              </w:rPr>
              <w:t>8</w:t>
            </w:r>
            <w:r>
              <w:rPr>
                <w:rFonts w:ascii="微软雅黑"/>
                <w:b/>
                <w:w w:val="176"/>
                <w:sz w:val="21"/>
              </w:rPr>
              <w:t>.</w:t>
            </w:r>
          </w:p>
        </w:tc>
        <w:tc>
          <w:tcPr>
            <w:tcW w:w="1704" w:type="dxa"/>
          </w:tcPr>
          <w:p>
            <w:pPr>
              <w:pStyle w:val="TableParagraph"/>
              <w:spacing w:before="9"/>
              <w:ind w:left="0"/>
              <w:rPr>
                <w:sz w:val="14"/>
              </w:rPr>
            </w:pPr>
          </w:p>
          <w:p>
            <w:pPr>
              <w:pStyle w:val="TableParagraph"/>
              <w:spacing w:line="180" w:lineRule="auto"/>
              <w:ind w:left="263" w:right="105"/>
              <w:rPr>
                <w:rFonts w:ascii="微软雅黑" w:eastAsia="微软雅黑" w:hint="eastAsia"/>
                <w:b/>
                <w:sz w:val="21"/>
              </w:rPr>
            </w:pPr>
            <w:r>
              <w:rPr>
                <w:rFonts w:ascii="微软雅黑" w:eastAsia="微软雅黑" w:hint="eastAsia"/>
                <w:b/>
                <w:sz w:val="21"/>
              </w:rPr>
              <w:t>我方合同解除权的限制</w:t>
            </w:r>
          </w:p>
        </w:tc>
        <w:tc>
          <w:tcPr>
            <w:tcW w:w="7650" w:type="dxa"/>
          </w:tcPr>
          <w:p>
            <w:pPr>
              <w:pStyle w:val="TableParagraph"/>
              <w:spacing w:before="164"/>
              <w:ind w:right="113"/>
              <w:rPr>
                <w:sz w:val="21"/>
              </w:rPr>
            </w:pPr>
            <w:r>
              <w:rPr>
                <w:spacing w:val="-12"/>
                <w:sz w:val="21"/>
              </w:rPr>
              <w:t>前述第 </w:t>
            </w:r>
            <w:r>
              <w:rPr>
                <w:sz w:val="21"/>
              </w:rPr>
              <w:t>6</w:t>
            </w:r>
            <w:r>
              <w:rPr>
                <w:spacing w:val="-27"/>
                <w:sz w:val="21"/>
              </w:rPr>
              <w:t> 条、第 </w:t>
            </w:r>
            <w:r>
              <w:rPr>
                <w:sz w:val="21"/>
              </w:rPr>
              <w:t>7</w:t>
            </w:r>
            <w:r>
              <w:rPr>
                <w:spacing w:val="-13"/>
                <w:sz w:val="21"/>
              </w:rPr>
              <w:t> 条规定的解除权，自我方知道有解除事由之日起，超过 </w:t>
            </w:r>
            <w:r>
              <w:rPr>
                <w:sz w:val="21"/>
              </w:rPr>
              <w:t>30 天不</w:t>
            </w:r>
            <w:r>
              <w:rPr>
                <w:spacing w:val="-1"/>
                <w:sz w:val="21"/>
              </w:rPr>
              <w:t>行使而消灭。</w:t>
            </w:r>
          </w:p>
        </w:tc>
      </w:tr>
      <w:tr>
        <w:trPr>
          <w:trHeight w:val="565" w:hRule="atLeast"/>
        </w:trPr>
        <w:tc>
          <w:tcPr>
            <w:tcW w:w="687" w:type="dxa"/>
            <w:tcBorders>
              <w:bottom w:val="single" w:sz="4" w:space="0" w:color="000000"/>
            </w:tcBorders>
          </w:tcPr>
          <w:p>
            <w:pPr>
              <w:pStyle w:val="TableParagraph"/>
              <w:ind w:left="0"/>
              <w:rPr>
                <w:rFonts w:ascii="Times New Roman"/>
                <w:sz w:val="20"/>
              </w:rPr>
            </w:pPr>
          </w:p>
        </w:tc>
        <w:tc>
          <w:tcPr>
            <w:tcW w:w="1704" w:type="dxa"/>
            <w:tcBorders>
              <w:bottom w:val="single" w:sz="4" w:space="0" w:color="000000"/>
            </w:tcBorders>
          </w:tcPr>
          <w:p>
            <w:pPr>
              <w:pStyle w:val="TableParagraph"/>
              <w:ind w:left="0"/>
              <w:rPr>
                <w:rFonts w:ascii="Times New Roman"/>
                <w:sz w:val="20"/>
              </w:rPr>
            </w:pPr>
          </w:p>
        </w:tc>
        <w:tc>
          <w:tcPr>
            <w:tcW w:w="7650" w:type="dxa"/>
            <w:tcBorders>
              <w:bottom w:val="single" w:sz="4" w:space="0" w:color="000000"/>
            </w:tcBorders>
          </w:tcPr>
          <w:p>
            <w:pPr>
              <w:pStyle w:val="TableParagraph"/>
              <w:spacing w:before="114"/>
              <w:ind w:left="0" w:right="2394"/>
              <w:jc w:val="center"/>
              <w:rPr>
                <w:rFonts w:ascii="微软雅黑" w:eastAsia="微软雅黑" w:hint="eastAsia"/>
                <w:b/>
                <w:sz w:val="21"/>
              </w:rPr>
            </w:pPr>
            <w:r>
              <w:rPr>
                <w:rFonts w:ascii="微软雅黑" w:eastAsia="微软雅黑" w:hint="eastAsia"/>
                <w:b/>
                <w:sz w:val="21"/>
              </w:rPr>
              <w:t>第三章   保险费</w:t>
            </w:r>
          </w:p>
        </w:tc>
      </w:tr>
      <w:tr>
        <w:trPr>
          <w:trHeight w:val="1181" w:hRule="atLeast"/>
        </w:trPr>
        <w:tc>
          <w:tcPr>
            <w:tcW w:w="687" w:type="dxa"/>
            <w:tcBorders>
              <w:top w:val="single" w:sz="4" w:space="0" w:color="000000"/>
            </w:tcBorders>
          </w:tcPr>
          <w:p>
            <w:pPr>
              <w:pStyle w:val="TableParagraph"/>
              <w:spacing w:line="261" w:lineRule="exact"/>
              <w:rPr>
                <w:rFonts w:ascii="微软雅黑"/>
                <w:b/>
                <w:sz w:val="21"/>
              </w:rPr>
            </w:pPr>
            <w:r>
              <w:rPr>
                <w:rFonts w:ascii="微软雅黑"/>
                <w:b/>
                <w:w w:val="81"/>
                <w:sz w:val="21"/>
              </w:rPr>
              <w:t>9</w:t>
            </w:r>
            <w:r>
              <w:rPr>
                <w:rFonts w:ascii="微软雅黑"/>
                <w:b/>
                <w:w w:val="176"/>
                <w:sz w:val="21"/>
              </w:rPr>
              <w:t>.</w:t>
            </w:r>
          </w:p>
        </w:tc>
        <w:tc>
          <w:tcPr>
            <w:tcW w:w="1704" w:type="dxa"/>
            <w:tcBorders>
              <w:top w:val="single" w:sz="4" w:space="0" w:color="000000"/>
            </w:tcBorders>
          </w:tcPr>
          <w:p>
            <w:pPr>
              <w:pStyle w:val="TableParagraph"/>
              <w:spacing w:line="261" w:lineRule="exact"/>
              <w:ind w:left="263"/>
              <w:rPr>
                <w:rFonts w:ascii="微软雅黑" w:eastAsia="微软雅黑" w:hint="eastAsia"/>
                <w:b/>
                <w:sz w:val="21"/>
              </w:rPr>
            </w:pPr>
            <w:r>
              <w:rPr>
                <w:rFonts w:ascii="微软雅黑" w:eastAsia="微软雅黑" w:hint="eastAsia"/>
                <w:b/>
                <w:sz w:val="21"/>
              </w:rPr>
              <w:t>保险费的支付</w:t>
            </w:r>
          </w:p>
        </w:tc>
        <w:tc>
          <w:tcPr>
            <w:tcW w:w="7650" w:type="dxa"/>
            <w:tcBorders>
              <w:top w:val="single" w:sz="4" w:space="0" w:color="000000"/>
            </w:tcBorders>
          </w:tcPr>
          <w:p>
            <w:pPr>
              <w:pStyle w:val="TableParagraph"/>
              <w:spacing w:line="260" w:lineRule="exact"/>
              <w:rPr>
                <w:sz w:val="21"/>
              </w:rPr>
            </w:pPr>
            <w:r>
              <w:rPr>
                <w:sz w:val="21"/>
              </w:rPr>
              <w:t>本合同的交费方式和交费期间由您方和我方在投保时约定，并在保险单上载明。</w:t>
            </w:r>
          </w:p>
          <w:p>
            <w:pPr>
              <w:pStyle w:val="TableParagraph"/>
              <w:spacing w:line="273" w:lineRule="auto" w:before="99"/>
              <w:ind w:right="119"/>
              <w:rPr>
                <w:sz w:val="21"/>
              </w:rPr>
            </w:pPr>
            <w:r>
              <w:rPr>
                <w:sz w:val="21"/>
              </w:rPr>
              <w:t>分期支付保险费的，您方应在每一个保险费约定支付日或该日期之前支付保险单上载明的保险费。</w:t>
            </w:r>
          </w:p>
        </w:tc>
      </w:tr>
      <w:tr>
        <w:trPr>
          <w:trHeight w:val="2182" w:hRule="atLeast"/>
        </w:trPr>
        <w:tc>
          <w:tcPr>
            <w:tcW w:w="687" w:type="dxa"/>
          </w:tcPr>
          <w:p>
            <w:pPr>
              <w:pStyle w:val="TableParagraph"/>
              <w:spacing w:before="109"/>
              <w:rPr>
                <w:rFonts w:ascii="微软雅黑"/>
                <w:b/>
                <w:sz w:val="21"/>
              </w:rPr>
            </w:pPr>
            <w:r>
              <w:rPr>
                <w:rFonts w:ascii="微软雅黑"/>
                <w:b/>
                <w:w w:val="81"/>
                <w:sz w:val="21"/>
              </w:rPr>
              <w:t>10</w:t>
            </w:r>
            <w:r>
              <w:rPr>
                <w:rFonts w:ascii="微软雅黑"/>
                <w:b/>
                <w:w w:val="176"/>
                <w:sz w:val="21"/>
              </w:rPr>
              <w:t>.</w:t>
            </w:r>
          </w:p>
        </w:tc>
        <w:tc>
          <w:tcPr>
            <w:tcW w:w="1704" w:type="dxa"/>
          </w:tcPr>
          <w:p>
            <w:pPr>
              <w:pStyle w:val="TableParagraph"/>
              <w:spacing w:before="109"/>
              <w:ind w:left="263"/>
              <w:rPr>
                <w:rFonts w:ascii="微软雅黑" w:eastAsia="微软雅黑" w:hint="eastAsia"/>
                <w:b/>
                <w:sz w:val="21"/>
              </w:rPr>
            </w:pPr>
            <w:r>
              <w:rPr>
                <w:rFonts w:ascii="微软雅黑" w:eastAsia="微软雅黑" w:hint="eastAsia"/>
                <w:b/>
                <w:sz w:val="21"/>
              </w:rPr>
              <w:t>宽限期</w:t>
            </w:r>
          </w:p>
        </w:tc>
        <w:tc>
          <w:tcPr>
            <w:tcW w:w="7650" w:type="dxa"/>
          </w:tcPr>
          <w:p>
            <w:pPr>
              <w:pStyle w:val="TableParagraph"/>
              <w:spacing w:before="171"/>
              <w:ind w:right="122"/>
              <w:rPr>
                <w:sz w:val="21"/>
              </w:rPr>
            </w:pPr>
            <w:r>
              <w:rPr>
                <w:sz w:val="21"/>
              </w:rPr>
              <w:t>分期支付保险费的，您方支付本合同首期保险费后，在保险费约定支付日未支付本合同规定的保险费的，自保险费约定支付日起 60 天内为宽限期。</w:t>
            </w:r>
          </w:p>
          <w:p>
            <w:pPr>
              <w:pStyle w:val="TableParagraph"/>
              <w:spacing w:before="60"/>
              <w:ind w:right="120"/>
              <w:rPr>
                <w:sz w:val="21"/>
              </w:rPr>
            </w:pPr>
            <w:r>
              <w:rPr>
                <w:sz w:val="21"/>
              </w:rPr>
              <w:t>宽限期内发生保险事故的，我方按本合同约定承担保险责任，但在给付保险金时将扣减您方欠交的保险费。</w:t>
            </w:r>
          </w:p>
          <w:p>
            <w:pPr>
              <w:pStyle w:val="TableParagraph"/>
              <w:spacing w:before="56"/>
              <w:ind w:right="120"/>
              <w:rPr>
                <w:sz w:val="21"/>
              </w:rPr>
            </w:pPr>
            <w:r>
              <w:rPr>
                <w:sz w:val="21"/>
              </w:rPr>
              <w:t>如果您方在宽限期结束之后仍未支付欠交的保险费，则本合同自宽限期满日起效力终止。</w:t>
            </w:r>
          </w:p>
        </w:tc>
      </w:tr>
      <w:tr>
        <w:trPr>
          <w:trHeight w:val="558" w:hRule="atLeast"/>
        </w:trPr>
        <w:tc>
          <w:tcPr>
            <w:tcW w:w="687" w:type="dxa"/>
            <w:tcBorders>
              <w:bottom w:val="single" w:sz="4" w:space="0" w:color="000000"/>
            </w:tcBorders>
          </w:tcPr>
          <w:p>
            <w:pPr>
              <w:pStyle w:val="TableParagraph"/>
              <w:ind w:left="0"/>
              <w:rPr>
                <w:rFonts w:ascii="Times New Roman"/>
                <w:sz w:val="20"/>
              </w:rPr>
            </w:pPr>
          </w:p>
        </w:tc>
        <w:tc>
          <w:tcPr>
            <w:tcW w:w="1704" w:type="dxa"/>
            <w:tcBorders>
              <w:bottom w:val="single" w:sz="4" w:space="0" w:color="000000"/>
            </w:tcBorders>
          </w:tcPr>
          <w:p>
            <w:pPr>
              <w:pStyle w:val="TableParagraph"/>
              <w:ind w:left="0"/>
              <w:rPr>
                <w:rFonts w:ascii="Times New Roman"/>
                <w:sz w:val="20"/>
              </w:rPr>
            </w:pPr>
          </w:p>
        </w:tc>
        <w:tc>
          <w:tcPr>
            <w:tcW w:w="7650" w:type="dxa"/>
            <w:tcBorders>
              <w:bottom w:val="single" w:sz="4" w:space="0" w:color="000000"/>
            </w:tcBorders>
          </w:tcPr>
          <w:p>
            <w:pPr>
              <w:pStyle w:val="TableParagraph"/>
              <w:tabs>
                <w:tab w:pos="844" w:val="left" w:leader="none"/>
              </w:tabs>
              <w:spacing w:before="121"/>
              <w:ind w:left="0" w:right="2394"/>
              <w:jc w:val="center"/>
              <w:rPr>
                <w:rFonts w:ascii="微软雅黑" w:eastAsia="微软雅黑" w:hint="eastAsia"/>
                <w:b/>
                <w:sz w:val="21"/>
              </w:rPr>
            </w:pPr>
            <w:r>
              <w:rPr>
                <w:rFonts w:ascii="微软雅黑" w:eastAsia="微软雅黑" w:hint="eastAsia"/>
                <w:b/>
                <w:sz w:val="21"/>
              </w:rPr>
              <w:t>第四章</w:t>
              <w:tab/>
              <w:t>事故通知与责任核定</w:t>
            </w:r>
          </w:p>
        </w:tc>
      </w:tr>
      <w:tr>
        <w:trPr>
          <w:trHeight w:val="572" w:hRule="atLeast"/>
        </w:trPr>
        <w:tc>
          <w:tcPr>
            <w:tcW w:w="687" w:type="dxa"/>
            <w:tcBorders>
              <w:top w:val="single" w:sz="4" w:space="0" w:color="000000"/>
            </w:tcBorders>
          </w:tcPr>
          <w:p>
            <w:pPr>
              <w:pStyle w:val="TableParagraph"/>
              <w:spacing w:line="261" w:lineRule="exact"/>
              <w:rPr>
                <w:rFonts w:ascii="微软雅黑"/>
                <w:b/>
                <w:sz w:val="21"/>
              </w:rPr>
            </w:pPr>
            <w:r>
              <w:rPr>
                <w:rFonts w:ascii="微软雅黑"/>
                <w:b/>
                <w:w w:val="81"/>
                <w:sz w:val="21"/>
              </w:rPr>
              <w:t>11</w:t>
            </w:r>
            <w:r>
              <w:rPr>
                <w:rFonts w:ascii="微软雅黑"/>
                <w:b/>
                <w:w w:val="176"/>
                <w:sz w:val="21"/>
              </w:rPr>
              <w:t>.</w:t>
            </w:r>
          </w:p>
        </w:tc>
        <w:tc>
          <w:tcPr>
            <w:tcW w:w="1704" w:type="dxa"/>
            <w:tcBorders>
              <w:top w:val="single" w:sz="4" w:space="0" w:color="000000"/>
            </w:tcBorders>
          </w:tcPr>
          <w:p>
            <w:pPr>
              <w:pStyle w:val="TableParagraph"/>
              <w:spacing w:line="261" w:lineRule="exact"/>
              <w:ind w:left="263"/>
              <w:rPr>
                <w:rFonts w:ascii="微软雅黑" w:eastAsia="微软雅黑" w:hint="eastAsia"/>
                <w:b/>
                <w:sz w:val="21"/>
              </w:rPr>
            </w:pPr>
            <w:r>
              <w:rPr>
                <w:rFonts w:ascii="微软雅黑" w:eastAsia="微软雅黑" w:hint="eastAsia"/>
                <w:b/>
                <w:sz w:val="21"/>
              </w:rPr>
              <w:t>保险事故通知</w:t>
            </w:r>
          </w:p>
        </w:tc>
        <w:tc>
          <w:tcPr>
            <w:tcW w:w="7650" w:type="dxa"/>
            <w:tcBorders>
              <w:top w:val="single" w:sz="4" w:space="0" w:color="000000"/>
            </w:tcBorders>
          </w:tcPr>
          <w:p>
            <w:pPr>
              <w:pStyle w:val="TableParagraph"/>
              <w:spacing w:line="236" w:lineRule="exact"/>
              <w:rPr>
                <w:sz w:val="21"/>
              </w:rPr>
            </w:pPr>
            <w:r>
              <w:rPr>
                <w:sz w:val="21"/>
              </w:rPr>
              <w:t>您方、被保险人或受益人知道保险事故发生后应当在 10 天内通知我方。</w:t>
            </w:r>
          </w:p>
          <w:p>
            <w:pPr>
              <w:pStyle w:val="TableParagraph"/>
              <w:spacing w:line="255" w:lineRule="exact" w:before="61"/>
              <w:rPr>
                <w:sz w:val="21"/>
              </w:rPr>
            </w:pPr>
            <w:r>
              <w:rPr>
                <w:sz w:val="21"/>
              </w:rPr>
              <w:t>如果您方或者受益人故意或者因重大过失未及时通知，致使保险事故的性质、原</w:t>
            </w:r>
          </w:p>
        </w:tc>
      </w:tr>
    </w:tbl>
    <w:p>
      <w:pPr>
        <w:spacing w:after="0" w:line="255" w:lineRule="exact"/>
        <w:rPr>
          <w:sz w:val="21"/>
        </w:rPr>
        <w:sectPr>
          <w:pgSz w:w="11910" w:h="16840"/>
          <w:pgMar w:header="0" w:footer="863" w:top="1140" w:bottom="1060" w:left="860" w:right="7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704"/>
        <w:gridCol w:w="7745"/>
      </w:tblGrid>
      <w:tr>
        <w:trPr>
          <w:trHeight w:val="986" w:hRule="atLeast"/>
        </w:trPr>
        <w:tc>
          <w:tcPr>
            <w:tcW w:w="781" w:type="dxa"/>
          </w:tcPr>
          <w:p>
            <w:pPr>
              <w:pStyle w:val="TableParagraph"/>
              <w:ind w:left="0"/>
              <w:rPr>
                <w:rFonts w:ascii="Times New Roman"/>
                <w:sz w:val="20"/>
              </w:rPr>
            </w:pPr>
          </w:p>
        </w:tc>
        <w:tc>
          <w:tcPr>
            <w:tcW w:w="1704" w:type="dxa"/>
          </w:tcPr>
          <w:p>
            <w:pPr>
              <w:pStyle w:val="TableParagraph"/>
              <w:ind w:left="0"/>
              <w:rPr>
                <w:rFonts w:ascii="Times New Roman"/>
                <w:sz w:val="20"/>
              </w:rPr>
            </w:pPr>
          </w:p>
        </w:tc>
        <w:tc>
          <w:tcPr>
            <w:tcW w:w="7745" w:type="dxa"/>
          </w:tcPr>
          <w:p>
            <w:pPr>
              <w:pStyle w:val="TableParagraph"/>
              <w:spacing w:line="210" w:lineRule="exact"/>
              <w:ind w:left="106"/>
              <w:rPr>
                <w:sz w:val="21"/>
              </w:rPr>
            </w:pPr>
            <w:r>
              <w:rPr>
                <w:sz w:val="21"/>
              </w:rPr>
              <w:t>因、损失程度等难以确定的，我方对无法确定的部分，不承担赔偿或者给付保险</w:t>
            </w:r>
          </w:p>
          <w:p>
            <w:pPr>
              <w:pStyle w:val="TableParagraph"/>
              <w:ind w:left="106" w:right="216"/>
              <w:rPr>
                <w:sz w:val="21"/>
              </w:rPr>
            </w:pPr>
            <w:r>
              <w:rPr>
                <w:sz w:val="21"/>
              </w:rPr>
              <w:t>金的责任。但我方通过其他途径已经及时知道或者应当及时知道保险事故发生或者虽未及时通知但不影响我方确定保险事故的性质、原因、损失程度的除外。</w:t>
            </w:r>
          </w:p>
        </w:tc>
      </w:tr>
      <w:tr>
        <w:trPr>
          <w:trHeight w:val="2760" w:hRule="atLeast"/>
        </w:trPr>
        <w:tc>
          <w:tcPr>
            <w:tcW w:w="781" w:type="dxa"/>
          </w:tcPr>
          <w:p>
            <w:pPr>
              <w:pStyle w:val="TableParagraph"/>
              <w:spacing w:before="102"/>
              <w:ind w:left="200"/>
              <w:rPr>
                <w:rFonts w:ascii="微软雅黑"/>
                <w:b/>
                <w:sz w:val="21"/>
              </w:rPr>
            </w:pPr>
            <w:r>
              <w:rPr>
                <w:rFonts w:ascii="微软雅黑"/>
                <w:b/>
                <w:w w:val="81"/>
                <w:sz w:val="21"/>
              </w:rPr>
              <w:t>12</w:t>
            </w:r>
            <w:r>
              <w:rPr>
                <w:rFonts w:ascii="微软雅黑"/>
                <w:b/>
                <w:w w:val="176"/>
                <w:sz w:val="21"/>
              </w:rPr>
              <w:t>.</w:t>
            </w:r>
          </w:p>
        </w:tc>
        <w:tc>
          <w:tcPr>
            <w:tcW w:w="1704" w:type="dxa"/>
          </w:tcPr>
          <w:p>
            <w:pPr>
              <w:pStyle w:val="TableParagraph"/>
              <w:spacing w:before="9"/>
              <w:ind w:left="0"/>
              <w:rPr>
                <w:sz w:val="14"/>
              </w:rPr>
            </w:pPr>
          </w:p>
          <w:p>
            <w:pPr>
              <w:pStyle w:val="TableParagraph"/>
              <w:spacing w:line="180" w:lineRule="auto"/>
              <w:ind w:left="264" w:right="104"/>
              <w:rPr>
                <w:rFonts w:ascii="微软雅黑" w:eastAsia="微软雅黑" w:hint="eastAsia"/>
                <w:b/>
                <w:sz w:val="21"/>
              </w:rPr>
            </w:pPr>
            <w:r>
              <w:rPr>
                <w:rFonts w:ascii="微软雅黑" w:eastAsia="微软雅黑" w:hint="eastAsia"/>
                <w:b/>
                <w:sz w:val="21"/>
              </w:rPr>
              <w:t>申领保险金的注意事项</w:t>
            </w:r>
          </w:p>
        </w:tc>
        <w:tc>
          <w:tcPr>
            <w:tcW w:w="7745" w:type="dxa"/>
          </w:tcPr>
          <w:p>
            <w:pPr>
              <w:pStyle w:val="TableParagraph"/>
              <w:spacing w:before="164"/>
              <w:ind w:left="106" w:right="216"/>
              <w:rPr>
                <w:sz w:val="21"/>
              </w:rPr>
            </w:pPr>
            <w:r>
              <w:rPr>
                <w:sz w:val="21"/>
              </w:rPr>
              <w:t>委托他人办理申领保险金的手续时，受托人必须提供本人的有效身份证件及委托人亲笔签名的授权委托书。</w:t>
            </w:r>
          </w:p>
          <w:p>
            <w:pPr>
              <w:pStyle w:val="TableParagraph"/>
              <w:spacing w:before="56"/>
              <w:ind w:left="106" w:right="212"/>
              <w:rPr>
                <w:sz w:val="21"/>
              </w:rPr>
            </w:pPr>
            <w:r>
              <w:rPr>
                <w:sz w:val="21"/>
              </w:rPr>
              <w:t>保险金作为被保险人遗产时，继承人必须提供可证明其合法继承权的有效证明文件。</w:t>
            </w:r>
          </w:p>
          <w:p>
            <w:pPr>
              <w:pStyle w:val="TableParagraph"/>
              <w:spacing w:before="61"/>
              <w:ind w:left="106" w:right="216"/>
              <w:rPr>
                <w:sz w:val="21"/>
              </w:rPr>
            </w:pPr>
            <w:r>
              <w:rPr>
                <w:sz w:val="21"/>
              </w:rPr>
              <w:t>受益人或继承人为无民事行为能力人或限制民事行为能力人时，由其监护人代为申领保险金。由监护人代为申领保险金的，该监护人应当提供监护人证明。</w:t>
            </w:r>
          </w:p>
          <w:p>
            <w:pPr>
              <w:pStyle w:val="TableParagraph"/>
              <w:spacing w:before="56"/>
              <w:ind w:left="106" w:right="216"/>
              <w:rPr>
                <w:sz w:val="21"/>
              </w:rPr>
            </w:pPr>
            <w:r>
              <w:rPr>
                <w:sz w:val="21"/>
              </w:rPr>
              <w:t>以上证明或资料不完整的，我方将及时一次性通知申请人补充提供有关证明和资料。</w:t>
            </w:r>
          </w:p>
        </w:tc>
      </w:tr>
      <w:tr>
        <w:trPr>
          <w:trHeight w:val="4398" w:hRule="atLeast"/>
        </w:trPr>
        <w:tc>
          <w:tcPr>
            <w:tcW w:w="781" w:type="dxa"/>
          </w:tcPr>
          <w:p>
            <w:pPr>
              <w:pStyle w:val="TableParagraph"/>
              <w:spacing w:before="101"/>
              <w:ind w:left="200"/>
              <w:rPr>
                <w:rFonts w:ascii="微软雅黑"/>
                <w:b/>
                <w:sz w:val="21"/>
              </w:rPr>
            </w:pPr>
            <w:r>
              <w:rPr>
                <w:rFonts w:ascii="微软雅黑"/>
                <w:b/>
                <w:w w:val="81"/>
                <w:sz w:val="21"/>
              </w:rPr>
              <w:t>13</w:t>
            </w:r>
            <w:r>
              <w:rPr>
                <w:rFonts w:ascii="微软雅黑"/>
                <w:b/>
                <w:w w:val="176"/>
                <w:sz w:val="21"/>
              </w:rPr>
              <w:t>.</w:t>
            </w:r>
          </w:p>
        </w:tc>
        <w:tc>
          <w:tcPr>
            <w:tcW w:w="1704" w:type="dxa"/>
          </w:tcPr>
          <w:p>
            <w:pPr>
              <w:pStyle w:val="TableParagraph"/>
              <w:spacing w:before="101"/>
              <w:ind w:left="264"/>
              <w:rPr>
                <w:rFonts w:ascii="微软雅黑" w:eastAsia="微软雅黑" w:hint="eastAsia"/>
                <w:b/>
                <w:sz w:val="21"/>
              </w:rPr>
            </w:pPr>
            <w:r>
              <w:rPr>
                <w:rFonts w:ascii="微软雅黑" w:eastAsia="微软雅黑" w:hint="eastAsia"/>
                <w:b/>
                <w:sz w:val="21"/>
              </w:rPr>
              <w:t>保险金核定</w:t>
            </w:r>
          </w:p>
        </w:tc>
        <w:tc>
          <w:tcPr>
            <w:tcW w:w="7745" w:type="dxa"/>
          </w:tcPr>
          <w:p>
            <w:pPr>
              <w:pStyle w:val="TableParagraph"/>
              <w:spacing w:line="237" w:lineRule="auto" w:before="167"/>
              <w:ind w:left="106" w:right="198"/>
              <w:jc w:val="both"/>
              <w:rPr>
                <w:sz w:val="21"/>
              </w:rPr>
            </w:pPr>
            <w:r>
              <w:rPr>
                <w:sz w:val="21"/>
              </w:rPr>
              <w:t>我方收到索赔申请和有关证明、资料后，将及时作出核定；情形复杂的，或者保</w:t>
            </w:r>
            <w:r>
              <w:rPr>
                <w:spacing w:val="-7"/>
                <w:sz w:val="21"/>
              </w:rPr>
              <w:t>险事故的性质、原因、损失程度等难以确定的，我方将进行调查核实并在 </w:t>
            </w:r>
            <w:r>
              <w:rPr>
                <w:sz w:val="21"/>
              </w:rPr>
              <w:t>30</w:t>
            </w:r>
            <w:r>
              <w:rPr>
                <w:spacing w:val="-11"/>
                <w:sz w:val="21"/>
              </w:rPr>
              <w:t> 日内</w:t>
            </w:r>
            <w:r>
              <w:rPr>
                <w:spacing w:val="-6"/>
                <w:sz w:val="21"/>
              </w:rPr>
              <w:t>作出核定。我方及时将核定结果通知受益人。如我方要求补充提供申请书、有关</w:t>
            </w:r>
            <w:r>
              <w:rPr>
                <w:spacing w:val="-10"/>
                <w:sz w:val="21"/>
              </w:rPr>
              <w:t>证明和资料的，前述的 </w:t>
            </w:r>
            <w:r>
              <w:rPr>
                <w:spacing w:val="-3"/>
                <w:sz w:val="21"/>
              </w:rPr>
              <w:t>30</w:t>
            </w:r>
            <w:r>
              <w:rPr>
                <w:spacing w:val="-7"/>
                <w:sz w:val="21"/>
              </w:rPr>
              <w:t> 日不包括补充提供有关证明和资料的期间。对属于保险</w:t>
            </w:r>
          </w:p>
          <w:p>
            <w:pPr>
              <w:pStyle w:val="TableParagraph"/>
              <w:ind w:left="106" w:right="204"/>
              <w:jc w:val="both"/>
              <w:rPr>
                <w:sz w:val="21"/>
              </w:rPr>
            </w:pPr>
            <w:r>
              <w:rPr>
                <w:spacing w:val="-6"/>
                <w:sz w:val="21"/>
              </w:rPr>
              <w:t>责任的，我方在作出核定并与受益人达成给付协议后的 </w:t>
            </w:r>
            <w:r>
              <w:rPr>
                <w:sz w:val="21"/>
              </w:rPr>
              <w:t>10</w:t>
            </w:r>
            <w:r>
              <w:rPr>
                <w:spacing w:val="-8"/>
                <w:sz w:val="21"/>
              </w:rPr>
              <w:t> 日内，履行给付保险金</w:t>
            </w:r>
            <w:r>
              <w:rPr>
                <w:spacing w:val="-6"/>
                <w:sz w:val="21"/>
              </w:rPr>
              <w:t>义务；保险金以人民币支付。</w:t>
            </w:r>
          </w:p>
          <w:p>
            <w:pPr>
              <w:pStyle w:val="TableParagraph"/>
              <w:spacing w:line="237" w:lineRule="auto" w:before="65"/>
              <w:ind w:left="106" w:right="216"/>
              <w:jc w:val="both"/>
              <w:rPr>
                <w:sz w:val="21"/>
              </w:rPr>
            </w:pPr>
            <w:r>
              <w:rPr>
                <w:sz w:val="21"/>
              </w:rPr>
              <w:t>若我方未履行前款约定义务，如属于保险责任的，除支付保险金外，我方按延期天数赔偿受益人相应的利息损失。利息按照我方公示的利率按单利计算，且保证该利率不低于中国人民银行公布的同期金融机构人民币活期存款基准利率。</w:t>
            </w:r>
          </w:p>
          <w:p>
            <w:pPr>
              <w:pStyle w:val="TableParagraph"/>
              <w:spacing w:line="235" w:lineRule="auto" w:before="66"/>
              <w:ind w:left="106" w:right="199"/>
              <w:jc w:val="both"/>
              <w:rPr>
                <w:sz w:val="21"/>
              </w:rPr>
            </w:pPr>
            <w:r>
              <w:rPr>
                <w:spacing w:val="-4"/>
                <w:sz w:val="21"/>
              </w:rPr>
              <w:t>对不属于保险责任的，我方自作出核定之日起 </w:t>
            </w:r>
            <w:r>
              <w:rPr>
                <w:sz w:val="21"/>
              </w:rPr>
              <w:t>3</w:t>
            </w:r>
            <w:r>
              <w:rPr>
                <w:spacing w:val="-3"/>
                <w:sz w:val="21"/>
              </w:rPr>
              <w:t> 日内向受益人发出拒绝给付保险</w:t>
            </w:r>
            <w:r>
              <w:rPr>
                <w:spacing w:val="-5"/>
                <w:sz w:val="21"/>
              </w:rPr>
              <w:t>金通知书并说明理由。</w:t>
            </w:r>
          </w:p>
          <w:p>
            <w:pPr>
              <w:pStyle w:val="TableParagraph"/>
              <w:spacing w:before="60"/>
              <w:ind w:left="106" w:right="203"/>
              <w:jc w:val="both"/>
              <w:rPr>
                <w:sz w:val="21"/>
              </w:rPr>
            </w:pPr>
            <w:r>
              <w:rPr>
                <w:spacing w:val="-6"/>
                <w:sz w:val="21"/>
              </w:rPr>
              <w:t>我方在收到索赔申请及有关证明和资料之日起 </w:t>
            </w:r>
            <w:r>
              <w:rPr>
                <w:spacing w:val="-3"/>
                <w:sz w:val="21"/>
              </w:rPr>
              <w:t>60</w:t>
            </w:r>
            <w:r>
              <w:rPr>
                <w:spacing w:val="-9"/>
                <w:sz w:val="21"/>
              </w:rPr>
              <w:t> 日内，对给付保险金的数额不能</w:t>
            </w:r>
            <w:r>
              <w:rPr>
                <w:spacing w:val="-6"/>
                <w:sz w:val="21"/>
              </w:rPr>
              <w:t>确定的，根据已有证明和资料可以确定的数额先予支付；我方最终确定给付保险</w:t>
            </w:r>
            <w:r>
              <w:rPr>
                <w:spacing w:val="-5"/>
                <w:sz w:val="21"/>
              </w:rPr>
              <w:t>金的数额后，将支付相应的差额。</w:t>
            </w:r>
          </w:p>
        </w:tc>
      </w:tr>
      <w:tr>
        <w:trPr>
          <w:trHeight w:val="3382" w:hRule="atLeast"/>
        </w:trPr>
        <w:tc>
          <w:tcPr>
            <w:tcW w:w="781" w:type="dxa"/>
          </w:tcPr>
          <w:p>
            <w:pPr>
              <w:pStyle w:val="TableParagraph"/>
              <w:spacing w:before="101"/>
              <w:ind w:left="200"/>
              <w:rPr>
                <w:rFonts w:ascii="微软雅黑"/>
                <w:b/>
                <w:sz w:val="21"/>
              </w:rPr>
            </w:pPr>
            <w:r>
              <w:rPr>
                <w:rFonts w:ascii="微软雅黑"/>
                <w:b/>
                <w:w w:val="81"/>
                <w:sz w:val="21"/>
              </w:rPr>
              <w:t>14</w:t>
            </w:r>
            <w:r>
              <w:rPr>
                <w:rFonts w:ascii="微软雅黑"/>
                <w:b/>
                <w:w w:val="176"/>
                <w:sz w:val="21"/>
              </w:rPr>
              <w:t>.</w:t>
            </w:r>
          </w:p>
        </w:tc>
        <w:tc>
          <w:tcPr>
            <w:tcW w:w="1704" w:type="dxa"/>
          </w:tcPr>
          <w:p>
            <w:pPr>
              <w:pStyle w:val="TableParagraph"/>
              <w:spacing w:before="101"/>
              <w:ind w:left="264"/>
              <w:rPr>
                <w:rFonts w:ascii="微软雅黑" w:eastAsia="微软雅黑" w:hint="eastAsia"/>
                <w:b/>
                <w:sz w:val="21"/>
              </w:rPr>
            </w:pPr>
            <w:r>
              <w:rPr>
                <w:rFonts w:ascii="微软雅黑" w:eastAsia="微软雅黑" w:hint="eastAsia"/>
                <w:b/>
                <w:sz w:val="21"/>
              </w:rPr>
              <w:t>其他核定结果</w:t>
            </w:r>
          </w:p>
        </w:tc>
        <w:tc>
          <w:tcPr>
            <w:tcW w:w="7745" w:type="dxa"/>
          </w:tcPr>
          <w:p>
            <w:pPr>
              <w:pStyle w:val="TableParagraph"/>
              <w:spacing w:before="5"/>
              <w:ind w:left="0"/>
              <w:rPr>
                <w:sz w:val="14"/>
              </w:rPr>
            </w:pPr>
          </w:p>
          <w:p>
            <w:pPr>
              <w:pStyle w:val="TableParagraph"/>
              <w:spacing w:line="273" w:lineRule="auto"/>
              <w:ind w:left="106" w:right="283"/>
              <w:jc w:val="both"/>
              <w:rPr>
                <w:sz w:val="21"/>
              </w:rPr>
            </w:pPr>
            <w:r>
              <w:rPr>
                <w:sz w:val="21"/>
              </w:rPr>
              <w:t>未发生保险事故，被保险人或者受益人谎称发生了保险事故，向我方提出索赔申请的，我方有权解除本合同，并不退还保险费。</w:t>
            </w:r>
          </w:p>
          <w:p>
            <w:pPr>
              <w:pStyle w:val="TableParagraph"/>
              <w:spacing w:line="273" w:lineRule="auto" w:before="70"/>
              <w:ind w:left="106" w:right="283"/>
              <w:jc w:val="both"/>
              <w:rPr>
                <w:sz w:val="21"/>
              </w:rPr>
            </w:pPr>
            <w:r>
              <w:rPr>
                <w:sz w:val="21"/>
              </w:rPr>
              <w:t>您方或被保险人故意制造保险事故的，我方有权解除本合同，不承担给付保险金的责任。</w:t>
            </w:r>
          </w:p>
          <w:p>
            <w:pPr>
              <w:pStyle w:val="TableParagraph"/>
              <w:spacing w:line="273" w:lineRule="auto" w:before="70"/>
              <w:ind w:left="106" w:right="283"/>
              <w:jc w:val="both"/>
              <w:rPr>
                <w:sz w:val="21"/>
              </w:rPr>
            </w:pPr>
            <w:r>
              <w:rPr>
                <w:sz w:val="21"/>
              </w:rPr>
              <w:t>保险事故发生后，您方、被保险人或者受益人以伪造、变造的有关证明、资料或者其他证据，编造虚假的事故原因或者夸大损失程度的，我方对虚报的部分不承担给付保险金的责任。</w:t>
            </w:r>
          </w:p>
          <w:p>
            <w:pPr>
              <w:pStyle w:val="TableParagraph"/>
              <w:spacing w:line="273" w:lineRule="auto" w:before="70"/>
              <w:ind w:left="106" w:right="282"/>
              <w:jc w:val="both"/>
              <w:rPr>
                <w:sz w:val="21"/>
              </w:rPr>
            </w:pPr>
            <w:r>
              <w:rPr>
                <w:sz w:val="21"/>
              </w:rPr>
              <w:t>您方、被保险人或者受益人有以上规定行为之一，致使我方给付保险金或者支出费用的，应当在收到我方相关通知之日起30天内向我方退回或者赔偿。</w:t>
            </w:r>
          </w:p>
        </w:tc>
      </w:tr>
      <w:tr>
        <w:trPr>
          <w:trHeight w:val="2717" w:hRule="atLeast"/>
        </w:trPr>
        <w:tc>
          <w:tcPr>
            <w:tcW w:w="781" w:type="dxa"/>
          </w:tcPr>
          <w:p>
            <w:pPr>
              <w:pStyle w:val="TableParagraph"/>
              <w:spacing w:before="109"/>
              <w:ind w:left="200"/>
              <w:rPr>
                <w:rFonts w:ascii="微软雅黑"/>
                <w:b/>
                <w:sz w:val="21"/>
              </w:rPr>
            </w:pPr>
            <w:r>
              <w:rPr>
                <w:rFonts w:ascii="微软雅黑"/>
                <w:b/>
                <w:w w:val="81"/>
                <w:sz w:val="21"/>
              </w:rPr>
              <w:t>15</w:t>
            </w:r>
            <w:r>
              <w:rPr>
                <w:rFonts w:ascii="微软雅黑"/>
                <w:b/>
                <w:w w:val="176"/>
                <w:sz w:val="21"/>
              </w:rPr>
              <w:t>.</w:t>
            </w:r>
          </w:p>
        </w:tc>
        <w:tc>
          <w:tcPr>
            <w:tcW w:w="1704" w:type="dxa"/>
          </w:tcPr>
          <w:p>
            <w:pPr>
              <w:pStyle w:val="TableParagraph"/>
              <w:spacing w:before="109"/>
              <w:ind w:left="264"/>
              <w:rPr>
                <w:rFonts w:ascii="微软雅黑" w:eastAsia="微软雅黑" w:hint="eastAsia"/>
                <w:b/>
                <w:sz w:val="21"/>
              </w:rPr>
            </w:pPr>
            <w:r>
              <w:rPr>
                <w:rFonts w:ascii="微软雅黑" w:eastAsia="微软雅黑" w:hint="eastAsia"/>
                <w:b/>
                <w:sz w:val="21"/>
              </w:rPr>
              <w:t>宣告死亡处理</w:t>
            </w:r>
          </w:p>
        </w:tc>
        <w:tc>
          <w:tcPr>
            <w:tcW w:w="7745" w:type="dxa"/>
          </w:tcPr>
          <w:p>
            <w:pPr>
              <w:pStyle w:val="TableParagraph"/>
              <w:spacing w:before="12"/>
              <w:ind w:left="0"/>
              <w:rPr>
                <w:sz w:val="14"/>
              </w:rPr>
            </w:pPr>
          </w:p>
          <w:p>
            <w:pPr>
              <w:pStyle w:val="TableParagraph"/>
              <w:spacing w:line="273" w:lineRule="auto"/>
              <w:ind w:left="106" w:right="283"/>
              <w:jc w:val="both"/>
              <w:rPr>
                <w:sz w:val="21"/>
              </w:rPr>
            </w:pPr>
            <w:r>
              <w:rPr>
                <w:sz w:val="21"/>
              </w:rPr>
              <w:t>如果被保险人在本合同的保险期间内下落不明，之后经人民法院宣告死亡的，我方以人民法院宣告死亡的判决作出之日作为被保险人的身故日期，并按本合同中与身故有关的约定处理。</w:t>
            </w:r>
          </w:p>
          <w:p>
            <w:pPr>
              <w:pStyle w:val="TableParagraph"/>
              <w:spacing w:line="273" w:lineRule="auto" w:before="70"/>
              <w:ind w:left="106" w:right="283"/>
              <w:jc w:val="both"/>
              <w:rPr>
                <w:sz w:val="21"/>
              </w:rPr>
            </w:pPr>
            <w:r>
              <w:rPr>
                <w:sz w:val="21"/>
              </w:rPr>
              <w:t>如果被保险人在本合同的保险期间内因意外事件下落不明，之后经人民法院宣告死亡的，我方以意外事件发生之日作为被保险人的身故日期，并按本合同中与身故有关的约定处理。</w:t>
            </w:r>
          </w:p>
          <w:p>
            <w:pPr>
              <w:pStyle w:val="TableParagraph"/>
              <w:spacing w:line="274" w:lineRule="exact" w:before="72"/>
              <w:ind w:left="106" w:right="214"/>
              <w:jc w:val="both"/>
              <w:rPr>
                <w:sz w:val="21"/>
              </w:rPr>
            </w:pPr>
            <w:r>
              <w:rPr>
                <w:sz w:val="21"/>
              </w:rPr>
              <w:t>如果我方因被保险人宣告死亡而给付身故保险金，但被宣告死亡的被保险人重新出现或人民法院撤销其死亡宣告的，身故保险金的受领人应当自知道前述情形之</w:t>
            </w:r>
          </w:p>
        </w:tc>
      </w:tr>
    </w:tbl>
    <w:p>
      <w:pPr>
        <w:spacing w:after="0" w:line="274" w:lineRule="exact"/>
        <w:jc w:val="both"/>
        <w:rPr>
          <w:sz w:val="21"/>
        </w:rPr>
        <w:sectPr>
          <w:pgSz w:w="11910" w:h="16840"/>
          <w:pgMar w:header="0" w:footer="863" w:top="1140" w:bottom="1060" w:left="76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24"/>
        <w:gridCol w:w="7630"/>
      </w:tblGrid>
      <w:tr>
        <w:trPr>
          <w:trHeight w:val="712" w:hRule="atLeast"/>
        </w:trPr>
        <w:tc>
          <w:tcPr>
            <w:tcW w:w="687" w:type="dxa"/>
          </w:tcPr>
          <w:p>
            <w:pPr>
              <w:pStyle w:val="TableParagraph"/>
              <w:ind w:left="0"/>
              <w:rPr>
                <w:rFonts w:ascii="Times New Roman"/>
                <w:sz w:val="20"/>
              </w:rPr>
            </w:pPr>
          </w:p>
        </w:tc>
        <w:tc>
          <w:tcPr>
            <w:tcW w:w="1724" w:type="dxa"/>
          </w:tcPr>
          <w:p>
            <w:pPr>
              <w:pStyle w:val="TableParagraph"/>
              <w:ind w:left="0"/>
              <w:rPr>
                <w:rFonts w:ascii="Times New Roman"/>
                <w:sz w:val="20"/>
              </w:rPr>
            </w:pPr>
          </w:p>
        </w:tc>
        <w:tc>
          <w:tcPr>
            <w:tcW w:w="7630" w:type="dxa"/>
          </w:tcPr>
          <w:p>
            <w:pPr>
              <w:pStyle w:val="TableParagraph"/>
              <w:spacing w:line="210" w:lineRule="exact"/>
              <w:ind w:left="85"/>
              <w:rPr>
                <w:sz w:val="21"/>
              </w:rPr>
            </w:pPr>
            <w:r>
              <w:rPr>
                <w:spacing w:val="-11"/>
                <w:sz w:val="21"/>
              </w:rPr>
              <w:t>日起 </w:t>
            </w:r>
            <w:r>
              <w:rPr>
                <w:sz w:val="21"/>
              </w:rPr>
              <w:t>30</w:t>
            </w:r>
            <w:r>
              <w:rPr>
                <w:spacing w:val="-8"/>
                <w:sz w:val="21"/>
              </w:rPr>
              <w:t> 天内向我方退还已领取的身故保险金，本合同的效力由您我双方依法协商</w:t>
            </w:r>
          </w:p>
          <w:p>
            <w:pPr>
              <w:pStyle w:val="TableParagraph"/>
              <w:spacing w:line="274" w:lineRule="exact"/>
              <w:ind w:left="85"/>
              <w:rPr>
                <w:sz w:val="21"/>
              </w:rPr>
            </w:pPr>
            <w:r>
              <w:rPr>
                <w:sz w:val="21"/>
              </w:rPr>
              <w:t>处理。</w:t>
            </w:r>
          </w:p>
        </w:tc>
      </w:tr>
      <w:tr>
        <w:trPr>
          <w:trHeight w:val="2093" w:hRule="atLeast"/>
        </w:trPr>
        <w:tc>
          <w:tcPr>
            <w:tcW w:w="687" w:type="dxa"/>
          </w:tcPr>
          <w:p>
            <w:pPr>
              <w:pStyle w:val="TableParagraph"/>
              <w:spacing w:before="101"/>
              <w:rPr>
                <w:rFonts w:ascii="微软雅黑"/>
                <w:b/>
                <w:sz w:val="21"/>
              </w:rPr>
            </w:pPr>
            <w:r>
              <w:rPr>
                <w:rFonts w:ascii="微软雅黑"/>
                <w:b/>
                <w:w w:val="81"/>
                <w:sz w:val="21"/>
              </w:rPr>
              <w:t>16</w:t>
            </w:r>
            <w:r>
              <w:rPr>
                <w:rFonts w:ascii="微软雅黑"/>
                <w:b/>
                <w:w w:val="176"/>
                <w:sz w:val="21"/>
              </w:rPr>
              <w:t>.</w:t>
            </w:r>
          </w:p>
        </w:tc>
        <w:tc>
          <w:tcPr>
            <w:tcW w:w="1724" w:type="dxa"/>
          </w:tcPr>
          <w:p>
            <w:pPr>
              <w:pStyle w:val="TableParagraph"/>
              <w:spacing w:before="101"/>
              <w:ind w:left="263"/>
              <w:rPr>
                <w:rFonts w:ascii="微软雅黑" w:eastAsia="微软雅黑" w:hint="eastAsia"/>
                <w:b/>
                <w:sz w:val="21"/>
              </w:rPr>
            </w:pPr>
            <w:r>
              <w:rPr>
                <w:rFonts w:ascii="微软雅黑" w:eastAsia="微软雅黑" w:hint="eastAsia"/>
                <w:b/>
                <w:sz w:val="21"/>
              </w:rPr>
              <w:t>调查权</w:t>
            </w:r>
          </w:p>
        </w:tc>
        <w:tc>
          <w:tcPr>
            <w:tcW w:w="7630" w:type="dxa"/>
          </w:tcPr>
          <w:p>
            <w:pPr>
              <w:pStyle w:val="TableParagraph"/>
              <w:spacing w:before="164"/>
              <w:ind w:left="85" w:right="122"/>
              <w:jc w:val="both"/>
              <w:rPr>
                <w:sz w:val="21"/>
              </w:rPr>
            </w:pPr>
            <w:r>
              <w:rPr>
                <w:sz w:val="21"/>
              </w:rPr>
              <w:t>您方同意凡曾为被保险人治疗或知悉被保险人健康情况的医务人员、医疗机构， 以及所有了解被保险人有关情况及其相关资料的个人及机构，均可以将被保险人的健康情况、病状，以及任何治疗、疾病或不适、病历的详细资料提供给我方或我方授权的机构和个人。</w:t>
            </w:r>
          </w:p>
          <w:p>
            <w:pPr>
              <w:pStyle w:val="TableParagraph"/>
              <w:spacing w:before="56"/>
              <w:ind w:left="85" w:right="122"/>
              <w:jc w:val="both"/>
              <w:rPr>
                <w:sz w:val="21"/>
              </w:rPr>
            </w:pPr>
            <w:r>
              <w:rPr>
                <w:sz w:val="21"/>
              </w:rPr>
              <w:t>我方有权根据实际情况要求被保险人进行体检或其他必要的检验。如果被保险人身故，我方有权要求司法鉴定机构对保险事故进行鉴定。</w:t>
            </w:r>
          </w:p>
        </w:tc>
      </w:tr>
      <w:tr>
        <w:trPr>
          <w:trHeight w:val="539" w:hRule="atLeast"/>
        </w:trPr>
        <w:tc>
          <w:tcPr>
            <w:tcW w:w="687" w:type="dxa"/>
            <w:tcBorders>
              <w:bottom w:val="single" w:sz="4" w:space="0" w:color="000000"/>
            </w:tcBorders>
          </w:tcPr>
          <w:p>
            <w:pPr>
              <w:pStyle w:val="TableParagraph"/>
              <w:ind w:left="0"/>
              <w:rPr>
                <w:rFonts w:ascii="Times New Roman"/>
                <w:sz w:val="20"/>
              </w:rPr>
            </w:pPr>
          </w:p>
        </w:tc>
        <w:tc>
          <w:tcPr>
            <w:tcW w:w="1724" w:type="dxa"/>
            <w:tcBorders>
              <w:bottom w:val="single" w:sz="4" w:space="0" w:color="000000"/>
            </w:tcBorders>
          </w:tcPr>
          <w:p>
            <w:pPr>
              <w:pStyle w:val="TableParagraph"/>
              <w:ind w:left="0"/>
              <w:rPr>
                <w:rFonts w:ascii="Times New Roman"/>
                <w:sz w:val="20"/>
              </w:rPr>
            </w:pPr>
          </w:p>
        </w:tc>
        <w:tc>
          <w:tcPr>
            <w:tcW w:w="7630" w:type="dxa"/>
            <w:tcBorders>
              <w:bottom w:val="single" w:sz="4" w:space="0" w:color="000000"/>
            </w:tcBorders>
          </w:tcPr>
          <w:p>
            <w:pPr>
              <w:pStyle w:val="TableParagraph"/>
              <w:tabs>
                <w:tab w:pos="845" w:val="left" w:leader="none"/>
              </w:tabs>
              <w:spacing w:before="102"/>
              <w:ind w:left="0" w:right="2414"/>
              <w:jc w:val="center"/>
              <w:rPr>
                <w:rFonts w:ascii="微软雅黑" w:eastAsia="微软雅黑" w:hint="eastAsia"/>
                <w:b/>
                <w:sz w:val="21"/>
              </w:rPr>
            </w:pPr>
            <w:r>
              <w:rPr>
                <w:rFonts w:ascii="微软雅黑" w:eastAsia="微软雅黑" w:hint="eastAsia"/>
                <w:b/>
                <w:sz w:val="21"/>
              </w:rPr>
              <w:t>第五章</w:t>
              <w:tab/>
              <w:t>其他规定</w:t>
            </w:r>
          </w:p>
        </w:tc>
      </w:tr>
      <w:tr>
        <w:trPr>
          <w:trHeight w:val="1277" w:hRule="atLeast"/>
        </w:trPr>
        <w:tc>
          <w:tcPr>
            <w:tcW w:w="687" w:type="dxa"/>
            <w:tcBorders>
              <w:top w:val="single" w:sz="4" w:space="0" w:color="000000"/>
              <w:bottom w:val="single" w:sz="4" w:space="0" w:color="000000"/>
            </w:tcBorders>
          </w:tcPr>
          <w:p>
            <w:pPr>
              <w:pStyle w:val="TableParagraph"/>
              <w:spacing w:line="261" w:lineRule="exact"/>
              <w:rPr>
                <w:rFonts w:ascii="微软雅黑"/>
                <w:b/>
                <w:sz w:val="21"/>
              </w:rPr>
            </w:pPr>
            <w:r>
              <w:rPr>
                <w:rFonts w:ascii="微软雅黑"/>
                <w:b/>
                <w:w w:val="81"/>
                <w:sz w:val="21"/>
              </w:rPr>
              <w:t>17</w:t>
            </w:r>
            <w:r>
              <w:rPr>
                <w:rFonts w:ascii="微软雅黑"/>
                <w:b/>
                <w:w w:val="176"/>
                <w:sz w:val="21"/>
              </w:rPr>
              <w:t>.</w:t>
            </w:r>
          </w:p>
        </w:tc>
        <w:tc>
          <w:tcPr>
            <w:tcW w:w="1724" w:type="dxa"/>
            <w:tcBorders>
              <w:top w:val="single" w:sz="4" w:space="0" w:color="000000"/>
              <w:bottom w:val="single" w:sz="4" w:space="0" w:color="000000"/>
            </w:tcBorders>
          </w:tcPr>
          <w:p>
            <w:pPr>
              <w:pStyle w:val="TableParagraph"/>
              <w:spacing w:line="180" w:lineRule="auto"/>
              <w:ind w:left="263" w:right="125"/>
              <w:rPr>
                <w:rFonts w:ascii="微软雅黑" w:eastAsia="微软雅黑" w:hint="eastAsia"/>
                <w:b/>
                <w:sz w:val="21"/>
              </w:rPr>
            </w:pPr>
            <w:r>
              <w:rPr>
                <w:rFonts w:ascii="微软雅黑" w:eastAsia="微软雅黑" w:hint="eastAsia"/>
                <w:b/>
                <w:sz w:val="21"/>
              </w:rPr>
              <w:t>管辖权及争议处理</w:t>
            </w:r>
          </w:p>
        </w:tc>
        <w:tc>
          <w:tcPr>
            <w:tcW w:w="7630" w:type="dxa"/>
            <w:tcBorders>
              <w:top w:val="single" w:sz="4" w:space="0" w:color="000000"/>
              <w:bottom w:val="single" w:sz="4" w:space="0" w:color="000000"/>
            </w:tcBorders>
          </w:tcPr>
          <w:p>
            <w:pPr>
              <w:pStyle w:val="TableParagraph"/>
              <w:spacing w:line="236" w:lineRule="exact"/>
              <w:ind w:left="85"/>
              <w:rPr>
                <w:sz w:val="21"/>
              </w:rPr>
            </w:pPr>
            <w:r>
              <w:rPr>
                <w:sz w:val="21"/>
              </w:rPr>
              <w:t>本合同受中华人民共和国法律管辖。</w:t>
            </w:r>
          </w:p>
          <w:p>
            <w:pPr>
              <w:pStyle w:val="TableParagraph"/>
              <w:spacing w:line="235" w:lineRule="auto" w:before="66"/>
              <w:ind w:left="85" w:right="122"/>
              <w:rPr>
                <w:sz w:val="21"/>
              </w:rPr>
            </w:pPr>
            <w:r>
              <w:rPr>
                <w:sz w:val="21"/>
              </w:rPr>
              <w:t>因履行本合同发生的争议，由您我双方协商解决，协商不成的，依法向人民法院提起诉讼。</w:t>
            </w:r>
          </w:p>
        </w:tc>
      </w:tr>
      <w:tr>
        <w:trPr>
          <w:trHeight w:val="978" w:hRule="atLeast"/>
        </w:trPr>
        <w:tc>
          <w:tcPr>
            <w:tcW w:w="10041" w:type="dxa"/>
            <w:gridSpan w:val="3"/>
            <w:tcBorders>
              <w:top w:val="single" w:sz="4" w:space="0" w:color="000000"/>
              <w:bottom w:val="single" w:sz="4" w:space="0" w:color="000000"/>
            </w:tcBorders>
          </w:tcPr>
          <w:p>
            <w:pPr>
              <w:pStyle w:val="TableParagraph"/>
              <w:spacing w:before="5"/>
              <w:ind w:left="0"/>
              <w:rPr>
                <w:sz w:val="19"/>
              </w:rPr>
            </w:pPr>
          </w:p>
          <w:p>
            <w:pPr>
              <w:pStyle w:val="TableParagraph"/>
              <w:rPr>
                <w:rFonts w:ascii="微软雅黑" w:eastAsia="微软雅黑" w:hint="eastAsia"/>
                <w:b/>
                <w:sz w:val="21"/>
              </w:rPr>
            </w:pPr>
            <w:r>
              <w:rPr>
                <w:rFonts w:ascii="微软雅黑" w:eastAsia="微软雅黑" w:hint="eastAsia"/>
                <w:b/>
                <w:sz w:val="21"/>
              </w:rPr>
              <w:t>第二部分 主合同的特别条款</w:t>
            </w:r>
          </w:p>
        </w:tc>
      </w:tr>
      <w:tr>
        <w:trPr>
          <w:trHeight w:val="397" w:hRule="atLeast"/>
        </w:trPr>
        <w:tc>
          <w:tcPr>
            <w:tcW w:w="687" w:type="dxa"/>
            <w:tcBorders>
              <w:top w:val="single" w:sz="4" w:space="0" w:color="000000"/>
              <w:bottom w:val="single" w:sz="4" w:space="0" w:color="000000"/>
            </w:tcBorders>
          </w:tcPr>
          <w:p>
            <w:pPr>
              <w:pStyle w:val="TableParagraph"/>
              <w:ind w:left="0"/>
              <w:rPr>
                <w:rFonts w:ascii="Times New Roman"/>
                <w:sz w:val="20"/>
              </w:rPr>
            </w:pPr>
          </w:p>
        </w:tc>
        <w:tc>
          <w:tcPr>
            <w:tcW w:w="1724" w:type="dxa"/>
            <w:tcBorders>
              <w:top w:val="single" w:sz="4" w:space="0" w:color="000000"/>
              <w:bottom w:val="single" w:sz="4" w:space="0" w:color="000000"/>
            </w:tcBorders>
          </w:tcPr>
          <w:p>
            <w:pPr>
              <w:pStyle w:val="TableParagraph"/>
              <w:ind w:left="0"/>
              <w:rPr>
                <w:rFonts w:ascii="Times New Roman"/>
                <w:sz w:val="20"/>
              </w:rPr>
            </w:pPr>
          </w:p>
        </w:tc>
        <w:tc>
          <w:tcPr>
            <w:tcW w:w="7630" w:type="dxa"/>
            <w:tcBorders>
              <w:top w:val="single" w:sz="4" w:space="0" w:color="000000"/>
              <w:bottom w:val="single" w:sz="4" w:space="0" w:color="000000"/>
            </w:tcBorders>
          </w:tcPr>
          <w:p>
            <w:pPr>
              <w:pStyle w:val="TableParagraph"/>
              <w:tabs>
                <w:tab w:pos="844" w:val="left" w:leader="none"/>
              </w:tabs>
              <w:spacing w:line="324" w:lineRule="exact"/>
              <w:ind w:left="0" w:right="2414"/>
              <w:jc w:val="center"/>
              <w:rPr>
                <w:rFonts w:ascii="微软雅黑" w:eastAsia="微软雅黑" w:hint="eastAsia"/>
                <w:b/>
                <w:sz w:val="21"/>
              </w:rPr>
            </w:pPr>
            <w:r>
              <w:rPr>
                <w:rFonts w:ascii="微软雅黑" w:eastAsia="微软雅黑" w:hint="eastAsia"/>
                <w:b/>
                <w:sz w:val="21"/>
              </w:rPr>
              <w:t>第六章</w:t>
              <w:tab/>
              <w:t>保障范围及责任免除</w:t>
            </w:r>
          </w:p>
        </w:tc>
      </w:tr>
      <w:tr>
        <w:trPr>
          <w:trHeight w:val="737" w:hRule="atLeast"/>
        </w:trPr>
        <w:tc>
          <w:tcPr>
            <w:tcW w:w="687" w:type="dxa"/>
            <w:tcBorders>
              <w:top w:val="single" w:sz="4" w:space="0" w:color="000000"/>
            </w:tcBorders>
          </w:tcPr>
          <w:p>
            <w:pPr>
              <w:pStyle w:val="TableParagraph"/>
              <w:spacing w:line="262" w:lineRule="exact"/>
              <w:rPr>
                <w:rFonts w:ascii="微软雅黑"/>
                <w:b/>
                <w:sz w:val="21"/>
              </w:rPr>
            </w:pPr>
            <w:r>
              <w:rPr>
                <w:rFonts w:ascii="微软雅黑"/>
                <w:b/>
                <w:w w:val="81"/>
                <w:sz w:val="21"/>
              </w:rPr>
              <w:t>18</w:t>
            </w:r>
            <w:r>
              <w:rPr>
                <w:rFonts w:ascii="微软雅黑"/>
                <w:b/>
                <w:w w:val="176"/>
                <w:sz w:val="21"/>
              </w:rPr>
              <w:t>.</w:t>
            </w:r>
          </w:p>
        </w:tc>
        <w:tc>
          <w:tcPr>
            <w:tcW w:w="1724" w:type="dxa"/>
            <w:tcBorders>
              <w:top w:val="single" w:sz="4" w:space="0" w:color="000000"/>
            </w:tcBorders>
          </w:tcPr>
          <w:p>
            <w:pPr>
              <w:pStyle w:val="TableParagraph"/>
              <w:spacing w:line="262" w:lineRule="exact"/>
              <w:ind w:left="263"/>
              <w:rPr>
                <w:rFonts w:ascii="微软雅黑" w:eastAsia="微软雅黑" w:hint="eastAsia"/>
                <w:b/>
                <w:sz w:val="21"/>
              </w:rPr>
            </w:pPr>
            <w:r>
              <w:rPr>
                <w:rFonts w:ascii="微软雅黑" w:eastAsia="微软雅黑" w:hint="eastAsia"/>
                <w:b/>
                <w:sz w:val="21"/>
              </w:rPr>
              <w:t>投保范围</w:t>
            </w:r>
          </w:p>
        </w:tc>
        <w:tc>
          <w:tcPr>
            <w:tcW w:w="7630" w:type="dxa"/>
            <w:tcBorders>
              <w:top w:val="single" w:sz="4" w:space="0" w:color="000000"/>
            </w:tcBorders>
          </w:tcPr>
          <w:p>
            <w:pPr>
              <w:pStyle w:val="TableParagraph"/>
              <w:spacing w:line="236" w:lineRule="exact"/>
              <w:ind w:left="-1"/>
              <w:rPr>
                <w:sz w:val="21"/>
              </w:rPr>
            </w:pPr>
            <w:r>
              <w:rPr>
                <w:spacing w:val="-11"/>
                <w:sz w:val="21"/>
              </w:rPr>
              <w:t>出生满 </w:t>
            </w:r>
            <w:r>
              <w:rPr>
                <w:sz w:val="21"/>
              </w:rPr>
              <w:t>28</w:t>
            </w:r>
            <w:r>
              <w:rPr>
                <w:spacing w:val="-23"/>
                <w:sz w:val="21"/>
              </w:rPr>
              <w:t> 天至 </w:t>
            </w:r>
            <w:r>
              <w:rPr>
                <w:sz w:val="21"/>
              </w:rPr>
              <w:t>17</w:t>
            </w:r>
            <w:r>
              <w:rPr>
                <w:spacing w:val="-11"/>
                <w:sz w:val="21"/>
              </w:rPr>
              <w:t> 周岁，符合我方规定投保条件者可作为被保险人参加本保险。如</w:t>
            </w:r>
          </w:p>
          <w:p>
            <w:pPr>
              <w:pStyle w:val="TableParagraph"/>
              <w:spacing w:line="274" w:lineRule="exact"/>
              <w:ind w:left="-1"/>
              <w:rPr>
                <w:sz w:val="21"/>
              </w:rPr>
            </w:pPr>
            <w:r>
              <w:rPr>
                <w:sz w:val="21"/>
              </w:rPr>
              <w:t>属续保，则被保险人的年龄最高可至 25 周岁。</w:t>
            </w:r>
          </w:p>
        </w:tc>
      </w:tr>
      <w:tr>
        <w:trPr>
          <w:trHeight w:val="2320" w:hRule="atLeast"/>
        </w:trPr>
        <w:tc>
          <w:tcPr>
            <w:tcW w:w="687" w:type="dxa"/>
          </w:tcPr>
          <w:p>
            <w:pPr>
              <w:pStyle w:val="TableParagraph"/>
              <w:spacing w:before="101"/>
              <w:rPr>
                <w:rFonts w:ascii="微软雅黑"/>
                <w:b/>
                <w:sz w:val="21"/>
              </w:rPr>
            </w:pPr>
            <w:r>
              <w:rPr>
                <w:rFonts w:ascii="微软雅黑"/>
                <w:b/>
                <w:w w:val="81"/>
                <w:sz w:val="21"/>
              </w:rPr>
              <w:t>19</w:t>
            </w:r>
            <w:r>
              <w:rPr>
                <w:rFonts w:ascii="微软雅黑"/>
                <w:b/>
                <w:w w:val="176"/>
                <w:sz w:val="21"/>
              </w:rPr>
              <w:t>.</w:t>
            </w:r>
          </w:p>
        </w:tc>
        <w:tc>
          <w:tcPr>
            <w:tcW w:w="1724" w:type="dxa"/>
          </w:tcPr>
          <w:p>
            <w:pPr>
              <w:pStyle w:val="TableParagraph"/>
              <w:spacing w:before="101"/>
              <w:ind w:left="263"/>
              <w:rPr>
                <w:rFonts w:ascii="微软雅黑" w:eastAsia="微软雅黑" w:hint="eastAsia"/>
                <w:b/>
                <w:sz w:val="21"/>
              </w:rPr>
            </w:pPr>
            <w:r>
              <w:rPr>
                <w:rFonts w:ascii="微软雅黑" w:eastAsia="微软雅黑" w:hint="eastAsia"/>
                <w:b/>
                <w:sz w:val="21"/>
              </w:rPr>
              <w:t>保险责任</w:t>
            </w:r>
          </w:p>
        </w:tc>
        <w:tc>
          <w:tcPr>
            <w:tcW w:w="7630" w:type="dxa"/>
            <w:tcBorders>
              <w:bottom w:val="single" w:sz="4" w:space="0" w:color="000000"/>
            </w:tcBorders>
          </w:tcPr>
          <w:p>
            <w:pPr>
              <w:pStyle w:val="TableParagraph"/>
              <w:spacing w:before="6"/>
              <w:ind w:left="0"/>
              <w:rPr>
                <w:sz w:val="19"/>
              </w:rPr>
            </w:pPr>
          </w:p>
          <w:p>
            <w:pPr>
              <w:pStyle w:val="TableParagraph"/>
              <w:spacing w:line="180" w:lineRule="auto"/>
              <w:ind w:left="-1" w:right="104"/>
              <w:jc w:val="both"/>
              <w:rPr>
                <w:rFonts w:ascii="微软雅黑" w:eastAsia="微软雅黑" w:hint="eastAsia"/>
                <w:b/>
                <w:sz w:val="21"/>
              </w:rPr>
            </w:pPr>
            <w:r>
              <w:rPr>
                <w:rFonts w:ascii="微软雅黑" w:eastAsia="微软雅黑" w:hint="eastAsia"/>
                <w:b/>
                <w:spacing w:val="-5"/>
                <w:sz w:val="21"/>
              </w:rPr>
              <w:t>您方首次投保或非连续投保主合同的，自主合同生效之日起 </w:t>
            </w:r>
            <w:r>
              <w:rPr>
                <w:rFonts w:ascii="微软雅黑" w:eastAsia="微软雅黑" w:hint="eastAsia"/>
                <w:b/>
                <w:sz w:val="21"/>
              </w:rPr>
              <w:t>90</w:t>
            </w:r>
            <w:r>
              <w:rPr>
                <w:rFonts w:ascii="微软雅黑" w:eastAsia="微软雅黑" w:hint="eastAsia"/>
                <w:b/>
                <w:spacing w:val="-25"/>
                <w:sz w:val="21"/>
              </w:rPr>
              <w:t> 天</w:t>
            </w:r>
            <w:r>
              <w:rPr>
                <w:rFonts w:ascii="微软雅黑" w:eastAsia="微软雅黑" w:hint="eastAsia"/>
                <w:b/>
                <w:sz w:val="21"/>
              </w:rPr>
              <w:t>（</w:t>
            </w:r>
            <w:r>
              <w:rPr>
                <w:rFonts w:ascii="微软雅黑" w:eastAsia="微软雅黑" w:hint="eastAsia"/>
                <w:b/>
                <w:spacing w:val="-8"/>
                <w:sz w:val="21"/>
              </w:rPr>
              <w:t>含第 </w:t>
            </w:r>
            <w:r>
              <w:rPr>
                <w:rFonts w:ascii="微软雅黑" w:eastAsia="微软雅黑" w:hint="eastAsia"/>
                <w:b/>
                <w:sz w:val="21"/>
              </w:rPr>
              <w:t>90</w:t>
            </w:r>
            <w:r>
              <w:rPr>
                <w:rFonts w:ascii="微软雅黑" w:eastAsia="微软雅黑" w:hint="eastAsia"/>
                <w:b/>
                <w:spacing w:val="-12"/>
                <w:sz w:val="21"/>
              </w:rPr>
              <w:t> 天</w:t>
            </w:r>
            <w:r>
              <w:rPr>
                <w:rFonts w:ascii="微软雅黑" w:eastAsia="微软雅黑" w:hint="eastAsia"/>
                <w:b/>
                <w:spacing w:val="-25"/>
                <w:sz w:val="21"/>
              </w:rPr>
              <w:t>）</w:t>
            </w:r>
            <w:r>
              <w:rPr>
                <w:rFonts w:ascii="微软雅黑" w:eastAsia="微软雅黑" w:hint="eastAsia"/>
                <w:b/>
                <w:sz w:val="21"/>
              </w:rPr>
              <w:t>为主合同的等待期。</w:t>
            </w:r>
          </w:p>
          <w:p>
            <w:pPr>
              <w:pStyle w:val="TableParagraph"/>
              <w:spacing w:line="318" w:lineRule="exact"/>
              <w:ind w:left="-1"/>
              <w:rPr>
                <w:rFonts w:ascii="微软雅黑" w:eastAsia="微软雅黑" w:hint="eastAsia"/>
                <w:b/>
                <w:sz w:val="21"/>
              </w:rPr>
            </w:pPr>
            <w:r>
              <w:rPr>
                <w:rFonts w:ascii="微软雅黑" w:eastAsia="微软雅黑" w:hint="eastAsia"/>
                <w:b/>
                <w:sz w:val="21"/>
              </w:rPr>
              <w:t>您方连续投保主合同的，自第二个保单年度起无等待期。</w:t>
            </w:r>
          </w:p>
          <w:p>
            <w:pPr>
              <w:pStyle w:val="TableParagraph"/>
              <w:spacing w:line="225" w:lineRule="auto" w:before="8"/>
              <w:ind w:left="-1" w:right="99"/>
              <w:jc w:val="both"/>
              <w:rPr>
                <w:sz w:val="21"/>
              </w:rPr>
            </w:pPr>
            <w:r>
              <w:rPr>
                <w:spacing w:val="-9"/>
                <w:sz w:val="21"/>
              </w:rPr>
              <w:t>在主合同保险期间内，如果被保险人</w:t>
            </w:r>
            <w:r>
              <w:rPr>
                <w:rFonts w:ascii="微软雅黑" w:eastAsia="微软雅黑" w:hint="eastAsia"/>
                <w:b/>
                <w:sz w:val="21"/>
              </w:rPr>
              <w:t>初次发生</w:t>
            </w:r>
            <w:r>
              <w:rPr>
                <w:rFonts w:ascii="微软雅黑" w:eastAsia="微软雅黑" w:hint="eastAsia"/>
                <w:b/>
                <w:spacing w:val="5"/>
                <w:position w:val="11"/>
                <w:sz w:val="11"/>
              </w:rPr>
              <w:t>2</w:t>
            </w:r>
            <w:r>
              <w:rPr>
                <w:spacing w:val="-3"/>
                <w:sz w:val="21"/>
              </w:rPr>
              <w:t>并经</w:t>
            </w:r>
            <w:r>
              <w:rPr>
                <w:rFonts w:ascii="微软雅黑" w:eastAsia="微软雅黑" w:hint="eastAsia"/>
                <w:b/>
                <w:sz w:val="21"/>
              </w:rPr>
              <w:t>医院</w:t>
            </w:r>
            <w:r>
              <w:rPr>
                <w:rFonts w:ascii="微软雅黑" w:eastAsia="微软雅黑" w:hint="eastAsia"/>
                <w:b/>
                <w:spacing w:val="5"/>
                <w:position w:val="11"/>
                <w:sz w:val="11"/>
              </w:rPr>
              <w:t>3</w:t>
            </w:r>
            <w:r>
              <w:rPr>
                <w:rFonts w:ascii="微软雅黑" w:eastAsia="微软雅黑" w:hint="eastAsia"/>
                <w:b/>
                <w:spacing w:val="-2"/>
                <w:sz w:val="21"/>
              </w:rPr>
              <w:t>专科医生</w:t>
            </w:r>
            <w:r>
              <w:rPr>
                <w:rFonts w:ascii="微软雅黑" w:eastAsia="微软雅黑" w:hint="eastAsia"/>
                <w:b/>
                <w:spacing w:val="5"/>
                <w:position w:val="11"/>
                <w:sz w:val="11"/>
              </w:rPr>
              <w:t>4</w:t>
            </w:r>
            <w:r>
              <w:rPr>
                <w:rFonts w:ascii="微软雅黑" w:eastAsia="微软雅黑" w:hint="eastAsia"/>
                <w:b/>
                <w:spacing w:val="-3"/>
                <w:sz w:val="21"/>
              </w:rPr>
              <w:t>首次确诊</w:t>
            </w:r>
            <w:r>
              <w:rPr>
                <w:rFonts w:ascii="微软雅黑" w:eastAsia="微软雅黑" w:hint="eastAsia"/>
                <w:b/>
                <w:spacing w:val="5"/>
                <w:position w:val="11"/>
                <w:sz w:val="11"/>
              </w:rPr>
              <w:t>5</w:t>
            </w:r>
            <w:r>
              <w:rPr>
                <w:spacing w:val="-4"/>
                <w:sz w:val="21"/>
              </w:rPr>
              <w:t>患有主</w:t>
            </w:r>
            <w:r>
              <w:rPr>
                <w:spacing w:val="-9"/>
                <w:sz w:val="21"/>
              </w:rPr>
              <w:t>合同所规定的重大疾病，我方将按主合同的基本保险金额向受益人给付重大疾病保险金。</w:t>
            </w:r>
          </w:p>
          <w:p>
            <w:pPr>
              <w:pStyle w:val="TableParagraph"/>
              <w:spacing w:line="315" w:lineRule="exact"/>
              <w:ind w:left="-1"/>
              <w:jc w:val="both"/>
              <w:rPr>
                <w:rFonts w:ascii="微软雅黑" w:eastAsia="微软雅黑" w:hint="eastAsia"/>
                <w:b/>
                <w:sz w:val="21"/>
              </w:rPr>
            </w:pPr>
            <w:r>
              <w:rPr>
                <w:rFonts w:ascii="微软雅黑" w:eastAsia="微软雅黑" w:hint="eastAsia"/>
                <w:b/>
                <w:sz w:val="21"/>
              </w:rPr>
              <w:t>但是，如果被保险人是在主合同生效之前、或者在等待期内因意外伤害</w:t>
            </w:r>
            <w:r>
              <w:rPr>
                <w:rFonts w:ascii="微软雅黑" w:eastAsia="微软雅黑" w:hint="eastAsia"/>
                <w:b/>
                <w:position w:val="11"/>
                <w:sz w:val="11"/>
              </w:rPr>
              <w:t>6</w:t>
            </w:r>
            <w:r>
              <w:rPr>
                <w:rFonts w:ascii="微软雅黑" w:eastAsia="微软雅黑" w:hint="eastAsia"/>
                <w:b/>
                <w:sz w:val="21"/>
              </w:rPr>
              <w:t>之外的原</w:t>
            </w:r>
          </w:p>
        </w:tc>
      </w:tr>
    </w:tbl>
    <w:p>
      <w:pPr>
        <w:pStyle w:val="BodyText"/>
        <w:spacing w:before="10"/>
        <w:ind w:left="0"/>
        <w:rPr>
          <w:sz w:val="23"/>
        </w:rPr>
      </w:pPr>
      <w:r>
        <w:rPr/>
        <w:pict>
          <v:line style="position:absolute;mso-position-horizontal-relative:page;mso-position-vertical-relative:paragraph;z-index:1240;mso-wrap-distance-left:0;mso-wrap-distance-right:0" from="48.264pt,17.774981pt" to="192.314pt,17.774981pt" stroked="true" strokeweight=".48004pt" strokecolor="#000000">
            <v:stroke dashstyle="solid"/>
            <w10:wrap type="topAndBottom"/>
          </v:line>
        </w:pict>
      </w:r>
    </w:p>
    <w:p>
      <w:pPr>
        <w:spacing w:line="314" w:lineRule="exact" w:before="0"/>
        <w:ind w:left="105" w:right="0" w:firstLine="0"/>
        <w:jc w:val="left"/>
        <w:rPr>
          <w:sz w:val="21"/>
        </w:rPr>
      </w:pPr>
      <w:r>
        <w:rPr>
          <w:rFonts w:ascii="Microsoft JhengHei" w:eastAsia="Microsoft JhengHei" w:hint="eastAsia"/>
          <w:b/>
          <w:position w:val="11"/>
          <w:sz w:val="11"/>
        </w:rPr>
        <w:t>2     </w:t>
      </w:r>
      <w:r>
        <w:rPr>
          <w:rFonts w:ascii="Microsoft JhengHei" w:eastAsia="Microsoft JhengHei" w:hint="eastAsia"/>
          <w:b/>
          <w:sz w:val="21"/>
        </w:rPr>
        <w:t>初次发生：</w:t>
      </w:r>
      <w:r>
        <w:rPr>
          <w:sz w:val="21"/>
        </w:rPr>
        <w:t>指被保险人自出生之日起第一次出现与主合同所约定的疾病相关的症状或体征，而该症状或体征</w:t>
      </w:r>
    </w:p>
    <w:p>
      <w:pPr>
        <w:pStyle w:val="BodyText"/>
        <w:ind w:left="105" w:right="174"/>
        <w:jc w:val="both"/>
      </w:pPr>
      <w:r>
        <w:rPr>
          <w:spacing w:val="-10"/>
        </w:rPr>
        <w:t>已足以引起一般人士注意并去医院寻求医疗检查，且被诊断为主合同所约定的疾病或在其后发展为主合同约定的疾病。</w:t>
      </w:r>
    </w:p>
    <w:p>
      <w:pPr>
        <w:pStyle w:val="BodyText"/>
        <w:spacing w:line="312" w:lineRule="exact" w:before="31"/>
        <w:ind w:left="105" w:right="171"/>
        <w:jc w:val="both"/>
      </w:pPr>
      <w:r>
        <w:rPr>
          <w:rFonts w:ascii="Microsoft JhengHei" w:eastAsia="Microsoft JhengHei" w:hint="eastAsia"/>
          <w:b/>
          <w:position w:val="11"/>
          <w:sz w:val="11"/>
        </w:rPr>
        <w:t>3 </w:t>
      </w:r>
      <w:r>
        <w:rPr>
          <w:rFonts w:ascii="Microsoft JhengHei" w:eastAsia="Microsoft JhengHei" w:hint="eastAsia"/>
          <w:b/>
          <w:spacing w:val="-8"/>
        </w:rPr>
        <w:t>医院：</w:t>
      </w:r>
      <w:r>
        <w:rPr>
          <w:spacing w:val="-6"/>
        </w:rPr>
        <w:t>指除下述三项所列医院以外的二级及以上公立医院，该种级别是按照中华人民共和国卫生部所颁布的</w:t>
      </w:r>
      <w:r>
        <w:rPr>
          <w:spacing w:val="-11"/>
        </w:rPr>
        <w:t>分类标准划分的。主合同所提及的医院还包括我方所认可的香港、澳门、台湾地区医院和国外医院，该医院应</w:t>
      </w:r>
      <w:r>
        <w:rPr>
          <w:spacing w:val="-12"/>
        </w:rPr>
        <w:t>该是一种合法成立并按照当地法律营运的机构，其主要业务是在居民住院的基础上接收、护理和治疗病人或伤</w:t>
      </w:r>
    </w:p>
    <w:p>
      <w:pPr>
        <w:spacing w:line="204" w:lineRule="auto" w:before="0"/>
        <w:ind w:left="105" w:right="174" w:firstLine="0"/>
        <w:jc w:val="both"/>
        <w:rPr>
          <w:rFonts w:ascii="Microsoft JhengHei" w:eastAsia="Microsoft JhengHei" w:hint="eastAsia"/>
          <w:b/>
          <w:sz w:val="21"/>
        </w:rPr>
      </w:pPr>
      <w:r>
        <w:rPr>
          <w:spacing w:val="-6"/>
          <w:sz w:val="21"/>
        </w:rPr>
        <w:t>员，并且拥有诊断和内外科设施，同时还有合格医师及护士驻院提供全天 </w:t>
      </w:r>
      <w:r>
        <w:rPr>
          <w:sz w:val="21"/>
        </w:rPr>
        <w:t>24</w:t>
      </w:r>
      <w:r>
        <w:rPr>
          <w:spacing w:val="-6"/>
          <w:sz w:val="21"/>
        </w:rPr>
        <w:t> 小时治疗和护理服务。</w:t>
      </w:r>
      <w:r>
        <w:rPr>
          <w:rFonts w:ascii="Microsoft JhengHei" w:eastAsia="Microsoft JhengHei" w:hint="eastAsia"/>
          <w:b/>
          <w:sz w:val="21"/>
          <w:u w:val="single"/>
        </w:rPr>
        <w:t>主合同中</w:t>
      </w:r>
      <w:r>
        <w:rPr>
          <w:rFonts w:ascii="Microsoft JhengHei" w:eastAsia="Microsoft JhengHei" w:hint="eastAsia"/>
          <w:b/>
          <w:spacing w:val="-11"/>
          <w:w w:val="100"/>
          <w:sz w:val="21"/>
          <w:u w:val="single"/>
        </w:rPr>
        <w:t>所提及的医院不包括：</w:t>
      </w:r>
      <w:r>
        <w:rPr>
          <w:rFonts w:ascii="Microsoft JhengHei" w:eastAsia="Microsoft JhengHei" w:hint="eastAsia"/>
          <w:b/>
          <w:spacing w:val="5"/>
          <w:w w:val="100"/>
          <w:sz w:val="21"/>
          <w:u w:val="single"/>
        </w:rPr>
        <w:t>（</w:t>
      </w:r>
      <w:r>
        <w:rPr>
          <w:rFonts w:ascii="Microsoft JhengHei" w:eastAsia="Microsoft JhengHei" w:hint="eastAsia"/>
          <w:b/>
          <w:w w:val="84"/>
          <w:sz w:val="21"/>
          <w:u w:val="single"/>
        </w:rPr>
        <w:t>1</w:t>
      </w:r>
      <w:r>
        <w:rPr>
          <w:rFonts w:ascii="Microsoft JhengHei" w:eastAsia="Microsoft JhengHei" w:hint="eastAsia"/>
          <w:b/>
          <w:w w:val="100"/>
          <w:sz w:val="21"/>
          <w:u w:val="single"/>
        </w:rPr>
        <w:t>）健康水疗或自然治疗诊所，疗养院，或医院中提供护理、康复、恢复治疗的科室</w:t>
      </w:r>
      <w:r>
        <w:rPr>
          <w:rFonts w:ascii="Microsoft JhengHei" w:eastAsia="Microsoft JhengHei" w:hint="eastAsia"/>
          <w:b/>
          <w:spacing w:val="-27"/>
          <w:w w:val="100"/>
          <w:sz w:val="21"/>
          <w:u w:val="single"/>
        </w:rPr>
        <w:t>或病区；</w:t>
      </w:r>
      <w:r>
        <w:rPr>
          <w:rFonts w:ascii="Microsoft JhengHei" w:eastAsia="Microsoft JhengHei" w:hint="eastAsia"/>
          <w:b/>
          <w:w w:val="100"/>
          <w:sz w:val="21"/>
          <w:u w:val="single"/>
        </w:rPr>
        <w:t>（</w:t>
      </w:r>
      <w:r>
        <w:rPr>
          <w:rFonts w:ascii="Microsoft JhengHei" w:eastAsia="Microsoft JhengHei" w:hint="eastAsia"/>
          <w:b/>
          <w:spacing w:val="3"/>
          <w:w w:val="84"/>
          <w:sz w:val="21"/>
          <w:u w:val="single"/>
        </w:rPr>
        <w:t>2</w:t>
      </w:r>
      <w:r>
        <w:rPr>
          <w:rFonts w:ascii="Microsoft JhengHei" w:eastAsia="Microsoft JhengHei" w:hint="eastAsia"/>
          <w:b/>
          <w:w w:val="100"/>
          <w:sz w:val="21"/>
          <w:u w:val="single"/>
        </w:rPr>
        <w:t>）</w:t>
      </w:r>
      <w:r>
        <w:rPr>
          <w:rFonts w:ascii="Microsoft JhengHei" w:eastAsia="Microsoft JhengHei" w:hint="eastAsia"/>
          <w:b/>
          <w:spacing w:val="-3"/>
          <w:w w:val="100"/>
          <w:sz w:val="21"/>
          <w:u w:val="single"/>
        </w:rPr>
        <w:t>精神病院，主要治疗精神或心理疾病的机构，以及医院中治疗精神病的科室或病区；</w:t>
      </w:r>
      <w:r>
        <w:rPr>
          <w:rFonts w:ascii="Microsoft JhengHei" w:eastAsia="Microsoft JhengHei" w:hint="eastAsia"/>
          <w:b/>
          <w:spacing w:val="3"/>
          <w:w w:val="100"/>
          <w:sz w:val="21"/>
          <w:u w:val="single"/>
        </w:rPr>
        <w:t>（</w:t>
      </w:r>
      <w:r>
        <w:rPr>
          <w:rFonts w:ascii="Microsoft JhengHei" w:eastAsia="Microsoft JhengHei" w:hint="eastAsia"/>
          <w:b/>
          <w:w w:val="84"/>
          <w:sz w:val="21"/>
          <w:u w:val="single"/>
        </w:rPr>
        <w:t>3</w:t>
      </w:r>
      <w:r>
        <w:rPr>
          <w:rFonts w:ascii="Microsoft JhengHei" w:eastAsia="Microsoft JhengHei" w:hint="eastAsia"/>
          <w:b/>
          <w:w w:val="100"/>
          <w:sz w:val="21"/>
          <w:u w:val="single"/>
        </w:rPr>
        <w:t>）养老</w:t>
      </w:r>
      <w:r>
        <w:rPr>
          <w:rFonts w:ascii="Microsoft JhengHei" w:eastAsia="Microsoft JhengHei" w:hint="eastAsia"/>
          <w:b/>
          <w:sz w:val="21"/>
          <w:u w:val="single"/>
        </w:rPr>
        <w:t>院、戒毒所或戒酒所。</w:t>
      </w:r>
    </w:p>
    <w:p>
      <w:pPr>
        <w:pStyle w:val="BodyText"/>
        <w:spacing w:line="334" w:lineRule="exact" w:before="7"/>
        <w:ind w:left="105"/>
      </w:pPr>
      <w:r>
        <w:rPr>
          <w:rFonts w:ascii="Microsoft JhengHei" w:eastAsia="Microsoft JhengHei" w:hint="eastAsia"/>
          <w:b/>
          <w:w w:val="84"/>
          <w:position w:val="11"/>
          <w:sz w:val="11"/>
        </w:rPr>
        <w:t>4</w:t>
      </w:r>
      <w:r>
        <w:rPr>
          <w:rFonts w:ascii="Microsoft JhengHei" w:eastAsia="Microsoft JhengHei" w:hint="eastAsia"/>
          <w:b/>
          <w:position w:val="11"/>
          <w:sz w:val="11"/>
        </w:rPr>
        <w:t>    </w:t>
      </w:r>
      <w:r>
        <w:rPr>
          <w:rFonts w:ascii="Microsoft JhengHei" w:eastAsia="Microsoft JhengHei" w:hint="eastAsia"/>
          <w:b/>
          <w:w w:val="100"/>
        </w:rPr>
        <w:t>专科医生：</w:t>
      </w:r>
      <w:r>
        <w:rPr>
          <w:spacing w:val="-11"/>
          <w:w w:val="100"/>
        </w:rPr>
        <w:t>专科医生应当同时满足以下四项资格条件：</w:t>
      </w:r>
      <w:r>
        <w:rPr>
          <w:spacing w:val="0"/>
          <w:w w:val="100"/>
        </w:rPr>
        <w:t>（</w:t>
      </w:r>
      <w:r>
        <w:rPr>
          <w:w w:val="100"/>
        </w:rPr>
        <w:t>1）</w:t>
      </w:r>
      <w:r>
        <w:rPr>
          <w:spacing w:val="-11"/>
          <w:w w:val="100"/>
        </w:rPr>
        <w:t>具有有效的中华人民共和国《医师资格证书》；</w:t>
      </w:r>
    </w:p>
    <w:p>
      <w:pPr>
        <w:pStyle w:val="BodyText"/>
        <w:spacing w:line="237" w:lineRule="auto"/>
        <w:ind w:left="105" w:right="174"/>
        <w:jc w:val="both"/>
      </w:pPr>
      <w:r>
        <w:rPr>
          <w:w w:val="100"/>
        </w:rPr>
        <w:t>（2</w:t>
      </w:r>
      <w:r>
        <w:rPr>
          <w:spacing w:val="-20"/>
          <w:w w:val="100"/>
        </w:rPr>
        <w:t>）</w:t>
      </w:r>
      <w:r>
        <w:rPr>
          <w:spacing w:val="-13"/>
          <w:w w:val="100"/>
        </w:rPr>
        <w:t>具有有效的中华人民共和国《医师执业证书》，并按期到相关部门登记注册</w:t>
      </w:r>
      <w:r>
        <w:rPr>
          <w:spacing w:val="-130"/>
          <w:w w:val="100"/>
        </w:rPr>
        <w:t>；</w:t>
      </w:r>
      <w:r>
        <w:rPr>
          <w:spacing w:val="2"/>
          <w:w w:val="100"/>
        </w:rPr>
        <w:t>（</w:t>
      </w:r>
      <w:r>
        <w:rPr>
          <w:w w:val="100"/>
        </w:rPr>
        <w:t>3</w:t>
      </w:r>
      <w:r>
        <w:rPr>
          <w:spacing w:val="-25"/>
          <w:w w:val="100"/>
        </w:rPr>
        <w:t>）</w:t>
      </w:r>
      <w:r>
        <w:rPr>
          <w:spacing w:val="-3"/>
          <w:w w:val="100"/>
        </w:rPr>
        <w:t>具有有效的中华人民共</w:t>
      </w:r>
      <w:r>
        <w:rPr>
          <w:spacing w:val="-14"/>
          <w:w w:val="100"/>
        </w:rPr>
        <w:t>和国主治医师或主治医师以上职称的《医师职称证书》；</w:t>
      </w:r>
      <w:r>
        <w:rPr>
          <w:spacing w:val="1"/>
          <w:w w:val="100"/>
        </w:rPr>
        <w:t>（</w:t>
      </w:r>
      <w:r>
        <w:rPr>
          <w:w w:val="100"/>
        </w:rPr>
        <w:t>4）</w:t>
      </w:r>
      <w:r>
        <w:rPr>
          <w:spacing w:val="-5"/>
          <w:w w:val="100"/>
        </w:rPr>
        <w:t>在二级或二级以上医院的相应科室从事临床工作</w:t>
      </w:r>
      <w:r>
        <w:rPr>
          <w:spacing w:val="-10"/>
        </w:rPr>
        <w:t>三年以上。主合同所提及的专科医生还包括根据治疗所在地的国家、政府或其他监管区域的法律合法承认、注</w:t>
      </w:r>
      <w:r>
        <w:rPr>
          <w:spacing w:val="-7"/>
        </w:rPr>
        <w:t>册或登记的医生。</w:t>
      </w:r>
    </w:p>
    <w:p>
      <w:pPr>
        <w:spacing w:line="285" w:lineRule="exact" w:before="10"/>
        <w:ind w:left="105" w:right="0" w:firstLine="0"/>
        <w:jc w:val="both"/>
        <w:rPr>
          <w:sz w:val="21"/>
        </w:rPr>
      </w:pPr>
      <w:r>
        <w:rPr>
          <w:rFonts w:ascii="Microsoft JhengHei" w:eastAsia="Microsoft JhengHei" w:hint="eastAsia"/>
          <w:b/>
          <w:position w:val="11"/>
          <w:sz w:val="11"/>
        </w:rPr>
        <w:t>5     </w:t>
      </w:r>
      <w:r>
        <w:rPr>
          <w:rFonts w:ascii="Microsoft JhengHei" w:eastAsia="Microsoft JhengHei" w:hint="eastAsia"/>
          <w:b/>
          <w:sz w:val="21"/>
        </w:rPr>
        <w:t>首次确诊：</w:t>
      </w:r>
      <w:r>
        <w:rPr>
          <w:sz w:val="21"/>
        </w:rPr>
        <w:t>指被保险人自出生之日起第一次被明确诊断患有主合同所规定的某种疾病，而不是指自主合同等</w:t>
      </w:r>
    </w:p>
    <w:p>
      <w:pPr>
        <w:pStyle w:val="BodyText"/>
        <w:spacing w:line="262" w:lineRule="exact"/>
        <w:ind w:left="105"/>
        <w:jc w:val="both"/>
      </w:pPr>
      <w:r>
        <w:rPr/>
        <w:t>待期后的第一次被明确诊断患有主合同所规定的疾病。</w:t>
      </w:r>
    </w:p>
    <w:p>
      <w:pPr>
        <w:spacing w:after="0" w:line="262" w:lineRule="exact"/>
        <w:jc w:val="both"/>
        <w:sectPr>
          <w:pgSz w:w="11910" w:h="16840"/>
          <w:pgMar w:header="0" w:footer="863" w:top="1140" w:bottom="1060" w:left="860" w:right="780"/>
        </w:sectPr>
      </w:pPr>
    </w:p>
    <w:p>
      <w:pPr>
        <w:pStyle w:val="Heading2"/>
        <w:spacing w:line="180" w:lineRule="auto" w:before="44"/>
        <w:ind w:left="2515" w:right="269"/>
      </w:pPr>
      <w:r>
        <w:rPr>
          <w:spacing w:val="-7"/>
          <w:u w:val="single"/>
        </w:rPr>
        <w:t>因导致发生以下任一约定情况的，我方不承担给付重大疾病保险金的责任，将向您方退还主合同及其附加合同项下您方已支付的全部保险费：</w:t>
      </w:r>
    </w:p>
    <w:p>
      <w:pPr>
        <w:pStyle w:val="ListParagraph"/>
        <w:numPr>
          <w:ilvl w:val="1"/>
          <w:numId w:val="3"/>
        </w:numPr>
        <w:tabs>
          <w:tab w:pos="2933" w:val="left" w:leader="none"/>
          <w:tab w:pos="2934" w:val="left" w:leader="none"/>
        </w:tabs>
        <w:spacing w:line="320" w:lineRule="exact" w:before="0" w:after="0"/>
        <w:ind w:left="2933" w:right="0" w:hanging="418"/>
        <w:jc w:val="left"/>
        <w:rPr>
          <w:rFonts w:ascii="微软雅黑" w:eastAsia="微软雅黑" w:hint="eastAsia"/>
          <w:b/>
          <w:sz w:val="21"/>
        </w:rPr>
      </w:pPr>
      <w:r>
        <w:rPr/>
        <w:pict>
          <v:line style="position:absolute;mso-position-horizontal-relative:page;mso-position-vertical-relative:paragraph;z-index:-21928" from="189.669998pt,15.731963pt" to="435.289998pt,15.731963pt" stroked="true" strokeweight=".48pt" strokecolor="#000000">
            <v:stroke dashstyle="solid"/>
            <w10:wrap type="none"/>
          </v:line>
        </w:pict>
      </w:r>
      <w:r>
        <w:rPr>
          <w:rFonts w:ascii="微软雅黑" w:eastAsia="微软雅黑" w:hint="eastAsia"/>
          <w:b/>
          <w:spacing w:val="-2"/>
          <w:sz w:val="21"/>
        </w:rPr>
        <w:t>发生与主合同所规定的重大疾病相关的症状</w:t>
      </w:r>
      <w:r>
        <w:rPr>
          <w:rFonts w:ascii="微软雅黑" w:eastAsia="微软雅黑" w:hint="eastAsia"/>
          <w:b/>
          <w:spacing w:val="5"/>
          <w:position w:val="11"/>
          <w:sz w:val="11"/>
        </w:rPr>
        <w:t>7</w:t>
      </w:r>
      <w:r>
        <w:rPr>
          <w:rFonts w:ascii="微软雅黑" w:eastAsia="微软雅黑" w:hint="eastAsia"/>
          <w:b/>
          <w:sz w:val="21"/>
        </w:rPr>
        <w:t>或体征；</w:t>
      </w:r>
    </w:p>
    <w:p>
      <w:pPr>
        <w:pStyle w:val="ListParagraph"/>
        <w:numPr>
          <w:ilvl w:val="1"/>
          <w:numId w:val="3"/>
        </w:numPr>
        <w:tabs>
          <w:tab w:pos="2933" w:val="left" w:leader="none"/>
          <w:tab w:pos="2934" w:val="left" w:leader="none"/>
        </w:tabs>
        <w:spacing w:line="347" w:lineRule="exact" w:before="0" w:after="0"/>
        <w:ind w:left="2933" w:right="0" w:hanging="418"/>
        <w:jc w:val="left"/>
        <w:rPr>
          <w:rFonts w:ascii="微软雅黑" w:eastAsia="微软雅黑" w:hint="eastAsia"/>
          <w:b/>
          <w:sz w:val="21"/>
        </w:rPr>
      </w:pPr>
      <w:r>
        <w:rPr>
          <w:rFonts w:ascii="微软雅黑" w:eastAsia="微软雅黑" w:hint="eastAsia"/>
          <w:b/>
          <w:sz w:val="21"/>
          <w:u w:val="single"/>
        </w:rPr>
        <w:t>确诊主合同所规定的重大疾病。</w:t>
      </w:r>
    </w:p>
    <w:p>
      <w:pPr>
        <w:pStyle w:val="BodyText"/>
        <w:spacing w:before="36"/>
        <w:ind w:left="2515"/>
      </w:pPr>
      <w:r>
        <w:rPr/>
        <w:t>重大疾病保险金最多仅给付一次，主合同自该重大疾病确诊之时起效力终止。</w:t>
      </w:r>
    </w:p>
    <w:p>
      <w:pPr>
        <w:pStyle w:val="BodyText"/>
        <w:spacing w:before="5"/>
        <w:ind w:left="0"/>
        <w:rPr>
          <w:sz w:val="19"/>
        </w:rPr>
      </w:pPr>
    </w:p>
    <w:p>
      <w:pPr>
        <w:pStyle w:val="Heading2"/>
        <w:numPr>
          <w:ilvl w:val="0"/>
          <w:numId w:val="4"/>
        </w:numPr>
        <w:tabs>
          <w:tab w:pos="1056" w:val="left" w:leader="none"/>
          <w:tab w:pos="1057" w:val="left" w:leader="none"/>
          <w:tab w:pos="2515" w:val="left" w:leader="none"/>
        </w:tabs>
        <w:spacing w:line="223" w:lineRule="auto" w:before="0" w:after="0"/>
        <w:ind w:left="2539" w:right="191" w:hanging="2329"/>
        <w:jc w:val="left"/>
      </w:pPr>
      <w:r>
        <w:rPr/>
        <w:t>责任免除</w:t>
        <w:tab/>
      </w:r>
      <w:r>
        <w:rPr>
          <w:u w:val="single"/>
        </w:rPr>
        <w:t>因下列情形之一导致被保险人患有重</w:t>
      </w:r>
      <w:r>
        <w:rPr>
          <w:spacing w:val="-5"/>
          <w:u w:val="single"/>
        </w:rPr>
        <w:t>大</w:t>
      </w:r>
      <w:r>
        <w:rPr>
          <w:u w:val="single"/>
        </w:rPr>
        <w:t>疾病的，我</w:t>
      </w:r>
      <w:r>
        <w:rPr>
          <w:spacing w:val="-5"/>
          <w:u w:val="single"/>
        </w:rPr>
        <w:t>方</w:t>
      </w:r>
      <w:r>
        <w:rPr>
          <w:u w:val="single"/>
        </w:rPr>
        <w:t>将不承担给付保险金的责任： 一、投保人对被保险人的故意杀害、</w:t>
      </w:r>
      <w:r>
        <w:rPr>
          <w:spacing w:val="-5"/>
          <w:u w:val="single"/>
        </w:rPr>
        <w:t>故</w:t>
      </w:r>
      <w:r>
        <w:rPr>
          <w:u w:val="single"/>
        </w:rPr>
        <w:t>意伤害；</w:t>
      </w:r>
    </w:p>
    <w:p>
      <w:pPr>
        <w:spacing w:line="218" w:lineRule="auto" w:before="5"/>
        <w:ind w:left="2539" w:right="1433" w:firstLine="0"/>
        <w:jc w:val="left"/>
        <w:rPr>
          <w:rFonts w:ascii="微软雅黑" w:eastAsia="微软雅黑" w:hint="eastAsia"/>
          <w:b/>
          <w:sz w:val="21"/>
        </w:rPr>
      </w:pPr>
      <w:r>
        <w:rPr/>
        <w:pict>
          <v:line style="position:absolute;mso-position-horizontal-relative:page;mso-position-vertical-relative:paragraph;z-index:-21904" from="169.990005pt,32.264549pt" to="352.460005pt,32.264549pt" stroked="true" strokeweight=".48pt" strokecolor="#000000">
            <v:stroke dashstyle="solid"/>
            <w10:wrap type="none"/>
          </v:line>
        </w:pict>
      </w:r>
      <w:r>
        <w:rPr>
          <w:rFonts w:ascii="微软雅黑" w:eastAsia="微软雅黑" w:hint="eastAsia"/>
          <w:b/>
          <w:sz w:val="21"/>
          <w:u w:val="single"/>
        </w:rPr>
        <w:t>二、被保险人故意自伤、故意犯罪或抗拒依法采取的刑事强制措施； </w:t>
      </w:r>
      <w:r>
        <w:rPr>
          <w:rFonts w:ascii="微软雅黑" w:eastAsia="微软雅黑" w:hint="eastAsia"/>
          <w:b/>
          <w:sz w:val="21"/>
        </w:rPr>
        <w:t>三、被保险人服用、吸食或注射毒品</w:t>
      </w:r>
      <w:r>
        <w:rPr>
          <w:rFonts w:ascii="微软雅黑" w:eastAsia="微软雅黑" w:hint="eastAsia"/>
          <w:b/>
          <w:position w:val="11"/>
          <w:sz w:val="11"/>
        </w:rPr>
        <w:t>8</w:t>
      </w:r>
      <w:r>
        <w:rPr>
          <w:rFonts w:ascii="微软雅黑" w:eastAsia="微软雅黑" w:hint="eastAsia"/>
          <w:b/>
          <w:sz w:val="21"/>
        </w:rPr>
        <w:t>；</w:t>
      </w:r>
    </w:p>
    <w:p>
      <w:pPr>
        <w:spacing w:line="223" w:lineRule="auto" w:before="0"/>
        <w:ind w:left="2539" w:right="138" w:firstLine="0"/>
        <w:jc w:val="left"/>
        <w:rPr>
          <w:rFonts w:ascii="微软雅黑" w:eastAsia="微软雅黑" w:hint="eastAsia"/>
          <w:b/>
          <w:sz w:val="21"/>
        </w:rPr>
      </w:pPr>
      <w:r>
        <w:rPr/>
        <w:pict>
          <v:line style="position:absolute;mso-position-horizontal-relative:page;mso-position-vertical-relative:paragraph;z-index:-21880" from="169.990005pt,15.797234pt" to="544.770005pt,15.797234pt" stroked="true" strokeweight=".48001pt" strokecolor="#000000">
            <v:stroke dashstyle="solid"/>
            <w10:wrap type="none"/>
          </v:line>
        </w:pict>
      </w:r>
      <w:r>
        <w:rPr/>
        <w:pict>
          <v:line style="position:absolute;mso-position-horizontal-relative:page;mso-position-vertical-relative:paragraph;z-index:-21856" from="169.990005pt,32.597233pt" to="424.970005pt,32.597233pt" stroked="true" strokeweight=".48001pt" strokecolor="#000000">
            <v:stroke dashstyle="solid"/>
            <w10:wrap type="none"/>
          </v:line>
        </w:pict>
      </w:r>
      <w:r>
        <w:rPr>
          <w:rFonts w:ascii="微软雅黑" w:eastAsia="微软雅黑" w:hint="eastAsia"/>
          <w:b/>
          <w:sz w:val="21"/>
        </w:rPr>
        <w:t>四、被保险人酒后驾驶</w:t>
      </w:r>
      <w:r>
        <w:rPr>
          <w:rFonts w:ascii="微软雅黑" w:eastAsia="微软雅黑" w:hint="eastAsia"/>
          <w:b/>
          <w:position w:val="11"/>
          <w:sz w:val="11"/>
        </w:rPr>
        <w:t>9</w:t>
      </w:r>
      <w:r>
        <w:rPr>
          <w:rFonts w:ascii="微软雅黑" w:eastAsia="微软雅黑" w:hint="eastAsia"/>
          <w:b/>
          <w:sz w:val="21"/>
        </w:rPr>
        <w:t>，无合法有效驾驶证驾驶，或驾驶无有效行驶证的机动车； </w:t>
      </w:r>
      <w:r>
        <w:rPr>
          <w:rFonts w:ascii="微软雅黑" w:eastAsia="微软雅黑" w:hint="eastAsia"/>
          <w:b/>
          <w:w w:val="95"/>
          <w:sz w:val="21"/>
        </w:rPr>
        <w:t>五、遗传性疾病</w:t>
      </w:r>
      <w:r>
        <w:rPr>
          <w:rFonts w:ascii="微软雅黑" w:eastAsia="微软雅黑" w:hint="eastAsia"/>
          <w:b/>
          <w:w w:val="95"/>
          <w:position w:val="11"/>
          <w:sz w:val="11"/>
        </w:rPr>
        <w:t>10</w:t>
      </w:r>
      <w:r>
        <w:rPr>
          <w:rFonts w:ascii="微软雅黑" w:eastAsia="微软雅黑" w:hint="eastAsia"/>
          <w:b/>
          <w:w w:val="95"/>
          <w:sz w:val="21"/>
        </w:rPr>
        <w:t>，先天性畸形、变形或染色体异常</w:t>
      </w:r>
      <w:r>
        <w:rPr>
          <w:rFonts w:ascii="微软雅黑" w:eastAsia="微软雅黑" w:hint="eastAsia"/>
          <w:b/>
          <w:w w:val="95"/>
          <w:position w:val="11"/>
          <w:sz w:val="11"/>
        </w:rPr>
        <w:t>11</w:t>
      </w:r>
      <w:r>
        <w:rPr>
          <w:rFonts w:ascii="微软雅黑" w:eastAsia="微软雅黑" w:hint="eastAsia"/>
          <w:b/>
          <w:w w:val="95"/>
          <w:sz w:val="21"/>
        </w:rPr>
        <w:t>；</w:t>
      </w:r>
    </w:p>
    <w:p>
      <w:pPr>
        <w:spacing w:line="223" w:lineRule="auto" w:before="0"/>
        <w:ind w:left="2539" w:right="3632" w:firstLine="0"/>
        <w:jc w:val="left"/>
        <w:rPr>
          <w:rFonts w:ascii="微软雅黑" w:eastAsia="微软雅黑" w:hint="eastAsia"/>
          <w:b/>
          <w:sz w:val="21"/>
        </w:rPr>
      </w:pPr>
      <w:r>
        <w:rPr/>
        <w:pict>
          <v:line style="position:absolute;mso-position-horizontal-relative:page;mso-position-vertical-relative:paragraph;z-index:-21832" from="169.990005pt,15.797187pt" to="381.740005pt,15.797187pt" stroked="true" strokeweight=".48001pt" strokecolor="#000000">
            <v:stroke dashstyle="solid"/>
            <w10:wrap type="none"/>
          </v:line>
        </w:pict>
      </w:r>
      <w:r>
        <w:rPr>
          <w:rFonts w:ascii="微软雅黑" w:eastAsia="微软雅黑" w:hint="eastAsia"/>
          <w:b/>
          <w:sz w:val="21"/>
        </w:rPr>
        <w:t>六、被保险人感染艾滋病病毒或患艾滋病</w:t>
      </w:r>
      <w:r>
        <w:rPr>
          <w:rFonts w:ascii="微软雅黑" w:eastAsia="微软雅黑" w:hint="eastAsia"/>
          <w:b/>
          <w:position w:val="11"/>
          <w:sz w:val="11"/>
        </w:rPr>
        <w:t>12</w:t>
      </w:r>
      <w:r>
        <w:rPr>
          <w:rFonts w:ascii="微软雅黑" w:eastAsia="微软雅黑" w:hint="eastAsia"/>
          <w:b/>
          <w:sz w:val="21"/>
        </w:rPr>
        <w:t>； </w:t>
      </w:r>
      <w:r>
        <w:rPr>
          <w:rFonts w:ascii="微软雅黑" w:eastAsia="微软雅黑" w:hint="eastAsia"/>
          <w:b/>
          <w:sz w:val="21"/>
          <w:u w:val="single"/>
        </w:rPr>
        <w:t>七、战争、军事冲突、暴乱或武装叛乱；</w:t>
      </w:r>
    </w:p>
    <w:p>
      <w:pPr>
        <w:spacing w:line="332" w:lineRule="exact" w:before="4"/>
        <w:ind w:left="2539" w:right="0" w:firstLine="0"/>
        <w:jc w:val="left"/>
        <w:rPr>
          <w:rFonts w:ascii="微软雅黑" w:eastAsia="微软雅黑" w:hint="eastAsia"/>
          <w:b/>
          <w:sz w:val="21"/>
        </w:rPr>
      </w:pPr>
      <w:r>
        <w:rPr>
          <w:rFonts w:ascii="微软雅黑" w:eastAsia="微软雅黑" w:hint="eastAsia"/>
          <w:b/>
          <w:sz w:val="21"/>
          <w:u w:val="single"/>
        </w:rPr>
        <w:t>八、核爆炸、核辐射或核污染。</w:t>
      </w:r>
    </w:p>
    <w:p>
      <w:pPr>
        <w:pStyle w:val="BodyText"/>
        <w:spacing w:before="6"/>
        <w:ind w:left="0"/>
        <w:rPr>
          <w:rFonts w:ascii="微软雅黑"/>
          <w:b/>
          <w:sz w:val="19"/>
        </w:rPr>
      </w:pPr>
    </w:p>
    <w:p>
      <w:pPr>
        <w:tabs>
          <w:tab w:pos="4071" w:val="left" w:leader="none"/>
        </w:tabs>
        <w:spacing w:line="329" w:lineRule="exact" w:before="0"/>
        <w:ind w:left="3226" w:right="0" w:firstLine="0"/>
        <w:jc w:val="left"/>
        <w:rPr>
          <w:rFonts w:ascii="微软雅黑" w:eastAsia="微软雅黑" w:hint="eastAsia"/>
          <w:b/>
          <w:sz w:val="21"/>
        </w:rPr>
      </w:pPr>
      <w:r>
        <w:rPr>
          <w:rFonts w:ascii="微软雅黑" w:eastAsia="微软雅黑" w:hint="eastAsia"/>
          <w:b/>
          <w:sz w:val="21"/>
        </w:rPr>
        <w:t>第七章</w:t>
        <w:tab/>
        <w:t>保险期间、续保及基本保险</w:t>
      </w:r>
      <w:r>
        <w:rPr>
          <w:rFonts w:ascii="微软雅黑" w:eastAsia="微软雅黑" w:hint="eastAsia"/>
          <w:b/>
          <w:spacing w:val="-5"/>
          <w:sz w:val="21"/>
        </w:rPr>
        <w:t>金</w:t>
      </w:r>
      <w:r>
        <w:rPr>
          <w:rFonts w:ascii="微软雅黑" w:eastAsia="微软雅黑" w:hint="eastAsia"/>
          <w:b/>
          <w:sz w:val="21"/>
        </w:rPr>
        <w:t>额</w:t>
      </w:r>
    </w:p>
    <w:p>
      <w:pPr>
        <w:pStyle w:val="ListParagraph"/>
        <w:numPr>
          <w:ilvl w:val="0"/>
          <w:numId w:val="4"/>
        </w:numPr>
        <w:tabs>
          <w:tab w:pos="1056" w:val="left" w:leader="none"/>
          <w:tab w:pos="1057" w:val="left" w:leader="none"/>
          <w:tab w:pos="2515" w:val="left" w:leader="none"/>
        </w:tabs>
        <w:spacing w:line="354" w:lineRule="exact" w:before="0" w:after="0"/>
        <w:ind w:left="2539" w:right="0" w:hanging="2329"/>
        <w:jc w:val="left"/>
        <w:rPr>
          <w:sz w:val="21"/>
        </w:rPr>
      </w:pPr>
      <w:r>
        <w:rPr/>
        <w:pict>
          <v:group style="position:absolute;margin-left:48.264pt;margin-top:3.919289pt;width:502.05pt;height:.5pt;mso-position-horizontal-relative:page;mso-position-vertical-relative:paragraph;z-index:-21808" coordorigin="965,78" coordsize="10041,10">
            <v:line style="position:absolute" from="965,83" to="1810,83" stroked="true" strokeweight=".48001pt" strokecolor="#000000">
              <v:stroke dashstyle="solid"/>
            </v:line>
            <v:rect style="position:absolute;left:1810;top:78;width:10;height:10" filled="true" fillcolor="#000000" stroked="false">
              <v:fill type="solid"/>
            </v:rect>
            <v:line style="position:absolute" from="1820,83" to="3357,83" stroked="true" strokeweight=".48001pt" strokecolor="#000000">
              <v:stroke dashstyle="solid"/>
            </v:line>
            <v:rect style="position:absolute;left:3356;top:78;width:10;height:10" filled="true" fillcolor="#000000" stroked="false">
              <v:fill type="solid"/>
            </v:rect>
            <v:line style="position:absolute" from="3366,83" to="11006,83" stroked="true" strokeweight=".48001pt" strokecolor="#000000">
              <v:stroke dashstyle="solid"/>
            </v:line>
            <w10:wrap type="none"/>
          </v:group>
        </w:pict>
      </w:r>
      <w:r>
        <w:rPr>
          <w:rFonts w:ascii="微软雅黑" w:eastAsia="微软雅黑" w:hint="eastAsia"/>
          <w:b/>
          <w:sz w:val="21"/>
        </w:rPr>
        <w:t>保险期间</w:t>
        <w:tab/>
      </w:r>
      <w:r>
        <w:rPr>
          <w:sz w:val="21"/>
        </w:rPr>
        <w:t>主合同的</w:t>
      </w:r>
      <w:r>
        <w:rPr>
          <w:spacing w:val="-5"/>
          <w:sz w:val="21"/>
        </w:rPr>
        <w:t>保</w:t>
      </w:r>
      <w:r>
        <w:rPr>
          <w:sz w:val="21"/>
        </w:rPr>
        <w:t>险期间为</w:t>
      </w:r>
      <w:r>
        <w:rPr>
          <w:spacing w:val="-36"/>
          <w:sz w:val="21"/>
        </w:rPr>
        <w:t> </w:t>
      </w:r>
      <w:r>
        <w:rPr>
          <w:sz w:val="21"/>
        </w:rPr>
        <w:t>1</w:t>
      </w:r>
      <w:r>
        <w:rPr>
          <w:spacing w:val="-30"/>
          <w:sz w:val="21"/>
        </w:rPr>
        <w:t> </w:t>
      </w:r>
      <w:r>
        <w:rPr>
          <w:sz w:val="21"/>
        </w:rPr>
        <w:t>年</w:t>
      </w:r>
      <w:r>
        <w:rPr>
          <w:spacing w:val="-53"/>
          <w:sz w:val="21"/>
        </w:rPr>
        <w:t>，</w:t>
      </w:r>
      <w:r>
        <w:rPr>
          <w:sz w:val="21"/>
        </w:rPr>
        <w:t>自主合</w:t>
      </w:r>
      <w:r>
        <w:rPr>
          <w:spacing w:val="-5"/>
          <w:sz w:val="21"/>
        </w:rPr>
        <w:t>同</w:t>
      </w:r>
      <w:r>
        <w:rPr>
          <w:sz w:val="21"/>
        </w:rPr>
        <w:t>生效时</w:t>
      </w:r>
      <w:r>
        <w:rPr>
          <w:spacing w:val="-5"/>
          <w:sz w:val="21"/>
        </w:rPr>
        <w:t>起</w:t>
      </w:r>
      <w:r>
        <w:rPr>
          <w:sz w:val="21"/>
        </w:rPr>
        <w:t>算</w:t>
      </w:r>
      <w:r>
        <w:rPr>
          <w:spacing w:val="-48"/>
          <w:sz w:val="21"/>
        </w:rPr>
        <w:t>。</w:t>
      </w:r>
      <w:r>
        <w:rPr>
          <w:spacing w:val="-5"/>
          <w:sz w:val="21"/>
        </w:rPr>
        <w:t>保</w:t>
      </w:r>
      <w:r>
        <w:rPr>
          <w:sz w:val="21"/>
        </w:rPr>
        <w:t>险期间届</w:t>
      </w:r>
      <w:r>
        <w:rPr>
          <w:spacing w:val="-5"/>
          <w:sz w:val="21"/>
        </w:rPr>
        <w:t>满</w:t>
      </w:r>
      <w:r>
        <w:rPr>
          <w:spacing w:val="-48"/>
          <w:sz w:val="21"/>
        </w:rPr>
        <w:t>，</w:t>
      </w:r>
      <w:r>
        <w:rPr>
          <w:sz w:val="21"/>
        </w:rPr>
        <w:t>主</w:t>
      </w:r>
      <w:r>
        <w:rPr>
          <w:spacing w:val="-5"/>
          <w:sz w:val="21"/>
        </w:rPr>
        <w:t>合</w:t>
      </w:r>
      <w:r>
        <w:rPr>
          <w:sz w:val="21"/>
        </w:rPr>
        <w:t>同效力</w:t>
      </w:r>
      <w:r>
        <w:rPr>
          <w:spacing w:val="-5"/>
          <w:sz w:val="21"/>
        </w:rPr>
        <w:t>终</w:t>
      </w:r>
      <w:r>
        <w:rPr>
          <w:sz w:val="21"/>
        </w:rPr>
        <w:t>止。</w:t>
      </w:r>
    </w:p>
    <w:p>
      <w:pPr>
        <w:pStyle w:val="BodyText"/>
        <w:spacing w:before="3"/>
        <w:ind w:left="0"/>
        <w:rPr>
          <w:sz w:val="25"/>
        </w:rPr>
      </w:pPr>
    </w:p>
    <w:p>
      <w:pPr>
        <w:pStyle w:val="ListParagraph"/>
        <w:numPr>
          <w:ilvl w:val="0"/>
          <w:numId w:val="4"/>
        </w:numPr>
        <w:tabs>
          <w:tab w:pos="1057" w:val="left" w:leader="none"/>
          <w:tab w:pos="2510" w:val="left" w:leader="none"/>
        </w:tabs>
        <w:spacing w:line="312" w:lineRule="exact" w:before="57" w:after="0"/>
        <w:ind w:left="3034" w:right="337" w:hanging="2824"/>
        <w:jc w:val="both"/>
        <w:rPr>
          <w:sz w:val="21"/>
        </w:rPr>
      </w:pPr>
      <w:r>
        <w:rPr>
          <w:rFonts w:ascii="微软雅黑" w:eastAsia="微软雅黑" w:hint="eastAsia"/>
          <w:b/>
          <w:position w:val="2"/>
          <w:sz w:val="21"/>
        </w:rPr>
        <w:t>续保</w:t>
        <w:tab/>
      </w:r>
      <w:r>
        <w:rPr>
          <w:sz w:val="21"/>
        </w:rPr>
        <w:t>一、</w:t>
      </w:r>
      <w:r>
        <w:rPr>
          <w:spacing w:val="27"/>
          <w:sz w:val="21"/>
        </w:rPr>
        <w:t> </w:t>
      </w:r>
      <w:r>
        <w:rPr>
          <w:sz w:val="21"/>
        </w:rPr>
        <w:t>您方申请</w:t>
      </w:r>
      <w:r>
        <w:rPr>
          <w:spacing w:val="-5"/>
          <w:sz w:val="21"/>
        </w:rPr>
        <w:t>主</w:t>
      </w:r>
      <w:r>
        <w:rPr>
          <w:sz w:val="21"/>
        </w:rPr>
        <w:t>合同自</w:t>
      </w:r>
      <w:r>
        <w:rPr>
          <w:spacing w:val="-5"/>
          <w:sz w:val="21"/>
        </w:rPr>
        <w:t>动</w:t>
      </w:r>
      <w:r>
        <w:rPr>
          <w:sz w:val="21"/>
        </w:rPr>
        <w:t>续保的</w:t>
      </w:r>
      <w:r>
        <w:rPr>
          <w:spacing w:val="-5"/>
          <w:sz w:val="21"/>
        </w:rPr>
        <w:t>，</w:t>
      </w:r>
      <w:r>
        <w:rPr>
          <w:sz w:val="21"/>
        </w:rPr>
        <w:t>在每个</w:t>
      </w:r>
      <w:r>
        <w:rPr>
          <w:spacing w:val="-5"/>
          <w:sz w:val="21"/>
        </w:rPr>
        <w:t>保</w:t>
      </w:r>
      <w:r>
        <w:rPr>
          <w:sz w:val="21"/>
        </w:rPr>
        <w:t>单周年</w:t>
      </w:r>
      <w:r>
        <w:rPr>
          <w:spacing w:val="-5"/>
          <w:sz w:val="21"/>
        </w:rPr>
        <w:t>日</w:t>
      </w:r>
      <w:r>
        <w:rPr>
          <w:sz w:val="21"/>
        </w:rPr>
        <w:t>之</w:t>
      </w:r>
      <w:r>
        <w:rPr>
          <w:spacing w:val="-5"/>
          <w:sz w:val="21"/>
        </w:rPr>
        <w:t>前</w:t>
      </w:r>
      <w:r>
        <w:rPr>
          <w:sz w:val="21"/>
        </w:rPr>
        <w:t>，如果我</w:t>
      </w:r>
      <w:r>
        <w:rPr>
          <w:spacing w:val="-5"/>
          <w:sz w:val="21"/>
        </w:rPr>
        <w:t>方</w:t>
      </w:r>
      <w:r>
        <w:rPr>
          <w:sz w:val="21"/>
        </w:rPr>
        <w:t>未收到</w:t>
      </w:r>
      <w:r>
        <w:rPr>
          <w:spacing w:val="-5"/>
          <w:sz w:val="21"/>
        </w:rPr>
        <w:t>您</w:t>
      </w:r>
      <w:r>
        <w:rPr>
          <w:sz w:val="21"/>
        </w:rPr>
        <w:t>方停止续保</w:t>
      </w:r>
      <w:r>
        <w:rPr>
          <w:spacing w:val="-5"/>
          <w:sz w:val="21"/>
        </w:rPr>
        <w:t>的</w:t>
      </w:r>
      <w:r>
        <w:rPr>
          <w:sz w:val="21"/>
        </w:rPr>
        <w:t>申请，</w:t>
      </w:r>
      <w:r>
        <w:rPr>
          <w:spacing w:val="-5"/>
          <w:sz w:val="21"/>
        </w:rPr>
        <w:t>且</w:t>
      </w:r>
      <w:r>
        <w:rPr>
          <w:sz w:val="21"/>
        </w:rPr>
        <w:t>您方符</w:t>
      </w:r>
      <w:r>
        <w:rPr>
          <w:spacing w:val="-5"/>
          <w:sz w:val="21"/>
        </w:rPr>
        <w:t>合</w:t>
      </w:r>
      <w:r>
        <w:rPr>
          <w:sz w:val="21"/>
        </w:rPr>
        <w:t>我方的</w:t>
      </w:r>
      <w:r>
        <w:rPr>
          <w:spacing w:val="-5"/>
          <w:sz w:val="21"/>
        </w:rPr>
        <w:t>续</w:t>
      </w:r>
      <w:r>
        <w:rPr>
          <w:sz w:val="21"/>
        </w:rPr>
        <w:t>保条件</w:t>
      </w:r>
      <w:r>
        <w:rPr>
          <w:spacing w:val="-5"/>
          <w:sz w:val="21"/>
        </w:rPr>
        <w:t>，</w:t>
      </w:r>
      <w:r>
        <w:rPr>
          <w:sz w:val="21"/>
        </w:rPr>
        <w:t>我</w:t>
      </w:r>
      <w:r>
        <w:rPr>
          <w:spacing w:val="-5"/>
          <w:sz w:val="21"/>
        </w:rPr>
        <w:t>方</w:t>
      </w:r>
      <w:r>
        <w:rPr>
          <w:sz w:val="21"/>
        </w:rPr>
        <w:t>将为您方</w:t>
      </w:r>
      <w:r>
        <w:rPr>
          <w:spacing w:val="-5"/>
          <w:sz w:val="21"/>
        </w:rPr>
        <w:t>办</w:t>
      </w:r>
      <w:r>
        <w:rPr>
          <w:sz w:val="21"/>
        </w:rPr>
        <w:t>理续保</w:t>
      </w:r>
      <w:r>
        <w:rPr>
          <w:spacing w:val="-5"/>
          <w:sz w:val="21"/>
        </w:rPr>
        <w:t>，</w:t>
      </w:r>
      <w:r>
        <w:rPr>
          <w:sz w:val="21"/>
        </w:rPr>
        <w:t>但主合同按</w:t>
      </w:r>
      <w:r>
        <w:rPr>
          <w:spacing w:val="-5"/>
          <w:sz w:val="21"/>
        </w:rPr>
        <w:t>约</w:t>
      </w:r>
      <w:r>
        <w:rPr>
          <w:sz w:val="21"/>
        </w:rPr>
        <w:t>定终止</w:t>
      </w:r>
      <w:r>
        <w:rPr>
          <w:spacing w:val="-5"/>
          <w:sz w:val="21"/>
        </w:rPr>
        <w:t>的</w:t>
      </w:r>
      <w:r>
        <w:rPr>
          <w:sz w:val="21"/>
        </w:rPr>
        <w:t>除外。</w:t>
      </w:r>
    </w:p>
    <w:p>
      <w:pPr>
        <w:pStyle w:val="BodyText"/>
        <w:spacing w:line="273" w:lineRule="auto" w:before="4"/>
        <w:ind w:left="3034" w:right="332" w:hanging="524"/>
      </w:pPr>
      <w:r>
        <w:rPr/>
        <w:t>二、 您方未申请主合同自动续保的，您方可以在每个保单周年日之前向我方提出续保申请，经我方审核同意后，我方将为您方办理续保。</w:t>
      </w:r>
    </w:p>
    <w:p>
      <w:pPr>
        <w:pStyle w:val="BodyText"/>
        <w:spacing w:line="273" w:lineRule="auto" w:before="7"/>
        <w:ind w:left="3034" w:right="268" w:hanging="524"/>
      </w:pPr>
      <w:r>
        <w:rPr>
          <w:spacing w:val="-5"/>
        </w:rPr>
        <w:t>三、 我方为您方办理续保的，如果您方自保单周年日起</w:t>
      </w:r>
      <w:r>
        <w:rPr>
          <w:spacing w:val="-3"/>
        </w:rPr>
        <w:t>60</w:t>
      </w:r>
      <w:r>
        <w:rPr>
          <w:spacing w:val="-2"/>
        </w:rPr>
        <w:t>天内按约定支付续保保</w:t>
      </w:r>
      <w:r>
        <w:rPr>
          <w:spacing w:val="-5"/>
        </w:rPr>
        <w:t>险费，主合同自保单周年日起续保</w:t>
      </w:r>
      <w:r>
        <w:rPr/>
        <w:t>1</w:t>
      </w:r>
      <w:r>
        <w:rPr>
          <w:spacing w:val="-6"/>
        </w:rPr>
        <w:t>年；否则，主合同自保险期间届满时起效</w:t>
      </w:r>
      <w:r>
        <w:rPr>
          <w:spacing w:val="-5"/>
        </w:rPr>
        <w:t>力终止。主合同效力终止后您方又再次投保本保险的，将视为首次投保。</w:t>
      </w:r>
    </w:p>
    <w:p>
      <w:pPr>
        <w:pStyle w:val="BodyText"/>
        <w:spacing w:before="10"/>
        <w:ind w:left="0"/>
        <w:rPr>
          <w:sz w:val="17"/>
        </w:rPr>
      </w:pPr>
    </w:p>
    <w:p>
      <w:pPr>
        <w:pStyle w:val="ListParagraph"/>
        <w:numPr>
          <w:ilvl w:val="0"/>
          <w:numId w:val="4"/>
        </w:numPr>
        <w:tabs>
          <w:tab w:pos="1056" w:val="left" w:leader="none"/>
          <w:tab w:pos="1057" w:val="left" w:leader="none"/>
        </w:tabs>
        <w:spacing w:line="240" w:lineRule="auto" w:before="0" w:after="0"/>
        <w:ind w:left="2539" w:right="0" w:hanging="2329"/>
        <w:jc w:val="left"/>
        <w:rPr>
          <w:sz w:val="21"/>
        </w:rPr>
      </w:pPr>
      <w:r>
        <w:rPr>
          <w:rFonts w:ascii="微软雅黑" w:eastAsia="微软雅黑" w:hint="eastAsia"/>
          <w:b/>
          <w:spacing w:val="5"/>
          <w:sz w:val="21"/>
        </w:rPr>
        <w:t>基本保险金额   </w:t>
      </w:r>
      <w:r>
        <w:rPr>
          <w:spacing w:val="-5"/>
          <w:sz w:val="21"/>
        </w:rPr>
        <w:t>主合同的基本保险金额由您方和我方在投保时约定，并在保险单上载明。</w:t>
      </w:r>
    </w:p>
    <w:p>
      <w:pPr>
        <w:pStyle w:val="BodyText"/>
        <w:ind w:left="0"/>
        <w:rPr>
          <w:sz w:val="20"/>
        </w:rPr>
      </w:pPr>
    </w:p>
    <w:p>
      <w:pPr>
        <w:pStyle w:val="BodyText"/>
        <w:ind w:left="0"/>
        <w:rPr>
          <w:sz w:val="20"/>
        </w:rPr>
      </w:pPr>
    </w:p>
    <w:p>
      <w:pPr>
        <w:pStyle w:val="BodyText"/>
        <w:spacing w:before="12"/>
        <w:ind w:left="0"/>
        <w:rPr>
          <w:sz w:val="19"/>
        </w:rPr>
      </w:pPr>
      <w:r>
        <w:rPr/>
        <w:pict>
          <v:line style="position:absolute;mso-position-horizontal-relative:page;mso-position-vertical-relative:paragraph;z-index:1264;mso-wrap-distance-left:0;mso-wrap-distance-right:0" from="48.264pt,15.264346pt" to="547.414pt,15.264346pt" stroked="true" strokeweight=".47998pt" strokecolor="#000000">
            <v:stroke dashstyle="solid"/>
            <w10:wrap type="topAndBottom"/>
          </v:line>
        </w:pict>
      </w:r>
    </w:p>
    <w:p>
      <w:pPr>
        <w:spacing w:line="314" w:lineRule="exact" w:before="0"/>
        <w:ind w:left="105" w:right="0" w:firstLine="0"/>
        <w:jc w:val="left"/>
        <w:rPr>
          <w:sz w:val="21"/>
        </w:rPr>
      </w:pPr>
      <w:r>
        <w:rPr>
          <w:rFonts w:ascii="Times New Roman" w:eastAsia="Times New Roman"/>
          <w:b/>
          <w:position w:val="6"/>
          <w:sz w:val="12"/>
        </w:rPr>
        <w:t>6     </w:t>
      </w:r>
      <w:r>
        <w:rPr>
          <w:rFonts w:ascii="Microsoft JhengHei" w:eastAsia="Microsoft JhengHei" w:hint="eastAsia"/>
          <w:b/>
          <w:sz w:val="21"/>
        </w:rPr>
        <w:t>意外伤害：</w:t>
      </w:r>
      <w:r>
        <w:rPr>
          <w:sz w:val="21"/>
        </w:rPr>
        <w:t>指以外来的、突发的、不可预见的、非本意的和非疾病的客观事件为直接且单独的原因致使身体</w:t>
      </w:r>
    </w:p>
    <w:p>
      <w:pPr>
        <w:pStyle w:val="BodyText"/>
        <w:spacing w:line="226" w:lineRule="exact"/>
        <w:ind w:left="105"/>
      </w:pPr>
      <w:r>
        <w:rPr/>
        <w:t>受到的伤害。</w:t>
      </w:r>
    </w:p>
    <w:p>
      <w:pPr>
        <w:pStyle w:val="BodyText"/>
        <w:spacing w:line="220" w:lineRule="auto"/>
        <w:ind w:left="105" w:right="218"/>
      </w:pPr>
      <w:r>
        <w:rPr>
          <w:rFonts w:ascii="Times New Roman" w:eastAsia="Times New Roman"/>
          <w:b/>
          <w:position w:val="6"/>
          <w:sz w:val="12"/>
        </w:rPr>
        <w:t>7 </w:t>
      </w:r>
      <w:r>
        <w:rPr>
          <w:rFonts w:ascii="Microsoft JhengHei" w:eastAsia="Microsoft JhengHei" w:hint="eastAsia"/>
          <w:b/>
          <w:spacing w:val="-7"/>
        </w:rPr>
        <w:t>症状：</w:t>
      </w:r>
      <w:r>
        <w:rPr>
          <w:spacing w:val="-6"/>
        </w:rPr>
        <w:t>指机体内的一系列机能、代谢和形态结构异常变化所引起的主观上的异常感觉、异常表现或者通过检</w:t>
      </w:r>
      <w:r>
        <w:rPr>
          <w:spacing w:val="-5"/>
        </w:rPr>
        <w:t>查而检出的异常体征和异常结果。症状可以在疾病诊断前已经出现。</w:t>
      </w:r>
    </w:p>
    <w:p>
      <w:pPr>
        <w:pStyle w:val="BodyText"/>
        <w:spacing w:line="285" w:lineRule="exact" w:before="7"/>
        <w:ind w:left="105"/>
      </w:pPr>
      <w:r>
        <w:rPr>
          <w:rFonts w:ascii="Microsoft JhengHei" w:eastAsia="Microsoft JhengHei" w:hint="eastAsia"/>
          <w:b/>
          <w:position w:val="11"/>
          <w:sz w:val="11"/>
        </w:rPr>
        <w:t>8</w:t>
      </w:r>
      <w:r>
        <w:rPr>
          <w:rFonts w:ascii="Microsoft JhengHei" w:eastAsia="Microsoft JhengHei" w:hint="eastAsia"/>
          <w:b/>
          <w:spacing w:val="3"/>
          <w:position w:val="11"/>
          <w:sz w:val="11"/>
        </w:rPr>
        <w:t>     </w:t>
      </w:r>
      <w:r>
        <w:rPr>
          <w:rFonts w:ascii="Microsoft JhengHei" w:eastAsia="Microsoft JhengHei" w:hint="eastAsia"/>
          <w:b/>
        </w:rPr>
        <w:t>毒品：</w:t>
      </w:r>
      <w:r>
        <w:rPr>
          <w:spacing w:val="-5"/>
        </w:rPr>
        <w:t>指中华人民共和国刑法规定的鸦片、海洛因、甲基苯丙胺</w:t>
      </w:r>
      <w:r>
        <w:rPr/>
        <w:t>（冰毒</w:t>
      </w:r>
      <w:r>
        <w:rPr>
          <w:spacing w:val="-111"/>
        </w:rPr>
        <w:t>）</w:t>
      </w:r>
      <w:r>
        <w:rPr>
          <w:spacing w:val="-5"/>
        </w:rPr>
        <w:t>、吗啡、大麻、可卡因以及国家规</w:t>
      </w:r>
    </w:p>
    <w:p>
      <w:pPr>
        <w:pStyle w:val="BodyText"/>
        <w:spacing w:line="235" w:lineRule="auto"/>
        <w:ind w:left="105" w:right="215"/>
      </w:pPr>
      <w:r>
        <w:rPr>
          <w:spacing w:val="-9"/>
        </w:rPr>
        <w:t>定管制的其他能够使人形成瘾癖的麻醉药品和精神药品，但不包括由医生开具并遵医嘱使用的用于治疗疾病但</w:t>
      </w:r>
      <w:r>
        <w:rPr>
          <w:spacing w:val="-7"/>
        </w:rPr>
        <w:t>含有毒品成分的处方药品。</w:t>
      </w:r>
    </w:p>
    <w:p>
      <w:pPr>
        <w:spacing w:line="285" w:lineRule="exact" w:before="7"/>
        <w:ind w:left="105" w:right="0" w:firstLine="0"/>
        <w:jc w:val="left"/>
        <w:rPr>
          <w:sz w:val="21"/>
        </w:rPr>
      </w:pPr>
      <w:r>
        <w:rPr>
          <w:rFonts w:ascii="Microsoft JhengHei" w:eastAsia="Microsoft JhengHei" w:hint="eastAsia"/>
          <w:b/>
          <w:position w:val="11"/>
          <w:sz w:val="11"/>
        </w:rPr>
        <w:t>9     </w:t>
      </w:r>
      <w:r>
        <w:rPr>
          <w:rFonts w:ascii="Microsoft JhengHei" w:eastAsia="Microsoft JhengHei" w:hint="eastAsia"/>
          <w:b/>
          <w:sz w:val="21"/>
        </w:rPr>
        <w:t>酒后驾驶：</w:t>
      </w:r>
      <w:r>
        <w:rPr>
          <w:sz w:val="21"/>
        </w:rPr>
        <w:t>指经检测或鉴定，发生事故时车辆驾驶人员每百毫升血液中的酒精含量达到或超过一定的标准，</w:t>
      </w:r>
    </w:p>
    <w:p>
      <w:pPr>
        <w:pStyle w:val="BodyText"/>
        <w:spacing w:line="226" w:lineRule="exact"/>
        <w:ind w:left="105"/>
      </w:pPr>
      <w:r>
        <w:rPr/>
        <w:t>公安机关交通管理部门依据《道路交通安全法》的规定认定为饮酒后驾驶或醉酒后驾驶。</w:t>
      </w:r>
    </w:p>
    <w:p>
      <w:pPr>
        <w:spacing w:line="317" w:lineRule="exact" w:before="0"/>
        <w:ind w:left="105" w:right="0" w:firstLine="0"/>
        <w:jc w:val="left"/>
        <w:rPr>
          <w:sz w:val="21"/>
        </w:rPr>
      </w:pPr>
      <w:r>
        <w:rPr>
          <w:rFonts w:ascii="Microsoft JhengHei" w:eastAsia="Microsoft JhengHei" w:hint="eastAsia"/>
          <w:b/>
          <w:position w:val="11"/>
          <w:sz w:val="11"/>
        </w:rPr>
        <w:t>10    </w:t>
      </w:r>
      <w:r>
        <w:rPr>
          <w:rFonts w:ascii="Microsoft JhengHei" w:eastAsia="Microsoft JhengHei" w:hint="eastAsia"/>
          <w:b/>
          <w:sz w:val="21"/>
        </w:rPr>
        <w:t>遗传性疾病：</w:t>
      </w:r>
      <w:r>
        <w:rPr>
          <w:sz w:val="21"/>
        </w:rPr>
        <w:t>指生殖细胞或受精卵的遗传物质（染色体和基因）发生突变或畸变所引起的疾病，通常具有</w:t>
      </w:r>
    </w:p>
    <w:p>
      <w:pPr>
        <w:pStyle w:val="BodyText"/>
        <w:spacing w:line="228" w:lineRule="exact"/>
        <w:ind w:left="105"/>
      </w:pPr>
      <w:r>
        <w:rPr/>
        <w:t>由亲代传至后代的垂直传递的特征。</w:t>
      </w:r>
    </w:p>
    <w:p>
      <w:pPr>
        <w:pStyle w:val="BodyText"/>
        <w:spacing w:line="220" w:lineRule="auto"/>
        <w:ind w:left="105" w:right="293"/>
      </w:pPr>
      <w:r>
        <w:rPr>
          <w:rFonts w:ascii="Microsoft JhengHei" w:eastAsia="Microsoft JhengHei" w:hint="eastAsia"/>
          <w:b/>
          <w:spacing w:val="2"/>
          <w:position w:val="11"/>
          <w:sz w:val="11"/>
        </w:rPr>
        <w:t>11</w:t>
      </w:r>
      <w:r>
        <w:rPr>
          <w:rFonts w:ascii="Microsoft JhengHei" w:eastAsia="Microsoft JhengHei" w:hint="eastAsia"/>
          <w:b/>
          <w:spacing w:val="1"/>
          <w:position w:val="11"/>
          <w:sz w:val="11"/>
        </w:rPr>
        <w:t> </w:t>
      </w:r>
      <w:r>
        <w:rPr>
          <w:rFonts w:ascii="Microsoft JhengHei" w:eastAsia="Microsoft JhengHei" w:hint="eastAsia"/>
          <w:b/>
        </w:rPr>
        <w:t>先天性畸形、变形或染色体异常：</w:t>
      </w:r>
      <w:r>
        <w:rPr>
          <w:spacing w:val="-5"/>
        </w:rPr>
        <w:t>指被保险人出生时就具有的畸形、变形或染色体异常。先天性畸形、变</w:t>
      </w:r>
      <w:r>
        <w:rPr>
          <w:spacing w:val="-9"/>
        </w:rPr>
        <w:t>形和染色体异常依照世界卫生组织《疾病和有关健康问题的国际统计分类》</w:t>
      </w:r>
      <w:r>
        <w:rPr/>
        <w:t>（ICD-10）确定。</w:t>
      </w:r>
    </w:p>
    <w:p>
      <w:pPr>
        <w:spacing w:line="280" w:lineRule="exact" w:before="4"/>
        <w:ind w:left="105" w:right="0" w:firstLine="0"/>
        <w:jc w:val="left"/>
        <w:rPr>
          <w:sz w:val="21"/>
        </w:rPr>
      </w:pPr>
      <w:r>
        <w:rPr>
          <w:rFonts w:ascii="Microsoft JhengHei" w:eastAsia="Microsoft JhengHei" w:hint="eastAsia"/>
          <w:b/>
          <w:position w:val="11"/>
          <w:sz w:val="11"/>
        </w:rPr>
        <w:t>12    </w:t>
      </w:r>
      <w:r>
        <w:rPr>
          <w:rFonts w:ascii="Microsoft JhengHei" w:eastAsia="Microsoft JhengHei" w:hint="eastAsia"/>
          <w:b/>
          <w:sz w:val="21"/>
        </w:rPr>
        <w:t>感染艾滋病病毒或患艾滋病：</w:t>
      </w:r>
      <w:r>
        <w:rPr>
          <w:sz w:val="21"/>
        </w:rPr>
        <w:t>艾滋病病毒指人类免疫缺陷病毒，英文缩写为 HIV。艾滋病指人类免疫缺陷病</w:t>
      </w:r>
    </w:p>
    <w:p>
      <w:pPr>
        <w:pStyle w:val="BodyText"/>
        <w:ind w:left="105" w:right="103"/>
      </w:pPr>
      <w:r>
        <w:rPr>
          <w:spacing w:val="-6"/>
        </w:rPr>
        <w:t>毒引起的获得性免疫缺陷综合征，英文缩写为 </w:t>
      </w:r>
      <w:r>
        <w:rPr/>
        <w:t>AIDS</w:t>
      </w:r>
      <w:r>
        <w:rPr>
          <w:spacing w:val="-5"/>
        </w:rPr>
        <w:t>。在人体血液或其它样本中检测到艾滋病病毒或其抗体呈</w:t>
      </w:r>
      <w:r>
        <w:rPr>
          <w:spacing w:val="-15"/>
        </w:rPr>
        <w:t>阳性，没有出现临床症状或体征的，为感染艾滋病病毒；如果同时出现了明显临床症状或体征的，为患艾滋病。</w:t>
      </w:r>
    </w:p>
    <w:p>
      <w:pPr>
        <w:spacing w:after="0"/>
        <w:sectPr>
          <w:pgSz w:w="11910" w:h="16840"/>
          <w:pgMar w:header="0" w:footer="863" w:top="1060" w:bottom="1080" w:left="860" w:right="7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659"/>
        <w:gridCol w:w="7697"/>
      </w:tblGrid>
      <w:tr>
        <w:trPr>
          <w:trHeight w:val="406" w:hRule="atLeast"/>
        </w:trPr>
        <w:tc>
          <w:tcPr>
            <w:tcW w:w="687" w:type="dxa"/>
            <w:tcBorders>
              <w:bottom w:val="single" w:sz="4" w:space="0" w:color="000000"/>
            </w:tcBorders>
          </w:tcPr>
          <w:p>
            <w:pPr>
              <w:pStyle w:val="TableParagraph"/>
              <w:ind w:left="0"/>
              <w:rPr>
                <w:rFonts w:ascii="Times New Roman"/>
                <w:sz w:val="20"/>
              </w:rPr>
            </w:pPr>
          </w:p>
        </w:tc>
        <w:tc>
          <w:tcPr>
            <w:tcW w:w="1659" w:type="dxa"/>
            <w:tcBorders>
              <w:bottom w:val="single" w:sz="4" w:space="0" w:color="000000"/>
            </w:tcBorders>
          </w:tcPr>
          <w:p>
            <w:pPr>
              <w:pStyle w:val="TableParagraph"/>
              <w:ind w:left="0"/>
              <w:rPr>
                <w:rFonts w:ascii="Times New Roman"/>
                <w:sz w:val="20"/>
              </w:rPr>
            </w:pPr>
          </w:p>
        </w:tc>
        <w:tc>
          <w:tcPr>
            <w:tcW w:w="7697" w:type="dxa"/>
            <w:tcBorders>
              <w:bottom w:val="single" w:sz="4" w:space="0" w:color="000000"/>
            </w:tcBorders>
          </w:tcPr>
          <w:p>
            <w:pPr>
              <w:pStyle w:val="TableParagraph"/>
              <w:tabs>
                <w:tab w:pos="2566" w:val="left" w:leader="none"/>
              </w:tabs>
              <w:spacing w:line="236" w:lineRule="exact"/>
              <w:ind w:left="1721"/>
              <w:rPr>
                <w:rFonts w:ascii="微软雅黑" w:eastAsia="微软雅黑" w:hint="eastAsia"/>
                <w:b/>
                <w:sz w:val="21"/>
              </w:rPr>
            </w:pPr>
            <w:r>
              <w:rPr>
                <w:rFonts w:ascii="微软雅黑" w:eastAsia="微软雅黑" w:hint="eastAsia"/>
                <w:b/>
                <w:sz w:val="21"/>
              </w:rPr>
              <w:t>第八章</w:t>
              <w:tab/>
              <w:t>保险金申领</w:t>
            </w:r>
          </w:p>
        </w:tc>
      </w:tr>
      <w:tr>
        <w:trPr>
          <w:trHeight w:val="449" w:hRule="atLeast"/>
        </w:trPr>
        <w:tc>
          <w:tcPr>
            <w:tcW w:w="687" w:type="dxa"/>
            <w:tcBorders>
              <w:top w:val="single" w:sz="4" w:space="0" w:color="000000"/>
            </w:tcBorders>
          </w:tcPr>
          <w:p>
            <w:pPr>
              <w:pStyle w:val="TableParagraph"/>
              <w:spacing w:line="261" w:lineRule="exact"/>
              <w:rPr>
                <w:rFonts w:ascii="微软雅黑"/>
                <w:b/>
                <w:sz w:val="21"/>
              </w:rPr>
            </w:pPr>
            <w:r>
              <w:rPr>
                <w:rFonts w:ascii="微软雅黑"/>
                <w:b/>
                <w:w w:val="81"/>
                <w:sz w:val="21"/>
              </w:rPr>
              <w:t>24</w:t>
            </w:r>
            <w:r>
              <w:rPr>
                <w:rFonts w:ascii="微软雅黑"/>
                <w:b/>
                <w:w w:val="176"/>
                <w:sz w:val="21"/>
              </w:rPr>
              <w:t>.</w:t>
            </w:r>
          </w:p>
        </w:tc>
        <w:tc>
          <w:tcPr>
            <w:tcW w:w="1659" w:type="dxa"/>
            <w:tcBorders>
              <w:top w:val="single" w:sz="4" w:space="0" w:color="000000"/>
            </w:tcBorders>
          </w:tcPr>
          <w:p>
            <w:pPr>
              <w:pStyle w:val="TableParagraph"/>
              <w:spacing w:line="261" w:lineRule="exact"/>
              <w:ind w:left="263"/>
              <w:rPr>
                <w:rFonts w:ascii="微软雅黑" w:eastAsia="微软雅黑" w:hint="eastAsia"/>
                <w:b/>
                <w:sz w:val="21"/>
              </w:rPr>
            </w:pPr>
            <w:r>
              <w:rPr>
                <w:rFonts w:ascii="微软雅黑" w:eastAsia="微软雅黑" w:hint="eastAsia"/>
                <w:b/>
                <w:sz w:val="21"/>
              </w:rPr>
              <w:t>受益人</w:t>
            </w:r>
          </w:p>
        </w:tc>
        <w:tc>
          <w:tcPr>
            <w:tcW w:w="7697" w:type="dxa"/>
            <w:tcBorders>
              <w:top w:val="single" w:sz="4" w:space="0" w:color="000000"/>
            </w:tcBorders>
          </w:tcPr>
          <w:p>
            <w:pPr>
              <w:pStyle w:val="TableParagraph"/>
              <w:spacing w:line="236" w:lineRule="exact"/>
              <w:ind w:left="150"/>
              <w:rPr>
                <w:sz w:val="21"/>
              </w:rPr>
            </w:pPr>
            <w:r>
              <w:rPr>
                <w:sz w:val="21"/>
              </w:rPr>
              <w:t>除另有约定外，主合同保险金受益人为被保险人本人。</w:t>
            </w:r>
          </w:p>
        </w:tc>
      </w:tr>
      <w:tr>
        <w:trPr>
          <w:trHeight w:val="2830" w:hRule="atLeast"/>
        </w:trPr>
        <w:tc>
          <w:tcPr>
            <w:tcW w:w="687" w:type="dxa"/>
          </w:tcPr>
          <w:p>
            <w:pPr>
              <w:pStyle w:val="TableParagraph"/>
              <w:spacing w:before="87"/>
              <w:rPr>
                <w:rFonts w:ascii="微软雅黑"/>
                <w:b/>
                <w:sz w:val="21"/>
              </w:rPr>
            </w:pPr>
            <w:r>
              <w:rPr>
                <w:rFonts w:ascii="微软雅黑"/>
                <w:b/>
                <w:w w:val="81"/>
                <w:sz w:val="21"/>
              </w:rPr>
              <w:t>25</w:t>
            </w:r>
            <w:r>
              <w:rPr>
                <w:rFonts w:ascii="微软雅黑"/>
                <w:b/>
                <w:w w:val="176"/>
                <w:sz w:val="21"/>
              </w:rPr>
              <w:t>.</w:t>
            </w:r>
          </w:p>
        </w:tc>
        <w:tc>
          <w:tcPr>
            <w:tcW w:w="1659" w:type="dxa"/>
          </w:tcPr>
          <w:p>
            <w:pPr>
              <w:pStyle w:val="TableParagraph"/>
              <w:spacing w:line="180" w:lineRule="auto" w:before="178"/>
              <w:ind w:left="263" w:right="60"/>
              <w:rPr>
                <w:rFonts w:ascii="微软雅黑" w:eastAsia="微软雅黑" w:hint="eastAsia"/>
                <w:b/>
                <w:sz w:val="21"/>
              </w:rPr>
            </w:pPr>
            <w:r>
              <w:rPr>
                <w:rFonts w:ascii="微软雅黑" w:eastAsia="微软雅黑" w:hint="eastAsia"/>
                <w:b/>
                <w:sz w:val="21"/>
              </w:rPr>
              <w:t>保险金申领资料</w:t>
            </w:r>
          </w:p>
        </w:tc>
        <w:tc>
          <w:tcPr>
            <w:tcW w:w="7697" w:type="dxa"/>
          </w:tcPr>
          <w:p>
            <w:pPr>
              <w:pStyle w:val="TableParagraph"/>
              <w:spacing w:before="150"/>
              <w:ind w:left="59"/>
              <w:rPr>
                <w:sz w:val="21"/>
              </w:rPr>
            </w:pPr>
            <w:r>
              <w:rPr>
                <w:sz w:val="21"/>
              </w:rPr>
              <w:t>申领保险金时，申领人需填写《索赔申请表》，并提供下列所有证明和资料原件：</w:t>
            </w:r>
          </w:p>
          <w:p>
            <w:pPr>
              <w:pStyle w:val="TableParagraph"/>
              <w:numPr>
                <w:ilvl w:val="0"/>
                <w:numId w:val="5"/>
              </w:numPr>
              <w:tabs>
                <w:tab w:pos="573" w:val="left" w:leader="none"/>
                <w:tab w:pos="574" w:val="left" w:leader="none"/>
              </w:tabs>
              <w:spacing w:line="240" w:lineRule="auto" w:before="18" w:after="0"/>
              <w:ind w:left="573" w:right="0" w:hanging="423"/>
              <w:jc w:val="left"/>
              <w:rPr>
                <w:sz w:val="21"/>
              </w:rPr>
            </w:pPr>
            <w:r>
              <w:rPr>
                <w:sz w:val="21"/>
              </w:rPr>
              <w:t>保险合同；</w:t>
            </w:r>
          </w:p>
          <w:p>
            <w:pPr>
              <w:pStyle w:val="TableParagraph"/>
              <w:numPr>
                <w:ilvl w:val="0"/>
                <w:numId w:val="5"/>
              </w:numPr>
              <w:tabs>
                <w:tab w:pos="573" w:val="left" w:leader="none"/>
                <w:tab w:pos="574" w:val="left" w:leader="none"/>
              </w:tabs>
              <w:spacing w:line="240" w:lineRule="auto" w:before="61" w:after="0"/>
              <w:ind w:left="573" w:right="0" w:hanging="423"/>
              <w:jc w:val="left"/>
              <w:rPr>
                <w:sz w:val="21"/>
              </w:rPr>
            </w:pPr>
            <w:r>
              <w:rPr>
                <w:spacing w:val="-2"/>
                <w:sz w:val="21"/>
              </w:rPr>
              <w:t>被保险人的有效身份证件；</w:t>
            </w:r>
          </w:p>
          <w:p>
            <w:pPr>
              <w:pStyle w:val="TableParagraph"/>
              <w:numPr>
                <w:ilvl w:val="0"/>
                <w:numId w:val="5"/>
              </w:numPr>
              <w:tabs>
                <w:tab w:pos="573" w:val="left" w:leader="none"/>
                <w:tab w:pos="574" w:val="left" w:leader="none"/>
              </w:tabs>
              <w:spacing w:line="240" w:lineRule="auto" w:before="56" w:after="0"/>
              <w:ind w:left="573" w:right="2" w:hanging="423"/>
              <w:jc w:val="left"/>
              <w:rPr>
                <w:sz w:val="21"/>
              </w:rPr>
            </w:pPr>
            <w:r>
              <w:rPr>
                <w:spacing w:val="-6"/>
                <w:sz w:val="21"/>
              </w:rPr>
              <w:t>完整的门、急诊病历，以及住院病历</w:t>
            </w:r>
            <w:r>
              <w:rPr>
                <w:sz w:val="21"/>
              </w:rPr>
              <w:t>（</w:t>
            </w:r>
            <w:r>
              <w:rPr>
                <w:spacing w:val="-5"/>
                <w:sz w:val="21"/>
              </w:rPr>
              <w:t>包含病历首页、入院记录、出院小结、</w:t>
            </w:r>
            <w:r>
              <w:rPr>
                <w:spacing w:val="-5"/>
                <w:w w:val="100"/>
                <w:sz w:val="21"/>
              </w:rPr>
              <w:t>医嘱单、体温单、护理记录单等</w:t>
            </w:r>
            <w:r>
              <w:rPr>
                <w:spacing w:val="-105"/>
                <w:w w:val="100"/>
                <w:sz w:val="21"/>
              </w:rPr>
              <w:t>）</w:t>
            </w:r>
            <w:r>
              <w:rPr>
                <w:w w:val="100"/>
                <w:sz w:val="21"/>
              </w:rPr>
              <w:t>；</w:t>
            </w:r>
          </w:p>
          <w:p>
            <w:pPr>
              <w:pStyle w:val="TableParagraph"/>
              <w:numPr>
                <w:ilvl w:val="0"/>
                <w:numId w:val="5"/>
              </w:numPr>
              <w:tabs>
                <w:tab w:pos="573" w:val="left" w:leader="none"/>
                <w:tab w:pos="574" w:val="left" w:leader="none"/>
              </w:tabs>
              <w:spacing w:line="240" w:lineRule="auto" w:before="61" w:after="0"/>
              <w:ind w:left="573" w:right="110" w:hanging="423"/>
              <w:jc w:val="left"/>
              <w:rPr>
                <w:sz w:val="21"/>
              </w:rPr>
            </w:pPr>
            <w:r>
              <w:rPr>
                <w:sz w:val="21"/>
              </w:rPr>
              <w:t>医院出具的疾病诊断证明书、确诊疾病必要的手术记录、病理检验、血液检</w:t>
            </w:r>
            <w:r>
              <w:rPr>
                <w:spacing w:val="-4"/>
                <w:sz w:val="21"/>
              </w:rPr>
              <w:t>验、影像学检查及其他科学方法的检查报告；</w:t>
            </w:r>
          </w:p>
          <w:p>
            <w:pPr>
              <w:pStyle w:val="TableParagraph"/>
              <w:numPr>
                <w:ilvl w:val="0"/>
                <w:numId w:val="5"/>
              </w:numPr>
              <w:tabs>
                <w:tab w:pos="573" w:val="left" w:leader="none"/>
                <w:tab w:pos="574" w:val="left" w:leader="none"/>
              </w:tabs>
              <w:spacing w:line="240" w:lineRule="auto" w:before="56" w:after="0"/>
              <w:ind w:left="573" w:right="0" w:hanging="423"/>
              <w:jc w:val="left"/>
              <w:rPr>
                <w:sz w:val="21"/>
              </w:rPr>
            </w:pPr>
            <w:r>
              <w:rPr>
                <w:spacing w:val="-6"/>
                <w:sz w:val="21"/>
              </w:rPr>
              <w:t>与本项保险金申领有关的诊疗资料及其他我方要求提供的证明、报告和文件。</w:t>
            </w:r>
          </w:p>
        </w:tc>
      </w:tr>
      <w:tr>
        <w:trPr>
          <w:trHeight w:val="941" w:hRule="atLeast"/>
        </w:trPr>
        <w:tc>
          <w:tcPr>
            <w:tcW w:w="687" w:type="dxa"/>
          </w:tcPr>
          <w:p>
            <w:pPr>
              <w:pStyle w:val="TableParagraph"/>
              <w:spacing w:before="104"/>
              <w:rPr>
                <w:rFonts w:ascii="微软雅黑"/>
                <w:b/>
                <w:sz w:val="21"/>
              </w:rPr>
            </w:pPr>
            <w:r>
              <w:rPr>
                <w:rFonts w:ascii="微软雅黑"/>
                <w:b/>
                <w:w w:val="81"/>
                <w:sz w:val="21"/>
              </w:rPr>
              <w:t>26</w:t>
            </w:r>
            <w:r>
              <w:rPr>
                <w:rFonts w:ascii="微软雅黑"/>
                <w:b/>
                <w:w w:val="176"/>
                <w:sz w:val="21"/>
              </w:rPr>
              <w:t>.</w:t>
            </w:r>
          </w:p>
        </w:tc>
        <w:tc>
          <w:tcPr>
            <w:tcW w:w="1659" w:type="dxa"/>
          </w:tcPr>
          <w:p>
            <w:pPr>
              <w:pStyle w:val="TableParagraph"/>
              <w:spacing w:before="104"/>
              <w:ind w:left="263"/>
              <w:rPr>
                <w:rFonts w:ascii="微软雅黑" w:eastAsia="微软雅黑" w:hint="eastAsia"/>
                <w:b/>
                <w:sz w:val="21"/>
              </w:rPr>
            </w:pPr>
            <w:r>
              <w:rPr>
                <w:rFonts w:ascii="微软雅黑" w:eastAsia="微软雅黑" w:hint="eastAsia"/>
                <w:b/>
                <w:sz w:val="21"/>
              </w:rPr>
              <w:t>诉讼时效</w:t>
            </w:r>
          </w:p>
        </w:tc>
        <w:tc>
          <w:tcPr>
            <w:tcW w:w="7697" w:type="dxa"/>
          </w:tcPr>
          <w:p>
            <w:pPr>
              <w:pStyle w:val="TableParagraph"/>
              <w:spacing w:line="235" w:lineRule="auto" w:before="172"/>
              <w:ind w:left="150" w:right="58"/>
              <w:rPr>
                <w:sz w:val="21"/>
              </w:rPr>
            </w:pPr>
            <w:r>
              <w:rPr>
                <w:sz w:val="21"/>
              </w:rPr>
              <w:t>受益人请求给付主合同保险金的诉讼时效期间为 2 年，自其知道或应当知道保险事故发生之日起计算。</w:t>
            </w:r>
          </w:p>
        </w:tc>
      </w:tr>
      <w:tr>
        <w:trPr>
          <w:trHeight w:val="536" w:hRule="atLeast"/>
        </w:trPr>
        <w:tc>
          <w:tcPr>
            <w:tcW w:w="687" w:type="dxa"/>
            <w:tcBorders>
              <w:bottom w:val="single" w:sz="4" w:space="0" w:color="000000"/>
            </w:tcBorders>
          </w:tcPr>
          <w:p>
            <w:pPr>
              <w:pStyle w:val="TableParagraph"/>
              <w:ind w:left="0"/>
              <w:rPr>
                <w:rFonts w:ascii="Times New Roman"/>
                <w:sz w:val="20"/>
              </w:rPr>
            </w:pPr>
          </w:p>
        </w:tc>
        <w:tc>
          <w:tcPr>
            <w:tcW w:w="1659" w:type="dxa"/>
            <w:tcBorders>
              <w:bottom w:val="single" w:sz="4" w:space="0" w:color="000000"/>
            </w:tcBorders>
          </w:tcPr>
          <w:p>
            <w:pPr>
              <w:pStyle w:val="TableParagraph"/>
              <w:ind w:left="0"/>
              <w:rPr>
                <w:rFonts w:ascii="Times New Roman"/>
                <w:sz w:val="20"/>
              </w:rPr>
            </w:pPr>
          </w:p>
        </w:tc>
        <w:tc>
          <w:tcPr>
            <w:tcW w:w="7697" w:type="dxa"/>
            <w:tcBorders>
              <w:bottom w:val="single" w:sz="4" w:space="0" w:color="000000"/>
            </w:tcBorders>
          </w:tcPr>
          <w:p>
            <w:pPr>
              <w:pStyle w:val="TableParagraph"/>
              <w:spacing w:before="104"/>
              <w:ind w:left="1879"/>
              <w:rPr>
                <w:rFonts w:ascii="微软雅黑" w:eastAsia="微软雅黑" w:hint="eastAsia"/>
                <w:b/>
                <w:sz w:val="21"/>
              </w:rPr>
            </w:pPr>
            <w:r>
              <w:rPr>
                <w:rFonts w:ascii="微软雅黑" w:eastAsia="微软雅黑" w:hint="eastAsia"/>
                <w:b/>
                <w:sz w:val="21"/>
              </w:rPr>
              <w:t>第九章 其他规定</w:t>
            </w:r>
          </w:p>
        </w:tc>
      </w:tr>
      <w:tr>
        <w:trPr>
          <w:trHeight w:val="497" w:hRule="atLeast"/>
        </w:trPr>
        <w:tc>
          <w:tcPr>
            <w:tcW w:w="687" w:type="dxa"/>
            <w:tcBorders>
              <w:top w:val="single" w:sz="4" w:space="0" w:color="000000"/>
            </w:tcBorders>
          </w:tcPr>
          <w:p>
            <w:pPr>
              <w:pStyle w:val="TableParagraph"/>
              <w:spacing w:line="261" w:lineRule="exact"/>
              <w:rPr>
                <w:rFonts w:ascii="微软雅黑"/>
                <w:b/>
                <w:sz w:val="21"/>
              </w:rPr>
            </w:pPr>
            <w:r>
              <w:rPr>
                <w:rFonts w:ascii="微软雅黑"/>
                <w:b/>
                <w:w w:val="81"/>
                <w:sz w:val="21"/>
              </w:rPr>
              <w:t>27</w:t>
            </w:r>
            <w:r>
              <w:rPr>
                <w:rFonts w:ascii="微软雅黑"/>
                <w:b/>
                <w:w w:val="176"/>
                <w:sz w:val="21"/>
              </w:rPr>
              <w:t>.</w:t>
            </w:r>
          </w:p>
        </w:tc>
        <w:tc>
          <w:tcPr>
            <w:tcW w:w="1659" w:type="dxa"/>
            <w:tcBorders>
              <w:top w:val="single" w:sz="4" w:space="0" w:color="000000"/>
            </w:tcBorders>
          </w:tcPr>
          <w:p>
            <w:pPr>
              <w:pStyle w:val="TableParagraph"/>
              <w:spacing w:line="261" w:lineRule="exact"/>
              <w:ind w:left="263"/>
              <w:rPr>
                <w:rFonts w:ascii="微软雅黑" w:eastAsia="微软雅黑" w:hint="eastAsia"/>
                <w:b/>
                <w:sz w:val="21"/>
              </w:rPr>
            </w:pPr>
            <w:r>
              <w:rPr>
                <w:rFonts w:ascii="微软雅黑" w:eastAsia="微软雅黑" w:hint="eastAsia"/>
                <w:b/>
                <w:sz w:val="21"/>
              </w:rPr>
              <w:t>手续费</w:t>
            </w:r>
          </w:p>
        </w:tc>
        <w:tc>
          <w:tcPr>
            <w:tcW w:w="7697" w:type="dxa"/>
            <w:tcBorders>
              <w:top w:val="single" w:sz="4" w:space="0" w:color="000000"/>
            </w:tcBorders>
          </w:tcPr>
          <w:p>
            <w:pPr>
              <w:pStyle w:val="TableParagraph"/>
              <w:spacing w:before="23"/>
              <w:ind w:left="150"/>
              <w:rPr>
                <w:sz w:val="21"/>
              </w:rPr>
            </w:pPr>
            <w:r>
              <w:rPr>
                <w:sz w:val="21"/>
              </w:rPr>
              <w:t>主合同的未满期净保费的手续费比例为 35%。</w:t>
            </w:r>
          </w:p>
        </w:tc>
      </w:tr>
      <w:tr>
        <w:trPr>
          <w:trHeight w:val="7334" w:hRule="atLeast"/>
        </w:trPr>
        <w:tc>
          <w:tcPr>
            <w:tcW w:w="687" w:type="dxa"/>
          </w:tcPr>
          <w:p>
            <w:pPr>
              <w:pStyle w:val="TableParagraph"/>
              <w:spacing w:before="73"/>
              <w:rPr>
                <w:rFonts w:ascii="微软雅黑"/>
                <w:b/>
                <w:sz w:val="21"/>
              </w:rPr>
            </w:pPr>
            <w:r>
              <w:rPr>
                <w:rFonts w:ascii="微软雅黑"/>
                <w:b/>
                <w:w w:val="81"/>
                <w:sz w:val="21"/>
              </w:rPr>
              <w:t>28</w:t>
            </w:r>
            <w:r>
              <w:rPr>
                <w:rFonts w:ascii="微软雅黑"/>
                <w:b/>
                <w:w w:val="176"/>
                <w:sz w:val="21"/>
              </w:rPr>
              <w:t>.</w:t>
            </w:r>
          </w:p>
        </w:tc>
        <w:tc>
          <w:tcPr>
            <w:tcW w:w="1659" w:type="dxa"/>
          </w:tcPr>
          <w:p>
            <w:pPr>
              <w:pStyle w:val="TableParagraph"/>
              <w:spacing w:line="177" w:lineRule="auto" w:before="167"/>
              <w:ind w:left="263" w:right="60"/>
              <w:rPr>
                <w:rFonts w:ascii="微软雅黑" w:eastAsia="微软雅黑" w:hint="eastAsia"/>
                <w:b/>
                <w:sz w:val="21"/>
              </w:rPr>
            </w:pPr>
            <w:r>
              <w:rPr>
                <w:rFonts w:ascii="微软雅黑" w:eastAsia="微软雅黑" w:hint="eastAsia"/>
                <w:b/>
                <w:sz w:val="21"/>
              </w:rPr>
              <w:t>重大疾病的种类和定义</w:t>
            </w:r>
          </w:p>
        </w:tc>
        <w:tc>
          <w:tcPr>
            <w:tcW w:w="7697" w:type="dxa"/>
          </w:tcPr>
          <w:p>
            <w:pPr>
              <w:pStyle w:val="TableParagraph"/>
              <w:spacing w:before="135"/>
              <w:ind w:left="150"/>
              <w:rPr>
                <w:sz w:val="21"/>
              </w:rPr>
            </w:pPr>
            <w:r>
              <w:rPr>
                <w:sz w:val="21"/>
              </w:rPr>
              <w:t>一、恶性肿瘤</w:t>
            </w:r>
          </w:p>
          <w:p>
            <w:pPr>
              <w:pStyle w:val="TableParagraph"/>
              <w:spacing w:before="55"/>
              <w:ind w:left="150" w:right="111"/>
              <w:jc w:val="both"/>
              <w:rPr>
                <w:sz w:val="21"/>
              </w:rPr>
            </w:pPr>
            <w:r>
              <w:rPr>
                <w:sz w:val="21"/>
              </w:rPr>
              <w:t>指恶性细胞不受控制的进行性增长和扩散，浸润和破坏周围正常组织，可以经血管、淋巴管和体腔扩散转移到身体其它部位的疾病。经病理学检查结果明确诊断</w:t>
            </w:r>
            <w:r>
              <w:rPr>
                <w:spacing w:val="-5"/>
                <w:sz w:val="21"/>
              </w:rPr>
              <w:t>属于世界卫生组织《疾病和有关健康问题的国际统计分类</w:t>
            </w:r>
            <w:r>
              <w:rPr>
                <w:spacing w:val="-116"/>
                <w:sz w:val="21"/>
              </w:rPr>
              <w:t>》</w:t>
            </w:r>
            <w:r>
              <w:rPr>
                <w:sz w:val="21"/>
              </w:rPr>
              <w:t>（ICD-10）</w:t>
            </w:r>
            <w:r>
              <w:rPr>
                <w:spacing w:val="-2"/>
                <w:sz w:val="21"/>
              </w:rPr>
              <w:t>的恶性肿瘤范畴。</w:t>
            </w:r>
          </w:p>
          <w:p>
            <w:pPr>
              <w:pStyle w:val="TableParagraph"/>
              <w:spacing w:line="343" w:lineRule="exact"/>
              <w:ind w:left="150"/>
              <w:jc w:val="both"/>
              <w:rPr>
                <w:rFonts w:ascii="微软雅黑" w:eastAsia="微软雅黑" w:hint="eastAsia"/>
                <w:b/>
                <w:sz w:val="21"/>
              </w:rPr>
            </w:pPr>
            <w:r>
              <w:rPr>
                <w:rFonts w:ascii="微软雅黑" w:eastAsia="微软雅黑" w:hint="eastAsia"/>
                <w:b/>
                <w:sz w:val="21"/>
                <w:u w:val="single"/>
              </w:rPr>
              <w:t>但下列疾病不在保障范围：</w:t>
            </w:r>
          </w:p>
          <w:p>
            <w:pPr>
              <w:pStyle w:val="TableParagraph"/>
              <w:spacing w:line="336" w:lineRule="exact"/>
              <w:ind w:left="150"/>
              <w:jc w:val="both"/>
              <w:rPr>
                <w:rFonts w:ascii="微软雅黑" w:eastAsia="微软雅黑" w:hint="eastAsia"/>
                <w:b/>
                <w:sz w:val="21"/>
              </w:rPr>
            </w:pPr>
            <w:r>
              <w:rPr>
                <w:rFonts w:ascii="微软雅黑" w:eastAsia="微软雅黑" w:hint="eastAsia"/>
                <w:b/>
                <w:w w:val="95"/>
                <w:sz w:val="21"/>
              </w:rPr>
              <w:t>（一）原位癌</w:t>
            </w:r>
            <w:r>
              <w:rPr>
                <w:rFonts w:ascii="微软雅黑" w:eastAsia="微软雅黑" w:hint="eastAsia"/>
                <w:b/>
                <w:w w:val="95"/>
                <w:position w:val="11"/>
                <w:sz w:val="11"/>
              </w:rPr>
              <w:t>13</w:t>
            </w:r>
            <w:r>
              <w:rPr>
                <w:rFonts w:ascii="微软雅黑" w:eastAsia="微软雅黑" w:hint="eastAsia"/>
                <w:b/>
                <w:w w:val="95"/>
                <w:sz w:val="21"/>
              </w:rPr>
              <w:t>；</w:t>
            </w:r>
          </w:p>
          <w:p>
            <w:pPr>
              <w:pStyle w:val="TableParagraph"/>
              <w:spacing w:line="334" w:lineRule="exact"/>
              <w:ind w:left="150"/>
              <w:jc w:val="both"/>
              <w:rPr>
                <w:rFonts w:ascii="微软雅黑" w:eastAsia="微软雅黑" w:hint="eastAsia"/>
                <w:b/>
                <w:sz w:val="21"/>
              </w:rPr>
            </w:pPr>
            <w:r>
              <w:rPr>
                <w:rFonts w:ascii="微软雅黑" w:eastAsia="微软雅黑" w:hint="eastAsia"/>
                <w:b/>
                <w:sz w:val="21"/>
                <w:u w:val="single"/>
              </w:rPr>
              <w:t>（二）相当于 Binet 分期方案 A 期程度的慢性淋巴细胞白血病；  </w:t>
            </w:r>
          </w:p>
          <w:p>
            <w:pPr>
              <w:pStyle w:val="TableParagraph"/>
              <w:spacing w:line="334" w:lineRule="exact"/>
              <w:ind w:left="150"/>
              <w:jc w:val="both"/>
              <w:rPr>
                <w:rFonts w:ascii="微软雅黑" w:eastAsia="微软雅黑" w:hint="eastAsia"/>
                <w:b/>
                <w:sz w:val="21"/>
              </w:rPr>
            </w:pPr>
            <w:r>
              <w:rPr>
                <w:rFonts w:ascii="微软雅黑" w:eastAsia="微软雅黑" w:hint="eastAsia"/>
                <w:b/>
                <w:sz w:val="21"/>
                <w:u w:val="single"/>
              </w:rPr>
              <w:t>（三）相当于 Ann Arbor 分期方案 </w:t>
            </w:r>
            <w:r>
              <w:rPr>
                <w:rFonts w:ascii="微软雅黑" w:eastAsia="微软雅黑" w:hint="eastAsia"/>
                <w:b/>
                <w:w w:val="120"/>
                <w:sz w:val="21"/>
                <w:u w:val="single"/>
              </w:rPr>
              <w:t>I </w:t>
            </w:r>
            <w:r>
              <w:rPr>
                <w:rFonts w:ascii="微软雅黑" w:eastAsia="微软雅黑" w:hint="eastAsia"/>
                <w:b/>
                <w:sz w:val="21"/>
                <w:u w:val="single"/>
              </w:rPr>
              <w:t>期程度的何杰金氏病；  </w:t>
            </w:r>
          </w:p>
          <w:p>
            <w:pPr>
              <w:pStyle w:val="TableParagraph"/>
              <w:spacing w:line="334" w:lineRule="exact"/>
              <w:ind w:left="150"/>
              <w:jc w:val="both"/>
              <w:rPr>
                <w:rFonts w:ascii="微软雅黑" w:eastAsia="微软雅黑" w:hint="eastAsia"/>
                <w:b/>
                <w:sz w:val="21"/>
              </w:rPr>
            </w:pPr>
            <w:r>
              <w:rPr>
                <w:rFonts w:ascii="微软雅黑" w:eastAsia="微软雅黑" w:hint="eastAsia"/>
                <w:b/>
                <w:w w:val="100"/>
                <w:sz w:val="21"/>
                <w:u w:val="single"/>
              </w:rPr>
              <w:t>（四）皮肤癌（</w:t>
            </w:r>
            <w:r>
              <w:rPr>
                <w:rFonts w:ascii="微软雅黑" w:eastAsia="微软雅黑" w:hint="eastAsia"/>
                <w:b/>
                <w:spacing w:val="-2"/>
                <w:w w:val="100"/>
                <w:sz w:val="21"/>
                <w:u w:val="single"/>
              </w:rPr>
              <w:t>不包括恶性黑色素瘤及已发生转移的皮肤癌</w:t>
            </w:r>
            <w:r>
              <w:rPr>
                <w:rFonts w:ascii="微软雅黑" w:eastAsia="微软雅黑" w:hint="eastAsia"/>
                <w:b/>
                <w:spacing w:val="-106"/>
                <w:w w:val="100"/>
                <w:sz w:val="21"/>
                <w:u w:val="single"/>
              </w:rPr>
              <w:t>）</w:t>
            </w:r>
            <w:r>
              <w:rPr>
                <w:rFonts w:ascii="微软雅黑" w:eastAsia="微软雅黑" w:hint="eastAsia"/>
                <w:b/>
                <w:w w:val="100"/>
                <w:sz w:val="21"/>
                <w:u w:val="single"/>
              </w:rPr>
              <w:t>；</w:t>
            </w:r>
            <w:r>
              <w:rPr>
                <w:rFonts w:ascii="微软雅黑" w:eastAsia="微软雅黑" w:hint="eastAsia"/>
                <w:b/>
                <w:sz w:val="21"/>
                <w:u w:val="single"/>
              </w:rPr>
              <w:t> </w:t>
            </w:r>
            <w:r>
              <w:rPr>
                <w:rFonts w:ascii="微软雅黑" w:eastAsia="微软雅黑" w:hint="eastAsia"/>
                <w:b/>
                <w:spacing w:val="-17"/>
                <w:sz w:val="21"/>
                <w:u w:val="single"/>
              </w:rPr>
              <w:t> </w:t>
            </w:r>
          </w:p>
          <w:p>
            <w:pPr>
              <w:pStyle w:val="TableParagraph"/>
              <w:spacing w:line="334" w:lineRule="exact"/>
              <w:ind w:left="150"/>
              <w:jc w:val="both"/>
              <w:rPr>
                <w:rFonts w:ascii="微软雅黑" w:eastAsia="微软雅黑" w:hint="eastAsia"/>
                <w:b/>
                <w:sz w:val="21"/>
              </w:rPr>
            </w:pPr>
            <w:r>
              <w:rPr>
                <w:rFonts w:ascii="微软雅黑" w:eastAsia="微软雅黑" w:hint="eastAsia"/>
                <w:b/>
                <w:w w:val="100"/>
                <w:position w:val="1"/>
                <w:sz w:val="21"/>
                <w:u w:val="single"/>
              </w:rPr>
              <w:t>（五）</w:t>
            </w:r>
            <w:r>
              <w:rPr>
                <w:rFonts w:ascii="微软雅黑" w:eastAsia="微软雅黑" w:hint="eastAsia"/>
                <w:b/>
                <w:w w:val="68"/>
                <w:position w:val="1"/>
                <w:sz w:val="21"/>
                <w:u w:val="single"/>
              </w:rPr>
              <w:t>TN</w:t>
            </w:r>
            <w:r>
              <w:rPr>
                <w:rFonts w:ascii="微软雅黑" w:eastAsia="微软雅黑" w:hint="eastAsia"/>
                <w:b/>
                <w:w w:val="48"/>
                <w:position w:val="1"/>
                <w:sz w:val="21"/>
                <w:u w:val="single"/>
              </w:rPr>
              <w:t>M</w:t>
            </w:r>
            <w:r>
              <w:rPr>
                <w:rFonts w:ascii="微软雅黑" w:eastAsia="微软雅黑" w:hint="eastAsia"/>
                <w:b/>
                <w:spacing w:val="-10"/>
                <w:position w:val="1"/>
                <w:sz w:val="21"/>
                <w:u w:val="single"/>
              </w:rPr>
              <w:t> </w:t>
            </w:r>
            <w:r>
              <w:rPr>
                <w:rFonts w:ascii="微软雅黑" w:eastAsia="微软雅黑" w:hint="eastAsia"/>
                <w:b/>
                <w:w w:val="100"/>
                <w:position w:val="1"/>
                <w:sz w:val="21"/>
                <w:u w:val="single"/>
              </w:rPr>
              <w:t>分期为</w:t>
            </w:r>
            <w:r>
              <w:rPr>
                <w:rFonts w:ascii="微软雅黑" w:eastAsia="微软雅黑" w:hint="eastAsia"/>
                <w:b/>
                <w:spacing w:val="-10"/>
                <w:position w:val="1"/>
                <w:sz w:val="21"/>
                <w:u w:val="single"/>
              </w:rPr>
              <w:t> </w:t>
            </w:r>
            <w:r>
              <w:rPr>
                <w:rFonts w:ascii="微软雅黑" w:eastAsia="微软雅黑" w:hint="eastAsia"/>
                <w:b/>
                <w:w w:val="80"/>
                <w:position w:val="1"/>
                <w:sz w:val="21"/>
                <w:u w:val="single"/>
              </w:rPr>
              <w:t>T</w:t>
            </w:r>
            <w:r>
              <w:rPr>
                <w:rFonts w:ascii="微软雅黑" w:eastAsia="微软雅黑" w:hint="eastAsia"/>
                <w:b/>
                <w:spacing w:val="1"/>
                <w:w w:val="81"/>
                <w:sz w:val="11"/>
                <w:u w:val="single"/>
              </w:rPr>
              <w:t>1</w:t>
            </w:r>
            <w:r>
              <w:rPr>
                <w:rFonts w:ascii="微软雅黑" w:eastAsia="微软雅黑" w:hint="eastAsia"/>
                <w:b/>
                <w:w w:val="59"/>
                <w:position w:val="1"/>
                <w:sz w:val="21"/>
                <w:u w:val="single"/>
              </w:rPr>
              <w:t>N</w:t>
            </w:r>
            <w:r>
              <w:rPr>
                <w:rFonts w:ascii="微软雅黑" w:eastAsia="微软雅黑" w:hint="eastAsia"/>
                <w:b/>
                <w:spacing w:val="1"/>
                <w:w w:val="61"/>
                <w:sz w:val="11"/>
                <w:u w:val="single"/>
              </w:rPr>
              <w:t>O</w:t>
            </w:r>
            <w:r>
              <w:rPr>
                <w:rFonts w:ascii="微软雅黑" w:eastAsia="微软雅黑" w:hint="eastAsia"/>
                <w:b/>
                <w:spacing w:val="-5"/>
                <w:w w:val="48"/>
                <w:position w:val="1"/>
                <w:sz w:val="21"/>
                <w:u w:val="single"/>
              </w:rPr>
              <w:t>M</w:t>
            </w:r>
            <w:r>
              <w:rPr>
                <w:rFonts w:ascii="微软雅黑" w:eastAsia="微软雅黑" w:hint="eastAsia"/>
                <w:b/>
                <w:w w:val="61"/>
                <w:sz w:val="11"/>
                <w:u w:val="single"/>
              </w:rPr>
              <w:t>O</w:t>
            </w:r>
            <w:r>
              <w:rPr>
                <w:rFonts w:ascii="微软雅黑" w:eastAsia="微软雅黑" w:hint="eastAsia"/>
                <w:b/>
                <w:spacing w:val="-2"/>
                <w:sz w:val="11"/>
                <w:u w:val="single"/>
              </w:rPr>
              <w:t> </w:t>
            </w:r>
            <w:r>
              <w:rPr>
                <w:rFonts w:ascii="微软雅黑" w:eastAsia="微软雅黑" w:hint="eastAsia"/>
                <w:b/>
                <w:spacing w:val="-1"/>
                <w:w w:val="100"/>
                <w:position w:val="1"/>
                <w:sz w:val="21"/>
                <w:u w:val="single"/>
              </w:rPr>
              <w:t>期或更轻分期的前列腺癌；</w:t>
            </w:r>
          </w:p>
          <w:p>
            <w:pPr>
              <w:pStyle w:val="TableParagraph"/>
              <w:spacing w:line="350" w:lineRule="exact"/>
              <w:ind w:left="150"/>
              <w:jc w:val="both"/>
              <w:rPr>
                <w:rFonts w:ascii="微软雅黑" w:eastAsia="微软雅黑" w:hint="eastAsia"/>
                <w:b/>
                <w:sz w:val="21"/>
              </w:rPr>
            </w:pPr>
            <w:r>
              <w:rPr>
                <w:rFonts w:ascii="微软雅黑" w:eastAsia="微软雅黑" w:hint="eastAsia"/>
                <w:b/>
                <w:sz w:val="21"/>
                <w:u w:val="single"/>
              </w:rPr>
              <w:t>（六）感染艾滋病病毒或患艾滋病期间所患恶性肿瘤。</w:t>
            </w:r>
          </w:p>
          <w:p>
            <w:pPr>
              <w:pStyle w:val="TableParagraph"/>
              <w:spacing w:before="1"/>
              <w:ind w:left="0"/>
              <w:rPr>
                <w:sz w:val="28"/>
              </w:rPr>
            </w:pPr>
          </w:p>
          <w:p>
            <w:pPr>
              <w:pStyle w:val="TableParagraph"/>
              <w:ind w:left="150"/>
              <w:jc w:val="both"/>
              <w:rPr>
                <w:sz w:val="21"/>
              </w:rPr>
            </w:pPr>
            <w:r>
              <w:rPr>
                <w:sz w:val="21"/>
              </w:rPr>
              <w:t>二、重大器官移植术或造血干细胞移植术</w:t>
            </w:r>
          </w:p>
          <w:p>
            <w:pPr>
              <w:pStyle w:val="TableParagraph"/>
              <w:spacing w:before="61"/>
              <w:ind w:left="150" w:right="124"/>
              <w:rPr>
                <w:sz w:val="21"/>
              </w:rPr>
            </w:pPr>
            <w:r>
              <w:rPr>
                <w:sz w:val="21"/>
              </w:rPr>
              <w:t>重大器官移植术，指因相应器官功能衰竭，已经实施了肾脏、肝脏、心脏或肺脏的异体移植手术。</w:t>
            </w:r>
          </w:p>
          <w:p>
            <w:pPr>
              <w:pStyle w:val="TableParagraph"/>
              <w:spacing w:before="57"/>
              <w:ind w:left="150" w:right="124"/>
              <w:jc w:val="both"/>
              <w:rPr>
                <w:sz w:val="21"/>
              </w:rPr>
            </w:pPr>
            <w:r>
              <w:rPr>
                <w:sz w:val="21"/>
              </w:rPr>
              <w:t>造血干细胞移植术，指因造血功能损害或造血系统恶性肿瘤，已经实施了造血干细胞（包括骨髓造血干细胞、外周血造血干细胞和脐血造血干细胞）的异体移植手术。</w:t>
            </w:r>
          </w:p>
          <w:p>
            <w:pPr>
              <w:pStyle w:val="TableParagraph"/>
              <w:spacing w:before="12"/>
              <w:ind w:left="0"/>
              <w:rPr>
                <w:sz w:val="29"/>
              </w:rPr>
            </w:pPr>
          </w:p>
          <w:p>
            <w:pPr>
              <w:pStyle w:val="TableParagraph"/>
              <w:spacing w:before="1"/>
              <w:ind w:left="150"/>
              <w:rPr>
                <w:sz w:val="21"/>
              </w:rPr>
            </w:pPr>
            <w:r>
              <w:rPr>
                <w:sz w:val="21"/>
              </w:rPr>
              <w:t>三、终末期肾病（或称慢性肾功能衰竭尿毒症期）</w:t>
            </w:r>
          </w:p>
          <w:p>
            <w:pPr>
              <w:pStyle w:val="TableParagraph"/>
              <w:spacing w:line="274" w:lineRule="exact" w:before="88"/>
              <w:ind w:left="150" w:right="105"/>
              <w:rPr>
                <w:sz w:val="21"/>
              </w:rPr>
            </w:pPr>
            <w:r>
              <w:rPr>
                <w:spacing w:val="-7"/>
                <w:sz w:val="21"/>
              </w:rPr>
              <w:t>指双肾功能慢性不可逆性衰竭，达到尿毒症期，经诊断后已经进行了至少 </w:t>
            </w:r>
            <w:r>
              <w:rPr>
                <w:sz w:val="21"/>
              </w:rPr>
              <w:t>90</w:t>
            </w:r>
            <w:r>
              <w:rPr>
                <w:spacing w:val="-11"/>
                <w:sz w:val="21"/>
              </w:rPr>
              <w:t> 天的</w:t>
            </w:r>
            <w:r>
              <w:rPr>
                <w:spacing w:val="-7"/>
                <w:sz w:val="21"/>
              </w:rPr>
              <w:t>规律性透析治疗或实施了肾脏移植手术。</w:t>
            </w:r>
          </w:p>
        </w:tc>
      </w:tr>
    </w:tbl>
    <w:p>
      <w:pPr>
        <w:pStyle w:val="BodyText"/>
        <w:ind w:left="0"/>
        <w:rPr>
          <w:sz w:val="20"/>
        </w:rPr>
      </w:pPr>
      <w:r>
        <w:rPr/>
        <w:pict>
          <v:group style="position:absolute;margin-left:173.110001pt;margin-top:458.539978pt;width:85.25pt;height:.5pt;mso-position-horizontal-relative:page;mso-position-vertical-relative:page;z-index:-21760" coordorigin="3462,9171" coordsize="1705,10">
            <v:line style="position:absolute" from="3462,9176" to="4096,9176" stroked="true" strokeweight=".48001pt" strokecolor="#000000">
              <v:stroke dashstyle="solid"/>
            </v:line>
            <v:line style="position:absolute" from="4096,9176" to="4850,9176" stroked="true" strokeweight=".48001pt" strokecolor="#000000">
              <v:stroke dashstyle="solid"/>
            </v:line>
            <v:line style="position:absolute" from="4850,9176" to="5167,9176" stroked="true" strokeweight=".48001pt" strokecolor="#000000">
              <v:stroke dashstyle="solid"/>
            </v:line>
            <w10:wrap type="none"/>
          </v:group>
        </w:pict>
      </w:r>
    </w:p>
    <w:p>
      <w:pPr>
        <w:pStyle w:val="BodyText"/>
        <w:spacing w:before="9"/>
        <w:ind w:left="0"/>
        <w:rPr>
          <w:sz w:val="14"/>
        </w:rPr>
      </w:pPr>
      <w:r>
        <w:rPr/>
        <w:pict>
          <v:line style="position:absolute;mso-position-horizontal-relative:page;mso-position-vertical-relative:paragraph;z-index:1432;mso-wrap-distance-left:0;mso-wrap-distance-right:0" from="48.264pt,11.829042pt" to="192.314pt,11.829042pt" stroked="true" strokeweight=".48004pt" strokecolor="#000000">
            <v:stroke dashstyle="solid"/>
            <w10:wrap type="topAndBottom"/>
          </v:line>
        </w:pict>
      </w:r>
    </w:p>
    <w:p>
      <w:pPr>
        <w:pStyle w:val="BodyText"/>
        <w:spacing w:line="314" w:lineRule="exact"/>
        <w:ind w:left="105"/>
      </w:pPr>
      <w:r>
        <w:rPr>
          <w:rFonts w:ascii="Microsoft JhengHei" w:eastAsia="Microsoft JhengHei" w:hint="eastAsia"/>
          <w:b/>
          <w:position w:val="11"/>
          <w:sz w:val="11"/>
        </w:rPr>
        <w:t>13    </w:t>
      </w:r>
      <w:r>
        <w:rPr>
          <w:rFonts w:ascii="Microsoft JhengHei" w:eastAsia="Microsoft JhengHei" w:hint="eastAsia"/>
          <w:b/>
        </w:rPr>
        <w:t>原位癌：</w:t>
      </w:r>
      <w:r>
        <w:rPr/>
        <w:t>指异型增生的细胞在形态和生物学特性上与癌细胞相同，并累及上皮的全层，但没有突破基底膜</w:t>
      </w:r>
    </w:p>
    <w:p>
      <w:pPr>
        <w:pStyle w:val="BodyText"/>
        <w:ind w:left="105" w:right="108"/>
      </w:pPr>
      <w:r>
        <w:rPr>
          <w:spacing w:val="-8"/>
        </w:rPr>
        <w:t>向下浸润。须经病理学检查结果明确诊断属于世界卫生组织《疾病和有关健康问题的国际统计分类</w:t>
      </w:r>
      <w:r>
        <w:rPr>
          <w:spacing w:val="-145"/>
        </w:rPr>
        <w:t>》</w:t>
      </w:r>
      <w:r>
        <w:rPr/>
        <w:t>（ICD-10） </w:t>
      </w:r>
      <w:r>
        <w:rPr>
          <w:spacing w:val="-1"/>
        </w:rPr>
        <w:t>的原位癌范畴。</w:t>
      </w:r>
    </w:p>
    <w:p>
      <w:pPr>
        <w:spacing w:after="0"/>
        <w:sectPr>
          <w:pgSz w:w="11910" w:h="16840"/>
          <w:pgMar w:header="0" w:footer="863" w:top="1240" w:bottom="1080" w:left="860" w:right="740"/>
        </w:sectPr>
      </w:pPr>
    </w:p>
    <w:p>
      <w:pPr>
        <w:pStyle w:val="BodyText"/>
        <w:spacing w:before="12"/>
        <w:ind w:left="2602"/>
      </w:pPr>
      <w:r>
        <w:rPr/>
        <w:t>四、多个肢体缺失</w:t>
      </w:r>
    </w:p>
    <w:p>
      <w:pPr>
        <w:pStyle w:val="BodyText"/>
        <w:spacing w:line="235" w:lineRule="auto" w:before="66"/>
        <w:ind w:left="2602" w:right="279"/>
      </w:pPr>
      <w:r>
        <w:rPr/>
        <w:t>指因疾病或意外伤害导致两个或两个以上肢体自腕关节或踝关节近端（靠近躯干端）以上完全性断离。</w:t>
      </w:r>
    </w:p>
    <w:p>
      <w:pPr>
        <w:pStyle w:val="BodyText"/>
        <w:ind w:left="0"/>
        <w:rPr>
          <w:sz w:val="20"/>
        </w:rPr>
      </w:pPr>
    </w:p>
    <w:p>
      <w:pPr>
        <w:pStyle w:val="BodyText"/>
        <w:spacing w:before="135"/>
        <w:ind w:left="2602"/>
      </w:pPr>
      <w:r>
        <w:rPr/>
        <w:t>五、急性或亚急性重症肝炎</w:t>
      </w:r>
    </w:p>
    <w:p>
      <w:pPr>
        <w:pStyle w:val="BodyText"/>
        <w:spacing w:before="56"/>
        <w:ind w:left="2602" w:right="279"/>
      </w:pPr>
      <w:r>
        <w:rPr/>
        <w:t>指因肝炎病毒感染引起肝脏组织弥漫性坏死，导致急性肝功能衰竭，且经血清学或病毒学检查证实，并须满足下列全部条件：</w:t>
      </w:r>
    </w:p>
    <w:p>
      <w:pPr>
        <w:pStyle w:val="BodyText"/>
        <w:spacing w:before="61"/>
        <w:ind w:left="2602"/>
        <w:jc w:val="both"/>
      </w:pPr>
      <w:r>
        <w:rPr/>
        <w:t>（一）重度黄疸或黄疸迅速加重；</w:t>
      </w:r>
    </w:p>
    <w:p>
      <w:pPr>
        <w:pStyle w:val="BodyText"/>
        <w:spacing w:before="56"/>
        <w:ind w:left="2602"/>
        <w:jc w:val="both"/>
      </w:pPr>
      <w:r>
        <w:rPr/>
        <w:t>（二）肝性脑病；</w:t>
      </w:r>
    </w:p>
    <w:p>
      <w:pPr>
        <w:pStyle w:val="BodyText"/>
        <w:spacing w:before="60"/>
        <w:ind w:left="2602"/>
        <w:jc w:val="both"/>
      </w:pPr>
      <w:r>
        <w:rPr/>
        <w:t>（三）B 超或其它影像学检查显示肝脏体积急速萎缩；</w:t>
      </w:r>
    </w:p>
    <w:p>
      <w:pPr>
        <w:pStyle w:val="BodyText"/>
        <w:spacing w:before="60"/>
        <w:ind w:left="2602"/>
        <w:jc w:val="both"/>
      </w:pPr>
      <w:r>
        <w:rPr/>
        <w:t>（四）肝功能指标进行性恶化。</w:t>
      </w:r>
    </w:p>
    <w:p>
      <w:pPr>
        <w:pStyle w:val="BodyText"/>
        <w:spacing w:before="12"/>
        <w:ind w:left="0"/>
        <w:rPr>
          <w:sz w:val="29"/>
        </w:rPr>
      </w:pPr>
    </w:p>
    <w:p>
      <w:pPr>
        <w:pStyle w:val="BodyText"/>
        <w:ind w:left="2602"/>
        <w:jc w:val="both"/>
      </w:pPr>
      <w:r>
        <w:rPr/>
        <w:t>六、良性脑肿瘤</w:t>
      </w:r>
    </w:p>
    <w:p>
      <w:pPr>
        <w:pStyle w:val="BodyText"/>
        <w:spacing w:line="237" w:lineRule="auto" w:before="64"/>
        <w:ind w:left="2602" w:right="156"/>
        <w:jc w:val="both"/>
      </w:pPr>
      <w:r>
        <w:rPr>
          <w:spacing w:val="-7"/>
        </w:rPr>
        <w:t>指脑的良性肿瘤，已经引起颅内压增高，临床表现为视神经乳头水肿、精神症状、</w:t>
      </w:r>
      <w:r>
        <w:rPr>
          <w:spacing w:val="-20"/>
          <w:w w:val="100"/>
        </w:rPr>
        <w:t>癫痫及运动感觉障碍等，并危及生命。须由头颅断层扫描</w:t>
      </w:r>
      <w:r>
        <w:rPr>
          <w:spacing w:val="1"/>
          <w:w w:val="100"/>
        </w:rPr>
        <w:t>（</w:t>
      </w:r>
      <w:r>
        <w:rPr>
          <w:w w:val="100"/>
        </w:rPr>
        <w:t>CT</w:t>
      </w:r>
      <w:r>
        <w:rPr>
          <w:spacing w:val="-106"/>
          <w:w w:val="100"/>
        </w:rPr>
        <w:t>）</w:t>
      </w:r>
      <w:r>
        <w:rPr>
          <w:spacing w:val="-29"/>
          <w:w w:val="100"/>
        </w:rPr>
        <w:t>、核磁共振检查</w:t>
      </w:r>
      <w:r>
        <w:rPr>
          <w:spacing w:val="0"/>
          <w:w w:val="100"/>
        </w:rPr>
        <w:t>（</w:t>
      </w:r>
      <w:r>
        <w:rPr>
          <w:w w:val="100"/>
        </w:rPr>
        <w:t>MRI）</w:t>
      </w:r>
      <w:r>
        <w:rPr>
          <w:spacing w:val="-3"/>
        </w:rPr>
        <w:t>或正电子发射断层扫描</w:t>
      </w:r>
      <w:r>
        <w:rPr/>
        <w:t>（PET）</w:t>
      </w:r>
      <w:r>
        <w:rPr>
          <w:spacing w:val="-5"/>
        </w:rPr>
        <w:t>等影像学检查证实，并须满足下列至少一项条件：</w:t>
      </w:r>
    </w:p>
    <w:p>
      <w:pPr>
        <w:pStyle w:val="BodyText"/>
        <w:spacing w:before="61"/>
        <w:ind w:left="2602"/>
        <w:jc w:val="both"/>
      </w:pPr>
      <w:r>
        <w:rPr/>
        <w:t>（一）实际实施了开颅进行的脑肿瘤完全切除或部分切除的手术；</w:t>
      </w:r>
    </w:p>
    <w:p>
      <w:pPr>
        <w:pStyle w:val="BodyText"/>
        <w:spacing w:line="274" w:lineRule="exact" w:before="56"/>
        <w:ind w:left="2602"/>
        <w:jc w:val="both"/>
      </w:pPr>
      <w:r>
        <w:rPr/>
        <w:t>（二）实际实施了对脑肿瘤进行的放射治疗。</w:t>
      </w:r>
    </w:p>
    <w:p>
      <w:pPr>
        <w:pStyle w:val="Heading2"/>
        <w:spacing w:line="362" w:lineRule="exact"/>
        <w:ind w:left="2602"/>
        <w:jc w:val="both"/>
      </w:pPr>
      <w:r>
        <w:rPr>
          <w:u w:val="single"/>
        </w:rPr>
        <w:t>但脑垂体瘤、脑囊肿、脑血管性疾病不在保障范围。</w:t>
      </w:r>
    </w:p>
    <w:p>
      <w:pPr>
        <w:pStyle w:val="BodyText"/>
        <w:spacing w:before="3"/>
        <w:ind w:left="0"/>
        <w:rPr>
          <w:rFonts w:ascii="微软雅黑"/>
          <w:b/>
          <w:sz w:val="19"/>
        </w:rPr>
      </w:pPr>
    </w:p>
    <w:p>
      <w:pPr>
        <w:pStyle w:val="BodyText"/>
        <w:spacing w:before="36"/>
        <w:ind w:left="2602"/>
      </w:pPr>
      <w:r>
        <w:rPr/>
        <w:t>七、慢性肝功能衰竭失代偿期</w:t>
      </w:r>
    </w:p>
    <w:p>
      <w:pPr>
        <w:pStyle w:val="BodyText"/>
        <w:spacing w:before="61"/>
        <w:ind w:left="2602"/>
      </w:pPr>
      <w:r>
        <w:rPr/>
        <w:t>指因慢性肝脏疾病导致肝功能衰竭。须满足下列全部条件：</w:t>
      </w:r>
    </w:p>
    <w:p>
      <w:pPr>
        <w:pStyle w:val="BodyText"/>
        <w:spacing w:before="61"/>
        <w:ind w:left="2602"/>
      </w:pPr>
      <w:r>
        <w:rPr/>
        <w:t>（一）持续性黄疸；</w:t>
      </w:r>
    </w:p>
    <w:p>
      <w:pPr>
        <w:pStyle w:val="BodyText"/>
        <w:spacing w:before="56"/>
        <w:ind w:left="2602"/>
      </w:pPr>
      <w:r>
        <w:rPr/>
        <w:t>（二）腹水；</w:t>
      </w:r>
    </w:p>
    <w:p>
      <w:pPr>
        <w:pStyle w:val="BodyText"/>
        <w:spacing w:before="60"/>
        <w:ind w:left="2602"/>
      </w:pPr>
      <w:r>
        <w:rPr/>
        <w:t>（三）肝性脑病；</w:t>
      </w:r>
    </w:p>
    <w:p>
      <w:pPr>
        <w:spacing w:line="235" w:lineRule="auto" w:before="66"/>
        <w:ind w:left="2602" w:right="2448" w:firstLine="0"/>
        <w:jc w:val="left"/>
        <w:rPr>
          <w:rFonts w:ascii="微软雅黑" w:eastAsia="微软雅黑" w:hint="eastAsia"/>
          <w:b/>
          <w:sz w:val="21"/>
        </w:rPr>
      </w:pPr>
      <w:r>
        <w:rPr>
          <w:sz w:val="21"/>
        </w:rPr>
        <w:t>（四）充血性脾肿大伴脾功能亢进或食管胃底静脉曲张。</w:t>
      </w:r>
      <w:r>
        <w:rPr>
          <w:rFonts w:ascii="微软雅黑" w:eastAsia="微软雅黑" w:hint="eastAsia"/>
          <w:b/>
          <w:sz w:val="21"/>
          <w:u w:val="single"/>
        </w:rPr>
        <w:t>但因酗酒或药物滥用导致的肝功能衰竭不在保障范围。</w:t>
      </w:r>
    </w:p>
    <w:p>
      <w:pPr>
        <w:pStyle w:val="BodyText"/>
        <w:spacing w:before="8"/>
        <w:ind w:left="0"/>
        <w:rPr>
          <w:rFonts w:ascii="微软雅黑"/>
          <w:b/>
          <w:sz w:val="19"/>
        </w:rPr>
      </w:pPr>
    </w:p>
    <w:p>
      <w:pPr>
        <w:pStyle w:val="BodyText"/>
        <w:spacing w:before="36"/>
        <w:ind w:left="2602"/>
      </w:pPr>
      <w:r>
        <w:rPr/>
        <w:t>八、脑炎后遗症或脑膜炎后遗症</w:t>
      </w:r>
    </w:p>
    <w:p>
      <w:pPr>
        <w:pStyle w:val="BodyText"/>
        <w:spacing w:before="56"/>
        <w:ind w:left="2602" w:right="279"/>
      </w:pPr>
      <w:r>
        <w:rPr/>
        <w:t>指因患脑炎或脑膜炎导致的神经系统永久性的功能障碍。神经系统永久性的功能障碍，指疾病确诊 180 天后，仍遗留下列一种或一种以上障碍：</w:t>
      </w:r>
    </w:p>
    <w:p>
      <w:pPr>
        <w:spacing w:line="346" w:lineRule="exact" w:before="0"/>
        <w:ind w:left="2602" w:right="0" w:firstLine="0"/>
        <w:jc w:val="left"/>
        <w:rPr>
          <w:sz w:val="21"/>
        </w:rPr>
      </w:pPr>
      <w:r>
        <w:rPr>
          <w:w w:val="95"/>
          <w:sz w:val="21"/>
        </w:rPr>
        <w:t>（一）一肢或一肢以上</w:t>
      </w:r>
      <w:r>
        <w:rPr>
          <w:rFonts w:ascii="微软雅黑" w:eastAsia="微软雅黑" w:hint="eastAsia"/>
          <w:b/>
          <w:w w:val="95"/>
          <w:sz w:val="21"/>
        </w:rPr>
        <w:t>肢体机能完全丧失</w:t>
      </w:r>
      <w:r>
        <w:rPr>
          <w:rFonts w:ascii="微软雅黑" w:eastAsia="微软雅黑" w:hint="eastAsia"/>
          <w:b/>
          <w:w w:val="95"/>
          <w:position w:val="11"/>
          <w:sz w:val="11"/>
        </w:rPr>
        <w:t>14</w:t>
      </w:r>
      <w:r>
        <w:rPr>
          <w:w w:val="95"/>
          <w:sz w:val="21"/>
        </w:rPr>
        <w:t>；</w:t>
      </w:r>
    </w:p>
    <w:p>
      <w:pPr>
        <w:spacing w:line="334" w:lineRule="exact" w:before="0"/>
        <w:ind w:left="2602" w:right="0" w:firstLine="0"/>
        <w:jc w:val="left"/>
        <w:rPr>
          <w:sz w:val="21"/>
        </w:rPr>
      </w:pPr>
      <w:r>
        <w:rPr>
          <w:w w:val="95"/>
          <w:sz w:val="21"/>
        </w:rPr>
        <w:t>（二）</w:t>
      </w:r>
      <w:r>
        <w:rPr>
          <w:rFonts w:ascii="微软雅黑" w:eastAsia="微软雅黑" w:hint="eastAsia"/>
          <w:b/>
          <w:w w:val="95"/>
          <w:sz w:val="21"/>
        </w:rPr>
        <w:t>语言能力或咀嚼吞咽能力完全丧失</w:t>
      </w:r>
      <w:r>
        <w:rPr>
          <w:rFonts w:ascii="微软雅黑" w:eastAsia="微软雅黑" w:hint="eastAsia"/>
          <w:b/>
          <w:w w:val="95"/>
          <w:position w:val="11"/>
          <w:sz w:val="11"/>
        </w:rPr>
        <w:t>15</w:t>
      </w:r>
      <w:r>
        <w:rPr>
          <w:w w:val="95"/>
          <w:sz w:val="21"/>
        </w:rPr>
        <w:t>；</w:t>
      </w:r>
    </w:p>
    <w:p>
      <w:pPr>
        <w:spacing w:line="218" w:lineRule="auto" w:before="19"/>
        <w:ind w:left="2602" w:right="198" w:firstLine="0"/>
        <w:jc w:val="left"/>
        <w:rPr>
          <w:sz w:val="21"/>
        </w:rPr>
      </w:pPr>
      <w:r>
        <w:rPr>
          <w:sz w:val="21"/>
        </w:rPr>
        <w:t>（三）自主生活能力完全丧失，无法独立完成</w:t>
      </w:r>
      <w:r>
        <w:rPr>
          <w:rFonts w:ascii="微软雅黑" w:eastAsia="微软雅黑" w:hint="eastAsia"/>
          <w:b/>
          <w:sz w:val="21"/>
        </w:rPr>
        <w:t>六项基本日常生活活动</w:t>
      </w:r>
      <w:r>
        <w:rPr>
          <w:rFonts w:ascii="微软雅黑" w:eastAsia="微软雅黑" w:hint="eastAsia"/>
          <w:b/>
          <w:position w:val="11"/>
          <w:sz w:val="11"/>
        </w:rPr>
        <w:t>16</w:t>
      </w:r>
      <w:r>
        <w:rPr>
          <w:sz w:val="21"/>
        </w:rPr>
        <w:t>中的三项或三项以上。</w:t>
      </w:r>
    </w:p>
    <w:p>
      <w:pPr>
        <w:pStyle w:val="BodyText"/>
        <w:spacing w:before="12"/>
        <w:ind w:left="0"/>
        <w:rPr>
          <w:sz w:val="29"/>
        </w:rPr>
      </w:pPr>
      <w:r>
        <w:rPr/>
        <w:pict>
          <v:line style="position:absolute;mso-position-horizontal-relative:page;mso-position-vertical-relative:paragraph;z-index:1480;mso-wrap-distance-left:0;mso-wrap-distance-right:0" from="48.264pt,21.785618pt" to="192.314pt,21.785618pt" stroked="true" strokeweight=".47998pt" strokecolor="#000000">
            <v:stroke dashstyle="solid"/>
            <w10:wrap type="topAndBottom"/>
          </v:line>
        </w:pict>
      </w:r>
    </w:p>
    <w:p>
      <w:pPr>
        <w:spacing w:line="314" w:lineRule="exact" w:before="0"/>
        <w:ind w:left="105" w:right="0" w:firstLine="0"/>
        <w:jc w:val="left"/>
        <w:rPr>
          <w:sz w:val="21"/>
        </w:rPr>
      </w:pPr>
      <w:r>
        <w:rPr>
          <w:rFonts w:ascii="Times New Roman" w:eastAsia="Times New Roman"/>
          <w:b/>
          <w:position w:val="9"/>
          <w:sz w:val="14"/>
        </w:rPr>
        <w:t>14    </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6" w:lineRule="exact"/>
        <w:ind w:left="105"/>
      </w:pPr>
      <w:r>
        <w:rPr/>
        <w:t>个上肢或包括髋关节的整个下肢。</w:t>
      </w:r>
    </w:p>
    <w:p>
      <w:pPr>
        <w:pStyle w:val="BodyText"/>
        <w:spacing w:line="220" w:lineRule="auto"/>
        <w:ind w:left="105" w:right="148"/>
      </w:pPr>
      <w:r>
        <w:rPr>
          <w:rFonts w:ascii="Times New Roman" w:eastAsia="Times New Roman"/>
          <w:b/>
          <w:position w:val="9"/>
          <w:sz w:val="14"/>
        </w:rPr>
        <w:t>15 </w:t>
      </w:r>
      <w:r>
        <w:rPr>
          <w:rFonts w:ascii="Microsoft JhengHei" w:eastAsia="Microsoft JhengHei" w:hint="eastAsia"/>
          <w:b/>
        </w:rPr>
        <w:t>语言能力或咀嚼吞咽能力完全丧失：</w:t>
      </w:r>
      <w:r>
        <w:rPr/>
        <w:t>语言能力完全丧失，指无法发出四种语音（包括口唇音、齿舌音、口盖音和喉头音）中的任何三种、或声带全部切除，或因大脑语言中枢受伤害而患失语症。咀嚼吞咽能力完全丧</w:t>
      </w:r>
    </w:p>
    <w:p>
      <w:pPr>
        <w:pStyle w:val="BodyText"/>
        <w:spacing w:before="6"/>
        <w:ind w:left="105" w:right="218"/>
      </w:pPr>
      <w:r>
        <w:rPr>
          <w:spacing w:val="-10"/>
        </w:rPr>
        <w:t>失，指因牙齿以外的原因导致器质障碍或机能障碍，以致不能作咀嚼吞咽运动，除流质食物外不能摄取或吞咽的状态。</w:t>
      </w:r>
    </w:p>
    <w:p>
      <w:pPr>
        <w:spacing w:line="280" w:lineRule="exact" w:before="0"/>
        <w:ind w:left="105" w:right="0" w:firstLine="0"/>
        <w:jc w:val="left"/>
        <w:rPr>
          <w:sz w:val="21"/>
        </w:rPr>
      </w:pPr>
      <w:r>
        <w:rPr>
          <w:rFonts w:ascii="Times New Roman" w:eastAsia="Times New Roman"/>
          <w:b/>
          <w:spacing w:val="1"/>
          <w:w w:val="99"/>
          <w:position w:val="9"/>
          <w:sz w:val="14"/>
        </w:rPr>
        <w:t>1</w:t>
      </w:r>
      <w:r>
        <w:rPr>
          <w:rFonts w:ascii="Times New Roman" w:eastAsia="Times New Roman"/>
          <w:b/>
          <w:w w:val="99"/>
          <w:position w:val="9"/>
          <w:sz w:val="14"/>
        </w:rPr>
        <w:t>6</w:t>
      </w:r>
      <w:r>
        <w:rPr>
          <w:rFonts w:ascii="Times New Roman" w:eastAsia="Times New Roman"/>
          <w:b/>
          <w:position w:val="9"/>
          <w:sz w:val="14"/>
        </w:rPr>
        <w:t>   </w:t>
      </w:r>
      <w:r>
        <w:rPr>
          <w:rFonts w:ascii="Microsoft JhengHei" w:eastAsia="Microsoft JhengHei" w:hint="eastAsia"/>
          <w:b/>
          <w:spacing w:val="-11"/>
          <w:w w:val="100"/>
          <w:sz w:val="21"/>
        </w:rPr>
        <w:t>六项基本日常生活活动：</w:t>
      </w:r>
      <w:r>
        <w:rPr>
          <w:spacing w:val="-5"/>
          <w:w w:val="100"/>
          <w:sz w:val="21"/>
        </w:rPr>
        <w:t>（</w:t>
      </w:r>
      <w:r>
        <w:rPr>
          <w:w w:val="100"/>
          <w:sz w:val="21"/>
        </w:rPr>
        <w:t>1</w:t>
      </w:r>
      <w:r>
        <w:rPr>
          <w:spacing w:val="-5"/>
          <w:w w:val="100"/>
          <w:sz w:val="21"/>
        </w:rPr>
        <w:t>）</w:t>
      </w:r>
      <w:r>
        <w:rPr>
          <w:spacing w:val="-14"/>
          <w:w w:val="100"/>
          <w:sz w:val="21"/>
        </w:rPr>
        <w:t>穿衣：自己能够穿衣及脱衣；</w:t>
      </w:r>
      <w:r>
        <w:rPr>
          <w:spacing w:val="-4"/>
          <w:w w:val="100"/>
          <w:sz w:val="21"/>
        </w:rPr>
        <w:t>（</w:t>
      </w:r>
      <w:r>
        <w:rPr>
          <w:w w:val="100"/>
          <w:sz w:val="21"/>
        </w:rPr>
        <w:t>2</w:t>
      </w:r>
      <w:r>
        <w:rPr>
          <w:spacing w:val="-5"/>
          <w:w w:val="100"/>
          <w:sz w:val="21"/>
        </w:rPr>
        <w:t>）</w:t>
      </w:r>
      <w:r>
        <w:rPr>
          <w:spacing w:val="-12"/>
          <w:w w:val="100"/>
          <w:sz w:val="21"/>
        </w:rPr>
        <w:t>移动：自己从一个房间到另一个房间；</w:t>
      </w:r>
      <w:r>
        <w:rPr>
          <w:spacing w:val="-3"/>
          <w:w w:val="100"/>
          <w:sz w:val="21"/>
        </w:rPr>
        <w:t>（</w:t>
      </w:r>
      <w:r>
        <w:rPr>
          <w:w w:val="100"/>
          <w:sz w:val="21"/>
        </w:rPr>
        <w:t>3）</w:t>
      </w:r>
    </w:p>
    <w:p>
      <w:pPr>
        <w:pStyle w:val="BodyText"/>
        <w:ind w:left="105" w:right="215"/>
      </w:pPr>
      <w:r>
        <w:rPr>
          <w:spacing w:val="-5"/>
          <w:w w:val="100"/>
        </w:rPr>
        <w:t>行动：自己上下床或上下轮椅</w:t>
      </w:r>
      <w:r>
        <w:rPr>
          <w:spacing w:val="-120"/>
          <w:w w:val="100"/>
        </w:rPr>
        <w:t>；</w:t>
      </w:r>
      <w:r>
        <w:rPr>
          <w:spacing w:val="0"/>
          <w:w w:val="100"/>
        </w:rPr>
        <w:t>（</w:t>
      </w:r>
      <w:r>
        <w:rPr>
          <w:w w:val="100"/>
        </w:rPr>
        <w:t>4</w:t>
      </w:r>
      <w:r>
        <w:rPr>
          <w:spacing w:val="-15"/>
          <w:w w:val="100"/>
        </w:rPr>
        <w:t>）</w:t>
      </w:r>
      <w:r>
        <w:rPr>
          <w:spacing w:val="-5"/>
          <w:w w:val="100"/>
        </w:rPr>
        <w:t>如厕：自己控制进行大小便</w:t>
      </w:r>
      <w:r>
        <w:rPr>
          <w:spacing w:val="-125"/>
          <w:w w:val="100"/>
        </w:rPr>
        <w:t>；</w:t>
      </w:r>
      <w:r>
        <w:rPr>
          <w:spacing w:val="0"/>
          <w:w w:val="100"/>
        </w:rPr>
        <w:t>（</w:t>
      </w:r>
      <w:r>
        <w:rPr>
          <w:w w:val="100"/>
        </w:rPr>
        <w:t>5</w:t>
      </w:r>
      <w:r>
        <w:rPr>
          <w:spacing w:val="-15"/>
          <w:w w:val="100"/>
        </w:rPr>
        <w:t>）</w:t>
      </w:r>
      <w:r>
        <w:rPr>
          <w:spacing w:val="-5"/>
          <w:w w:val="100"/>
        </w:rPr>
        <w:t>进食：自己从已准备好的碗或碟中取食</w:t>
      </w:r>
      <w:r>
        <w:rPr>
          <w:spacing w:val="-23"/>
          <w:w w:val="100"/>
        </w:rPr>
        <w:t>物放入口中；</w:t>
      </w:r>
      <w:r>
        <w:rPr>
          <w:w w:val="100"/>
        </w:rPr>
        <w:t>（6）</w:t>
      </w:r>
      <w:r>
        <w:rPr>
          <w:spacing w:val="-4"/>
          <w:w w:val="100"/>
        </w:rPr>
        <w:t>洗澡：自己进行淋浴或盆浴。</w:t>
      </w:r>
    </w:p>
    <w:p>
      <w:pPr>
        <w:spacing w:after="0"/>
        <w:sectPr>
          <w:pgSz w:w="11910" w:h="16840"/>
          <w:pgMar w:header="0" w:footer="863" w:top="1400" w:bottom="1080" w:left="860" w:right="740"/>
        </w:sectPr>
      </w:pPr>
    </w:p>
    <w:p>
      <w:pPr>
        <w:pStyle w:val="BodyText"/>
        <w:spacing w:before="12"/>
        <w:ind w:left="2602"/>
      </w:pPr>
      <w:r>
        <w:rPr/>
        <w:t>九、深度昏迷</w:t>
      </w:r>
    </w:p>
    <w:p>
      <w:pPr>
        <w:pStyle w:val="BodyText"/>
        <w:spacing w:line="237" w:lineRule="auto" w:before="64"/>
        <w:ind w:left="2602" w:right="266"/>
        <w:jc w:val="both"/>
      </w:pPr>
      <w:r>
        <w:rPr/>
        <w:t>指因疾病或意外伤害导致意识丧失，对外界刺激和体内需求均无反应，昏迷程度</w:t>
      </w:r>
      <w:r>
        <w:rPr>
          <w:spacing w:val="-2"/>
        </w:rPr>
        <w:t>按照格拉斯哥昏迷分级</w:t>
      </w:r>
      <w:r>
        <w:rPr/>
        <w:t>（Glasgow coma scale）</w:t>
      </w:r>
      <w:r>
        <w:rPr>
          <w:spacing w:val="-9"/>
        </w:rPr>
        <w:t>结果为 </w:t>
      </w:r>
      <w:r>
        <w:rPr/>
        <w:t>5</w:t>
      </w:r>
      <w:r>
        <w:rPr>
          <w:spacing w:val="-15"/>
        </w:rPr>
        <w:t> 分或 </w:t>
      </w:r>
      <w:r>
        <w:rPr/>
        <w:t>5</w:t>
      </w:r>
      <w:r>
        <w:rPr>
          <w:spacing w:val="-7"/>
        </w:rPr>
        <w:t> 分以下，且已经</w:t>
      </w:r>
      <w:r>
        <w:rPr>
          <w:spacing w:val="-8"/>
        </w:rPr>
        <w:t>持续使用呼吸机及其它生命维持系统 </w:t>
      </w:r>
      <w:r>
        <w:rPr/>
        <w:t>96</w:t>
      </w:r>
      <w:r>
        <w:rPr>
          <w:spacing w:val="-10"/>
        </w:rPr>
        <w:t> 小时以上。</w:t>
      </w:r>
    </w:p>
    <w:p>
      <w:pPr>
        <w:pStyle w:val="Heading2"/>
        <w:spacing w:line="361" w:lineRule="exact"/>
        <w:ind w:left="2602"/>
        <w:jc w:val="both"/>
      </w:pPr>
      <w:r>
        <w:rPr>
          <w:u w:val="single"/>
        </w:rPr>
        <w:t>但因酗酒或药物滥用导致的深度昏迷不在保障范围。</w:t>
      </w:r>
    </w:p>
    <w:p>
      <w:pPr>
        <w:pStyle w:val="BodyText"/>
        <w:spacing w:before="2"/>
        <w:ind w:left="0"/>
        <w:rPr>
          <w:rFonts w:ascii="微软雅黑"/>
          <w:b/>
          <w:sz w:val="19"/>
        </w:rPr>
      </w:pPr>
    </w:p>
    <w:p>
      <w:pPr>
        <w:pStyle w:val="BodyText"/>
        <w:spacing w:line="274" w:lineRule="exact" w:before="37"/>
        <w:ind w:left="2602"/>
      </w:pPr>
      <w:r>
        <w:rPr/>
        <w:t>十、双耳失聪</w:t>
      </w:r>
    </w:p>
    <w:p>
      <w:pPr>
        <w:pStyle w:val="BodyText"/>
        <w:spacing w:line="315" w:lineRule="exact"/>
        <w:ind w:left="2602"/>
        <w:rPr>
          <w:rFonts w:ascii="微软雅黑" w:eastAsia="微软雅黑" w:hint="eastAsia"/>
          <w:b/>
        </w:rPr>
      </w:pPr>
      <w:r>
        <w:rPr/>
        <w:t>指被保险人在 3 周岁之后（含 3 周岁）因疾病或意外伤害导致双耳听力</w:t>
      </w:r>
      <w:r>
        <w:rPr>
          <w:rFonts w:ascii="微软雅黑" w:eastAsia="微软雅黑" w:hint="eastAsia"/>
          <w:b/>
        </w:rPr>
        <w:t>永久不可</w:t>
      </w:r>
    </w:p>
    <w:p>
      <w:pPr>
        <w:pStyle w:val="BodyText"/>
        <w:spacing w:line="303" w:lineRule="exact"/>
        <w:ind w:left="2602"/>
      </w:pPr>
      <w:r>
        <w:rPr>
          <w:rFonts w:ascii="微软雅黑" w:eastAsia="微软雅黑" w:hint="eastAsia"/>
          <w:b/>
        </w:rPr>
        <w:t>逆</w:t>
      </w:r>
      <w:r>
        <w:rPr>
          <w:rFonts w:ascii="微软雅黑" w:eastAsia="微软雅黑" w:hint="eastAsia"/>
          <w:b/>
          <w:position w:val="11"/>
          <w:sz w:val="11"/>
        </w:rPr>
        <w:t>17</w:t>
      </w:r>
      <w:r>
        <w:rPr/>
        <w:t>性丧失，在 500 赫兹、1000 赫兹和 2000 赫兹语音频率下，平均听阈大于 90</w:t>
      </w:r>
    </w:p>
    <w:p>
      <w:pPr>
        <w:pStyle w:val="BodyText"/>
        <w:spacing w:line="261" w:lineRule="exact"/>
        <w:ind w:left="2602"/>
      </w:pPr>
      <w:r>
        <w:rPr/>
        <w:t>分贝，且经纯音听力测试、声导抗检测或听觉诱发电位检测等证实。</w:t>
      </w:r>
    </w:p>
    <w:p>
      <w:pPr>
        <w:pStyle w:val="Heading2"/>
        <w:spacing w:line="362" w:lineRule="exact"/>
        <w:ind w:left="2602"/>
      </w:pPr>
      <w:r>
        <w:rPr>
          <w:u w:val="single"/>
        </w:rPr>
        <w:t>但导致双耳失聪的疾病或意外伤害发生在被保险人 3 周岁之前的，不在保障范围。</w:t>
      </w:r>
    </w:p>
    <w:p>
      <w:pPr>
        <w:pStyle w:val="BodyText"/>
        <w:spacing w:before="2"/>
        <w:ind w:left="0"/>
        <w:rPr>
          <w:rFonts w:ascii="微软雅黑"/>
          <w:b/>
          <w:sz w:val="19"/>
        </w:rPr>
      </w:pPr>
    </w:p>
    <w:p>
      <w:pPr>
        <w:pStyle w:val="BodyText"/>
        <w:spacing w:before="37"/>
        <w:ind w:left="2602"/>
      </w:pPr>
      <w:r>
        <w:rPr/>
        <w:t>十一、双目失明</w:t>
      </w:r>
    </w:p>
    <w:p>
      <w:pPr>
        <w:pStyle w:val="BodyText"/>
        <w:spacing w:line="235" w:lineRule="auto" w:before="67"/>
        <w:ind w:left="2602" w:right="263"/>
      </w:pPr>
      <w:r>
        <w:rPr>
          <w:spacing w:val="-5"/>
        </w:rPr>
        <w:t>指被保险人在 </w:t>
      </w:r>
      <w:r>
        <w:rPr/>
        <w:t>3</w:t>
      </w:r>
      <w:r>
        <w:rPr>
          <w:spacing w:val="-7"/>
        </w:rPr>
        <w:t> 周岁之后</w:t>
      </w:r>
      <w:r>
        <w:rPr/>
        <w:t>（</w:t>
      </w:r>
      <w:r>
        <w:rPr>
          <w:spacing w:val="-12"/>
        </w:rPr>
        <w:t>含 </w:t>
      </w:r>
      <w:r>
        <w:rPr/>
        <w:t>3</w:t>
      </w:r>
      <w:r>
        <w:rPr>
          <w:spacing w:val="-10"/>
        </w:rPr>
        <w:t> 周岁</w:t>
      </w:r>
      <w:r>
        <w:rPr/>
        <w:t>）</w:t>
      </w:r>
      <w:r>
        <w:rPr>
          <w:spacing w:val="-5"/>
        </w:rPr>
        <w:t>因疾病或意外伤害导致双眼视力永久不可逆性丧失，双眼中较好眼须满足下列至少一项条件：</w:t>
      </w:r>
    </w:p>
    <w:p>
      <w:pPr>
        <w:pStyle w:val="BodyText"/>
        <w:spacing w:before="61"/>
        <w:ind w:left="2602"/>
      </w:pPr>
      <w:r>
        <w:rPr/>
        <w:t>（一）眼球缺失或摘除；</w:t>
      </w:r>
    </w:p>
    <w:p>
      <w:pPr>
        <w:pStyle w:val="BodyText"/>
        <w:spacing w:before="61"/>
        <w:ind w:left="2602" w:right="263"/>
      </w:pPr>
      <w:r>
        <w:rPr/>
        <w:t>（二）</w:t>
      </w:r>
      <w:r>
        <w:rPr>
          <w:spacing w:val="-2"/>
        </w:rPr>
        <w:t>矫正视力低于 </w:t>
      </w:r>
      <w:r>
        <w:rPr/>
        <w:t>0.02（</w:t>
      </w:r>
      <w:r>
        <w:rPr>
          <w:spacing w:val="-5"/>
        </w:rPr>
        <w:t>采用国际标准视力表，如果使用其它视力表应进行换</w:t>
      </w:r>
      <w:r>
        <w:rPr>
          <w:spacing w:val="-5"/>
          <w:w w:val="100"/>
        </w:rPr>
        <w:t>算</w:t>
      </w:r>
      <w:r>
        <w:rPr>
          <w:spacing w:val="-106"/>
          <w:w w:val="100"/>
        </w:rPr>
        <w:t>）</w:t>
      </w:r>
      <w:r>
        <w:rPr>
          <w:w w:val="100"/>
        </w:rPr>
        <w:t>；</w:t>
      </w:r>
    </w:p>
    <w:p>
      <w:pPr>
        <w:pStyle w:val="BodyText"/>
        <w:spacing w:line="274" w:lineRule="exact" w:before="56"/>
        <w:ind w:left="2602"/>
      </w:pPr>
      <w:r>
        <w:rPr/>
        <w:t>（三）视野半径小于 5 度。</w:t>
      </w:r>
    </w:p>
    <w:p>
      <w:pPr>
        <w:pStyle w:val="Heading2"/>
        <w:spacing w:line="362" w:lineRule="exact"/>
        <w:ind w:left="2602"/>
      </w:pPr>
      <w:r>
        <w:rPr>
          <w:u w:val="single"/>
        </w:rPr>
        <w:t>但导致双目失明的疾病或意外伤害发生在被保险人 3 周岁之前的，不在保障范围。</w:t>
      </w:r>
    </w:p>
    <w:p>
      <w:pPr>
        <w:pStyle w:val="BodyText"/>
        <w:spacing w:before="3"/>
        <w:ind w:left="0"/>
        <w:rPr>
          <w:rFonts w:ascii="微软雅黑"/>
          <w:b/>
          <w:sz w:val="19"/>
        </w:rPr>
      </w:pPr>
    </w:p>
    <w:p>
      <w:pPr>
        <w:pStyle w:val="BodyText"/>
        <w:spacing w:line="274" w:lineRule="exact" w:before="36"/>
        <w:ind w:left="2602"/>
      </w:pPr>
      <w:r>
        <w:rPr/>
        <w:t>十二、瘫痪</w:t>
      </w:r>
    </w:p>
    <w:p>
      <w:pPr>
        <w:spacing w:line="362" w:lineRule="exact" w:before="0"/>
        <w:ind w:left="2602" w:right="0" w:firstLine="0"/>
        <w:jc w:val="left"/>
        <w:rPr>
          <w:sz w:val="21"/>
        </w:rPr>
      </w:pPr>
      <w:r>
        <w:rPr>
          <w:sz w:val="21"/>
        </w:rPr>
        <w:t>指因疾病或意外伤害导致两肢或两肢以上</w:t>
      </w:r>
      <w:r>
        <w:rPr>
          <w:rFonts w:ascii="微软雅黑" w:eastAsia="微软雅黑" w:hint="eastAsia"/>
          <w:b/>
          <w:sz w:val="21"/>
        </w:rPr>
        <w:t>肢体机能永久完全丧失</w:t>
      </w:r>
      <w:r>
        <w:rPr>
          <w:rFonts w:ascii="微软雅黑" w:eastAsia="微软雅黑" w:hint="eastAsia"/>
          <w:b/>
          <w:position w:val="11"/>
          <w:sz w:val="11"/>
        </w:rPr>
        <w:t>18</w:t>
      </w:r>
      <w:r>
        <w:rPr>
          <w:sz w:val="21"/>
        </w:rPr>
        <w:t>。</w:t>
      </w:r>
    </w:p>
    <w:p>
      <w:pPr>
        <w:pStyle w:val="BodyText"/>
        <w:spacing w:before="1"/>
        <w:ind w:left="0"/>
        <w:rPr>
          <w:sz w:val="28"/>
        </w:rPr>
      </w:pPr>
    </w:p>
    <w:p>
      <w:pPr>
        <w:pStyle w:val="BodyText"/>
        <w:ind w:left="2602"/>
      </w:pPr>
      <w:r>
        <w:rPr/>
        <w:t>十三、心脏瓣膜手术</w:t>
      </w:r>
    </w:p>
    <w:p>
      <w:pPr>
        <w:pStyle w:val="BodyText"/>
        <w:spacing w:before="61"/>
        <w:ind w:left="2602"/>
      </w:pPr>
      <w:r>
        <w:rPr/>
        <w:t>指为治疗心脏瓣膜疾病，实际实施了开胸进行的心脏瓣膜置换或修复的手术。</w:t>
      </w:r>
    </w:p>
    <w:p>
      <w:pPr>
        <w:pStyle w:val="BodyText"/>
        <w:spacing w:before="12"/>
        <w:ind w:left="0"/>
        <w:rPr>
          <w:sz w:val="29"/>
        </w:rPr>
      </w:pPr>
    </w:p>
    <w:p>
      <w:pPr>
        <w:pStyle w:val="BodyText"/>
        <w:spacing w:before="1"/>
        <w:ind w:left="2602"/>
      </w:pPr>
      <w:r>
        <w:rPr/>
        <w:t>十四、严重脑损伤</w:t>
      </w:r>
    </w:p>
    <w:p>
      <w:pPr>
        <w:pStyle w:val="BodyText"/>
        <w:spacing w:line="237" w:lineRule="auto" w:before="64"/>
        <w:ind w:left="2602" w:right="160"/>
      </w:pPr>
      <w:r>
        <w:rPr/>
        <w:t>指因头部遭受机械性外力，引起脑重要部位损伤，导致神经系统永久性的功能障</w:t>
      </w:r>
      <w:r>
        <w:rPr>
          <w:spacing w:val="-7"/>
          <w:w w:val="100"/>
        </w:rPr>
        <w:t>碍。须由头颅断层扫描</w:t>
      </w:r>
      <w:r>
        <w:rPr>
          <w:spacing w:val="0"/>
          <w:w w:val="100"/>
        </w:rPr>
        <w:t>（</w:t>
      </w:r>
      <w:r>
        <w:rPr>
          <w:w w:val="100"/>
        </w:rPr>
        <w:t>CT</w:t>
      </w:r>
      <w:r>
        <w:rPr>
          <w:spacing w:val="-106"/>
          <w:w w:val="100"/>
        </w:rPr>
        <w:t>）</w:t>
      </w:r>
      <w:r>
        <w:rPr>
          <w:spacing w:val="-10"/>
          <w:w w:val="100"/>
        </w:rPr>
        <w:t>、核磁共振检查</w:t>
      </w:r>
      <w:r>
        <w:rPr>
          <w:w w:val="100"/>
        </w:rPr>
        <w:t>（MRI</w:t>
      </w:r>
      <w:r>
        <w:rPr>
          <w:spacing w:val="-29"/>
          <w:w w:val="100"/>
        </w:rPr>
        <w:t>）</w:t>
      </w:r>
      <w:r>
        <w:rPr>
          <w:spacing w:val="-5"/>
          <w:w w:val="100"/>
        </w:rPr>
        <w:t>或正电子发射断层扫描</w:t>
      </w:r>
      <w:r>
        <w:rPr>
          <w:spacing w:val="0"/>
          <w:w w:val="100"/>
        </w:rPr>
        <w:t>（</w:t>
      </w:r>
      <w:r>
        <w:rPr>
          <w:w w:val="100"/>
        </w:rPr>
        <w:t>PET）</w:t>
      </w:r>
      <w:r>
        <w:rPr>
          <w:spacing w:val="-5"/>
        </w:rPr>
        <w:t>等影像学检查证实。神经系统永久性的功能障碍，指脑损伤 </w:t>
      </w:r>
      <w:r>
        <w:rPr/>
        <w:t>180</w:t>
      </w:r>
      <w:r>
        <w:rPr>
          <w:spacing w:val="-4"/>
        </w:rPr>
        <w:t> 天后，仍遗留下</w:t>
      </w:r>
      <w:r>
        <w:rPr>
          <w:spacing w:val="-5"/>
        </w:rPr>
        <w:t>列一种或一种以上障碍：</w:t>
      </w:r>
    </w:p>
    <w:p>
      <w:pPr>
        <w:pStyle w:val="BodyText"/>
        <w:spacing w:before="60"/>
        <w:ind w:left="2602"/>
      </w:pPr>
      <w:r>
        <w:rPr/>
        <w:t>（一）一肢或一肢以上肢体机能完全丧失；</w:t>
      </w:r>
    </w:p>
    <w:p>
      <w:pPr>
        <w:pStyle w:val="BodyText"/>
        <w:spacing w:before="56"/>
        <w:ind w:left="2602"/>
      </w:pPr>
      <w:r>
        <w:rPr/>
        <w:t>（二）语言能力或咀嚼吞咽能力完全丧失；</w:t>
      </w:r>
    </w:p>
    <w:p>
      <w:pPr>
        <w:pStyle w:val="BodyText"/>
        <w:spacing w:before="61"/>
        <w:ind w:left="2602" w:right="279"/>
      </w:pPr>
      <w:r>
        <w:rPr/>
        <w:t>（三）自主生活能力完全丧失，无法独立完成六项基本日常生活活动中的三项或三项以上。</w:t>
      </w:r>
    </w:p>
    <w:p>
      <w:pPr>
        <w:pStyle w:val="BodyText"/>
        <w:spacing w:before="12"/>
        <w:ind w:left="0"/>
        <w:rPr>
          <w:sz w:val="29"/>
        </w:rPr>
      </w:pPr>
    </w:p>
    <w:p>
      <w:pPr>
        <w:pStyle w:val="BodyText"/>
        <w:spacing w:before="1"/>
        <w:ind w:left="2602"/>
      </w:pPr>
      <w:r>
        <w:rPr/>
        <w:t>十五、严重Ⅲ度烧伤</w:t>
      </w:r>
    </w:p>
    <w:p>
      <w:pPr>
        <w:pStyle w:val="BodyText"/>
        <w:spacing w:line="235" w:lineRule="auto" w:before="67"/>
        <w:ind w:left="2602" w:right="267"/>
      </w:pPr>
      <w:r>
        <w:rPr>
          <w:spacing w:val="-7"/>
        </w:rPr>
        <w:t>指烧伤程度为Ⅲ度，且Ⅲ度烧伤的面积达到全身体表面积的 </w:t>
      </w:r>
      <w:r>
        <w:rPr/>
        <w:t>20</w:t>
      </w:r>
      <w:r>
        <w:rPr>
          <w:spacing w:val="-12"/>
        </w:rPr>
        <w:t>％或 </w:t>
      </w:r>
      <w:r>
        <w:rPr/>
        <w:t>20％</w:t>
      </w:r>
      <w:r>
        <w:rPr>
          <w:spacing w:val="-6"/>
        </w:rPr>
        <w:t>以上。体</w:t>
      </w:r>
      <w:r>
        <w:rPr>
          <w:spacing w:val="-5"/>
        </w:rPr>
        <w:t>表面积根据《中国新九分法》计算。</w:t>
      </w:r>
    </w:p>
    <w:p>
      <w:pPr>
        <w:pStyle w:val="BodyText"/>
        <w:ind w:left="0"/>
        <w:rPr>
          <w:sz w:val="20"/>
        </w:rPr>
      </w:pPr>
    </w:p>
    <w:p>
      <w:pPr>
        <w:pStyle w:val="BodyText"/>
        <w:ind w:left="0"/>
        <w:rPr>
          <w:sz w:val="20"/>
        </w:rPr>
      </w:pPr>
    </w:p>
    <w:p>
      <w:pPr>
        <w:pStyle w:val="BodyText"/>
        <w:spacing w:before="10"/>
        <w:ind w:left="0"/>
        <w:rPr>
          <w:sz w:val="10"/>
        </w:rPr>
      </w:pPr>
      <w:r>
        <w:rPr/>
        <w:pict>
          <v:line style="position:absolute;mso-position-horizontal-relative:page;mso-position-vertical-relative:paragraph;z-index:1504;mso-wrap-distance-left:0;mso-wrap-distance-right:0" from="48.264pt,9.291073pt" to="192.314pt,9.291073pt" stroked="true" strokeweight=".48004pt" strokecolor="#000000">
            <v:stroke dashstyle="solid"/>
            <w10:wrap type="topAndBottom"/>
          </v:line>
        </w:pict>
      </w:r>
    </w:p>
    <w:p>
      <w:pPr>
        <w:pStyle w:val="BodyText"/>
        <w:spacing w:line="281" w:lineRule="exact"/>
        <w:ind w:left="105"/>
      </w:pPr>
      <w:r>
        <w:rPr>
          <w:rFonts w:ascii="Times New Roman" w:eastAsia="Times New Roman"/>
          <w:b/>
          <w:position w:val="6"/>
          <w:sz w:val="12"/>
        </w:rPr>
        <w:t>17</w:t>
      </w:r>
      <w:r>
        <w:rPr>
          <w:rFonts w:ascii="Times New Roman" w:eastAsia="Times New Roman"/>
          <w:b/>
          <w:spacing w:val="10"/>
          <w:position w:val="6"/>
          <w:sz w:val="12"/>
        </w:rPr>
        <w:t>  </w:t>
      </w:r>
      <w:r>
        <w:rPr>
          <w:rFonts w:ascii="Microsoft JhengHei" w:eastAsia="Microsoft JhengHei" w:hint="eastAsia"/>
          <w:b/>
          <w:spacing w:val="-10"/>
        </w:rPr>
        <w:t>永久不可逆：</w:t>
      </w:r>
      <w:r>
        <w:rPr>
          <w:spacing w:val="-10"/>
        </w:rPr>
        <w:t>指自疾病确诊或意外伤害发生之日起，经过积极治疗 </w:t>
      </w:r>
      <w:r>
        <w:rPr/>
        <w:t>180</w:t>
      </w:r>
      <w:r>
        <w:rPr>
          <w:spacing w:val="-12"/>
        </w:rPr>
        <w:t> 天后，仍无法通过现有医疗手段恢复。</w:t>
      </w:r>
    </w:p>
    <w:p>
      <w:pPr>
        <w:spacing w:line="307" w:lineRule="exact" w:before="0"/>
        <w:ind w:left="105" w:right="0" w:firstLine="0"/>
        <w:jc w:val="left"/>
        <w:rPr>
          <w:sz w:val="21"/>
        </w:rPr>
      </w:pPr>
      <w:r>
        <w:rPr>
          <w:rFonts w:ascii="Times New Roman" w:eastAsia="Times New Roman"/>
          <w:b/>
          <w:position w:val="6"/>
          <w:sz w:val="12"/>
        </w:rPr>
        <w:t>18    </w:t>
      </w:r>
      <w:r>
        <w:rPr>
          <w:rFonts w:ascii="Microsoft JhengHei" w:eastAsia="Microsoft JhengHei" w:hint="eastAsia"/>
          <w:b/>
          <w:sz w:val="21"/>
        </w:rPr>
        <w:t>肢体机能永久完全丧失：</w:t>
      </w:r>
      <w:r>
        <w:rPr>
          <w:sz w:val="21"/>
        </w:rPr>
        <w:t>指疾病确诊 180 天后或意外伤害发生 180 天后，每肢三大关节中的两大关节仍然</w:t>
      </w:r>
    </w:p>
    <w:p>
      <w:pPr>
        <w:pStyle w:val="BodyText"/>
        <w:spacing w:line="262" w:lineRule="exact"/>
        <w:ind w:left="105"/>
      </w:pPr>
      <w:r>
        <w:rPr/>
        <w:t>完全僵硬，或不能随意识活动。</w:t>
      </w:r>
    </w:p>
    <w:p>
      <w:pPr>
        <w:spacing w:after="0" w:line="262" w:lineRule="exact"/>
        <w:sectPr>
          <w:pgSz w:w="11910" w:h="16840"/>
          <w:pgMar w:header="0" w:footer="863" w:top="1400" w:bottom="1080" w:left="860" w:right="740"/>
        </w:sectPr>
      </w:pPr>
    </w:p>
    <w:p>
      <w:pPr>
        <w:pStyle w:val="BodyText"/>
        <w:spacing w:before="16"/>
      </w:pPr>
      <w:r>
        <w:rPr/>
        <w:t>十六、严重原发性肺动脉高压</w:t>
      </w:r>
    </w:p>
    <w:p>
      <w:pPr>
        <w:pStyle w:val="BodyText"/>
        <w:spacing w:line="237" w:lineRule="auto" w:before="64"/>
        <w:ind w:right="226"/>
        <w:jc w:val="both"/>
      </w:pPr>
      <w:r>
        <w:rPr/>
        <w:t>指不明原因的肺动脉压力持续性增高，进行性发展而导致的慢性疾病，已经造成</w:t>
      </w:r>
      <w:r>
        <w:rPr>
          <w:spacing w:val="-5"/>
        </w:rPr>
        <w:t>永久不可逆性的体力活动能力受限，达到美国纽约心脏病学会心功能状态分级 </w:t>
      </w:r>
      <w:r>
        <w:rPr/>
        <w:t>IV </w:t>
      </w:r>
      <w:r>
        <w:rPr>
          <w:spacing w:val="-5"/>
        </w:rPr>
        <w:t>级，且静息状态下肺动脉平均压超过 </w:t>
      </w:r>
      <w:r>
        <w:rPr/>
        <w:t>30mmHg。</w:t>
      </w:r>
    </w:p>
    <w:p>
      <w:pPr>
        <w:pStyle w:val="BodyText"/>
        <w:ind w:left="0"/>
        <w:rPr>
          <w:sz w:val="20"/>
        </w:rPr>
      </w:pPr>
    </w:p>
    <w:p>
      <w:pPr>
        <w:pStyle w:val="BodyText"/>
        <w:spacing w:before="136"/>
      </w:pPr>
      <w:r>
        <w:rPr/>
        <w:t>十七、严重运动神经元病</w:t>
      </w:r>
    </w:p>
    <w:p>
      <w:pPr>
        <w:pStyle w:val="BodyText"/>
        <w:spacing w:before="56"/>
        <w:ind w:right="23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2"/>
        <w:ind w:left="0"/>
        <w:rPr>
          <w:sz w:val="29"/>
        </w:rPr>
      </w:pPr>
    </w:p>
    <w:p>
      <w:pPr>
        <w:pStyle w:val="BodyText"/>
        <w:spacing w:before="1"/>
      </w:pPr>
      <w:r>
        <w:rPr/>
        <w:t>十八、语言能力丧失</w:t>
      </w:r>
    </w:p>
    <w:p>
      <w:pPr>
        <w:pStyle w:val="BodyText"/>
        <w:spacing w:line="274" w:lineRule="exact" w:before="61"/>
      </w:pPr>
      <w:r>
        <w:rPr>
          <w:spacing w:val="-7"/>
        </w:rPr>
        <w:t>指被保险人在 </w:t>
      </w:r>
      <w:r>
        <w:rPr/>
        <w:t>3</w:t>
      </w:r>
      <w:r>
        <w:rPr>
          <w:spacing w:val="-14"/>
        </w:rPr>
        <w:t> 周岁之后</w:t>
      </w:r>
      <w:r>
        <w:rPr/>
        <w:t>（</w:t>
      </w:r>
      <w:r>
        <w:rPr>
          <w:spacing w:val="-22"/>
        </w:rPr>
        <w:t>含 </w:t>
      </w:r>
      <w:r>
        <w:rPr/>
        <w:t>3</w:t>
      </w:r>
      <w:r>
        <w:rPr>
          <w:spacing w:val="-16"/>
        </w:rPr>
        <w:t> 周岁</w:t>
      </w:r>
      <w:r>
        <w:rPr>
          <w:spacing w:val="-15"/>
        </w:rPr>
        <w:t>）</w:t>
      </w:r>
      <w:r>
        <w:rPr>
          <w:spacing w:val="-5"/>
        </w:rPr>
        <w:t>因疾病或意外伤害导致完全丧失语言能力，</w:t>
      </w:r>
    </w:p>
    <w:p>
      <w:pPr>
        <w:pStyle w:val="BodyText"/>
        <w:spacing w:line="235" w:lineRule="auto" w:before="4"/>
        <w:ind w:right="223"/>
      </w:pPr>
      <w:r>
        <w:rPr>
          <w:spacing w:val="-1"/>
          <w:w w:val="100"/>
        </w:rPr>
        <w:t>经过积极治疗至少</w:t>
      </w:r>
      <w:r>
        <w:rPr>
          <w:spacing w:val="-1"/>
        </w:rPr>
        <w:t> </w:t>
      </w:r>
      <w:r>
        <w:rPr>
          <w:w w:val="100"/>
        </w:rPr>
        <w:t>12</w:t>
      </w:r>
      <w:r>
        <w:rPr/>
        <w:t> </w:t>
      </w:r>
      <w:r>
        <w:rPr>
          <w:spacing w:val="-3"/>
          <w:w w:val="100"/>
        </w:rPr>
        <w:t>个月</w:t>
      </w:r>
      <w:r>
        <w:rPr>
          <w:w w:val="100"/>
        </w:rPr>
        <w:t>（</w:t>
      </w:r>
      <w:r>
        <w:rPr>
          <w:spacing w:val="-4"/>
          <w:w w:val="100"/>
        </w:rPr>
        <w:t>声带完全切除不受此时间限制</w:t>
      </w:r>
      <w:r>
        <w:rPr>
          <w:spacing w:val="-106"/>
          <w:w w:val="100"/>
        </w:rPr>
        <w:t>）</w:t>
      </w:r>
      <w:r>
        <w:rPr>
          <w:spacing w:val="-3"/>
          <w:w w:val="100"/>
        </w:rPr>
        <w:t>，仍无法通过现有医</w:t>
      </w:r>
      <w:r>
        <w:rPr>
          <w:spacing w:val="-4"/>
        </w:rPr>
        <w:t>疗手段恢复。</w:t>
      </w:r>
    </w:p>
    <w:p>
      <w:pPr>
        <w:pStyle w:val="Heading2"/>
        <w:spacing w:line="349" w:lineRule="exact"/>
      </w:pPr>
      <w:r>
        <w:rPr>
          <w:u w:val="single"/>
        </w:rPr>
        <w:t>但以下不在保障范围：</w:t>
      </w:r>
    </w:p>
    <w:p>
      <w:pPr>
        <w:pStyle w:val="ListParagraph"/>
        <w:numPr>
          <w:ilvl w:val="1"/>
          <w:numId w:val="4"/>
        </w:numPr>
        <w:tabs>
          <w:tab w:pos="2204" w:val="left" w:leader="none"/>
          <w:tab w:pos="2205" w:val="left" w:leader="none"/>
        </w:tabs>
        <w:spacing w:line="334" w:lineRule="exact" w:before="0" w:after="0"/>
        <w:ind w:left="1782" w:right="0" w:firstLine="0"/>
        <w:jc w:val="left"/>
        <w:rPr>
          <w:rFonts w:ascii="微软雅黑" w:eastAsia="微软雅黑" w:hint="eastAsia"/>
          <w:b/>
          <w:sz w:val="21"/>
        </w:rPr>
      </w:pPr>
      <w:r>
        <w:rPr>
          <w:rFonts w:ascii="微软雅黑" w:eastAsia="微软雅黑" w:hint="eastAsia"/>
          <w:b/>
          <w:sz w:val="21"/>
          <w:u w:val="single"/>
        </w:rPr>
        <w:t>精神心理因素所致的语言能力丧失；</w:t>
      </w:r>
    </w:p>
    <w:p>
      <w:pPr>
        <w:pStyle w:val="ListParagraph"/>
        <w:numPr>
          <w:ilvl w:val="1"/>
          <w:numId w:val="4"/>
        </w:numPr>
        <w:tabs>
          <w:tab w:pos="2204" w:val="left" w:leader="none"/>
          <w:tab w:pos="2205" w:val="left" w:leader="none"/>
        </w:tabs>
        <w:spacing w:line="180" w:lineRule="auto" w:before="74" w:after="0"/>
        <w:ind w:left="1782" w:right="222" w:firstLine="0"/>
        <w:jc w:val="left"/>
        <w:rPr>
          <w:rFonts w:ascii="微软雅黑" w:eastAsia="微软雅黑" w:hint="eastAsia"/>
          <w:b/>
          <w:sz w:val="21"/>
        </w:rPr>
      </w:pPr>
      <w:r>
        <w:rPr>
          <w:rFonts w:ascii="微软雅黑" w:eastAsia="微软雅黑" w:hint="eastAsia"/>
          <w:b/>
          <w:spacing w:val="0"/>
          <w:sz w:val="21"/>
          <w:u w:val="single"/>
        </w:rPr>
        <w:t>导致被保险人语言能力丧失的疾病或意外伤害发生在被保险人 </w:t>
      </w:r>
      <w:r>
        <w:rPr>
          <w:rFonts w:ascii="微软雅黑" w:eastAsia="微软雅黑" w:hint="eastAsia"/>
          <w:b/>
          <w:sz w:val="21"/>
          <w:u w:val="single"/>
        </w:rPr>
        <w:t>3</w:t>
      </w:r>
      <w:r>
        <w:rPr>
          <w:rFonts w:ascii="微软雅黑" w:eastAsia="微软雅黑" w:hint="eastAsia"/>
          <w:b/>
          <w:spacing w:val="1"/>
          <w:sz w:val="21"/>
          <w:u w:val="single"/>
        </w:rPr>
        <w:t> 周岁之前</w:t>
      </w:r>
      <w:r>
        <w:rPr>
          <w:rFonts w:ascii="微软雅黑" w:eastAsia="微软雅黑" w:hint="eastAsia"/>
          <w:b/>
          <w:sz w:val="21"/>
          <w:u w:val="single"/>
        </w:rPr>
        <w:t>的。</w:t>
      </w:r>
      <w:r>
        <w:rPr>
          <w:rFonts w:ascii="微软雅黑" w:eastAsia="微软雅黑" w:hint="eastAsia"/>
          <w:b/>
          <w:spacing w:val="-15"/>
          <w:sz w:val="21"/>
          <w:u w:val="single"/>
        </w:rPr>
        <w:t> </w:t>
      </w:r>
    </w:p>
    <w:p>
      <w:pPr>
        <w:pStyle w:val="BodyText"/>
        <w:spacing w:before="2"/>
        <w:ind w:left="0"/>
        <w:rPr>
          <w:rFonts w:ascii="微软雅黑"/>
          <w:b/>
          <w:sz w:val="19"/>
        </w:rPr>
      </w:pPr>
    </w:p>
    <w:p>
      <w:pPr>
        <w:pStyle w:val="BodyText"/>
        <w:spacing w:before="37"/>
      </w:pPr>
      <w:r>
        <w:rPr/>
        <w:t>十九、重型再生障碍性贫血</w:t>
      </w:r>
    </w:p>
    <w:p>
      <w:pPr>
        <w:pStyle w:val="BodyText"/>
        <w:spacing w:before="61"/>
        <w:ind w:right="236"/>
      </w:pPr>
      <w:r>
        <w:rPr/>
        <w:t>指因骨髓造血功能慢性持续性衰竭导致的贫血、中性粒细胞减少及血小板减少， 须满足下列全部条件：</w:t>
      </w:r>
    </w:p>
    <w:p>
      <w:pPr>
        <w:pStyle w:val="BodyText"/>
        <w:spacing w:before="56"/>
        <w:jc w:val="both"/>
      </w:pPr>
      <w:r>
        <w:rPr/>
        <w:t>（一）骨髓穿刺检查或骨髓活检结果支持诊断；</w:t>
      </w:r>
    </w:p>
    <w:p>
      <w:pPr>
        <w:pStyle w:val="BodyText"/>
        <w:spacing w:before="61"/>
        <w:jc w:val="both"/>
      </w:pPr>
      <w:r>
        <w:rPr/>
        <w:t>（二）外周血象须具备以下三项条件：</w:t>
      </w:r>
    </w:p>
    <w:p>
      <w:pPr>
        <w:pStyle w:val="BodyText"/>
        <w:spacing w:before="61"/>
        <w:jc w:val="both"/>
      </w:pPr>
      <w:r>
        <w:rPr/>
        <w:t>1.  中性粒细胞绝对值≤0.5×10</w:t>
      </w:r>
      <w:r>
        <w:rPr>
          <w:position w:val="11"/>
          <w:sz w:val="11"/>
        </w:rPr>
        <w:t>9</w:t>
      </w:r>
      <w:r>
        <w:rPr/>
        <w:t>/L ；</w:t>
      </w:r>
    </w:p>
    <w:p>
      <w:pPr>
        <w:pStyle w:val="ListParagraph"/>
        <w:numPr>
          <w:ilvl w:val="0"/>
          <w:numId w:val="6"/>
        </w:numPr>
        <w:tabs>
          <w:tab w:pos="2205" w:val="left" w:leader="none"/>
        </w:tabs>
        <w:spacing w:line="240" w:lineRule="auto" w:before="56" w:after="0"/>
        <w:ind w:left="2204" w:right="0" w:hanging="422"/>
        <w:jc w:val="both"/>
        <w:rPr>
          <w:sz w:val="21"/>
        </w:rPr>
      </w:pPr>
      <w:r>
        <w:rPr>
          <w:spacing w:val="-1"/>
          <w:sz w:val="21"/>
        </w:rPr>
        <w:t>网织红细胞</w:t>
      </w:r>
      <w:r>
        <w:rPr>
          <w:sz w:val="21"/>
        </w:rPr>
        <w:t>＜1％；</w:t>
      </w:r>
    </w:p>
    <w:p>
      <w:pPr>
        <w:pStyle w:val="ListParagraph"/>
        <w:numPr>
          <w:ilvl w:val="0"/>
          <w:numId w:val="6"/>
        </w:numPr>
        <w:tabs>
          <w:tab w:pos="2205" w:val="left" w:leader="none"/>
        </w:tabs>
        <w:spacing w:line="240" w:lineRule="auto" w:before="61" w:after="0"/>
        <w:ind w:left="2204" w:right="0" w:hanging="422"/>
        <w:jc w:val="both"/>
        <w:rPr>
          <w:sz w:val="21"/>
        </w:rPr>
      </w:pPr>
      <w:r>
        <w:rPr>
          <w:spacing w:val="-2"/>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12"/>
        <w:ind w:left="0"/>
        <w:rPr>
          <w:sz w:val="29"/>
        </w:rPr>
      </w:pPr>
    </w:p>
    <w:p>
      <w:pPr>
        <w:pStyle w:val="BodyText"/>
        <w:jc w:val="both"/>
      </w:pPr>
      <w:r>
        <w:rPr/>
        <w:t>二十、主动脉手术</w:t>
      </w:r>
    </w:p>
    <w:p>
      <w:pPr>
        <w:spacing w:line="184" w:lineRule="auto" w:before="124"/>
        <w:ind w:left="1782" w:right="230" w:firstLine="0"/>
        <w:jc w:val="both"/>
        <w:rPr>
          <w:rFonts w:ascii="微软雅黑" w:eastAsia="微软雅黑" w:hint="eastAsia"/>
          <w:b/>
          <w:sz w:val="21"/>
        </w:rPr>
      </w:pPr>
      <w:r>
        <w:rPr>
          <w:sz w:val="21"/>
        </w:rPr>
        <w:t>指为治疗主动脉疾病，实际实施了开胸或开腹进行的切除、置换、修补病损主动脉血管的手术。</w:t>
      </w:r>
      <w:r>
        <w:rPr>
          <w:rFonts w:ascii="微软雅黑" w:eastAsia="微软雅黑" w:hint="eastAsia"/>
          <w:b/>
          <w:sz w:val="21"/>
          <w:u w:val="single"/>
        </w:rPr>
        <w:t>主动脉指胸主动脉和腹主动脉，不包括胸主动脉和腹主动脉的分</w:t>
      </w:r>
      <w:r>
        <w:rPr>
          <w:rFonts w:ascii="微软雅黑" w:eastAsia="微软雅黑" w:hint="eastAsia"/>
          <w:b/>
          <w:spacing w:val="-212"/>
          <w:sz w:val="21"/>
          <w:u w:val="single"/>
        </w:rPr>
        <w:t>支</w:t>
      </w:r>
      <w:r>
        <w:rPr>
          <w:rFonts w:ascii="微软雅黑" w:eastAsia="微软雅黑" w:hint="eastAsia"/>
          <w:b/>
          <w:sz w:val="21"/>
          <w:u w:val="single"/>
        </w:rPr>
        <w:t>血管。 </w:t>
      </w:r>
      <w:r>
        <w:rPr>
          <w:rFonts w:ascii="微软雅黑" w:eastAsia="微软雅黑" w:hint="eastAsia"/>
          <w:b/>
          <w:spacing w:val="-20"/>
          <w:sz w:val="21"/>
          <w:u w:val="single"/>
        </w:rPr>
        <w:t> </w:t>
      </w:r>
    </w:p>
    <w:p>
      <w:pPr>
        <w:pStyle w:val="Heading2"/>
        <w:spacing w:line="336" w:lineRule="exact"/>
        <w:jc w:val="both"/>
      </w:pPr>
      <w:r>
        <w:rPr>
          <w:u w:val="single"/>
        </w:rPr>
        <w:t>但动脉内血管成形术不在保障范围。</w:t>
      </w:r>
    </w:p>
    <w:p>
      <w:pPr>
        <w:pStyle w:val="BodyText"/>
        <w:spacing w:before="3"/>
        <w:ind w:left="0"/>
        <w:rPr>
          <w:rFonts w:ascii="微软雅黑"/>
          <w:b/>
          <w:sz w:val="19"/>
        </w:rPr>
      </w:pPr>
    </w:p>
    <w:p>
      <w:pPr>
        <w:pStyle w:val="BodyText"/>
        <w:spacing w:before="36"/>
      </w:pPr>
      <w:r>
        <w:rPr/>
        <w:t>二十一、 严重多发性硬化</w:t>
      </w:r>
    </w:p>
    <w:p>
      <w:pPr>
        <w:pStyle w:val="BodyText"/>
        <w:spacing w:line="237" w:lineRule="auto" w:before="64"/>
        <w:ind w:right="223"/>
        <w:jc w:val="both"/>
      </w:pPr>
      <w:r>
        <w:rPr/>
        <w:t>多发性硬化为中枢神经系统白质多灶性脱髓鞘病变，病变有时累及灰质。多发性</w:t>
      </w:r>
      <w:r>
        <w:rPr>
          <w:spacing w:val="-3"/>
        </w:rPr>
        <w:t>硬化必须明确诊断并由核磁共振</w:t>
      </w:r>
      <w:r>
        <w:rPr/>
        <w:t>(MRI)</w:t>
      </w:r>
      <w:r>
        <w:rPr>
          <w:spacing w:val="-7"/>
        </w:rPr>
        <w:t>等影像学检验证实，而且已经造成永久的神</w:t>
      </w:r>
      <w:r>
        <w:rPr>
          <w:spacing w:val="-6"/>
        </w:rPr>
        <w:t>经系统功能损害，导致被保险人持续 </w:t>
      </w:r>
      <w:r>
        <w:rPr/>
        <w:t>180</w:t>
      </w:r>
      <w:r>
        <w:rPr>
          <w:spacing w:val="-3"/>
        </w:rPr>
        <w:t> 天无法独立完成下列基本日常生活活动</w:t>
      </w:r>
      <w:r>
        <w:rPr>
          <w:spacing w:val="-4"/>
        </w:rPr>
        <w:t>至少任意之一：</w:t>
      </w:r>
    </w:p>
    <w:p>
      <w:pPr>
        <w:pStyle w:val="BodyText"/>
        <w:spacing w:before="61"/>
      </w:pPr>
      <w:r>
        <w:rPr/>
        <w:t>（一） 移动：自己从一个房间到另一个房间；</w:t>
      </w:r>
    </w:p>
    <w:p>
      <w:pPr>
        <w:pStyle w:val="BodyText"/>
        <w:spacing w:before="61"/>
      </w:pPr>
      <w:r>
        <w:rPr/>
        <w:t>（二） 进食：自己从已准备好的碗或碟中取食物放入口中。</w:t>
      </w:r>
    </w:p>
    <w:p>
      <w:pPr>
        <w:pStyle w:val="BodyText"/>
        <w:spacing w:before="12"/>
        <w:ind w:left="0"/>
        <w:rPr>
          <w:sz w:val="29"/>
        </w:rPr>
      </w:pPr>
    </w:p>
    <w:p>
      <w:pPr>
        <w:pStyle w:val="BodyText"/>
      </w:pPr>
      <w:r>
        <w:rPr/>
        <w:t>二十二、系统性红斑狼疮——III 型或以上狼疮性肾炎</w:t>
      </w:r>
    </w:p>
    <w:p>
      <w:pPr>
        <w:pStyle w:val="BodyText"/>
        <w:spacing w:line="237" w:lineRule="auto" w:before="63"/>
        <w:ind w:right="222"/>
        <w:jc w:val="both"/>
      </w:pPr>
      <w:r>
        <w:rPr/>
        <w:t>是指由于病理性自身抗体和免疫复合物的沉积破坏了血管和细胞而导致的多系统损害的一种自体免疫性疾病。主合同所指的系统性红斑狼疮仅限于累及肾脏（经</w:t>
      </w:r>
      <w:r>
        <w:rPr>
          <w:spacing w:val="-6"/>
        </w:rPr>
        <w:t>肾脏病理检查或临床确诊，并符合下列世界卫生组织(</w:t>
      </w:r>
      <w:r>
        <w:rPr/>
        <w:t>WHO)</w:t>
      </w:r>
      <w:r>
        <w:rPr>
          <w:spacing w:val="-3"/>
        </w:rPr>
        <w:t>诊断标准定义Ⅲ型至Ⅴ</w:t>
      </w:r>
    </w:p>
    <w:p>
      <w:pPr>
        <w:spacing w:after="0" w:line="237" w:lineRule="auto"/>
        <w:jc w:val="both"/>
        <w:sectPr>
          <w:pgSz w:w="11910" w:h="16840"/>
          <w:pgMar w:header="0" w:footer="863" w:top="1060" w:bottom="1140" w:left="1680" w:right="780"/>
        </w:sectPr>
      </w:pPr>
    </w:p>
    <w:p>
      <w:pPr>
        <w:spacing w:line="180" w:lineRule="auto" w:before="44"/>
        <w:ind w:left="1782" w:right="233" w:firstLine="0"/>
        <w:jc w:val="left"/>
        <w:rPr>
          <w:rFonts w:ascii="微软雅黑" w:eastAsia="微软雅黑" w:hint="eastAsia"/>
          <w:b/>
          <w:sz w:val="21"/>
        </w:rPr>
      </w:pPr>
      <w:r>
        <w:rPr>
          <w:sz w:val="21"/>
        </w:rPr>
        <w:t>型狼疮性肾炎）的系统性红斑狼疮。</w:t>
      </w:r>
      <w:r>
        <w:rPr>
          <w:rFonts w:ascii="微软雅黑" w:eastAsia="微软雅黑" w:hint="eastAsia"/>
          <w:b/>
          <w:sz w:val="21"/>
          <w:u w:val="single"/>
        </w:rPr>
        <w:t>但其他类型的红斑性狼疮，如盘状狼疮，仅累及血液及关节等其他系统的系统性红斑狼疮不在保障范围。</w:t>
      </w:r>
    </w:p>
    <w:p>
      <w:pPr>
        <w:pStyle w:val="BodyText"/>
        <w:spacing w:before="35"/>
      </w:pPr>
      <w:r>
        <w:rPr/>
        <w:t>世界卫生组织(WHO)狼疮性肾炎分型：</w:t>
      </w:r>
    </w:p>
    <w:p>
      <w:pPr>
        <w:pStyle w:val="BodyText"/>
        <w:spacing w:before="55"/>
      </w:pPr>
      <w:r>
        <w:rPr/>
        <w:t>Ⅰ型(微小病变型)镜下阴性，尿液正常；</w:t>
      </w:r>
    </w:p>
    <w:p>
      <w:pPr>
        <w:pStyle w:val="BodyText"/>
        <w:spacing w:before="61"/>
      </w:pPr>
      <w:r>
        <w:rPr/>
        <w:t>Ⅱ型(系膜病变型)中度蛋白尿，偶有尿沉渣改变；</w:t>
      </w:r>
    </w:p>
    <w:p>
      <w:pPr>
        <w:pStyle w:val="BodyText"/>
        <w:spacing w:before="61"/>
      </w:pPr>
      <w:r>
        <w:rPr/>
        <w:t>Ⅲ型(局灶及节段增生型)蛋白尿，尿沉渣改变；</w:t>
      </w:r>
    </w:p>
    <w:p>
      <w:pPr>
        <w:pStyle w:val="BodyText"/>
        <w:spacing w:before="56"/>
      </w:pPr>
      <w:r>
        <w:rPr/>
        <w:t>Ⅳ型(弥漫增生型)急性肾炎伴有尿沉渣改变及/或肾病综合征；</w:t>
      </w:r>
    </w:p>
    <w:p>
      <w:pPr>
        <w:pStyle w:val="BodyText"/>
        <w:spacing w:before="61"/>
      </w:pPr>
      <w:r>
        <w:rPr/>
        <w:t>Ⅴ型(膜型)肾病综合征或重度蛋白尿。</w:t>
      </w:r>
    </w:p>
    <w:p>
      <w:pPr>
        <w:pStyle w:val="BodyText"/>
        <w:ind w:left="0"/>
        <w:rPr>
          <w:sz w:val="20"/>
        </w:rPr>
      </w:pPr>
    </w:p>
    <w:p>
      <w:pPr>
        <w:pStyle w:val="BodyText"/>
        <w:spacing w:before="131"/>
      </w:pPr>
      <w:r>
        <w:rPr/>
        <w:t>二十三、严重慢性呼吸功能衰竭</w:t>
      </w:r>
    </w:p>
    <w:p>
      <w:pPr>
        <w:pStyle w:val="BodyText"/>
        <w:spacing w:before="61"/>
        <w:ind w:right="239"/>
      </w:pPr>
      <w:r>
        <w:rPr/>
        <w:t>慢性肺部疾病导致永久不可逆性的慢性呼吸功能衰竭，必须由呼吸专科医师确认并符合下列所有条件：</w:t>
      </w:r>
    </w:p>
    <w:p>
      <w:pPr>
        <w:pStyle w:val="BodyText"/>
        <w:spacing w:before="56"/>
      </w:pPr>
      <w:r>
        <w:rPr/>
        <w:t>（一）肺功能测试其 FEV1 持续低于 0.75 升；</w:t>
      </w:r>
    </w:p>
    <w:p>
      <w:pPr>
        <w:pStyle w:val="BodyText"/>
        <w:spacing w:before="61"/>
      </w:pPr>
      <w:r>
        <w:rPr/>
        <w:t>（二）病人缺氧必须广泛而持续地进行输氧治疗；</w:t>
      </w:r>
    </w:p>
    <w:p>
      <w:pPr>
        <w:pStyle w:val="BodyText"/>
        <w:spacing w:before="62"/>
      </w:pPr>
      <w:r>
        <w:rPr/>
        <w:t>（三）动脉血气分析氧分压低于 55mmHg。</w:t>
      </w:r>
    </w:p>
    <w:p>
      <w:pPr>
        <w:pStyle w:val="BodyText"/>
        <w:spacing w:before="56"/>
      </w:pPr>
      <w:r>
        <w:rPr/>
        <w:t>申请理赔时必须提供以上三项相应的证明文件或检查报告。</w:t>
      </w:r>
    </w:p>
    <w:p>
      <w:pPr>
        <w:pStyle w:val="BodyText"/>
        <w:ind w:left="0"/>
        <w:rPr>
          <w:sz w:val="20"/>
        </w:rPr>
      </w:pPr>
    </w:p>
    <w:p>
      <w:pPr>
        <w:pStyle w:val="BodyText"/>
        <w:spacing w:before="135"/>
      </w:pPr>
      <w:r>
        <w:rPr/>
        <w:t>二十四、全身性重症肌无力</w:t>
      </w:r>
    </w:p>
    <w:p>
      <w:pPr>
        <w:pStyle w:val="BodyText"/>
        <w:spacing w:line="274" w:lineRule="exact" w:before="56"/>
      </w:pPr>
      <w:r>
        <w:rPr/>
        <w:t>重症肌无力是一种神经肌肉接头传递障碍所致的疾病，表现为局部或全身骨骼肌</w:t>
      </w:r>
    </w:p>
    <w:p>
      <w:pPr>
        <w:pStyle w:val="BodyText"/>
        <w:ind w:right="239"/>
      </w:pPr>
      <w:r>
        <w:rPr/>
        <w:t>（特别是眼外肌）极易疲劳。疾病可以累及呼吸肌、上肢或下肢的近端肌群或全身肌肉，必须满足下列全部条件：</w:t>
      </w:r>
    </w:p>
    <w:p>
      <w:pPr>
        <w:pStyle w:val="BodyText"/>
        <w:spacing w:before="57"/>
      </w:pPr>
      <w:r>
        <w:rPr/>
        <w:t>（一）经药物治疗和胸腺切除治疗一年以上仍无法控制病情；</w:t>
      </w:r>
    </w:p>
    <w:p>
      <w:pPr>
        <w:pStyle w:val="BodyText"/>
        <w:spacing w:before="61"/>
        <w:ind w:right="239"/>
      </w:pPr>
      <w:r>
        <w:rPr/>
        <w:t>（二）自主生活能力完全丧失，无法独立完成六项基本日常生活活动中的三项或三项以上。</w:t>
      </w:r>
    </w:p>
    <w:p>
      <w:pPr>
        <w:pStyle w:val="BodyText"/>
        <w:ind w:left="0"/>
        <w:rPr>
          <w:sz w:val="20"/>
        </w:rPr>
      </w:pPr>
    </w:p>
    <w:p>
      <w:pPr>
        <w:pStyle w:val="BodyText"/>
        <w:spacing w:before="131"/>
      </w:pPr>
      <w:r>
        <w:rPr/>
        <w:t>二十五、严重原发性心肌病</w:t>
      </w:r>
    </w:p>
    <w:p>
      <w:pPr>
        <w:pStyle w:val="BodyText"/>
        <w:spacing w:line="237" w:lineRule="auto" w:before="64"/>
        <w:ind w:right="117"/>
      </w:pPr>
      <w:r>
        <w:rPr/>
        <w:t>指因原发性心肌病导致心室功能损害造成永久不可逆性的心功能衰竭，心功能衰</w:t>
      </w:r>
      <w:r>
        <w:rPr>
          <w:spacing w:val="-6"/>
        </w:rPr>
        <w:t>竭程度达到美国纽约心脏病学会心功能状态分级 </w:t>
      </w:r>
      <w:r>
        <w:rPr/>
        <w:t>IV</w:t>
      </w:r>
      <w:r>
        <w:rPr>
          <w:spacing w:val="-14"/>
        </w:rPr>
        <w:t> 级。必须由心脏专科医生确诊， </w:t>
      </w:r>
      <w:r>
        <w:rPr>
          <w:spacing w:val="-9"/>
        </w:rPr>
        <w:t>并有包括超声心动图在内的相关检查证实。</w:t>
      </w:r>
    </w:p>
    <w:p>
      <w:pPr>
        <w:pStyle w:val="Heading2"/>
        <w:spacing w:line="362" w:lineRule="exact"/>
      </w:pPr>
      <w:r>
        <w:rPr>
          <w:u w:val="single"/>
        </w:rPr>
        <w:t>但酗酒或滥用药物引起的心肌病不在保障范围。</w:t>
      </w:r>
    </w:p>
    <w:p>
      <w:pPr>
        <w:pStyle w:val="BodyText"/>
        <w:spacing w:before="2"/>
        <w:ind w:left="0"/>
        <w:rPr>
          <w:rFonts w:ascii="微软雅黑"/>
          <w:b/>
          <w:sz w:val="19"/>
        </w:rPr>
      </w:pPr>
    </w:p>
    <w:p>
      <w:pPr>
        <w:pStyle w:val="BodyText"/>
        <w:spacing w:before="36"/>
      </w:pPr>
      <w:r>
        <w:rPr/>
        <w:t>二十六、重症急性坏死性筋膜炎</w:t>
      </w:r>
    </w:p>
    <w:p>
      <w:pPr>
        <w:pStyle w:val="BodyText"/>
        <w:spacing w:line="237" w:lineRule="auto" w:before="63"/>
        <w:ind w:right="239"/>
        <w:jc w:val="both"/>
      </w:pPr>
      <w:r>
        <w:rPr/>
        <w:t>坏死性筋膜炎是一种由细菌侵入皮下组织和筋膜引起的急性坏死性软组织感染， 可伴有毒血症、败血症、中毒性休克、弥漫性血管内凝血及多器官衰竭。其诊断必须满足以下所有条件：</w:t>
      </w:r>
    </w:p>
    <w:p>
      <w:pPr>
        <w:pStyle w:val="BodyText"/>
        <w:spacing w:before="61"/>
        <w:ind w:left="1652"/>
      </w:pPr>
      <w:r>
        <w:rPr/>
        <w:t>（一) 细菌培养和临床表现符合坏死性筋膜炎诊断标准；</w:t>
      </w:r>
    </w:p>
    <w:p>
      <w:pPr>
        <w:pStyle w:val="BodyText"/>
        <w:spacing w:before="61"/>
        <w:ind w:left="1652"/>
      </w:pPr>
      <w:r>
        <w:rPr/>
        <w:t>（二) 病情迅速恶化，有脓毒血症表现；</w:t>
      </w:r>
    </w:p>
    <w:p>
      <w:pPr>
        <w:pStyle w:val="BodyText"/>
        <w:spacing w:before="56"/>
        <w:ind w:left="1652"/>
      </w:pPr>
      <w:r>
        <w:rPr/>
        <w:t>（</w:t>
      </w:r>
      <w:r>
        <w:rPr>
          <w:spacing w:val="-1"/>
        </w:rPr>
        <w:t>三) 受感染肢体被截肢</w:t>
      </w:r>
      <w:r>
        <w:rPr/>
        <w:t>（</w:t>
      </w:r>
      <w:r>
        <w:rPr>
          <w:spacing w:val="-4"/>
        </w:rPr>
        <w:t>自腕关节或踝关节近端</w:t>
      </w:r>
      <w:r>
        <w:rPr>
          <w:spacing w:val="-111"/>
        </w:rPr>
        <w:t>）</w:t>
      </w:r>
      <w:r>
        <w:rPr/>
        <w:t>。</w:t>
      </w:r>
    </w:p>
    <w:p>
      <w:pPr>
        <w:pStyle w:val="BodyText"/>
        <w:ind w:left="0"/>
        <w:rPr>
          <w:sz w:val="20"/>
        </w:rPr>
      </w:pPr>
    </w:p>
    <w:p>
      <w:pPr>
        <w:pStyle w:val="BodyText"/>
        <w:spacing w:before="136"/>
      </w:pPr>
      <w:r>
        <w:rPr/>
        <w:t>二十七、严重弥漫性系统性硬皮病</w:t>
      </w:r>
    </w:p>
    <w:p>
      <w:pPr>
        <w:pStyle w:val="BodyText"/>
        <w:spacing w:before="56"/>
        <w:ind w:right="119"/>
      </w:pPr>
      <w:r>
        <w:rPr>
          <w:spacing w:val="-4"/>
        </w:rPr>
        <w:t>一种系统性胶原血管病引起进行性的皮肤</w:t>
      </w:r>
      <w:r>
        <w:rPr/>
        <w:t>/</w:t>
      </w:r>
      <w:r>
        <w:rPr>
          <w:spacing w:val="-7"/>
        </w:rPr>
        <w:t>血管和内脏器官的弥漫性纤维化。本病</w:t>
      </w:r>
      <w:r>
        <w:rPr>
          <w:spacing w:val="-8"/>
        </w:rPr>
        <w:t>症须经专科医生明确诊断，并由活检和血清学证据支持并且疾病已经影响到心脏、</w:t>
      </w:r>
      <w:r>
        <w:rPr>
          <w:spacing w:val="-6"/>
        </w:rPr>
        <w:t>肺或肾脏等内脏器官并且达到下列标准之一：</w:t>
      </w:r>
    </w:p>
    <w:p>
      <w:pPr>
        <w:pStyle w:val="BodyText"/>
        <w:spacing w:before="56"/>
      </w:pPr>
      <w:r>
        <w:rPr/>
        <w:t>（一）肺纤维化，已经出现肺动脉高压、肺心病；</w:t>
      </w:r>
    </w:p>
    <w:p>
      <w:pPr>
        <w:pStyle w:val="BodyText"/>
        <w:spacing w:before="61"/>
      </w:pPr>
      <w:r>
        <w:rPr/>
        <w:t>（二）心脏损害，心脏功能衰竭程度达到纽约心脏病学会的心功能分级标准之心</w:t>
      </w:r>
    </w:p>
    <w:p>
      <w:pPr>
        <w:spacing w:after="0"/>
        <w:sectPr>
          <w:pgSz w:w="11910" w:h="16840"/>
          <w:pgMar w:header="0" w:footer="863" w:top="1060" w:bottom="1140" w:left="1680" w:right="780"/>
        </w:sectPr>
      </w:pPr>
    </w:p>
    <w:p>
      <w:pPr>
        <w:pStyle w:val="BodyText"/>
        <w:spacing w:before="16"/>
      </w:pPr>
      <w:r>
        <w:rPr/>
        <w:t>功能 IV 级；</w:t>
      </w:r>
    </w:p>
    <w:p>
      <w:pPr>
        <w:spacing w:before="61"/>
        <w:ind w:left="1782" w:right="3857" w:firstLine="0"/>
        <w:jc w:val="left"/>
        <w:rPr>
          <w:rFonts w:ascii="微软雅黑" w:eastAsia="微软雅黑" w:hint="eastAsia"/>
          <w:b/>
          <w:sz w:val="21"/>
        </w:rPr>
      </w:pPr>
      <w:r>
        <w:rPr>
          <w:sz w:val="21"/>
        </w:rPr>
        <w:t>（三）肾脏损害，已经出现肾功能衰竭。</w:t>
      </w:r>
      <w:r>
        <w:rPr>
          <w:rFonts w:ascii="微软雅黑" w:eastAsia="微软雅黑" w:hint="eastAsia"/>
          <w:b/>
          <w:sz w:val="21"/>
          <w:u w:val="single"/>
        </w:rPr>
        <w:t>但下列疾病不在保障范围：</w:t>
      </w:r>
    </w:p>
    <w:p>
      <w:pPr>
        <w:pStyle w:val="Heading2"/>
        <w:spacing w:line="318" w:lineRule="exact"/>
      </w:pPr>
      <w:r>
        <w:rPr>
          <w:u w:val="single"/>
        </w:rPr>
        <w:t>（一）局限硬皮病；</w:t>
      </w:r>
    </w:p>
    <w:p>
      <w:pPr>
        <w:spacing w:line="336" w:lineRule="exact" w:before="0"/>
        <w:ind w:left="1782" w:right="0" w:firstLine="0"/>
        <w:jc w:val="left"/>
        <w:rPr>
          <w:rFonts w:ascii="微软雅黑" w:eastAsia="微软雅黑" w:hint="eastAsia"/>
          <w:b/>
          <w:sz w:val="21"/>
        </w:rPr>
      </w:pPr>
      <w:r>
        <w:rPr>
          <w:rFonts w:ascii="微软雅黑" w:eastAsia="微软雅黑" w:hint="eastAsia"/>
          <w:b/>
          <w:sz w:val="21"/>
          <w:u w:val="single"/>
        </w:rPr>
        <w:t>（二）嗜酸细胞筋膜炎；</w:t>
      </w:r>
    </w:p>
    <w:p>
      <w:pPr>
        <w:spacing w:line="349" w:lineRule="exact" w:before="0"/>
        <w:ind w:left="1782" w:right="0" w:firstLine="0"/>
        <w:jc w:val="left"/>
        <w:rPr>
          <w:rFonts w:ascii="微软雅黑" w:eastAsia="微软雅黑" w:hint="eastAsia"/>
          <w:b/>
          <w:sz w:val="21"/>
        </w:rPr>
      </w:pPr>
      <w:r>
        <w:rPr>
          <w:rFonts w:ascii="微软雅黑" w:eastAsia="微软雅黑" w:hint="eastAsia"/>
          <w:b/>
          <w:w w:val="95"/>
          <w:sz w:val="21"/>
          <w:u w:val="single"/>
        </w:rPr>
        <w:t>（三）CREST 综合征。</w:t>
      </w:r>
    </w:p>
    <w:p>
      <w:pPr>
        <w:pStyle w:val="BodyText"/>
        <w:spacing w:before="2"/>
        <w:ind w:left="0"/>
        <w:rPr>
          <w:rFonts w:ascii="微软雅黑"/>
          <w:b/>
          <w:sz w:val="19"/>
        </w:rPr>
      </w:pPr>
    </w:p>
    <w:p>
      <w:pPr>
        <w:pStyle w:val="BodyText"/>
        <w:spacing w:before="37"/>
      </w:pPr>
      <w:r>
        <w:rPr/>
        <w:t>二十八、慢性复发性胰腺炎</w:t>
      </w:r>
    </w:p>
    <w:p>
      <w:pPr>
        <w:pStyle w:val="BodyText"/>
        <w:spacing w:before="56"/>
        <w:ind w:right="202"/>
        <w:jc w:val="both"/>
      </w:pPr>
      <w:r>
        <w:rPr/>
        <w:t>有腹痛等典型症状的胰腺炎反复发作超过三次以上，导致胰腺进行性破坏，并导</w:t>
      </w:r>
      <w:r>
        <w:rPr>
          <w:spacing w:val="-5"/>
        </w:rPr>
        <w:t>致胰腺功能紊乱而导致严重糖尿病以及营养不良、恶液质。</w:t>
      </w:r>
      <w:r>
        <w:rPr/>
        <w:t>CT</w:t>
      </w:r>
      <w:r>
        <w:rPr>
          <w:spacing w:val="-2"/>
        </w:rPr>
        <w:t> 检查证实胰腺存在</w:t>
      </w:r>
      <w:r>
        <w:rPr>
          <w:spacing w:val="-5"/>
        </w:rPr>
        <w:t>广泛钙化，且必须接受酶替代以及胰岛素替代治疗 </w:t>
      </w:r>
      <w:r>
        <w:rPr/>
        <w:t>6</w:t>
      </w:r>
      <w:r>
        <w:rPr>
          <w:spacing w:val="-3"/>
        </w:rPr>
        <w:t> 个月以上。诊断必须有消化</w:t>
      </w:r>
      <w:r>
        <w:rPr>
          <w:spacing w:val="-4"/>
        </w:rPr>
        <w:t>科专科医生确诊。</w:t>
      </w:r>
    </w:p>
    <w:p>
      <w:pPr>
        <w:pStyle w:val="Heading2"/>
        <w:spacing w:line="357" w:lineRule="exact"/>
        <w:jc w:val="both"/>
      </w:pPr>
      <w:r>
        <w:rPr>
          <w:u w:val="single"/>
        </w:rPr>
        <w:t>但酒精导致的慢性复发性胰腺炎不在保障范围。</w:t>
      </w:r>
    </w:p>
    <w:p>
      <w:pPr>
        <w:pStyle w:val="BodyText"/>
        <w:spacing w:before="8"/>
        <w:ind w:left="0"/>
        <w:rPr>
          <w:rFonts w:ascii="微软雅黑"/>
          <w:b/>
          <w:sz w:val="19"/>
        </w:rPr>
      </w:pPr>
    </w:p>
    <w:p>
      <w:pPr>
        <w:pStyle w:val="BodyText"/>
        <w:spacing w:before="36"/>
      </w:pPr>
      <w:r>
        <w:rPr/>
        <w:t>二十九、丝虫病所致象皮病</w:t>
      </w:r>
    </w:p>
    <w:p>
      <w:pPr>
        <w:pStyle w:val="BodyText"/>
        <w:spacing w:before="56"/>
        <w:ind w:right="101"/>
      </w:pPr>
      <w:r>
        <w:rPr/>
        <w:t>指因丝虫感染导致淋巴阻塞性出现严重淋巴水肿，达到国际淋巴学会淋巴肿分期</w:t>
      </w:r>
      <w:r>
        <w:rPr>
          <w:spacing w:val="-21"/>
        </w:rPr>
        <w:t>第 </w:t>
      </w:r>
      <w:r>
        <w:rPr/>
        <w:t>III</w:t>
      </w:r>
      <w:r>
        <w:rPr>
          <w:spacing w:val="-17"/>
        </w:rPr>
        <w:t> 期，临床表现为肢体象皮肿，患肢较键肢增粗 </w:t>
      </w:r>
      <w:r>
        <w:rPr/>
        <w:t>30%</w:t>
      </w:r>
      <w:r>
        <w:rPr>
          <w:spacing w:val="-9"/>
        </w:rPr>
        <w:t>以上，日常生活不能自理。</w:t>
      </w:r>
      <w:r>
        <w:rPr>
          <w:spacing w:val="-7"/>
        </w:rPr>
        <w:t>此病症须经专科医生根据临床表现和微丝蚴的化验结果确诊。</w:t>
      </w:r>
    </w:p>
    <w:p>
      <w:pPr>
        <w:pStyle w:val="BodyText"/>
        <w:ind w:left="0"/>
        <w:rPr>
          <w:sz w:val="20"/>
        </w:rPr>
      </w:pPr>
    </w:p>
    <w:p>
      <w:pPr>
        <w:pStyle w:val="BodyText"/>
        <w:spacing w:before="131"/>
      </w:pPr>
      <w:r>
        <w:rPr/>
        <w:t>三十、严重克隆病</w:t>
      </w:r>
    </w:p>
    <w:p>
      <w:pPr>
        <w:pStyle w:val="BodyText"/>
        <w:spacing w:line="237" w:lineRule="auto" w:before="63"/>
        <w:ind w:right="216"/>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ind w:left="0"/>
        <w:rPr>
          <w:sz w:val="20"/>
        </w:rPr>
      </w:pPr>
    </w:p>
    <w:p>
      <w:pPr>
        <w:pStyle w:val="BodyText"/>
        <w:spacing w:before="135"/>
      </w:pPr>
      <w:r>
        <w:rPr/>
        <w:t>三十一、肾髓质囊性病</w:t>
      </w:r>
    </w:p>
    <w:p>
      <w:pPr>
        <w:pStyle w:val="BodyText"/>
        <w:spacing w:before="56"/>
      </w:pPr>
      <w:r>
        <w:rPr/>
        <w:t>肾髓质囊性病的诊断须同时符合下列要求：</w:t>
      </w:r>
    </w:p>
    <w:p>
      <w:pPr>
        <w:pStyle w:val="BodyText"/>
        <w:spacing w:before="61"/>
      </w:pPr>
      <w:r>
        <w:rPr/>
        <w:t>（一）肾髓质有囊肿、肾小管萎缩及间质纤维化等病理改变；</w:t>
      </w:r>
    </w:p>
    <w:p>
      <w:pPr>
        <w:pStyle w:val="BodyText"/>
        <w:spacing w:before="61"/>
      </w:pPr>
      <w:r>
        <w:rPr/>
        <w:t>（二）贫血、多尿及肾功能衰竭等临床表现；</w:t>
      </w:r>
    </w:p>
    <w:p>
      <w:pPr>
        <w:pStyle w:val="BodyText"/>
        <w:spacing w:before="56"/>
      </w:pPr>
      <w:r>
        <w:rPr/>
        <w:t>（三）诊断须由肾组织活检确定。</w:t>
      </w:r>
    </w:p>
    <w:p>
      <w:pPr>
        <w:pStyle w:val="BodyText"/>
        <w:ind w:left="0"/>
        <w:rPr>
          <w:sz w:val="20"/>
        </w:rPr>
      </w:pPr>
    </w:p>
    <w:p>
      <w:pPr>
        <w:pStyle w:val="BodyText"/>
        <w:spacing w:before="160"/>
      </w:pPr>
      <w:r>
        <w:rPr/>
        <w:t>三十二、严重肌营养不良症</w:t>
      </w:r>
    </w:p>
    <w:p>
      <w:pPr>
        <w:pStyle w:val="BodyText"/>
        <w:spacing w:line="235" w:lineRule="auto" w:before="81"/>
        <w:ind w:right="219"/>
      </w:pPr>
      <w:r>
        <w:rPr/>
        <w:t>指一组原发于肌肉的遗传性疾病，临床表现为与神经系统无关的肌肉无力和肌肉萎缩，且须满足下列全部条件：</w:t>
      </w:r>
    </w:p>
    <w:p>
      <w:pPr>
        <w:pStyle w:val="BodyText"/>
        <w:spacing w:before="61"/>
      </w:pPr>
      <w:r>
        <w:rPr/>
        <w:t>（一）肌肉组织活检结果满足肌营养不良症的肌肉细胞变性、坏死等阳性改变；</w:t>
      </w:r>
    </w:p>
    <w:p>
      <w:pPr>
        <w:pStyle w:val="BodyText"/>
        <w:spacing w:before="56"/>
        <w:ind w:right="219"/>
      </w:pPr>
      <w:r>
        <w:rPr/>
        <w:t>（二）自主生活能力完全丧失，无法独立完成六项基本日常生活活动中的三项或三项以上。</w:t>
      </w:r>
    </w:p>
    <w:p>
      <w:pPr>
        <w:pStyle w:val="BodyText"/>
        <w:ind w:left="0"/>
        <w:rPr>
          <w:sz w:val="20"/>
        </w:rPr>
      </w:pPr>
    </w:p>
    <w:p>
      <w:pPr>
        <w:pStyle w:val="BodyText"/>
        <w:spacing w:before="134"/>
      </w:pPr>
      <w:r>
        <w:rPr/>
        <w:t>三十三、严重哮喘</w:t>
      </w:r>
    </w:p>
    <w:p>
      <w:pPr>
        <w:pStyle w:val="BodyText"/>
        <w:spacing w:before="55"/>
        <w:ind w:right="219"/>
      </w:pPr>
      <w:r>
        <w:rPr/>
        <w:t>被保险人必须在首次确诊严重哮喘之日的前两年内曾发生哮喘持续状态，并满足以下标准中的两项或两项以上标准：</w:t>
      </w:r>
    </w:p>
    <w:p>
      <w:pPr>
        <w:pStyle w:val="BodyText"/>
        <w:spacing w:before="60"/>
      </w:pPr>
      <w:r>
        <w:rPr/>
        <w:t>（一）运动耐受力永久并持续地减少并且轻微的运动能引起气促；</w:t>
      </w:r>
    </w:p>
    <w:p>
      <w:pPr>
        <w:pStyle w:val="BodyText"/>
        <w:spacing w:before="56"/>
      </w:pPr>
      <w:r>
        <w:rPr/>
        <w:t>（二）长期胸腔过渡膨胀而导致胸腔畸形；</w:t>
      </w:r>
    </w:p>
    <w:p>
      <w:pPr>
        <w:pStyle w:val="BodyText"/>
        <w:spacing w:before="61"/>
      </w:pPr>
      <w:r>
        <w:rPr/>
        <w:t>（三）在家及在静息状态下需要吸氧；</w:t>
      </w:r>
    </w:p>
    <w:p>
      <w:pPr>
        <w:pStyle w:val="BodyText"/>
        <w:spacing w:before="60"/>
      </w:pPr>
      <w:r>
        <w:rPr/>
        <w:t>（四）</w:t>
      </w:r>
      <w:r>
        <w:rPr>
          <w:spacing w:val="-4"/>
        </w:rPr>
        <w:t>持续的每天服用类固醇药物</w:t>
      </w:r>
      <w:r>
        <w:rPr/>
        <w:t>（</w:t>
      </w:r>
      <w:r>
        <w:rPr>
          <w:spacing w:val="-9"/>
        </w:rPr>
        <w:t>至少持续 </w:t>
      </w:r>
      <w:r>
        <w:rPr/>
        <w:t>6</w:t>
      </w:r>
      <w:r>
        <w:rPr>
          <w:spacing w:val="-11"/>
        </w:rPr>
        <w:t> 个月以上</w:t>
      </w:r>
      <w:r>
        <w:rPr>
          <w:spacing w:val="-106"/>
        </w:rPr>
        <w:t>）</w:t>
      </w:r>
      <w:r>
        <w:rPr/>
        <w:t>。</w:t>
      </w:r>
    </w:p>
    <w:p>
      <w:pPr>
        <w:spacing w:after="0"/>
        <w:sectPr>
          <w:pgSz w:w="11910" w:h="16840"/>
          <w:pgMar w:header="0" w:footer="863" w:top="1060" w:bottom="1140" w:left="1680" w:right="800"/>
        </w:sectPr>
      </w:pPr>
    </w:p>
    <w:p>
      <w:pPr>
        <w:pStyle w:val="BodyText"/>
        <w:spacing w:before="16"/>
      </w:pPr>
      <w:r>
        <w:rPr/>
        <w:t>三十四、严重溃疡性结肠炎</w:t>
      </w:r>
    </w:p>
    <w:p>
      <w:pPr>
        <w:pStyle w:val="BodyText"/>
        <w:spacing w:line="237" w:lineRule="auto" w:before="64"/>
        <w:ind w:right="116"/>
        <w:jc w:val="both"/>
      </w:pPr>
      <w:r>
        <w:rPr/>
        <w:t>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12"/>
        <w:ind w:left="0"/>
        <w:rPr>
          <w:sz w:val="29"/>
        </w:rPr>
      </w:pPr>
    </w:p>
    <w:p>
      <w:pPr>
        <w:pStyle w:val="BodyText"/>
        <w:spacing w:before="1"/>
      </w:pPr>
      <w:r>
        <w:rPr/>
        <w:t>三十五、肝豆状核变性</w:t>
      </w:r>
    </w:p>
    <w:p>
      <w:pPr>
        <w:pStyle w:val="BodyText"/>
        <w:spacing w:before="61"/>
        <w:ind w:right="119"/>
      </w:pPr>
      <w:r>
        <w:rPr/>
        <w:t>指一种常染色体隐性遗传的铜代谢缺陷病，以不同程度的肝细胞损害、脑退行性病变和角膜边缘有铜盐沉着环为其临床特征，并须满足下列全部条件：</w:t>
      </w:r>
    </w:p>
    <w:p>
      <w:pPr>
        <w:pStyle w:val="BodyText"/>
        <w:spacing w:before="56"/>
        <w:jc w:val="both"/>
      </w:pPr>
      <w:r>
        <w:rPr/>
        <w:t>（一）典型症状；</w:t>
      </w:r>
    </w:p>
    <w:p>
      <w:pPr>
        <w:pStyle w:val="BodyText"/>
        <w:spacing w:before="60"/>
        <w:jc w:val="both"/>
      </w:pPr>
      <w:r>
        <w:rPr>
          <w:w w:val="100"/>
        </w:rPr>
        <w:t>（二）</w:t>
      </w:r>
      <w:r>
        <w:rPr>
          <w:spacing w:val="-2"/>
          <w:w w:val="100"/>
        </w:rPr>
        <w:t>角膜色素环</w:t>
      </w:r>
      <w:r>
        <w:rPr>
          <w:w w:val="100"/>
        </w:rPr>
        <w:t>（</w:t>
      </w:r>
      <w:r>
        <w:rPr>
          <w:spacing w:val="-5"/>
          <w:w w:val="100"/>
        </w:rPr>
        <w:t>K</w:t>
      </w:r>
      <w:r>
        <w:rPr>
          <w:w w:val="100"/>
        </w:rPr>
        <w:t>-F</w:t>
      </w:r>
      <w:r>
        <w:rPr/>
        <w:t> </w:t>
      </w:r>
      <w:r>
        <w:rPr>
          <w:w w:val="100"/>
        </w:rPr>
        <w:t>环</w:t>
      </w:r>
      <w:r>
        <w:rPr>
          <w:spacing w:val="-106"/>
          <w:w w:val="100"/>
        </w:rPr>
        <w:t>）</w:t>
      </w:r>
      <w:r>
        <w:rPr>
          <w:w w:val="100"/>
        </w:rPr>
        <w:t>；</w:t>
      </w:r>
    </w:p>
    <w:p>
      <w:pPr>
        <w:pStyle w:val="BodyText"/>
        <w:spacing w:before="60"/>
        <w:jc w:val="both"/>
      </w:pPr>
      <w:r>
        <w:rPr/>
        <w:t>（三）血清铜和血清铜蓝蛋白降低，尿铜增加；</w:t>
      </w:r>
    </w:p>
    <w:p>
      <w:pPr>
        <w:pStyle w:val="BodyText"/>
        <w:spacing w:before="56"/>
        <w:jc w:val="both"/>
      </w:pPr>
      <w:r>
        <w:rPr/>
        <w:t>（四）经皮做肝脏活检来定量分析肝脏铜的含量。</w:t>
      </w:r>
    </w:p>
    <w:p>
      <w:pPr>
        <w:pStyle w:val="BodyText"/>
        <w:ind w:left="0"/>
        <w:rPr>
          <w:sz w:val="20"/>
        </w:rPr>
      </w:pPr>
    </w:p>
    <w:p>
      <w:pPr>
        <w:pStyle w:val="BodyText"/>
        <w:spacing w:before="136"/>
        <w:jc w:val="both"/>
      </w:pPr>
      <w:r>
        <w:rPr/>
        <w:t>三十六、胰腺移植</w:t>
      </w:r>
    </w:p>
    <w:p>
      <w:pPr>
        <w:spacing w:before="56"/>
        <w:ind w:left="1782" w:right="186" w:firstLine="0"/>
        <w:jc w:val="left"/>
        <w:rPr>
          <w:rFonts w:ascii="微软雅黑" w:eastAsia="微软雅黑" w:hint="eastAsia"/>
          <w:b/>
          <w:sz w:val="21"/>
        </w:rPr>
      </w:pPr>
      <w:r>
        <w:rPr>
          <w:sz w:val="21"/>
        </w:rPr>
        <w:t>指因胰腺功能衰竭，已经实施了在全身麻醉下进行的胰腺的异体器官移植手术。</w:t>
      </w:r>
      <w:r>
        <w:rPr>
          <w:rFonts w:ascii="微软雅黑" w:eastAsia="微软雅黑" w:hint="eastAsia"/>
          <w:b/>
          <w:sz w:val="21"/>
          <w:u w:val="single"/>
        </w:rPr>
        <w:t>但单纯胰岛移植、部分胰腺组织或细胞的移植不在保障范围。</w:t>
      </w:r>
    </w:p>
    <w:p>
      <w:pPr>
        <w:pStyle w:val="BodyText"/>
        <w:spacing w:before="2"/>
        <w:ind w:left="0"/>
        <w:rPr>
          <w:rFonts w:ascii="微软雅黑"/>
          <w:b/>
          <w:sz w:val="19"/>
        </w:rPr>
      </w:pPr>
    </w:p>
    <w:p>
      <w:pPr>
        <w:pStyle w:val="BodyText"/>
        <w:spacing w:before="36"/>
      </w:pPr>
      <w:r>
        <w:rPr/>
        <w:t>三十七、特发性慢性肾上腺皮质功能衰竭</w:t>
      </w:r>
    </w:p>
    <w:p>
      <w:pPr>
        <w:pStyle w:val="BodyText"/>
        <w:spacing w:before="61"/>
        <w:ind w:right="119"/>
      </w:pPr>
      <w:r>
        <w:rPr/>
        <w:t>指自身免疫性肾上腺炎（既往称：特发性肾上腺皮质萎缩）导致肾上腺萎缩和慢性肾上腺皮质功能减退，必须满足所有以下条件：</w:t>
      </w:r>
    </w:p>
    <w:p>
      <w:pPr>
        <w:pStyle w:val="BodyText"/>
        <w:tabs>
          <w:tab w:pos="2622" w:val="left" w:leader="none"/>
        </w:tabs>
        <w:spacing w:before="56"/>
      </w:pPr>
      <w:r>
        <w:rPr/>
        <w:t>（一）</w:t>
        <w:tab/>
        <w:t>必须由专</w:t>
      </w:r>
      <w:r>
        <w:rPr>
          <w:spacing w:val="-5"/>
        </w:rPr>
        <w:t>科</w:t>
      </w:r>
      <w:r>
        <w:rPr/>
        <w:t>医生明</w:t>
      </w:r>
      <w:r>
        <w:rPr>
          <w:spacing w:val="-5"/>
        </w:rPr>
        <w:t>确</w:t>
      </w:r>
      <w:r>
        <w:rPr/>
        <w:t>诊断，</w:t>
      </w:r>
      <w:r>
        <w:rPr>
          <w:spacing w:val="-5"/>
        </w:rPr>
        <w:t>符</w:t>
      </w:r>
      <w:r>
        <w:rPr/>
        <w:t>合所有</w:t>
      </w:r>
      <w:r>
        <w:rPr>
          <w:spacing w:val="-5"/>
        </w:rPr>
        <w:t>以</w:t>
      </w:r>
      <w:r>
        <w:rPr/>
        <w:t>下诊断</w:t>
      </w:r>
      <w:r>
        <w:rPr>
          <w:spacing w:val="-5"/>
        </w:rPr>
        <w:t>标</w:t>
      </w:r>
      <w:r>
        <w:rPr/>
        <w:t>准：</w:t>
      </w:r>
    </w:p>
    <w:p>
      <w:pPr>
        <w:pStyle w:val="ListParagraph"/>
        <w:numPr>
          <w:ilvl w:val="0"/>
          <w:numId w:val="7"/>
        </w:numPr>
        <w:tabs>
          <w:tab w:pos="2204" w:val="left" w:leader="none"/>
          <w:tab w:pos="2205" w:val="left" w:leader="none"/>
        </w:tabs>
        <w:spacing w:line="240" w:lineRule="auto" w:before="89" w:after="0"/>
        <w:ind w:left="1782" w:right="0" w:firstLine="0"/>
        <w:jc w:val="left"/>
        <w:rPr>
          <w:sz w:val="21"/>
        </w:rPr>
      </w:pPr>
      <w:r>
        <w:rPr>
          <w:spacing w:val="-3"/>
          <w:sz w:val="21"/>
        </w:rPr>
        <w:t>血浆促肾上腺皮质激素</w:t>
      </w:r>
      <w:r>
        <w:rPr>
          <w:spacing w:val="-1"/>
          <w:sz w:val="21"/>
        </w:rPr>
        <w:t>(ACTH</w:t>
      </w:r>
      <w:r>
        <w:rPr>
          <w:spacing w:val="-2"/>
          <w:sz w:val="21"/>
        </w:rPr>
        <w:t>)水平测定</w:t>
      </w:r>
      <w:r>
        <w:rPr>
          <w:sz w:val="21"/>
        </w:rPr>
        <w:t>，&gt;100pg/ml；</w:t>
      </w:r>
    </w:p>
    <w:p>
      <w:pPr>
        <w:pStyle w:val="ListParagraph"/>
        <w:numPr>
          <w:ilvl w:val="0"/>
          <w:numId w:val="7"/>
        </w:numPr>
        <w:tabs>
          <w:tab w:pos="2204" w:val="left" w:leader="none"/>
          <w:tab w:pos="2205" w:val="left" w:leader="none"/>
        </w:tabs>
        <w:spacing w:line="276" w:lineRule="auto" w:before="94" w:after="0"/>
        <w:ind w:left="1782" w:right="103" w:firstLine="0"/>
        <w:jc w:val="left"/>
        <w:rPr>
          <w:sz w:val="21"/>
        </w:rPr>
      </w:pPr>
      <w:r>
        <w:rPr>
          <w:spacing w:val="-7"/>
          <w:sz w:val="21"/>
        </w:rPr>
        <w:t>血浆肾素活性、血管紧张素 </w:t>
      </w:r>
      <w:r>
        <w:rPr>
          <w:sz w:val="21"/>
        </w:rPr>
        <w:t>II</w:t>
      </w:r>
      <w:r>
        <w:rPr>
          <w:spacing w:val="-8"/>
          <w:sz w:val="21"/>
        </w:rPr>
        <w:t> 和醛固酮测定，显示为原发性肾上腺皮质功能减退症；</w:t>
      </w:r>
    </w:p>
    <w:p>
      <w:pPr>
        <w:pStyle w:val="ListParagraph"/>
        <w:numPr>
          <w:ilvl w:val="0"/>
          <w:numId w:val="7"/>
        </w:numPr>
        <w:tabs>
          <w:tab w:pos="2204" w:val="left" w:leader="none"/>
          <w:tab w:pos="2205" w:val="left" w:leader="none"/>
        </w:tabs>
        <w:spacing w:line="240" w:lineRule="auto" w:before="63" w:after="0"/>
        <w:ind w:left="1782" w:right="0" w:firstLine="0"/>
        <w:jc w:val="left"/>
        <w:rPr>
          <w:sz w:val="21"/>
        </w:rPr>
      </w:pPr>
      <w:r>
        <w:rPr>
          <w:spacing w:val="-2"/>
          <w:sz w:val="21"/>
        </w:rPr>
        <w:t>促肾上腺皮质激素</w:t>
      </w:r>
      <w:r>
        <w:rPr>
          <w:sz w:val="21"/>
        </w:rPr>
        <w:t>(ACTH)</w:t>
      </w:r>
      <w:r>
        <w:rPr>
          <w:spacing w:val="-5"/>
          <w:sz w:val="21"/>
        </w:rPr>
        <w:t>刺激试验显示为原发性肾上腺皮质功能减退症。</w:t>
      </w:r>
    </w:p>
    <w:p>
      <w:pPr>
        <w:pStyle w:val="BodyText"/>
        <w:spacing w:line="272" w:lineRule="exact" w:before="75"/>
      </w:pPr>
      <w:r>
        <w:rPr/>
        <w:t>（二）已经采用皮质类固醇替代治疗 180 天以上。</w:t>
      </w:r>
    </w:p>
    <w:p>
      <w:pPr>
        <w:pStyle w:val="Heading2"/>
        <w:spacing w:line="180" w:lineRule="auto" w:before="87"/>
        <w:ind w:right="114"/>
      </w:pPr>
      <w:r>
        <w:rPr>
          <w:u w:val="single"/>
        </w:rPr>
        <w:t>但肾上腺结核、HIV 感染或艾滋病、感染、肿瘤所致的原发性肾上腺皮质功能减退和继发性肾上腺皮质功能减退不在</w:t>
      </w:r>
      <w:r>
        <w:rPr>
          <w:spacing w:val="-212"/>
          <w:u w:val="single"/>
        </w:rPr>
        <w:t>保</w:t>
      </w:r>
      <w:r>
        <w:rPr>
          <w:u w:val="single"/>
        </w:rPr>
        <w:t>障范围。</w:t>
      </w:r>
    </w:p>
    <w:p>
      <w:pPr>
        <w:pStyle w:val="BodyText"/>
        <w:spacing w:before="7"/>
        <w:ind w:left="0"/>
        <w:rPr>
          <w:rFonts w:ascii="微软雅黑"/>
          <w:b/>
          <w:sz w:val="19"/>
        </w:rPr>
      </w:pPr>
    </w:p>
    <w:p>
      <w:pPr>
        <w:pStyle w:val="BodyText"/>
        <w:spacing w:before="37"/>
      </w:pPr>
      <w:r>
        <w:rPr/>
        <w:t>三十八、急性坏死性胰腺炎开腹手术</w:t>
      </w:r>
    </w:p>
    <w:p>
      <w:pPr>
        <w:pStyle w:val="BodyText"/>
        <w:spacing w:before="56"/>
        <w:ind w:right="119"/>
      </w:pPr>
      <w:r>
        <w:rPr/>
        <w:t>指由专科医生确诊为急性出血坏死性胰腺炎，并已经接受了外科手术治疗，以进行坏死组织清除、坏死病灶切除或胰腺切除。</w:t>
      </w:r>
    </w:p>
    <w:p>
      <w:pPr>
        <w:pStyle w:val="Heading2"/>
        <w:spacing w:line="361" w:lineRule="exact"/>
      </w:pPr>
      <w:r>
        <w:rPr>
          <w:u w:val="single"/>
        </w:rPr>
        <w:t>但因饮酒所致的急性出血坏死性胰腺炎不在保障范围。</w:t>
      </w:r>
    </w:p>
    <w:p>
      <w:pPr>
        <w:pStyle w:val="BodyText"/>
        <w:spacing w:before="3"/>
        <w:ind w:left="0"/>
        <w:rPr>
          <w:rFonts w:ascii="微软雅黑"/>
          <w:b/>
          <w:sz w:val="19"/>
        </w:rPr>
      </w:pPr>
    </w:p>
    <w:p>
      <w:pPr>
        <w:pStyle w:val="BodyText"/>
        <w:spacing w:before="36"/>
      </w:pPr>
      <w:r>
        <w:rPr/>
        <w:t>三十九、严重的 1 型糖尿病</w:t>
      </w:r>
    </w:p>
    <w:p>
      <w:pPr>
        <w:pStyle w:val="BodyText"/>
        <w:spacing w:line="272" w:lineRule="exact" w:before="60"/>
      </w:pPr>
      <w:r>
        <w:rPr/>
        <w:t>1 型糖尿病的特征为由于胰岛素分泌绝对不足引起严重胰岛素缺乏导致慢性血糖</w:t>
      </w:r>
    </w:p>
    <w:p>
      <w:pPr>
        <w:pStyle w:val="BodyText"/>
        <w:ind w:right="107"/>
        <w:jc w:val="both"/>
      </w:pPr>
      <w:r>
        <w:rPr>
          <w:spacing w:val="0"/>
        </w:rPr>
        <w:t>升高，需要依赖外源性胰岛素进行机体的葡萄糖代谢和维持生命。被保险人的 </w:t>
      </w:r>
      <w:r>
        <w:rPr/>
        <w:t>1 </w:t>
      </w:r>
      <w:r>
        <w:rPr>
          <w:spacing w:val="-6"/>
        </w:rPr>
        <w:t>型糖尿病必须由专科医生明确诊断，而且有血胰岛素测定及血 </w:t>
      </w:r>
      <w:r>
        <w:rPr/>
        <w:t>C</w:t>
      </w:r>
      <w:r>
        <w:rPr>
          <w:spacing w:val="-12"/>
        </w:rPr>
        <w:t> 肽或尿 </w:t>
      </w:r>
      <w:r>
        <w:rPr/>
        <w:t>C</w:t>
      </w:r>
      <w:r>
        <w:rPr>
          <w:spacing w:val="-8"/>
        </w:rPr>
        <w:t> 肽测定</w:t>
      </w:r>
      <w:r>
        <w:rPr>
          <w:spacing w:val="-6"/>
        </w:rPr>
        <w:t>结果支持诊断，并且满足下列全部条件：</w:t>
      </w:r>
    </w:p>
    <w:p>
      <w:pPr>
        <w:pStyle w:val="BodyText"/>
        <w:spacing w:before="60"/>
        <w:jc w:val="both"/>
      </w:pPr>
      <w:r>
        <w:rPr/>
        <w:t>（一）已经持续性地接受外源性胰岛素注射治疗连续 180 天以上；</w:t>
      </w:r>
    </w:p>
    <w:p>
      <w:pPr>
        <w:pStyle w:val="BodyText"/>
        <w:spacing w:before="61"/>
        <w:jc w:val="both"/>
      </w:pPr>
      <w:r>
        <w:rPr/>
        <w:t>（二）因需要已经接受了下列治疗：</w:t>
      </w:r>
    </w:p>
    <w:p>
      <w:pPr>
        <w:pStyle w:val="ListParagraph"/>
        <w:numPr>
          <w:ilvl w:val="0"/>
          <w:numId w:val="8"/>
        </w:numPr>
        <w:tabs>
          <w:tab w:pos="2205" w:val="left" w:leader="none"/>
        </w:tabs>
        <w:spacing w:line="240" w:lineRule="auto" w:before="89" w:after="0"/>
        <w:ind w:left="2204" w:right="0" w:hanging="422"/>
        <w:jc w:val="both"/>
        <w:rPr>
          <w:sz w:val="21"/>
        </w:rPr>
      </w:pPr>
      <w:r>
        <w:rPr>
          <w:spacing w:val="-3"/>
          <w:sz w:val="21"/>
        </w:rPr>
        <w:t>因严重心律失常植入了心脏起搏器；</w:t>
      </w:r>
    </w:p>
    <w:p>
      <w:pPr>
        <w:pStyle w:val="ListParagraph"/>
        <w:numPr>
          <w:ilvl w:val="0"/>
          <w:numId w:val="8"/>
        </w:numPr>
        <w:tabs>
          <w:tab w:pos="2205" w:val="left" w:leader="none"/>
        </w:tabs>
        <w:spacing w:line="240" w:lineRule="auto" w:before="94" w:after="0"/>
        <w:ind w:left="2204" w:right="0" w:hanging="422"/>
        <w:jc w:val="both"/>
        <w:rPr>
          <w:sz w:val="21"/>
        </w:rPr>
      </w:pPr>
      <w:r>
        <w:rPr>
          <w:spacing w:val="-4"/>
          <w:sz w:val="21"/>
        </w:rPr>
        <w:t>或因坏疽自跖趾关节或以上切除了一趾或多趾。</w:t>
      </w:r>
    </w:p>
    <w:p>
      <w:pPr>
        <w:spacing w:after="0" w:line="240" w:lineRule="auto"/>
        <w:jc w:val="both"/>
        <w:rPr>
          <w:sz w:val="21"/>
        </w:rPr>
        <w:sectPr>
          <w:pgSz w:w="11910" w:h="16840"/>
          <w:pgMar w:header="0" w:footer="863" w:top="1060" w:bottom="1140" w:left="1680" w:right="900"/>
        </w:sectPr>
      </w:pPr>
    </w:p>
    <w:p>
      <w:pPr>
        <w:pStyle w:val="BodyText"/>
        <w:spacing w:before="15"/>
      </w:pPr>
      <w:r>
        <w:rPr/>
        <w:t>四十、严重脊髓灰质炎</w:t>
      </w:r>
    </w:p>
    <w:p>
      <w:pPr>
        <w:pStyle w:val="BodyText"/>
        <w:spacing w:line="237" w:lineRule="auto" w:before="59"/>
        <w:ind w:right="116"/>
        <w:jc w:val="both"/>
      </w:pPr>
      <w:r>
        <w:rPr/>
        <w:t>脊髓灰质炎是由于脊髓灰质炎病毒感染所致的瘫痪性疾病，临床表现为运动功能损害或呼吸无力。脊髓灰质炎必须明确诊断，且需提供脊髓灰质炎病毒检查的证据(如粪便或脑脊液检查，血液中抗体检查)。主合同仅对脊髓灰质炎造成的神经系统功能损害导致被保险人一肢或一肢以上肢体机能永久完全丧失的情况承担保险责任。</w:t>
      </w:r>
    </w:p>
    <w:p>
      <w:pPr>
        <w:pStyle w:val="Heading2"/>
        <w:spacing w:line="361" w:lineRule="exact"/>
        <w:jc w:val="both"/>
      </w:pPr>
      <w:r>
        <w:rPr>
          <w:u w:val="single"/>
        </w:rPr>
        <w:t>但未导致前述肢体瘫痪者及其它原因导致的瘫痪不在保障范围。</w:t>
      </w:r>
    </w:p>
    <w:p>
      <w:pPr>
        <w:pStyle w:val="BodyText"/>
        <w:spacing w:before="3"/>
        <w:ind w:left="0"/>
        <w:rPr>
          <w:rFonts w:ascii="微软雅黑"/>
          <w:b/>
          <w:sz w:val="19"/>
        </w:rPr>
      </w:pPr>
    </w:p>
    <w:p>
      <w:pPr>
        <w:pStyle w:val="BodyText"/>
        <w:spacing w:before="36"/>
      </w:pPr>
      <w:r>
        <w:rPr/>
        <w:t>四十一、严重心肌炎</w:t>
      </w:r>
    </w:p>
    <w:p>
      <w:pPr>
        <w:pStyle w:val="BodyText"/>
        <w:spacing w:before="61"/>
        <w:ind w:right="119"/>
      </w:pPr>
      <w:r>
        <w:rPr/>
        <w:t>指被保险人因严重心肌炎性病变导致心功能损害造成持续的永久不可逆性的心功能衰竭，必须满足所有以下条件：</w:t>
      </w:r>
    </w:p>
    <w:p>
      <w:pPr>
        <w:pStyle w:val="BodyText"/>
        <w:spacing w:before="56"/>
        <w:ind w:right="106"/>
      </w:pPr>
      <w:r>
        <w:rPr/>
        <w:t>（一</w:t>
      </w:r>
      <w:r>
        <w:rPr>
          <w:spacing w:val="-15"/>
        </w:rPr>
        <w:t>）</w:t>
      </w:r>
      <w:r>
        <w:rPr>
          <w:spacing w:val="-6"/>
        </w:rPr>
        <w:t>心功能衰竭程度达到纽约心脏病学会的心功能分级标准之心功能 </w:t>
      </w:r>
      <w:r>
        <w:rPr/>
        <w:t>IV</w:t>
      </w:r>
      <w:r>
        <w:rPr>
          <w:spacing w:val="-15"/>
        </w:rPr>
        <w:t> 级，或</w:t>
      </w:r>
      <w:r>
        <w:rPr>
          <w:spacing w:val="-13"/>
        </w:rPr>
        <w:t>左室射血分数低于 </w:t>
      </w:r>
      <w:r>
        <w:rPr/>
        <w:t>30%；</w:t>
      </w:r>
    </w:p>
    <w:p>
      <w:pPr>
        <w:pStyle w:val="BodyText"/>
        <w:spacing w:before="61"/>
      </w:pPr>
      <w:r>
        <w:rPr/>
        <w:t>（二）持续不间断 180 天以上；</w:t>
      </w:r>
    </w:p>
    <w:p>
      <w:pPr>
        <w:pStyle w:val="BodyText"/>
        <w:spacing w:before="56"/>
      </w:pPr>
      <w:r>
        <w:rPr/>
        <w:t>（三）被保险人永久不可逆性的体力活动能力受限，不能从事任何体力活动。</w:t>
      </w:r>
    </w:p>
    <w:p>
      <w:pPr>
        <w:pStyle w:val="BodyText"/>
        <w:ind w:left="0"/>
        <w:rPr>
          <w:sz w:val="20"/>
        </w:rPr>
      </w:pPr>
    </w:p>
    <w:p>
      <w:pPr>
        <w:pStyle w:val="BodyText"/>
        <w:spacing w:before="135"/>
      </w:pPr>
      <w:r>
        <w:rPr/>
        <w:t>四十二、嗜铬细胞瘤</w:t>
      </w:r>
    </w:p>
    <w:p>
      <w:pPr>
        <w:pStyle w:val="BodyText"/>
        <w:spacing w:line="228" w:lineRule="auto" w:before="70"/>
        <w:ind w:right="117"/>
      </w:pPr>
      <w:r>
        <w:rPr/>
        <w:t>是指肾上腺或嗜铬外组织出现神经内分泌肿瘤，并分</w:t>
      </w:r>
      <w:r>
        <w:rPr>
          <w:rFonts w:ascii="Arial" w:eastAsia="Arial"/>
          <w:w w:val="115"/>
        </w:rPr>
        <w:t>泌</w:t>
      </w:r>
      <w:r>
        <w:rPr/>
        <w:t>过多的儿茶酚胺类，需要确实进</w:t>
      </w:r>
      <w:r>
        <w:rPr>
          <w:rFonts w:ascii="Arial" w:eastAsia="Arial"/>
          <w:w w:val="115"/>
        </w:rPr>
        <w:t>行</w:t>
      </w:r>
      <w:r>
        <w:rPr/>
        <w:t>手术以切除肿瘤。嗜铬细胞瘤的诊断必须由内分泌专科医生确定。</w:t>
      </w:r>
    </w:p>
    <w:p>
      <w:pPr>
        <w:pStyle w:val="BodyText"/>
        <w:spacing w:before="2"/>
        <w:ind w:left="0"/>
        <w:rPr>
          <w:sz w:val="29"/>
        </w:rPr>
      </w:pPr>
    </w:p>
    <w:p>
      <w:pPr>
        <w:pStyle w:val="BodyText"/>
      </w:pPr>
      <w:r>
        <w:rPr/>
        <w:t>四十三、溶血性链球菌引起的坏疽</w:t>
      </w:r>
    </w:p>
    <w:p>
      <w:pPr>
        <w:pStyle w:val="BodyText"/>
        <w:spacing w:before="56"/>
        <w:ind w:right="119"/>
      </w:pPr>
      <w:r>
        <w:rPr/>
        <w:t>指躯干或肢体的浅筋膜或涉及肌肉的深筋膜感染，呈暴发性进展，必须即刻手术清创。须在外科手术后进行组织培养证实溶血性链球菌坏疽并由专科医生确诊。</w:t>
      </w:r>
    </w:p>
    <w:p>
      <w:pPr>
        <w:pStyle w:val="BodyText"/>
        <w:ind w:left="0"/>
        <w:rPr>
          <w:sz w:val="20"/>
        </w:rPr>
      </w:pPr>
    </w:p>
    <w:p>
      <w:pPr>
        <w:pStyle w:val="BodyText"/>
        <w:spacing w:before="155"/>
      </w:pPr>
      <w:r>
        <w:rPr/>
        <w:t>四十四、严重肠道疾病并发症</w:t>
      </w:r>
    </w:p>
    <w:p>
      <w:pPr>
        <w:pStyle w:val="BodyText"/>
        <w:spacing w:before="75"/>
      </w:pPr>
      <w:r>
        <w:rPr/>
        <w:t>严重肠道疾病或外伤导致小肠损害并发症，满足以下所有条件：</w:t>
      </w:r>
    </w:p>
    <w:p>
      <w:pPr>
        <w:pStyle w:val="BodyText"/>
        <w:spacing w:before="60"/>
      </w:pPr>
      <w:r>
        <w:rPr/>
        <w:t>（一）至少切除了三分之二小肠；</w:t>
      </w:r>
    </w:p>
    <w:p>
      <w:pPr>
        <w:pStyle w:val="BodyText"/>
        <w:spacing w:before="60"/>
      </w:pPr>
      <w:r>
        <w:rPr/>
        <w:t>（二）完全肠外营养支持三个月以上。</w:t>
      </w:r>
    </w:p>
    <w:p>
      <w:pPr>
        <w:pStyle w:val="BodyText"/>
        <w:ind w:left="0"/>
        <w:rPr>
          <w:sz w:val="20"/>
        </w:rPr>
      </w:pPr>
    </w:p>
    <w:p>
      <w:pPr>
        <w:pStyle w:val="BodyText"/>
        <w:spacing w:before="159"/>
      </w:pPr>
      <w:r>
        <w:rPr/>
        <w:t>四十五、雷伊氏综合症</w:t>
      </w:r>
    </w:p>
    <w:p>
      <w:pPr>
        <w:pStyle w:val="BodyText"/>
        <w:spacing w:line="273" w:lineRule="auto" w:before="51"/>
        <w:ind w:right="119"/>
        <w:jc w:val="both"/>
      </w:pPr>
      <w:r>
        <w:rPr/>
        <w:t>指急性脑病合并肝脂肪变性和线粒体功能障碍，可有上呼吸道感染和水痘，而后出现持续性呕吐，谵妄，木僵，癫痫，昏迷；肝脏肿大，肝功能异常，肝脂肪变性。此诊断需由专科医生确诊，并且肝脏活检结果显示脂肪变性，电子显微镜下显示独特的线粒体形态学改变。</w:t>
      </w:r>
    </w:p>
    <w:p>
      <w:pPr>
        <w:pStyle w:val="BodyText"/>
        <w:spacing w:before="10"/>
        <w:ind w:left="0"/>
        <w:rPr>
          <w:sz w:val="28"/>
        </w:rPr>
      </w:pPr>
    </w:p>
    <w:p>
      <w:pPr>
        <w:pStyle w:val="BodyText"/>
        <w:spacing w:before="1"/>
      </w:pPr>
      <w:r>
        <w:rPr/>
        <w:t>四十六、重症手足口病</w:t>
      </w:r>
    </w:p>
    <w:p>
      <w:pPr>
        <w:pStyle w:val="BodyText"/>
        <w:spacing w:before="56"/>
      </w:pPr>
      <w:r>
        <w:rPr/>
        <w:t>由肠道病毒引起的急性传染病，主要症状表现为手、足、口腔等部位的斑丘疹、</w:t>
      </w:r>
    </w:p>
    <w:p>
      <w:pPr>
        <w:pStyle w:val="BodyText"/>
        <w:spacing w:before="60"/>
        <w:ind w:right="119"/>
      </w:pPr>
      <w:r>
        <w:rPr/>
        <w:t>疱疹。经医院儿科专科医生确诊为患有手足口病，并伴有下列三项中的任意一项并发症：</w:t>
      </w:r>
    </w:p>
    <w:p>
      <w:pPr>
        <w:pStyle w:val="BodyText"/>
        <w:spacing w:before="55"/>
        <w:ind w:right="119"/>
      </w:pPr>
      <w:r>
        <w:rPr/>
        <w:t>（一）有脑膜炎或脑炎并发症，且导致意识障碍或瘫痪的临床表现及实验室检查证据；</w:t>
      </w:r>
    </w:p>
    <w:p>
      <w:pPr>
        <w:pStyle w:val="BodyText"/>
        <w:spacing w:before="60"/>
      </w:pPr>
      <w:r>
        <w:rPr/>
        <w:t>（二）有肺炎或肺水肿并发症，且导致呼吸衰竭的临床表现及实验室检查证据；</w:t>
      </w:r>
    </w:p>
    <w:p>
      <w:pPr>
        <w:pStyle w:val="BodyText"/>
        <w:spacing w:before="56"/>
        <w:ind w:right="119"/>
      </w:pPr>
      <w:r>
        <w:rPr/>
        <w:t>（三）有心肌炎并发症，且导致心脏扩大或心力衰竭的临床表现及实验室检查证据。</w:t>
      </w:r>
    </w:p>
    <w:p>
      <w:pPr>
        <w:spacing w:after="0"/>
        <w:sectPr>
          <w:pgSz w:w="11910" w:h="16840"/>
          <w:pgMar w:header="0" w:footer="863" w:top="1440" w:bottom="1140" w:left="1680" w:right="900"/>
        </w:sectPr>
      </w:pPr>
    </w:p>
    <w:p>
      <w:pPr>
        <w:pStyle w:val="BodyText"/>
        <w:spacing w:before="12"/>
      </w:pPr>
      <w:r>
        <w:rPr/>
        <w:t>四十七、骨生长不全症</w:t>
      </w:r>
    </w:p>
    <w:p>
      <w:pPr>
        <w:spacing w:line="211" w:lineRule="auto" w:before="120"/>
        <w:ind w:left="1782" w:right="337" w:firstLine="0"/>
        <w:jc w:val="left"/>
        <w:rPr>
          <w:sz w:val="21"/>
        </w:rPr>
      </w:pPr>
      <w:r>
        <w:rPr>
          <w:spacing w:val="-5"/>
          <w:sz w:val="21"/>
        </w:rPr>
        <w:t>是一种胶原病，特征为骨易碎，骨质疏松和易骨折。该病有</w:t>
      </w:r>
      <w:r>
        <w:rPr>
          <w:rFonts w:ascii="Times New Roman" w:eastAsia="Times New Roman"/>
          <w:sz w:val="21"/>
        </w:rPr>
        <w:t>4</w:t>
      </w:r>
      <w:r>
        <w:rPr>
          <w:spacing w:val="-2"/>
          <w:sz w:val="21"/>
        </w:rPr>
        <w:t>种类型：</w:t>
      </w:r>
      <w:r>
        <w:rPr>
          <w:rFonts w:ascii="Times New Roman" w:eastAsia="Times New Roman"/>
          <w:sz w:val="21"/>
        </w:rPr>
        <w:t>I</w:t>
      </w:r>
      <w:r>
        <w:rPr>
          <w:rFonts w:ascii="Times New Roman" w:eastAsia="Times New Roman"/>
          <w:spacing w:val="20"/>
          <w:sz w:val="21"/>
        </w:rPr>
        <w:t> </w:t>
      </w:r>
      <w:r>
        <w:rPr>
          <w:sz w:val="21"/>
        </w:rPr>
        <w:t>型、</w:t>
      </w:r>
      <w:r>
        <w:rPr>
          <w:rFonts w:ascii="Times New Roman" w:eastAsia="Times New Roman"/>
          <w:spacing w:val="-4"/>
          <w:sz w:val="21"/>
        </w:rPr>
        <w:t>II </w:t>
      </w:r>
      <w:r>
        <w:rPr>
          <w:sz w:val="21"/>
        </w:rPr>
        <w:t>型、</w:t>
      </w:r>
      <w:r>
        <w:rPr>
          <w:rFonts w:ascii="Times New Roman" w:eastAsia="Times New Roman"/>
          <w:spacing w:val="-4"/>
          <w:sz w:val="21"/>
        </w:rPr>
        <w:t>III</w:t>
      </w:r>
      <w:r>
        <w:rPr>
          <w:sz w:val="21"/>
        </w:rPr>
        <w:t>型、</w:t>
      </w:r>
      <w:r>
        <w:rPr>
          <w:rFonts w:ascii="Times New Roman" w:eastAsia="Times New Roman"/>
          <w:sz w:val="21"/>
        </w:rPr>
        <w:t>IV</w:t>
      </w:r>
      <w:r>
        <w:rPr>
          <w:sz w:val="21"/>
        </w:rPr>
        <w:t>型。</w:t>
      </w:r>
      <w:r>
        <w:rPr>
          <w:rFonts w:ascii="微软雅黑" w:eastAsia="微软雅黑" w:hint="eastAsia"/>
          <w:b/>
          <w:sz w:val="21"/>
        </w:rPr>
        <w:t>主合同只保障</w:t>
      </w:r>
      <w:r>
        <w:rPr>
          <w:rFonts w:ascii="Times New Roman" w:eastAsia="Times New Roman"/>
          <w:b/>
          <w:spacing w:val="-3"/>
          <w:sz w:val="21"/>
        </w:rPr>
        <w:t>III</w:t>
      </w:r>
      <w:r>
        <w:rPr>
          <w:rFonts w:ascii="微软雅黑" w:eastAsia="微软雅黑" w:hint="eastAsia"/>
          <w:b/>
          <w:spacing w:val="-1"/>
          <w:sz w:val="21"/>
        </w:rPr>
        <w:t>型成骨不全的情形</w:t>
      </w:r>
      <w:r>
        <w:rPr>
          <w:spacing w:val="-2"/>
          <w:sz w:val="21"/>
        </w:rPr>
        <w:t>，其主要临床特点有：发</w:t>
      </w:r>
    </w:p>
    <w:p>
      <w:pPr>
        <w:pStyle w:val="BodyText"/>
        <w:spacing w:line="256" w:lineRule="auto" w:before="12"/>
        <w:ind w:right="395"/>
      </w:pPr>
      <w:r>
        <w:rPr/>
        <w:t>展迟缓、多发性骨折、进行性脊柱后侧凸及听力损害。</w:t>
      </w:r>
      <w:r>
        <w:rPr>
          <w:rFonts w:ascii="Times New Roman" w:eastAsia="Times New Roman"/>
        </w:rPr>
        <w:t>III</w:t>
      </w:r>
      <w:r>
        <w:rPr/>
        <w:t>型成骨不全的诊断必须根据身体检查，家族史，</w:t>
      </w:r>
      <w:r>
        <w:rPr>
          <w:rFonts w:ascii="Times New Roman" w:eastAsia="Times New Roman"/>
        </w:rPr>
        <w:t>X</w:t>
      </w:r>
      <w:r>
        <w:rPr/>
        <w:t>线检查和皮肤活检报告资料确诊。</w:t>
      </w:r>
    </w:p>
    <w:p>
      <w:pPr>
        <w:pStyle w:val="BodyText"/>
        <w:spacing w:before="2"/>
        <w:ind w:left="0"/>
        <w:rPr>
          <w:sz w:val="24"/>
        </w:rPr>
      </w:pPr>
    </w:p>
    <w:p>
      <w:pPr>
        <w:pStyle w:val="BodyText"/>
      </w:pPr>
      <w:r>
        <w:rPr/>
        <w:t>四十八、细菌性脑脊髓膜炎</w:t>
      </w:r>
    </w:p>
    <w:p>
      <w:pPr>
        <w:pStyle w:val="BodyText"/>
        <w:spacing w:line="290" w:lineRule="auto" w:before="75"/>
        <w:ind w:right="396"/>
      </w:pPr>
      <w:r>
        <w:rPr/>
        <w:t>指因脑膜炎双球菌感染引起脑脊髓膜化脓性病变，且导致永久性神经损害，持续 90 日以上，并且脑脊液检查显示脑膜炎双球菌阳性。</w:t>
      </w:r>
    </w:p>
    <w:p>
      <w:pPr>
        <w:pStyle w:val="BodyText"/>
        <w:spacing w:line="237" w:lineRule="auto" w:before="20"/>
        <w:ind w:right="102"/>
        <w:jc w:val="both"/>
      </w:pPr>
      <w:r>
        <w:rPr/>
        <w:t>永久性神经损害是指由细菌性脑脊髓膜炎引起的耳聋、失明、动眼神经麻痹、瘫</w:t>
      </w:r>
      <w:r>
        <w:rPr>
          <w:spacing w:val="-11"/>
        </w:rPr>
        <w:t>痪、脑积水、智力或性情中度以上的损害，且上述症状持续 </w:t>
      </w:r>
      <w:r>
        <w:rPr/>
        <w:t>90 日以上仍无改善迹象。</w:t>
      </w:r>
    </w:p>
    <w:p>
      <w:pPr>
        <w:pStyle w:val="BodyText"/>
        <w:ind w:left="0"/>
        <w:rPr>
          <w:sz w:val="20"/>
        </w:rPr>
      </w:pPr>
    </w:p>
    <w:p>
      <w:pPr>
        <w:pStyle w:val="BodyText"/>
        <w:spacing w:before="165"/>
      </w:pPr>
      <w:r>
        <w:rPr/>
        <w:t>四十九、川崎病</w:t>
      </w:r>
    </w:p>
    <w:p>
      <w:pPr>
        <w:pStyle w:val="BodyText"/>
        <w:spacing w:line="235" w:lineRule="auto" w:before="33"/>
        <w:ind w:right="118"/>
      </w:pPr>
      <w:r>
        <w:rPr/>
        <w:t>为一种病因不明的系统性血管炎，主合同仅对诊断性检查证实川崎病并发动脉瘤或其他心血管异常并且实际接受了手术治疗的情况予以理赔。</w:t>
      </w:r>
    </w:p>
    <w:p>
      <w:pPr>
        <w:pStyle w:val="BodyText"/>
        <w:ind w:left="0"/>
        <w:rPr>
          <w:sz w:val="20"/>
        </w:rPr>
      </w:pPr>
    </w:p>
    <w:p>
      <w:pPr>
        <w:pStyle w:val="BodyText"/>
        <w:spacing w:before="135"/>
      </w:pPr>
      <w:r>
        <w:rPr/>
        <w:t>五十、斯蒂尔病</w:t>
      </w:r>
    </w:p>
    <w:p>
      <w:pPr>
        <w:pStyle w:val="BodyText"/>
        <w:spacing w:before="85"/>
      </w:pPr>
      <w:r>
        <w:rPr/>
        <w:t>斯蒂尔病须满足下列全部条件：</w:t>
      </w:r>
    </w:p>
    <w:p>
      <w:pPr>
        <w:pStyle w:val="BodyText"/>
        <w:spacing w:before="61"/>
      </w:pPr>
      <w:r>
        <w:rPr/>
        <w:t>（一）因该病引致广泛性关节破坏，以致需要进</w:t>
      </w:r>
      <w:r>
        <w:rPr>
          <w:rFonts w:ascii="Arial" w:eastAsia="Arial"/>
          <w:w w:val="115"/>
        </w:rPr>
        <w:t>行</w:t>
      </w:r>
      <w:r>
        <w:rPr/>
        <w:t>髋及膝关节置换；</w:t>
      </w:r>
    </w:p>
    <w:p>
      <w:pPr>
        <w:pStyle w:val="BodyText"/>
        <w:spacing w:before="41"/>
      </w:pPr>
      <w:r>
        <w:rPr/>
        <w:t>（二）由医院的风湿病专科医生确诊。</w:t>
      </w:r>
    </w:p>
    <w:sectPr>
      <w:pgSz w:w="11910" w:h="16840"/>
      <w:pgMar w:header="0" w:footer="863" w:top="1400" w:bottom="1140" w:left="16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83.749817pt;width:14.6pt;height:13.7pt;mso-position-horizontal-relative:page;mso-position-vertical-relative:page;z-index:-22192"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2204" w:hanging="423"/>
        <w:jc w:val="left"/>
      </w:pPr>
      <w:rPr>
        <w:rFonts w:hint="default" w:ascii="宋体" w:hAnsi="宋体" w:eastAsia="宋体" w:cs="宋体"/>
        <w:w w:val="100"/>
        <w:sz w:val="21"/>
        <w:szCs w:val="21"/>
      </w:rPr>
    </w:lvl>
    <w:lvl w:ilvl="1">
      <w:start w:val="0"/>
      <w:numFmt w:val="bullet"/>
      <w:lvlText w:val="•"/>
      <w:lvlJc w:val="left"/>
      <w:pPr>
        <w:ind w:left="2912" w:hanging="423"/>
      </w:pPr>
      <w:rPr>
        <w:rFonts w:hint="default"/>
      </w:rPr>
    </w:lvl>
    <w:lvl w:ilvl="2">
      <w:start w:val="0"/>
      <w:numFmt w:val="bullet"/>
      <w:lvlText w:val="•"/>
      <w:lvlJc w:val="left"/>
      <w:pPr>
        <w:ind w:left="3624" w:hanging="423"/>
      </w:pPr>
      <w:rPr>
        <w:rFonts w:hint="default"/>
      </w:rPr>
    </w:lvl>
    <w:lvl w:ilvl="3">
      <w:start w:val="0"/>
      <w:numFmt w:val="bullet"/>
      <w:lvlText w:val="•"/>
      <w:lvlJc w:val="left"/>
      <w:pPr>
        <w:ind w:left="4337" w:hanging="423"/>
      </w:pPr>
      <w:rPr>
        <w:rFonts w:hint="default"/>
      </w:rPr>
    </w:lvl>
    <w:lvl w:ilvl="4">
      <w:start w:val="0"/>
      <w:numFmt w:val="bullet"/>
      <w:lvlText w:val="•"/>
      <w:lvlJc w:val="left"/>
      <w:pPr>
        <w:ind w:left="5049" w:hanging="423"/>
      </w:pPr>
      <w:rPr>
        <w:rFonts w:hint="default"/>
      </w:rPr>
    </w:lvl>
    <w:lvl w:ilvl="5">
      <w:start w:val="0"/>
      <w:numFmt w:val="bullet"/>
      <w:lvlText w:val="•"/>
      <w:lvlJc w:val="left"/>
      <w:pPr>
        <w:ind w:left="5762" w:hanging="423"/>
      </w:pPr>
      <w:rPr>
        <w:rFonts w:hint="default"/>
      </w:rPr>
    </w:lvl>
    <w:lvl w:ilvl="6">
      <w:start w:val="0"/>
      <w:numFmt w:val="bullet"/>
      <w:lvlText w:val="•"/>
      <w:lvlJc w:val="left"/>
      <w:pPr>
        <w:ind w:left="6474" w:hanging="423"/>
      </w:pPr>
      <w:rPr>
        <w:rFonts w:hint="default"/>
      </w:rPr>
    </w:lvl>
    <w:lvl w:ilvl="7">
      <w:start w:val="0"/>
      <w:numFmt w:val="bullet"/>
      <w:lvlText w:val="•"/>
      <w:lvlJc w:val="left"/>
      <w:pPr>
        <w:ind w:left="7186" w:hanging="423"/>
      </w:pPr>
      <w:rPr>
        <w:rFonts w:hint="default"/>
      </w:rPr>
    </w:lvl>
    <w:lvl w:ilvl="8">
      <w:start w:val="0"/>
      <w:numFmt w:val="bullet"/>
      <w:lvlText w:val="•"/>
      <w:lvlJc w:val="left"/>
      <w:pPr>
        <w:ind w:left="7899" w:hanging="423"/>
      </w:pPr>
      <w:rPr>
        <w:rFonts w:hint="default"/>
      </w:rPr>
    </w:lvl>
  </w:abstractNum>
  <w:abstractNum w:abstractNumId="6">
    <w:multiLevelType w:val="hybridMultilevel"/>
    <w:lvl w:ilvl="0">
      <w:start w:val="1"/>
      <w:numFmt w:val="decimal"/>
      <w:lvlText w:val="%1."/>
      <w:lvlJc w:val="left"/>
      <w:pPr>
        <w:ind w:left="1782" w:hanging="423"/>
        <w:jc w:val="left"/>
      </w:pPr>
      <w:rPr>
        <w:rFonts w:hint="default" w:ascii="宋体" w:hAnsi="宋体" w:eastAsia="宋体" w:cs="宋体"/>
        <w:w w:val="100"/>
        <w:sz w:val="21"/>
        <w:szCs w:val="21"/>
      </w:rPr>
    </w:lvl>
    <w:lvl w:ilvl="1">
      <w:start w:val="0"/>
      <w:numFmt w:val="bullet"/>
      <w:lvlText w:val="•"/>
      <w:lvlJc w:val="left"/>
      <w:pPr>
        <w:ind w:left="2534" w:hanging="423"/>
      </w:pPr>
      <w:rPr>
        <w:rFonts w:hint="default"/>
      </w:rPr>
    </w:lvl>
    <w:lvl w:ilvl="2">
      <w:start w:val="0"/>
      <w:numFmt w:val="bullet"/>
      <w:lvlText w:val="•"/>
      <w:lvlJc w:val="left"/>
      <w:pPr>
        <w:ind w:left="3288" w:hanging="423"/>
      </w:pPr>
      <w:rPr>
        <w:rFonts w:hint="default"/>
      </w:rPr>
    </w:lvl>
    <w:lvl w:ilvl="3">
      <w:start w:val="0"/>
      <w:numFmt w:val="bullet"/>
      <w:lvlText w:val="•"/>
      <w:lvlJc w:val="left"/>
      <w:pPr>
        <w:ind w:left="4043" w:hanging="423"/>
      </w:pPr>
      <w:rPr>
        <w:rFonts w:hint="default"/>
      </w:rPr>
    </w:lvl>
    <w:lvl w:ilvl="4">
      <w:start w:val="0"/>
      <w:numFmt w:val="bullet"/>
      <w:lvlText w:val="•"/>
      <w:lvlJc w:val="left"/>
      <w:pPr>
        <w:ind w:left="4797" w:hanging="423"/>
      </w:pPr>
      <w:rPr>
        <w:rFonts w:hint="default"/>
      </w:rPr>
    </w:lvl>
    <w:lvl w:ilvl="5">
      <w:start w:val="0"/>
      <w:numFmt w:val="bullet"/>
      <w:lvlText w:val="•"/>
      <w:lvlJc w:val="left"/>
      <w:pPr>
        <w:ind w:left="5552" w:hanging="423"/>
      </w:pPr>
      <w:rPr>
        <w:rFonts w:hint="default"/>
      </w:rPr>
    </w:lvl>
    <w:lvl w:ilvl="6">
      <w:start w:val="0"/>
      <w:numFmt w:val="bullet"/>
      <w:lvlText w:val="•"/>
      <w:lvlJc w:val="left"/>
      <w:pPr>
        <w:ind w:left="6306" w:hanging="423"/>
      </w:pPr>
      <w:rPr>
        <w:rFonts w:hint="default"/>
      </w:rPr>
    </w:lvl>
    <w:lvl w:ilvl="7">
      <w:start w:val="0"/>
      <w:numFmt w:val="bullet"/>
      <w:lvlText w:val="•"/>
      <w:lvlJc w:val="left"/>
      <w:pPr>
        <w:ind w:left="7060" w:hanging="423"/>
      </w:pPr>
      <w:rPr>
        <w:rFonts w:hint="default"/>
      </w:rPr>
    </w:lvl>
    <w:lvl w:ilvl="8">
      <w:start w:val="0"/>
      <w:numFmt w:val="bullet"/>
      <w:lvlText w:val="•"/>
      <w:lvlJc w:val="left"/>
      <w:pPr>
        <w:ind w:left="7815" w:hanging="423"/>
      </w:pPr>
      <w:rPr>
        <w:rFonts w:hint="default"/>
      </w:rPr>
    </w:lvl>
  </w:abstractNum>
  <w:abstractNum w:abstractNumId="5">
    <w:multiLevelType w:val="hybridMultilevel"/>
    <w:lvl w:ilvl="0">
      <w:start w:val="2"/>
      <w:numFmt w:val="decimal"/>
      <w:lvlText w:val="%1."/>
      <w:lvlJc w:val="left"/>
      <w:pPr>
        <w:ind w:left="2204" w:hanging="423"/>
        <w:jc w:val="left"/>
      </w:pPr>
      <w:rPr>
        <w:rFonts w:hint="default" w:ascii="宋体" w:hAnsi="宋体" w:eastAsia="宋体" w:cs="宋体"/>
        <w:w w:val="100"/>
        <w:sz w:val="21"/>
        <w:szCs w:val="21"/>
      </w:rPr>
    </w:lvl>
    <w:lvl w:ilvl="1">
      <w:start w:val="0"/>
      <w:numFmt w:val="bullet"/>
      <w:lvlText w:val="•"/>
      <w:lvlJc w:val="left"/>
      <w:pPr>
        <w:ind w:left="2924" w:hanging="423"/>
      </w:pPr>
      <w:rPr>
        <w:rFonts w:hint="default"/>
      </w:rPr>
    </w:lvl>
    <w:lvl w:ilvl="2">
      <w:start w:val="0"/>
      <w:numFmt w:val="bullet"/>
      <w:lvlText w:val="•"/>
      <w:lvlJc w:val="left"/>
      <w:pPr>
        <w:ind w:left="3648" w:hanging="423"/>
      </w:pPr>
      <w:rPr>
        <w:rFonts w:hint="default"/>
      </w:rPr>
    </w:lvl>
    <w:lvl w:ilvl="3">
      <w:start w:val="0"/>
      <w:numFmt w:val="bullet"/>
      <w:lvlText w:val="•"/>
      <w:lvlJc w:val="left"/>
      <w:pPr>
        <w:ind w:left="4373" w:hanging="423"/>
      </w:pPr>
      <w:rPr>
        <w:rFonts w:hint="default"/>
      </w:rPr>
    </w:lvl>
    <w:lvl w:ilvl="4">
      <w:start w:val="0"/>
      <w:numFmt w:val="bullet"/>
      <w:lvlText w:val="•"/>
      <w:lvlJc w:val="left"/>
      <w:pPr>
        <w:ind w:left="5097" w:hanging="423"/>
      </w:pPr>
      <w:rPr>
        <w:rFonts w:hint="default"/>
      </w:rPr>
    </w:lvl>
    <w:lvl w:ilvl="5">
      <w:start w:val="0"/>
      <w:numFmt w:val="bullet"/>
      <w:lvlText w:val="•"/>
      <w:lvlJc w:val="left"/>
      <w:pPr>
        <w:ind w:left="5822" w:hanging="423"/>
      </w:pPr>
      <w:rPr>
        <w:rFonts w:hint="default"/>
      </w:rPr>
    </w:lvl>
    <w:lvl w:ilvl="6">
      <w:start w:val="0"/>
      <w:numFmt w:val="bullet"/>
      <w:lvlText w:val="•"/>
      <w:lvlJc w:val="left"/>
      <w:pPr>
        <w:ind w:left="6546" w:hanging="423"/>
      </w:pPr>
      <w:rPr>
        <w:rFonts w:hint="default"/>
      </w:rPr>
    </w:lvl>
    <w:lvl w:ilvl="7">
      <w:start w:val="0"/>
      <w:numFmt w:val="bullet"/>
      <w:lvlText w:val="•"/>
      <w:lvlJc w:val="left"/>
      <w:pPr>
        <w:ind w:left="7270" w:hanging="423"/>
      </w:pPr>
      <w:rPr>
        <w:rFonts w:hint="default"/>
      </w:rPr>
    </w:lvl>
    <w:lvl w:ilvl="8">
      <w:start w:val="0"/>
      <w:numFmt w:val="bullet"/>
      <w:lvlText w:val="•"/>
      <w:lvlJc w:val="left"/>
      <w:pPr>
        <w:ind w:left="7995" w:hanging="423"/>
      </w:pPr>
      <w:rPr>
        <w:rFonts w:hint="default"/>
      </w:rPr>
    </w:lvl>
  </w:abstractNum>
  <w:abstractNum w:abstractNumId="4">
    <w:multiLevelType w:val="hybridMultilevel"/>
    <w:lvl w:ilvl="0">
      <w:start w:val="1"/>
      <w:numFmt w:val="decimal"/>
      <w:lvlText w:val="%1."/>
      <w:lvlJc w:val="left"/>
      <w:pPr>
        <w:ind w:left="573" w:hanging="423"/>
        <w:jc w:val="left"/>
      </w:pPr>
      <w:rPr>
        <w:rFonts w:hint="default" w:ascii="宋体" w:hAnsi="宋体" w:eastAsia="宋体" w:cs="宋体"/>
        <w:w w:val="100"/>
        <w:sz w:val="21"/>
        <w:szCs w:val="21"/>
      </w:rPr>
    </w:lvl>
    <w:lvl w:ilvl="1">
      <w:start w:val="0"/>
      <w:numFmt w:val="bullet"/>
      <w:lvlText w:val="•"/>
      <w:lvlJc w:val="left"/>
      <w:pPr>
        <w:ind w:left="1291" w:hanging="423"/>
      </w:pPr>
      <w:rPr>
        <w:rFonts w:hint="default"/>
      </w:rPr>
    </w:lvl>
    <w:lvl w:ilvl="2">
      <w:start w:val="0"/>
      <w:numFmt w:val="bullet"/>
      <w:lvlText w:val="•"/>
      <w:lvlJc w:val="left"/>
      <w:pPr>
        <w:ind w:left="2003" w:hanging="423"/>
      </w:pPr>
      <w:rPr>
        <w:rFonts w:hint="default"/>
      </w:rPr>
    </w:lvl>
    <w:lvl w:ilvl="3">
      <w:start w:val="0"/>
      <w:numFmt w:val="bullet"/>
      <w:lvlText w:val="•"/>
      <w:lvlJc w:val="left"/>
      <w:pPr>
        <w:ind w:left="2715" w:hanging="423"/>
      </w:pPr>
      <w:rPr>
        <w:rFonts w:hint="default"/>
      </w:rPr>
    </w:lvl>
    <w:lvl w:ilvl="4">
      <w:start w:val="0"/>
      <w:numFmt w:val="bullet"/>
      <w:lvlText w:val="•"/>
      <w:lvlJc w:val="left"/>
      <w:pPr>
        <w:ind w:left="3426" w:hanging="423"/>
      </w:pPr>
      <w:rPr>
        <w:rFonts w:hint="default"/>
      </w:rPr>
    </w:lvl>
    <w:lvl w:ilvl="5">
      <w:start w:val="0"/>
      <w:numFmt w:val="bullet"/>
      <w:lvlText w:val="•"/>
      <w:lvlJc w:val="left"/>
      <w:pPr>
        <w:ind w:left="4138" w:hanging="423"/>
      </w:pPr>
      <w:rPr>
        <w:rFonts w:hint="default"/>
      </w:rPr>
    </w:lvl>
    <w:lvl w:ilvl="6">
      <w:start w:val="0"/>
      <w:numFmt w:val="bullet"/>
      <w:lvlText w:val="•"/>
      <w:lvlJc w:val="left"/>
      <w:pPr>
        <w:ind w:left="4850" w:hanging="423"/>
      </w:pPr>
      <w:rPr>
        <w:rFonts w:hint="default"/>
      </w:rPr>
    </w:lvl>
    <w:lvl w:ilvl="7">
      <w:start w:val="0"/>
      <w:numFmt w:val="bullet"/>
      <w:lvlText w:val="•"/>
      <w:lvlJc w:val="left"/>
      <w:pPr>
        <w:ind w:left="5561" w:hanging="423"/>
      </w:pPr>
      <w:rPr>
        <w:rFonts w:hint="default"/>
      </w:rPr>
    </w:lvl>
    <w:lvl w:ilvl="8">
      <w:start w:val="0"/>
      <w:numFmt w:val="bullet"/>
      <w:lvlText w:val="•"/>
      <w:lvlJc w:val="left"/>
      <w:pPr>
        <w:ind w:left="6273" w:hanging="423"/>
      </w:pPr>
      <w:rPr>
        <w:rFonts w:hint="default"/>
      </w:rPr>
    </w:lvl>
  </w:abstractNum>
  <w:abstractNum w:abstractNumId="3">
    <w:multiLevelType w:val="hybridMultilevel"/>
    <w:lvl w:ilvl="0">
      <w:start w:val="20"/>
      <w:numFmt w:val="decimal"/>
      <w:lvlText w:val="%1."/>
      <w:lvlJc w:val="left"/>
      <w:pPr>
        <w:ind w:left="2539" w:hanging="846"/>
        <w:jc w:val="left"/>
      </w:pPr>
      <w:rPr>
        <w:rFonts w:hint="default" w:ascii="微软雅黑" w:hAnsi="微软雅黑" w:eastAsia="微软雅黑" w:cs="微软雅黑"/>
        <w:b/>
        <w:bCs/>
        <w:w w:val="81"/>
        <w:sz w:val="21"/>
        <w:szCs w:val="21"/>
      </w:rPr>
    </w:lvl>
    <w:lvl w:ilvl="1">
      <w:start w:val="1"/>
      <w:numFmt w:val="decimal"/>
      <w:lvlText w:val="%2."/>
      <w:lvlJc w:val="left"/>
      <w:pPr>
        <w:ind w:left="1782" w:hanging="423"/>
        <w:jc w:val="left"/>
      </w:pPr>
      <w:rPr>
        <w:rFonts w:hint="default"/>
        <w:w w:val="81"/>
        <w:u w:val="single" w:color="000000"/>
      </w:rPr>
    </w:lvl>
    <w:lvl w:ilvl="2">
      <w:start w:val="0"/>
      <w:numFmt w:val="bullet"/>
      <w:lvlText w:val="•"/>
      <w:lvlJc w:val="left"/>
      <w:pPr>
        <w:ind w:left="3307" w:hanging="423"/>
      </w:pPr>
      <w:rPr>
        <w:rFonts w:hint="default"/>
      </w:rPr>
    </w:lvl>
    <w:lvl w:ilvl="3">
      <w:start w:val="0"/>
      <w:numFmt w:val="bullet"/>
      <w:lvlText w:val="•"/>
      <w:lvlJc w:val="left"/>
      <w:pPr>
        <w:ind w:left="4074" w:hanging="423"/>
      </w:pPr>
      <w:rPr>
        <w:rFonts w:hint="default"/>
      </w:rPr>
    </w:lvl>
    <w:lvl w:ilvl="4">
      <w:start w:val="0"/>
      <w:numFmt w:val="bullet"/>
      <w:lvlText w:val="•"/>
      <w:lvlJc w:val="left"/>
      <w:pPr>
        <w:ind w:left="4841" w:hanging="423"/>
      </w:pPr>
      <w:rPr>
        <w:rFonts w:hint="default"/>
      </w:rPr>
    </w:lvl>
    <w:lvl w:ilvl="5">
      <w:start w:val="0"/>
      <w:numFmt w:val="bullet"/>
      <w:lvlText w:val="•"/>
      <w:lvlJc w:val="left"/>
      <w:pPr>
        <w:ind w:left="5608" w:hanging="423"/>
      </w:pPr>
      <w:rPr>
        <w:rFonts w:hint="default"/>
      </w:rPr>
    </w:lvl>
    <w:lvl w:ilvl="6">
      <w:start w:val="0"/>
      <w:numFmt w:val="bullet"/>
      <w:lvlText w:val="•"/>
      <w:lvlJc w:val="left"/>
      <w:pPr>
        <w:ind w:left="6375" w:hanging="423"/>
      </w:pPr>
      <w:rPr>
        <w:rFonts w:hint="default"/>
      </w:rPr>
    </w:lvl>
    <w:lvl w:ilvl="7">
      <w:start w:val="0"/>
      <w:numFmt w:val="bullet"/>
      <w:lvlText w:val="•"/>
      <w:lvlJc w:val="left"/>
      <w:pPr>
        <w:ind w:left="7142" w:hanging="423"/>
      </w:pPr>
      <w:rPr>
        <w:rFonts w:hint="default"/>
      </w:rPr>
    </w:lvl>
    <w:lvl w:ilvl="8">
      <w:start w:val="0"/>
      <w:numFmt w:val="bullet"/>
      <w:lvlText w:val="•"/>
      <w:lvlJc w:val="left"/>
      <w:pPr>
        <w:ind w:left="7909" w:hanging="423"/>
      </w:pPr>
      <w:rPr>
        <w:rFonts w:hint="default"/>
      </w:rPr>
    </w:lvl>
  </w:abstractNum>
  <w:abstractNum w:abstractNumId="2">
    <w:multiLevelType w:val="hybridMultilevel"/>
    <w:lvl w:ilvl="0">
      <w:start w:val="25"/>
      <w:numFmt w:val="decimal"/>
      <w:lvlText w:val="%1."/>
      <w:lvlJc w:val="left"/>
      <w:pPr>
        <w:ind w:left="990" w:hanging="423"/>
        <w:jc w:val="left"/>
      </w:pPr>
      <w:rPr>
        <w:rFonts w:hint="default" w:ascii="宋体" w:hAnsi="宋体" w:eastAsia="宋体" w:cs="宋体"/>
        <w:w w:val="100"/>
        <w:sz w:val="21"/>
        <w:szCs w:val="21"/>
      </w:rPr>
    </w:lvl>
    <w:lvl w:ilvl="1">
      <w:start w:val="1"/>
      <w:numFmt w:val="decimal"/>
      <w:lvlText w:val="%2."/>
      <w:lvlJc w:val="left"/>
      <w:pPr>
        <w:ind w:left="2933" w:hanging="418"/>
        <w:jc w:val="left"/>
      </w:pPr>
      <w:rPr>
        <w:rFonts w:hint="default" w:ascii="微软雅黑" w:hAnsi="微软雅黑" w:eastAsia="微软雅黑" w:cs="微软雅黑"/>
        <w:b/>
        <w:bCs/>
        <w:w w:val="111"/>
        <w:sz w:val="21"/>
        <w:szCs w:val="21"/>
      </w:rPr>
    </w:lvl>
    <w:lvl w:ilvl="2">
      <w:start w:val="0"/>
      <w:numFmt w:val="bullet"/>
      <w:lvlText w:val="•"/>
      <w:lvlJc w:val="left"/>
      <w:pPr>
        <w:ind w:left="3175" w:hanging="418"/>
      </w:pPr>
      <w:rPr>
        <w:rFonts w:hint="default"/>
      </w:rPr>
    </w:lvl>
    <w:lvl w:ilvl="3">
      <w:start w:val="0"/>
      <w:numFmt w:val="bullet"/>
      <w:lvlText w:val="•"/>
      <w:lvlJc w:val="left"/>
      <w:pPr>
        <w:ind w:left="3411" w:hanging="418"/>
      </w:pPr>
      <w:rPr>
        <w:rFonts w:hint="default"/>
      </w:rPr>
    </w:lvl>
    <w:lvl w:ilvl="4">
      <w:start w:val="0"/>
      <w:numFmt w:val="bullet"/>
      <w:lvlText w:val="•"/>
      <w:lvlJc w:val="left"/>
      <w:pPr>
        <w:ind w:left="3647" w:hanging="418"/>
      </w:pPr>
      <w:rPr>
        <w:rFonts w:hint="default"/>
      </w:rPr>
    </w:lvl>
    <w:lvl w:ilvl="5">
      <w:start w:val="0"/>
      <w:numFmt w:val="bullet"/>
      <w:lvlText w:val="•"/>
      <w:lvlJc w:val="left"/>
      <w:pPr>
        <w:ind w:left="3883" w:hanging="418"/>
      </w:pPr>
      <w:rPr>
        <w:rFonts w:hint="default"/>
      </w:rPr>
    </w:lvl>
    <w:lvl w:ilvl="6">
      <w:start w:val="0"/>
      <w:numFmt w:val="bullet"/>
      <w:lvlText w:val="•"/>
      <w:lvlJc w:val="left"/>
      <w:pPr>
        <w:ind w:left="4119" w:hanging="418"/>
      </w:pPr>
      <w:rPr>
        <w:rFonts w:hint="default"/>
      </w:rPr>
    </w:lvl>
    <w:lvl w:ilvl="7">
      <w:start w:val="0"/>
      <w:numFmt w:val="bullet"/>
      <w:lvlText w:val="•"/>
      <w:lvlJc w:val="left"/>
      <w:pPr>
        <w:ind w:left="4355" w:hanging="418"/>
      </w:pPr>
      <w:rPr>
        <w:rFonts w:hint="default"/>
      </w:rPr>
    </w:lvl>
    <w:lvl w:ilvl="8">
      <w:start w:val="0"/>
      <w:numFmt w:val="bullet"/>
      <w:lvlText w:val="•"/>
      <w:lvlJc w:val="left"/>
      <w:pPr>
        <w:ind w:left="4591" w:hanging="418"/>
      </w:pPr>
      <w:rPr>
        <w:rFonts w:hint="default"/>
      </w:rPr>
    </w:lvl>
  </w:abstractNum>
  <w:abstractNum w:abstractNumId="1">
    <w:multiLevelType w:val="hybridMultilevel"/>
    <w:lvl w:ilvl="0">
      <w:start w:val="1"/>
      <w:numFmt w:val="decimal"/>
      <w:lvlText w:val="%1."/>
      <w:lvlJc w:val="left"/>
      <w:pPr>
        <w:ind w:left="567" w:hanging="317"/>
        <w:jc w:val="left"/>
      </w:pPr>
      <w:rPr>
        <w:rFonts w:hint="default" w:ascii="宋体" w:hAnsi="宋体" w:eastAsia="宋体" w:cs="宋体"/>
        <w:w w:val="100"/>
        <w:sz w:val="21"/>
        <w:szCs w:val="21"/>
      </w:rPr>
    </w:lvl>
    <w:lvl w:ilvl="1">
      <w:start w:val="0"/>
      <w:numFmt w:val="bullet"/>
      <w:lvlText w:val="•"/>
      <w:lvlJc w:val="left"/>
      <w:pPr>
        <w:ind w:left="867" w:hanging="317"/>
      </w:pPr>
      <w:rPr>
        <w:rFonts w:hint="default"/>
      </w:rPr>
    </w:lvl>
    <w:lvl w:ilvl="2">
      <w:start w:val="0"/>
      <w:numFmt w:val="bullet"/>
      <w:lvlText w:val="•"/>
      <w:lvlJc w:val="left"/>
      <w:pPr>
        <w:ind w:left="1174" w:hanging="317"/>
      </w:pPr>
      <w:rPr>
        <w:rFonts w:hint="default"/>
      </w:rPr>
    </w:lvl>
    <w:lvl w:ilvl="3">
      <w:start w:val="0"/>
      <w:numFmt w:val="bullet"/>
      <w:lvlText w:val="•"/>
      <w:lvlJc w:val="left"/>
      <w:pPr>
        <w:ind w:left="1481" w:hanging="317"/>
      </w:pPr>
      <w:rPr>
        <w:rFonts w:hint="default"/>
      </w:rPr>
    </w:lvl>
    <w:lvl w:ilvl="4">
      <w:start w:val="0"/>
      <w:numFmt w:val="bullet"/>
      <w:lvlText w:val="•"/>
      <w:lvlJc w:val="left"/>
      <w:pPr>
        <w:ind w:left="1788" w:hanging="317"/>
      </w:pPr>
      <w:rPr>
        <w:rFonts w:hint="default"/>
      </w:rPr>
    </w:lvl>
    <w:lvl w:ilvl="5">
      <w:start w:val="0"/>
      <w:numFmt w:val="bullet"/>
      <w:lvlText w:val="•"/>
      <w:lvlJc w:val="left"/>
      <w:pPr>
        <w:ind w:left="2095" w:hanging="317"/>
      </w:pPr>
      <w:rPr>
        <w:rFonts w:hint="default"/>
      </w:rPr>
    </w:lvl>
    <w:lvl w:ilvl="6">
      <w:start w:val="0"/>
      <w:numFmt w:val="bullet"/>
      <w:lvlText w:val="•"/>
      <w:lvlJc w:val="left"/>
      <w:pPr>
        <w:ind w:left="2402" w:hanging="317"/>
      </w:pPr>
      <w:rPr>
        <w:rFonts w:hint="default"/>
      </w:rPr>
    </w:lvl>
    <w:lvl w:ilvl="7">
      <w:start w:val="0"/>
      <w:numFmt w:val="bullet"/>
      <w:lvlText w:val="•"/>
      <w:lvlJc w:val="left"/>
      <w:pPr>
        <w:ind w:left="2709" w:hanging="317"/>
      </w:pPr>
      <w:rPr>
        <w:rFonts w:hint="default"/>
      </w:rPr>
    </w:lvl>
    <w:lvl w:ilvl="8">
      <w:start w:val="0"/>
      <w:numFmt w:val="bullet"/>
      <w:lvlText w:val="•"/>
      <w:lvlJc w:val="left"/>
      <w:pPr>
        <w:ind w:left="3016" w:hanging="317"/>
      </w:pPr>
      <w:rPr>
        <w:rFonts w:hint="default"/>
      </w:rPr>
    </w:lvl>
  </w:abstractNum>
  <w:abstractNum w:abstractNumId="0">
    <w:multiLevelType w:val="hybridMultilevel"/>
    <w:lvl w:ilvl="0">
      <w:start w:val="0"/>
      <w:numFmt w:val="bullet"/>
      <w:lvlText w:val=""/>
      <w:lvlJc w:val="left"/>
      <w:pPr>
        <w:ind w:left="567" w:hanging="423"/>
      </w:pPr>
      <w:rPr>
        <w:rFonts w:hint="default" w:ascii="Wingdings" w:hAnsi="Wingdings" w:eastAsia="Wingdings" w:cs="Wingdings"/>
        <w:w w:val="100"/>
        <w:sz w:val="21"/>
        <w:szCs w:val="21"/>
      </w:rPr>
    </w:lvl>
    <w:lvl w:ilvl="1">
      <w:start w:val="0"/>
      <w:numFmt w:val="bullet"/>
      <w:lvlText w:val=""/>
      <w:lvlJc w:val="left"/>
      <w:pPr>
        <w:ind w:left="985" w:hanging="418"/>
      </w:pPr>
      <w:rPr>
        <w:rFonts w:hint="default" w:ascii="Wingdings" w:hAnsi="Wingdings" w:eastAsia="Wingdings" w:cs="Wingdings"/>
        <w:w w:val="100"/>
        <w:sz w:val="21"/>
        <w:szCs w:val="21"/>
      </w:rPr>
    </w:lvl>
    <w:lvl w:ilvl="2">
      <w:start w:val="0"/>
      <w:numFmt w:val="bullet"/>
      <w:lvlText w:val="•"/>
      <w:lvlJc w:val="left"/>
      <w:pPr>
        <w:ind w:left="2011" w:hanging="418"/>
      </w:pPr>
      <w:rPr>
        <w:rFonts w:hint="default"/>
      </w:rPr>
    </w:lvl>
    <w:lvl w:ilvl="3">
      <w:start w:val="0"/>
      <w:numFmt w:val="bullet"/>
      <w:lvlText w:val="•"/>
      <w:lvlJc w:val="left"/>
      <w:pPr>
        <w:ind w:left="3043" w:hanging="418"/>
      </w:pPr>
      <w:rPr>
        <w:rFonts w:hint="default"/>
      </w:rPr>
    </w:lvl>
    <w:lvl w:ilvl="4">
      <w:start w:val="0"/>
      <w:numFmt w:val="bullet"/>
      <w:lvlText w:val="•"/>
      <w:lvlJc w:val="left"/>
      <w:pPr>
        <w:ind w:left="4074" w:hanging="418"/>
      </w:pPr>
      <w:rPr>
        <w:rFonts w:hint="default"/>
      </w:rPr>
    </w:lvl>
    <w:lvl w:ilvl="5">
      <w:start w:val="0"/>
      <w:numFmt w:val="bullet"/>
      <w:lvlText w:val="•"/>
      <w:lvlJc w:val="left"/>
      <w:pPr>
        <w:ind w:left="5106" w:hanging="418"/>
      </w:pPr>
      <w:rPr>
        <w:rFonts w:hint="default"/>
      </w:rPr>
    </w:lvl>
    <w:lvl w:ilvl="6">
      <w:start w:val="0"/>
      <w:numFmt w:val="bullet"/>
      <w:lvlText w:val="•"/>
      <w:lvlJc w:val="left"/>
      <w:pPr>
        <w:ind w:left="6137" w:hanging="418"/>
      </w:pPr>
      <w:rPr>
        <w:rFonts w:hint="default"/>
      </w:rPr>
    </w:lvl>
    <w:lvl w:ilvl="7">
      <w:start w:val="0"/>
      <w:numFmt w:val="bullet"/>
      <w:lvlText w:val="•"/>
      <w:lvlJc w:val="left"/>
      <w:pPr>
        <w:ind w:left="7169" w:hanging="418"/>
      </w:pPr>
      <w:rPr>
        <w:rFonts w:hint="default"/>
      </w:rPr>
    </w:lvl>
    <w:lvl w:ilvl="8">
      <w:start w:val="0"/>
      <w:numFmt w:val="bullet"/>
      <w:lvlText w:val="•"/>
      <w:lvlJc w:val="left"/>
      <w:pPr>
        <w:ind w:left="8200" w:hanging="418"/>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782"/>
    </w:pPr>
    <w:rPr>
      <w:rFonts w:ascii="宋体" w:hAnsi="宋体" w:eastAsia="宋体" w:cs="宋体"/>
      <w:sz w:val="21"/>
      <w:szCs w:val="21"/>
    </w:rPr>
  </w:style>
  <w:style w:styleId="Heading1" w:type="paragraph">
    <w:name w:val="Heading 1"/>
    <w:basedOn w:val="Normal"/>
    <w:uiPriority w:val="1"/>
    <w:qFormat/>
    <w:pPr>
      <w:spacing w:line="356" w:lineRule="exact"/>
      <w:ind w:left="1969"/>
      <w:outlineLvl w:val="1"/>
    </w:pPr>
    <w:rPr>
      <w:rFonts w:ascii="微软雅黑" w:hAnsi="微软雅黑" w:eastAsia="微软雅黑" w:cs="微软雅黑"/>
      <w:b/>
      <w:bCs/>
      <w:sz w:val="30"/>
      <w:szCs w:val="30"/>
    </w:rPr>
  </w:style>
  <w:style w:styleId="Heading2" w:type="paragraph">
    <w:name w:val="Heading 2"/>
    <w:basedOn w:val="Normal"/>
    <w:uiPriority w:val="1"/>
    <w:qFormat/>
    <w:pPr>
      <w:ind w:left="1782"/>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61"/>
      <w:ind w:left="990"/>
    </w:pPr>
    <w:rPr>
      <w:rFonts w:ascii="宋体" w:hAnsi="宋体" w:eastAsia="宋体" w:cs="宋体"/>
    </w:rPr>
  </w:style>
  <w:style w:styleId="TableParagraph" w:type="paragraph">
    <w:name w:val="Table Paragraph"/>
    <w:basedOn w:val="Normal"/>
    <w:uiPriority w:val="1"/>
    <w:qFormat/>
    <w:pPr>
      <w:ind w:left="1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cxfang</dc:creator>
  <dc:title>阅 读 指 引 </dc:title>
  <dcterms:created xsi:type="dcterms:W3CDTF">2018-10-19T21:42:20Z</dcterms:created>
  <dcterms:modified xsi:type="dcterms:W3CDTF">2018-10-19T21:42:20Z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2017-08-01T00:00:00Z</vt:filetime>
  </property>
  <property fmtid="{D5CDD505-2E9C-101B-9397-08002B2CF9AE}" pid="3" name="Creator">
    <vt:lpwstr>Microsoft® Word 2013</vt:lpwstr>
  </property>
  <property fmtid="{D5CDD505-2E9C-101B-9397-08002B2CF9AE}" pid="4" name="LastSaved">
    <vt:filetime>2018-10-19T00:00:00Z</vt:filetime>
  </property>
</Properties>
</file>