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36" w:firstLine="0"/>
        <w:jc w:val="right"/>
        <w:rPr>
          <w:sz w:val="21"/>
        </w:rPr>
      </w:pPr>
      <w:r>
        <w:rPr>
          <w:sz w:val="21"/>
        </w:rPr>
        <w:t>友邦保险</w:t>
      </w:r>
      <w:r>
        <w:rPr>
          <w:rFonts w:ascii="Times New Roman" w:eastAsia="Times New Roman"/>
          <w:sz w:val="21"/>
        </w:rPr>
        <w:t>[2014]</w:t>
      </w:r>
      <w:r>
        <w:rPr>
          <w:sz w:val="21"/>
        </w:rPr>
        <w:t>疾病保险 </w:t>
      </w:r>
      <w:r>
        <w:rPr>
          <w:rFonts w:ascii="Times New Roman" w:eastAsia="Times New Roman"/>
          <w:sz w:val="21"/>
        </w:rPr>
        <w:t>088 </w:t>
      </w:r>
      <w:r>
        <w:rPr>
          <w:sz w:val="21"/>
        </w:rPr>
        <w:t>号</w:t>
      </w:r>
    </w:p>
    <w:p>
      <w:pPr>
        <w:pStyle w:val="BodyText"/>
        <w:rPr>
          <w:sz w:val="20"/>
        </w:rPr>
      </w:pPr>
    </w:p>
    <w:p>
      <w:pPr>
        <w:pStyle w:val="BodyText"/>
        <w:rPr>
          <w:sz w:val="20"/>
        </w:rPr>
      </w:pPr>
    </w:p>
    <w:p>
      <w:pPr>
        <w:pStyle w:val="BodyText"/>
        <w:rPr>
          <w:sz w:val="20"/>
        </w:rPr>
      </w:pPr>
    </w:p>
    <w:p>
      <w:pPr>
        <w:pStyle w:val="BodyText"/>
        <w:rPr>
          <w:sz w:val="23"/>
        </w:rPr>
      </w:pPr>
    </w:p>
    <w:p>
      <w:pPr>
        <w:spacing w:after="0"/>
        <w:rPr>
          <w:sz w:val="23"/>
        </w:rPr>
        <w:sectPr>
          <w:type w:val="continuous"/>
          <w:pgSz w:w="11910" w:h="16840"/>
          <w:pgMar w:top="1000" w:bottom="280" w:left="980" w:right="1000"/>
        </w:sectPr>
      </w:pPr>
    </w:p>
    <w:p>
      <w:pPr>
        <w:spacing w:before="283"/>
        <w:ind w:left="2812" w:right="0" w:firstLine="0"/>
        <w:jc w:val="left"/>
        <w:rPr>
          <w:b/>
          <w:sz w:val="36"/>
        </w:rPr>
      </w:pPr>
      <w:r>
        <w:rPr>
          <w:b/>
          <w:w w:val="95"/>
          <w:sz w:val="36"/>
        </w:rPr>
        <w:t>友邦加惠团体重大疾病保险</w:t>
      </w:r>
    </w:p>
    <w:p>
      <w:pPr>
        <w:spacing w:before="36"/>
        <w:ind w:left="32" w:right="0" w:firstLine="0"/>
        <w:jc w:val="left"/>
        <w:rPr>
          <w:sz w:val="21"/>
        </w:rPr>
      </w:pPr>
      <w:r>
        <w:rPr/>
        <w:br w:type="column"/>
      </w:r>
      <w:r>
        <w:rPr>
          <w:sz w:val="21"/>
        </w:rPr>
        <w:t>请扫描以查询验证条款</w:t>
      </w:r>
    </w:p>
    <w:p>
      <w:pPr>
        <w:spacing w:after="0"/>
        <w:jc w:val="left"/>
        <w:rPr>
          <w:sz w:val="21"/>
        </w:rPr>
        <w:sectPr>
          <w:type w:val="continuous"/>
          <w:pgSz w:w="11910" w:h="16840"/>
          <w:pgMar w:top="1000" w:bottom="280" w:left="980" w:right="1000"/>
          <w:cols w:num="2" w:equalWidth="0">
            <w:col w:w="7137" w:space="40"/>
            <w:col w:w="2753"/>
          </w:cols>
        </w:sectPr>
      </w:pPr>
    </w:p>
    <w:p>
      <w:pPr>
        <w:pStyle w:val="BodyText"/>
        <w:spacing w:before="5"/>
        <w:rPr>
          <w:sz w:val="16"/>
        </w:rPr>
      </w:pPr>
      <w:r>
        <w:rPr/>
        <w:pict>
          <v:group style="position:absolute;margin-left:.169213pt;margin-top:0pt;width:595.3pt;height:833.05pt;mso-position-horizontal-relative:page;mso-position-vertical-relative:page;z-index:-19648" coordorigin="3,0" coordsize="11906,16661">
            <v:shape style="position:absolute;left:3;top:0;width:11906;height:16661" type="#_x0000_t75" stroked="false">
              <v:imagedata r:id="rId5" o:title=""/>
            </v:shape>
            <v:shape style="position:absolute;left:8676;top:1361;width:1140;height:1140" type="#_x0000_t75" stroked="false">
              <v:imagedata r:id="rId6" o:title=""/>
            </v:shape>
            <v:line style="position:absolute" from="1080,15615" to="10580,15615" stroked="true" strokeweight=".627480pt" strokecolor="#000000">
              <v:stroke dashstyle="solid"/>
            </v:line>
            <w10:wrap type="none"/>
          </v:group>
        </w:pict>
      </w:r>
    </w:p>
    <w:p>
      <w:pPr>
        <w:pStyle w:val="Heading1"/>
        <w:tabs>
          <w:tab w:pos="985" w:val="left" w:leader="none"/>
        </w:tabs>
        <w:spacing w:before="38"/>
      </w:pPr>
      <w:r>
        <w:rPr/>
        <w:t>第一条</w:t>
        <w:tab/>
      </w:r>
      <w:r>
        <w:rPr>
          <w:w w:val="95"/>
        </w:rPr>
        <w:t>保险合同的构成</w:t>
      </w:r>
    </w:p>
    <w:p>
      <w:pPr>
        <w:pStyle w:val="BodyText"/>
        <w:rPr>
          <w:b/>
        </w:rPr>
      </w:pPr>
    </w:p>
    <w:p>
      <w:pPr>
        <w:pStyle w:val="BodyText"/>
        <w:spacing w:line="232" w:lineRule="auto" w:before="1"/>
        <w:ind w:left="100" w:right="106"/>
      </w:pPr>
      <w:r>
        <w:rPr/>
        <w:t>本保险条款、保险单、所附的投保单和其他投保文件以及被保险人的加入申请表（如有）（正本留本公司存档，其复印件或电子影印件与正本具有同等效力）、新增</w:t>
      </w:r>
      <w:r>
        <w:rPr>
          <w:rFonts w:ascii="Times New Roman" w:eastAsia="Times New Roman"/>
        </w:rPr>
        <w:t>/</w:t>
      </w:r>
      <w:r>
        <w:rPr/>
        <w:t>资料变更申请书、终止</w:t>
      </w:r>
      <w:r>
        <w:rPr>
          <w:rFonts w:ascii="Times New Roman" w:eastAsia="Times New Roman"/>
        </w:rPr>
        <w:t>/</w:t>
      </w:r>
      <w:r>
        <w:rPr/>
        <w:t>转移申请书（如有）、批注及其他本公司与</w:t>
      </w:r>
      <w:r>
        <w:rPr>
          <w:b/>
        </w:rPr>
        <w:t>投保人</w:t>
      </w:r>
      <w:r>
        <w:rPr/>
        <w:t>（释义一）的约定书均为《友邦加惠团体重大疾病保险》（以下简称本合同）的构成部分。</w:t>
      </w:r>
    </w:p>
    <w:p>
      <w:pPr>
        <w:pStyle w:val="BodyText"/>
        <w:spacing w:before="6"/>
        <w:rPr>
          <w:sz w:val="17"/>
        </w:rPr>
      </w:pPr>
    </w:p>
    <w:p>
      <w:pPr>
        <w:pStyle w:val="Heading1"/>
        <w:tabs>
          <w:tab w:pos="985" w:val="left" w:leader="none"/>
        </w:tabs>
      </w:pPr>
      <w:r>
        <w:rPr/>
        <w:t>第二条</w:t>
        <w:tab/>
      </w:r>
      <w:r>
        <w:rPr>
          <w:w w:val="95"/>
        </w:rPr>
        <w:t>保险责任</w:t>
      </w:r>
    </w:p>
    <w:p>
      <w:pPr>
        <w:pStyle w:val="BodyText"/>
        <w:spacing w:before="9"/>
        <w:rPr>
          <w:b/>
          <w:sz w:val="15"/>
        </w:rPr>
      </w:pPr>
    </w:p>
    <w:p>
      <w:pPr>
        <w:pStyle w:val="BodyText"/>
        <w:ind w:left="100"/>
      </w:pPr>
      <w:r>
        <w:rPr/>
        <w:t>一、第一类重大疾病保险金</w:t>
      </w:r>
    </w:p>
    <w:p>
      <w:pPr>
        <w:pStyle w:val="BodyText"/>
        <w:spacing w:before="12"/>
        <w:rPr>
          <w:sz w:val="17"/>
        </w:rPr>
      </w:pPr>
    </w:p>
    <w:p>
      <w:pPr>
        <w:pStyle w:val="BodyText"/>
        <w:spacing w:line="237" w:lineRule="auto"/>
        <w:ind w:left="100" w:right="106"/>
        <w:jc w:val="both"/>
      </w:pPr>
      <w:r>
        <w:rPr/>
        <w:t>在本合同有效期内，若被保险人于</w:t>
      </w:r>
      <w:r>
        <w:rPr>
          <w:b/>
        </w:rPr>
        <w:t>等待期</w:t>
      </w:r>
      <w:r>
        <w:rPr/>
        <w:t>（释义二）</w:t>
      </w:r>
      <w:r>
        <w:rPr>
          <w:spacing w:val="-1"/>
        </w:rPr>
        <w:t>后首次</w:t>
      </w:r>
      <w:r>
        <w:rPr>
          <w:b/>
        </w:rPr>
        <w:t>发病</w:t>
      </w:r>
      <w:r>
        <w:rPr/>
        <w:t>（释义三），</w:t>
      </w:r>
      <w:r>
        <w:rPr>
          <w:spacing w:val="-2"/>
        </w:rPr>
        <w:t>并被</w:t>
      </w:r>
      <w:r>
        <w:rPr>
          <w:b/>
        </w:rPr>
        <w:t>专科医生</w:t>
      </w:r>
      <w:r>
        <w:rPr/>
        <w:t>（释义四）</w:t>
      </w:r>
      <w:r>
        <w:rPr>
          <w:spacing w:val="-1"/>
        </w:rPr>
        <w:t>首次确诊患有</w:t>
      </w:r>
      <w:r>
        <w:rPr>
          <w:b/>
        </w:rPr>
        <w:t>第一类重大疾病</w:t>
      </w:r>
      <w:r>
        <w:rPr/>
        <w:t>（释义五）</w:t>
      </w:r>
      <w:r>
        <w:rPr>
          <w:spacing w:val="-1"/>
        </w:rPr>
        <w:t>的，则本公司将给付第一类重大疾病保险金予被保险人，其金额等于该第一类重大疾病确诊时本合同的</w:t>
      </w:r>
      <w:r>
        <w:rPr>
          <w:spacing w:val="-7"/>
        </w:rPr>
        <w:t>基本保险金额的 </w:t>
      </w:r>
      <w:r>
        <w:rPr/>
        <w:t>15%（</w:t>
      </w:r>
      <w:r>
        <w:rPr>
          <w:spacing w:val="-1"/>
        </w:rPr>
        <w:t>百分之十五</w:t>
      </w:r>
      <w:r>
        <w:rPr/>
        <w:t>）。</w:t>
      </w:r>
    </w:p>
    <w:p>
      <w:pPr>
        <w:pStyle w:val="BodyText"/>
        <w:spacing w:before="9"/>
        <w:rPr>
          <w:sz w:val="17"/>
        </w:rPr>
      </w:pPr>
    </w:p>
    <w:p>
      <w:pPr>
        <w:pStyle w:val="BodyText"/>
        <w:spacing w:line="448" w:lineRule="auto" w:before="1"/>
        <w:ind w:left="100" w:right="5866"/>
      </w:pPr>
      <w:r>
        <w:rPr/>
        <w:t>本合同的第一类重大疾病保险金给付以一次为限。二、第二类重大疾病保险金</w:t>
      </w:r>
    </w:p>
    <w:p>
      <w:pPr>
        <w:pStyle w:val="BodyText"/>
        <w:spacing w:line="237" w:lineRule="auto" w:before="97"/>
        <w:ind w:left="100" w:right="106"/>
        <w:rPr>
          <w:b/>
        </w:rPr>
      </w:pPr>
      <w:r>
        <w:rPr/>
        <w:t>在本合同有效期内，若被保险人于等待期后首次发病，并被专科医生首次确诊患有恶性肿瘤、急性心肌梗塞、急性或亚急性</w:t>
      </w:r>
      <w:r>
        <w:rPr>
          <w:w w:val="95"/>
        </w:rPr>
        <w:t>重症肝炎、重型再生障碍性贫血、严重急性坏死性胰腺炎、深度昏迷、严重脑损伤和严重</w:t>
      </w:r>
      <w:r>
        <w:rPr>
          <w:rFonts w:ascii="Times New Roman" w:eastAsia="Times New Roman"/>
          <w:w w:val="95"/>
        </w:rPr>
        <w:t>III</w:t>
      </w:r>
      <w:r>
        <w:rPr>
          <w:w w:val="95"/>
        </w:rPr>
        <w:t>度烧伤等八种</w:t>
      </w:r>
      <w:r>
        <w:rPr>
          <w:b/>
          <w:w w:val="95"/>
        </w:rPr>
        <w:t>第二类重大疾病</w:t>
      </w:r>
    </w:p>
    <w:p>
      <w:pPr>
        <w:pStyle w:val="BodyText"/>
        <w:spacing w:line="232" w:lineRule="exact" w:before="10"/>
        <w:ind w:left="100" w:right="106"/>
      </w:pPr>
      <w:r>
        <w:rPr/>
        <w:t>（释义六），且于被确诊日后三十日时仍然生存的，则本公司将给付第二类重大疾病保险金予被保险人，其金额等于该第二类重大疾病确诊时本合同的基本保险金额。</w:t>
      </w:r>
    </w:p>
    <w:p>
      <w:pPr>
        <w:pStyle w:val="BodyText"/>
        <w:rPr>
          <w:sz w:val="15"/>
        </w:rPr>
      </w:pPr>
    </w:p>
    <w:p>
      <w:pPr>
        <w:pStyle w:val="BodyText"/>
        <w:ind w:left="100" w:right="106"/>
      </w:pPr>
      <w:r>
        <w:rPr/>
        <w:t>在本合同有效期内，若被保险人被确诊患有上述八种第二类重大疾病，且于被确诊日后三十日内身故的，本公司不承担给付第二类重大疾病保险金的保险责任。但本公司将无息退还该被保险人项下身故当年度对应的已付保险费。</w:t>
      </w:r>
    </w:p>
    <w:p>
      <w:pPr>
        <w:pStyle w:val="BodyText"/>
        <w:spacing w:before="6"/>
        <w:rPr>
          <w:sz w:val="15"/>
        </w:rPr>
      </w:pPr>
    </w:p>
    <w:p>
      <w:pPr>
        <w:pStyle w:val="BodyText"/>
        <w:spacing w:before="1"/>
        <w:ind w:left="100" w:right="106"/>
      </w:pPr>
      <w:r>
        <w:rPr/>
        <w:t>在本合同有效期内，若被保险人于等待期后首次发病，并被专科医生首次确诊患有除上述八种以外的第二类重大疾病的，则本公司将给付第二类重大疾病保险金予被保险人，其金额等于该第二类重大疾病确诊时本合同的基本保险金额。</w:t>
      </w:r>
    </w:p>
    <w:p>
      <w:pPr>
        <w:pStyle w:val="BodyText"/>
        <w:spacing w:before="10"/>
        <w:rPr>
          <w:sz w:val="17"/>
        </w:rPr>
      </w:pPr>
    </w:p>
    <w:p>
      <w:pPr>
        <w:pStyle w:val="BodyText"/>
        <w:ind w:left="100"/>
      </w:pPr>
      <w:r>
        <w:rPr/>
        <w:t>本合同的第二类重大疾病保险金给付以一次为限。</w:t>
      </w:r>
    </w:p>
    <w:p>
      <w:pPr>
        <w:pStyle w:val="BodyText"/>
        <w:spacing w:before="12"/>
        <w:rPr>
          <w:sz w:val="17"/>
        </w:rPr>
      </w:pPr>
    </w:p>
    <w:p>
      <w:pPr>
        <w:pStyle w:val="BodyText"/>
        <w:spacing w:line="237" w:lineRule="auto"/>
        <w:ind w:left="100" w:right="106"/>
      </w:pPr>
      <w:r>
        <w:rPr/>
        <w:t>若被保险人先被确诊患有第二类重大疾病且可以根据本合同的约定给付第二类重大疾病保险金，则本合同将不再给付任何第一类重大疾病保险金。本公司对该被保险人在本合同项下的保险责任终止。</w:t>
      </w:r>
    </w:p>
    <w:p>
      <w:pPr>
        <w:pStyle w:val="BodyText"/>
        <w:rPr>
          <w:sz w:val="19"/>
        </w:rPr>
      </w:pPr>
    </w:p>
    <w:p>
      <w:pPr>
        <w:pStyle w:val="Heading1"/>
        <w:tabs>
          <w:tab w:pos="985" w:val="left" w:leader="none"/>
        </w:tabs>
        <w:spacing w:before="1"/>
      </w:pPr>
      <w:r>
        <w:rPr/>
        <w:t>第三条</w:t>
        <w:tab/>
      </w:r>
      <w:r>
        <w:rPr>
          <w:w w:val="95"/>
        </w:rPr>
        <w:t>责任免除</w:t>
      </w:r>
    </w:p>
    <w:p>
      <w:pPr>
        <w:pStyle w:val="BodyText"/>
        <w:spacing w:before="5"/>
        <w:rPr>
          <w:b/>
          <w:sz w:val="17"/>
        </w:rPr>
      </w:pPr>
    </w:p>
    <w:p>
      <w:pPr>
        <w:spacing w:before="0"/>
        <w:ind w:left="100" w:right="0" w:firstLine="0"/>
        <w:jc w:val="left"/>
        <w:rPr>
          <w:b/>
          <w:sz w:val="20"/>
        </w:rPr>
      </w:pPr>
      <w:r>
        <w:rPr>
          <w:b/>
          <w:w w:val="95"/>
          <w:sz w:val="20"/>
        </w:rPr>
        <w:t>因下列情形之一导致被保险人发生疾病、达到疾病状态或进行手术的，本公司不承担保险责任：</w:t>
      </w:r>
    </w:p>
    <w:p>
      <w:pPr>
        <w:pStyle w:val="BodyText"/>
        <w:spacing w:before="5"/>
        <w:rPr>
          <w:b/>
          <w:sz w:val="17"/>
        </w:rPr>
      </w:pPr>
    </w:p>
    <w:p>
      <w:pPr>
        <w:spacing w:line="269" w:lineRule="exact" w:before="0"/>
        <w:ind w:left="100" w:right="0" w:firstLine="0"/>
        <w:jc w:val="left"/>
        <w:rPr>
          <w:b/>
          <w:sz w:val="20"/>
        </w:rPr>
      </w:pPr>
      <w:r>
        <w:rPr>
          <w:b/>
          <w:w w:val="95"/>
          <w:sz w:val="20"/>
        </w:rPr>
        <w:t>（</w:t>
      </w:r>
      <w:r>
        <w:rPr>
          <w:rFonts w:ascii="Times New Roman" w:eastAsia="Times New Roman"/>
          <w:b/>
          <w:w w:val="95"/>
          <w:sz w:val="20"/>
        </w:rPr>
        <w:t>1</w:t>
      </w:r>
      <w:r>
        <w:rPr>
          <w:b/>
          <w:w w:val="95"/>
          <w:sz w:val="20"/>
        </w:rPr>
        <w:t>）投保人的任何故意行为；</w:t>
      </w:r>
    </w:p>
    <w:p>
      <w:pPr>
        <w:spacing w:line="260" w:lineRule="exact" w:before="0"/>
        <w:ind w:left="100" w:right="0" w:firstLine="0"/>
        <w:jc w:val="left"/>
        <w:rPr>
          <w:b/>
          <w:sz w:val="20"/>
        </w:rPr>
      </w:pPr>
      <w:r>
        <w:rPr>
          <w:b/>
          <w:w w:val="95"/>
          <w:sz w:val="20"/>
        </w:rPr>
        <w:t>（</w:t>
      </w:r>
      <w:r>
        <w:rPr>
          <w:rFonts w:ascii="Times New Roman" w:eastAsia="Times New Roman"/>
          <w:b/>
          <w:w w:val="95"/>
          <w:sz w:val="20"/>
        </w:rPr>
        <w:t>2</w:t>
      </w:r>
      <w:r>
        <w:rPr>
          <w:b/>
          <w:w w:val="95"/>
          <w:sz w:val="20"/>
        </w:rPr>
        <w:t>）被保险人故意自伤；</w:t>
      </w:r>
    </w:p>
    <w:p>
      <w:pPr>
        <w:spacing w:line="259" w:lineRule="exact" w:before="0"/>
        <w:ind w:left="100" w:right="0" w:firstLine="0"/>
        <w:jc w:val="left"/>
        <w:rPr>
          <w:b/>
          <w:sz w:val="20"/>
        </w:rPr>
      </w:pPr>
      <w:r>
        <w:rPr>
          <w:b/>
          <w:w w:val="95"/>
          <w:sz w:val="20"/>
        </w:rPr>
        <w:t>（</w:t>
      </w:r>
      <w:r>
        <w:rPr>
          <w:rFonts w:ascii="Times New Roman" w:eastAsia="Times New Roman"/>
          <w:b/>
          <w:w w:val="95"/>
          <w:sz w:val="20"/>
        </w:rPr>
        <w:t>3</w:t>
      </w:r>
      <w:r>
        <w:rPr>
          <w:b/>
          <w:w w:val="95"/>
          <w:sz w:val="20"/>
        </w:rPr>
        <w:t>）被保险人故意犯罪或者抗拒依法采取的刑事强制措施；</w:t>
      </w:r>
    </w:p>
    <w:p>
      <w:pPr>
        <w:spacing w:line="260" w:lineRule="exact" w:before="0"/>
        <w:ind w:left="100" w:right="0" w:firstLine="0"/>
        <w:jc w:val="left"/>
        <w:rPr>
          <w:b/>
          <w:sz w:val="20"/>
        </w:rPr>
      </w:pPr>
      <w:r>
        <w:rPr>
          <w:b/>
          <w:w w:val="95"/>
          <w:sz w:val="20"/>
        </w:rPr>
        <w:t>（</w:t>
      </w:r>
      <w:r>
        <w:rPr>
          <w:rFonts w:ascii="Times New Roman" w:eastAsia="Times New Roman"/>
          <w:b/>
          <w:w w:val="95"/>
          <w:sz w:val="20"/>
        </w:rPr>
        <w:t>4</w:t>
      </w:r>
      <w:r>
        <w:rPr>
          <w:b/>
          <w:w w:val="95"/>
          <w:sz w:val="20"/>
        </w:rPr>
        <w:t>）被保险人主动服用、吸食或注射毒品（释义七）；</w:t>
      </w:r>
    </w:p>
    <w:p>
      <w:pPr>
        <w:spacing w:line="225" w:lineRule="auto" w:before="9"/>
        <w:ind w:left="100" w:right="118" w:firstLine="0"/>
        <w:jc w:val="left"/>
        <w:rPr>
          <w:b/>
          <w:sz w:val="20"/>
        </w:rPr>
      </w:pPr>
      <w:r>
        <w:rPr>
          <w:b/>
          <w:w w:val="95"/>
          <w:sz w:val="20"/>
        </w:rPr>
        <w:t>（</w:t>
      </w:r>
      <w:r>
        <w:rPr>
          <w:rFonts w:ascii="Times New Roman" w:eastAsia="Times New Roman"/>
          <w:b/>
          <w:w w:val="95"/>
          <w:sz w:val="20"/>
        </w:rPr>
        <w:t>5</w:t>
      </w:r>
      <w:r>
        <w:rPr>
          <w:b/>
          <w:w w:val="95"/>
          <w:sz w:val="20"/>
        </w:rPr>
        <w:t>）被保险人酒后驾驶（释义八）、无合法有效驾驶证驾驶（释义九），或驾驶无有效行驶证（释义十）的机   动车；</w:t>
      </w:r>
    </w:p>
    <w:p>
      <w:pPr>
        <w:spacing w:line="267" w:lineRule="exact" w:before="0"/>
        <w:ind w:left="100" w:right="0" w:firstLine="0"/>
        <w:jc w:val="left"/>
        <w:rPr>
          <w:b/>
          <w:sz w:val="20"/>
        </w:rPr>
      </w:pPr>
      <w:r>
        <w:rPr>
          <w:b/>
          <w:w w:val="95"/>
          <w:sz w:val="20"/>
        </w:rPr>
        <w:t>（</w:t>
      </w:r>
      <w:r>
        <w:rPr>
          <w:rFonts w:ascii="Times New Roman" w:eastAsia="Times New Roman"/>
          <w:b/>
          <w:w w:val="95"/>
          <w:sz w:val="20"/>
        </w:rPr>
        <w:t>6</w:t>
      </w:r>
      <w:r>
        <w:rPr>
          <w:b/>
          <w:w w:val="95"/>
          <w:sz w:val="20"/>
        </w:rPr>
        <w:t>）战争、军事冲突、暴乱或武装叛乱；</w:t>
      </w:r>
    </w:p>
    <w:p>
      <w:pPr>
        <w:spacing w:line="260" w:lineRule="exact" w:before="0"/>
        <w:ind w:left="100" w:right="0" w:firstLine="0"/>
        <w:jc w:val="left"/>
        <w:rPr>
          <w:b/>
          <w:sz w:val="20"/>
        </w:rPr>
      </w:pPr>
      <w:r>
        <w:rPr>
          <w:b/>
          <w:w w:val="95"/>
          <w:sz w:val="20"/>
        </w:rPr>
        <w:t>（</w:t>
      </w:r>
      <w:r>
        <w:rPr>
          <w:rFonts w:ascii="Times New Roman" w:eastAsia="Times New Roman"/>
          <w:b/>
          <w:w w:val="95"/>
          <w:sz w:val="20"/>
        </w:rPr>
        <w:t>7</w:t>
      </w:r>
      <w:r>
        <w:rPr>
          <w:b/>
          <w:w w:val="95"/>
          <w:sz w:val="20"/>
        </w:rPr>
        <w:t>）核爆炸、核辐射或核污染；</w:t>
      </w:r>
    </w:p>
    <w:p>
      <w:pPr>
        <w:spacing w:line="259" w:lineRule="exact" w:before="0"/>
        <w:ind w:left="100" w:right="0" w:firstLine="0"/>
        <w:jc w:val="left"/>
        <w:rPr>
          <w:b/>
          <w:sz w:val="20"/>
        </w:rPr>
      </w:pPr>
      <w:r>
        <w:rPr>
          <w:b/>
          <w:w w:val="95"/>
          <w:sz w:val="20"/>
        </w:rPr>
        <w:t>（</w:t>
      </w:r>
      <w:r>
        <w:rPr>
          <w:rFonts w:ascii="Times New Roman" w:eastAsia="Times New Roman"/>
          <w:b/>
          <w:w w:val="95"/>
          <w:sz w:val="20"/>
        </w:rPr>
        <w:t>8</w:t>
      </w:r>
      <w:r>
        <w:rPr>
          <w:b/>
          <w:w w:val="95"/>
          <w:sz w:val="20"/>
        </w:rPr>
        <w:t>）被保险人感染艾滋病病毒或患艾滋病（释义十一）；</w:t>
      </w:r>
    </w:p>
    <w:p>
      <w:pPr>
        <w:spacing w:line="268" w:lineRule="exact" w:before="0"/>
        <w:ind w:left="100" w:right="0" w:firstLine="0"/>
        <w:jc w:val="left"/>
        <w:rPr>
          <w:b/>
          <w:sz w:val="20"/>
        </w:rPr>
      </w:pPr>
      <w:r>
        <w:rPr>
          <w:b/>
          <w:w w:val="95"/>
          <w:sz w:val="20"/>
        </w:rPr>
        <w:t>（</w:t>
      </w:r>
      <w:r>
        <w:rPr>
          <w:rFonts w:ascii="Times New Roman" w:eastAsia="Times New Roman"/>
          <w:b/>
          <w:w w:val="95"/>
          <w:sz w:val="20"/>
        </w:rPr>
        <w:t>9</w:t>
      </w:r>
      <w:r>
        <w:rPr>
          <w:b/>
          <w:w w:val="95"/>
          <w:sz w:val="20"/>
        </w:rPr>
        <w:t>）被保险人患遗传性疾病（释义十二），先天性畸形、变形或染色体异常（释义十三）。</w:t>
      </w:r>
    </w:p>
    <w:p>
      <w:pPr>
        <w:pStyle w:val="BodyText"/>
        <w:rPr>
          <w:b/>
          <w:sz w:val="20"/>
        </w:rPr>
      </w:pPr>
    </w:p>
    <w:p>
      <w:pPr>
        <w:pStyle w:val="BodyText"/>
        <w:rPr>
          <w:b/>
          <w:sz w:val="20"/>
        </w:rPr>
      </w:pPr>
    </w:p>
    <w:p>
      <w:pPr>
        <w:pStyle w:val="BodyText"/>
        <w:spacing w:before="11"/>
        <w:rPr>
          <w:b/>
          <w:sz w:val="21"/>
        </w:rPr>
      </w:pPr>
    </w:p>
    <w:p>
      <w:pPr>
        <w:pStyle w:val="Heading2"/>
        <w:tabs>
          <w:tab w:pos="4961" w:val="right" w:leader="none"/>
        </w:tabs>
        <w:rPr>
          <w:sz w:val="18"/>
        </w:rPr>
      </w:pPr>
      <w:r>
        <w:rPr>
          <w:rFonts w:ascii="宋体" w:eastAsia="宋体" w:hint="eastAsia"/>
        </w:rPr>
        <w:t>条款编号</w:t>
      </w:r>
      <w:r>
        <w:rPr/>
        <w:t>:</w:t>
      </w:r>
      <w:r>
        <w:rPr>
          <w:spacing w:val="-1"/>
        </w:rPr>
        <w:t> </w:t>
      </w:r>
      <w:r>
        <w:rPr/>
        <w:t>GH1009-01</w:t>
        <w:tab/>
      </w:r>
      <w:r>
        <w:rPr>
          <w:sz w:val="18"/>
        </w:rPr>
        <w:t>1</w:t>
      </w:r>
    </w:p>
    <w:p>
      <w:pPr>
        <w:spacing w:after="0"/>
        <w:rPr>
          <w:sz w:val="18"/>
        </w:rPr>
        <w:sectPr>
          <w:type w:val="continuous"/>
          <w:pgSz w:w="11910" w:h="16840"/>
          <w:pgMar w:top="1000" w:bottom="280" w:left="980" w:right="1000"/>
        </w:sectPr>
      </w:pPr>
    </w:p>
    <w:p>
      <w:pPr>
        <w:tabs>
          <w:tab w:pos="985" w:val="left" w:leader="none"/>
        </w:tabs>
        <w:spacing w:before="14"/>
        <w:ind w:left="100" w:right="0" w:firstLine="0"/>
        <w:jc w:val="left"/>
        <w:rPr>
          <w:b/>
          <w:sz w:val="20"/>
        </w:rPr>
      </w:pPr>
      <w:r>
        <w:rPr/>
        <w:pict>
          <v:group style="position:absolute;margin-left:.169213pt;margin-top:0pt;width:595.3pt;height:833.05pt;mso-position-horizontal-relative:page;mso-position-vertical-relative:page;z-index:-19624"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b/>
          <w:sz w:val="20"/>
        </w:rPr>
        <w:t>第四条</w:t>
        <w:tab/>
      </w:r>
      <w:r>
        <w:rPr>
          <w:b/>
          <w:w w:val="95"/>
          <w:sz w:val="20"/>
        </w:rPr>
        <w:t>保险合同成立与生效</w:t>
      </w:r>
    </w:p>
    <w:p>
      <w:pPr>
        <w:pStyle w:val="BodyText"/>
        <w:spacing w:before="4"/>
        <w:rPr>
          <w:b/>
          <w:sz w:val="19"/>
        </w:rPr>
      </w:pPr>
    </w:p>
    <w:p>
      <w:pPr>
        <w:spacing w:before="0"/>
        <w:ind w:left="100" w:right="0" w:firstLine="0"/>
        <w:jc w:val="left"/>
        <w:rPr>
          <w:b/>
          <w:sz w:val="18"/>
        </w:rPr>
      </w:pPr>
      <w:r>
        <w:rPr>
          <w:b/>
          <w:w w:val="95"/>
          <w:sz w:val="18"/>
        </w:rPr>
        <w:t>投保人提出保险申请、本公司同意承保，本合同成立。</w:t>
      </w:r>
    </w:p>
    <w:p>
      <w:pPr>
        <w:pStyle w:val="BodyText"/>
        <w:spacing w:before="6"/>
        <w:rPr>
          <w:b/>
          <w:sz w:val="15"/>
        </w:rPr>
      </w:pPr>
    </w:p>
    <w:p>
      <w:pPr>
        <w:spacing w:before="0"/>
        <w:ind w:left="100" w:right="0" w:firstLine="0"/>
        <w:jc w:val="left"/>
        <w:rPr>
          <w:b/>
          <w:sz w:val="18"/>
        </w:rPr>
      </w:pPr>
      <w:r>
        <w:rPr>
          <w:b/>
          <w:w w:val="95"/>
          <w:sz w:val="18"/>
        </w:rPr>
        <w:t>合同生效日期在保险单上载明。保单年度、保险费约定支付日均以该日期计算。</w:t>
      </w:r>
    </w:p>
    <w:p>
      <w:pPr>
        <w:pStyle w:val="BodyText"/>
        <w:spacing w:before="7"/>
        <w:rPr>
          <w:b/>
          <w:sz w:val="15"/>
        </w:rPr>
      </w:pPr>
    </w:p>
    <w:p>
      <w:pPr>
        <w:tabs>
          <w:tab w:pos="985" w:val="left" w:leader="none"/>
        </w:tabs>
        <w:spacing w:before="0"/>
        <w:ind w:left="100" w:right="0" w:firstLine="0"/>
        <w:jc w:val="left"/>
        <w:rPr>
          <w:b/>
          <w:sz w:val="20"/>
        </w:rPr>
      </w:pPr>
      <w:r>
        <w:rPr>
          <w:b/>
          <w:sz w:val="20"/>
        </w:rPr>
        <w:t>第五条</w:t>
        <w:tab/>
      </w:r>
      <w:r>
        <w:rPr>
          <w:b/>
          <w:w w:val="95"/>
          <w:sz w:val="20"/>
        </w:rPr>
        <w:t>保险期间及续保</w:t>
      </w:r>
    </w:p>
    <w:p>
      <w:pPr>
        <w:pStyle w:val="BodyText"/>
        <w:spacing w:before="6"/>
        <w:rPr>
          <w:b/>
          <w:sz w:val="17"/>
        </w:rPr>
      </w:pPr>
    </w:p>
    <w:p>
      <w:pPr>
        <w:spacing w:before="1"/>
        <w:ind w:left="100" w:right="0" w:firstLine="0"/>
        <w:jc w:val="left"/>
        <w:rPr>
          <w:b/>
          <w:sz w:val="18"/>
        </w:rPr>
      </w:pPr>
      <w:r>
        <w:rPr>
          <w:b/>
          <w:w w:val="95"/>
          <w:sz w:val="18"/>
        </w:rPr>
        <w:t>本合同的保险期间为一年。</w:t>
      </w:r>
    </w:p>
    <w:p>
      <w:pPr>
        <w:pStyle w:val="BodyText"/>
        <w:spacing w:before="12"/>
        <w:rPr>
          <w:b/>
          <w:sz w:val="15"/>
        </w:rPr>
      </w:pPr>
    </w:p>
    <w:p>
      <w:pPr>
        <w:spacing w:line="237" w:lineRule="auto" w:before="0"/>
        <w:ind w:left="100" w:right="117" w:firstLine="0"/>
        <w:jc w:val="left"/>
        <w:rPr>
          <w:b/>
          <w:sz w:val="18"/>
        </w:rPr>
      </w:pPr>
      <w:r>
        <w:rPr>
          <w:b/>
          <w:w w:val="95"/>
          <w:sz w:val="18"/>
        </w:rPr>
        <w:t>投保人可于本合同每个保险期间届满时或之前向本公司支付续保保险费以示续保，若本公司同意该续保且已收取该续保保险    费，则本合同将延续有效一年。</w:t>
      </w:r>
    </w:p>
    <w:p>
      <w:pPr>
        <w:pStyle w:val="BodyText"/>
        <w:spacing w:before="1"/>
        <w:rPr>
          <w:b/>
          <w:sz w:val="19"/>
        </w:rPr>
      </w:pPr>
    </w:p>
    <w:p>
      <w:pPr>
        <w:tabs>
          <w:tab w:pos="985" w:val="left" w:leader="none"/>
        </w:tabs>
        <w:spacing w:before="0"/>
        <w:ind w:left="100" w:right="0" w:firstLine="0"/>
        <w:jc w:val="left"/>
        <w:rPr>
          <w:b/>
          <w:sz w:val="20"/>
        </w:rPr>
      </w:pPr>
      <w:r>
        <w:rPr>
          <w:b/>
          <w:sz w:val="20"/>
        </w:rPr>
        <w:t>第六条</w:t>
        <w:tab/>
      </w:r>
      <w:r>
        <w:rPr>
          <w:b/>
          <w:w w:val="95"/>
          <w:sz w:val="20"/>
        </w:rPr>
        <w:t>投保人解除合同的手续</w:t>
      </w:r>
    </w:p>
    <w:p>
      <w:pPr>
        <w:pStyle w:val="BodyText"/>
        <w:spacing w:before="4"/>
        <w:rPr>
          <w:b/>
          <w:sz w:val="19"/>
        </w:rPr>
      </w:pPr>
    </w:p>
    <w:p>
      <w:pPr>
        <w:pStyle w:val="BodyText"/>
        <w:spacing w:before="1"/>
        <w:ind w:left="100"/>
      </w:pPr>
      <w:r>
        <w:rPr/>
        <w:t>投保人可于本合同有效期内申请解除本合同，需填写解除合同申请书并向本公司提供下列资料：</w:t>
      </w:r>
    </w:p>
    <w:p>
      <w:pPr>
        <w:pStyle w:val="BodyText"/>
        <w:spacing w:before="7"/>
        <w:rPr>
          <w:sz w:val="15"/>
        </w:rPr>
      </w:pPr>
    </w:p>
    <w:p>
      <w:pPr>
        <w:pStyle w:val="BodyText"/>
        <w:spacing w:line="242" w:lineRule="exact"/>
        <w:ind w:left="100"/>
      </w:pPr>
      <w:r>
        <w:rPr/>
        <w:t>（</w:t>
      </w:r>
      <w:r>
        <w:rPr>
          <w:rFonts w:ascii="Times New Roman" w:eastAsia="Times New Roman"/>
        </w:rPr>
        <w:t>1</w:t>
      </w:r>
      <w:r>
        <w:rPr/>
        <w:t>）保险合同；</w:t>
      </w:r>
    </w:p>
    <w:p>
      <w:pPr>
        <w:pStyle w:val="BodyText"/>
        <w:spacing w:line="242" w:lineRule="exact"/>
        <w:ind w:left="100"/>
      </w:pPr>
      <w:r>
        <w:rPr/>
        <w:t>（</w:t>
      </w:r>
      <w:r>
        <w:rPr>
          <w:rFonts w:ascii="Times New Roman" w:eastAsia="Times New Roman"/>
        </w:rPr>
        <w:t>2</w:t>
      </w:r>
      <w:r>
        <w:rPr/>
        <w:t>）投保人的营业执照或其他相关证明材料。</w:t>
      </w:r>
    </w:p>
    <w:p>
      <w:pPr>
        <w:pStyle w:val="BodyText"/>
        <w:spacing w:before="11"/>
        <w:rPr>
          <w:sz w:val="14"/>
        </w:rPr>
      </w:pPr>
    </w:p>
    <w:p>
      <w:pPr>
        <w:pStyle w:val="BodyText"/>
        <w:spacing w:line="237" w:lineRule="auto" w:before="1"/>
        <w:ind w:left="100" w:right="126"/>
      </w:pPr>
      <w:r>
        <w:rPr/>
        <w:t>自本公司收到解除合同申请书时起，本合同终止。本公司自收到解除合同申请书之日起三十日内向投保人退还保险单的</w:t>
      </w:r>
      <w:r>
        <w:rPr>
          <w:b/>
        </w:rPr>
        <w:t>未满</w:t>
      </w:r>
      <w:r>
        <w:rPr>
          <w:b/>
          <w:w w:val="95"/>
        </w:rPr>
        <w:t>期净保险费</w:t>
      </w:r>
      <w:r>
        <w:rPr>
          <w:w w:val="95"/>
        </w:rPr>
        <w:t>（释义十四）。</w:t>
      </w:r>
    </w:p>
    <w:p>
      <w:pPr>
        <w:pStyle w:val="BodyText"/>
        <w:spacing w:before="3"/>
        <w:rPr>
          <w:sz w:val="17"/>
        </w:rPr>
      </w:pPr>
    </w:p>
    <w:p>
      <w:pPr>
        <w:pStyle w:val="Heading1"/>
        <w:tabs>
          <w:tab w:pos="985" w:val="left" w:leader="none"/>
        </w:tabs>
      </w:pPr>
      <w:r>
        <w:rPr/>
        <w:t>第七条</w:t>
        <w:tab/>
      </w:r>
      <w:r>
        <w:rPr>
          <w:w w:val="95"/>
        </w:rPr>
        <w:t>保险合同效力的终止</w:t>
      </w:r>
    </w:p>
    <w:p>
      <w:pPr>
        <w:pStyle w:val="BodyText"/>
        <w:spacing w:before="11"/>
        <w:rPr>
          <w:b/>
          <w:sz w:val="15"/>
        </w:rPr>
      </w:pPr>
    </w:p>
    <w:p>
      <w:pPr>
        <w:pStyle w:val="BodyText"/>
        <w:ind w:left="100"/>
      </w:pPr>
      <w:r>
        <w:rPr/>
        <w:t>发生下列情况之一时，本合同终止：</w:t>
      </w:r>
    </w:p>
    <w:p>
      <w:pPr>
        <w:pStyle w:val="BodyText"/>
        <w:spacing w:before="9"/>
        <w:rPr>
          <w:sz w:val="15"/>
        </w:rPr>
      </w:pPr>
    </w:p>
    <w:p>
      <w:pPr>
        <w:pStyle w:val="ListParagraph"/>
        <w:numPr>
          <w:ilvl w:val="0"/>
          <w:numId w:val="1"/>
        </w:numPr>
        <w:tabs>
          <w:tab w:pos="357" w:val="left" w:leader="none"/>
        </w:tabs>
        <w:spacing w:line="240" w:lineRule="auto" w:before="0" w:after="0"/>
        <w:ind w:left="100" w:right="0" w:firstLine="0"/>
        <w:jc w:val="left"/>
        <w:rPr>
          <w:sz w:val="18"/>
        </w:rPr>
      </w:pPr>
      <w:r>
        <w:rPr>
          <w:spacing w:val="-1"/>
          <w:sz w:val="18"/>
        </w:rPr>
        <w:t>投保人向本公司申请解除本合同；</w:t>
      </w:r>
    </w:p>
    <w:p>
      <w:pPr>
        <w:pStyle w:val="BodyText"/>
        <w:spacing w:before="6"/>
        <w:rPr>
          <w:sz w:val="14"/>
        </w:rPr>
      </w:pPr>
    </w:p>
    <w:p>
      <w:pPr>
        <w:pStyle w:val="ListParagraph"/>
        <w:numPr>
          <w:ilvl w:val="0"/>
          <w:numId w:val="1"/>
        </w:numPr>
        <w:tabs>
          <w:tab w:pos="357" w:val="left" w:leader="none"/>
        </w:tabs>
        <w:spacing w:line="240" w:lineRule="auto" w:before="0" w:after="0"/>
        <w:ind w:left="100" w:right="0" w:firstLine="0"/>
        <w:jc w:val="left"/>
        <w:rPr>
          <w:sz w:val="18"/>
        </w:rPr>
      </w:pPr>
      <w:r>
        <w:rPr>
          <w:spacing w:val="-1"/>
          <w:w w:val="95"/>
          <w:sz w:val="18"/>
        </w:rPr>
        <w:t>一年保险期间届满，投保人无意续保或本公司不接受本合同续保；</w:t>
      </w:r>
    </w:p>
    <w:p>
      <w:pPr>
        <w:pStyle w:val="BodyText"/>
        <w:spacing w:before="8"/>
        <w:rPr>
          <w:sz w:val="14"/>
        </w:rPr>
      </w:pPr>
    </w:p>
    <w:p>
      <w:pPr>
        <w:pStyle w:val="ListParagraph"/>
        <w:numPr>
          <w:ilvl w:val="0"/>
          <w:numId w:val="1"/>
        </w:numPr>
        <w:tabs>
          <w:tab w:pos="357" w:val="left" w:leader="none"/>
        </w:tabs>
        <w:spacing w:line="240" w:lineRule="auto" w:before="1" w:after="0"/>
        <w:ind w:left="100" w:right="0" w:firstLine="0"/>
        <w:jc w:val="left"/>
        <w:rPr>
          <w:sz w:val="18"/>
        </w:rPr>
      </w:pPr>
      <w:r>
        <w:rPr>
          <w:spacing w:val="-1"/>
          <w:w w:val="95"/>
          <w:sz w:val="18"/>
        </w:rPr>
        <w:t>本合同的被保险人人数未达到有关监管部门所要求的最低人数或最低比例，且本公司提前三十日书面通知投保人后；</w:t>
      </w:r>
    </w:p>
    <w:p>
      <w:pPr>
        <w:pStyle w:val="BodyText"/>
        <w:spacing w:before="9"/>
        <w:rPr>
          <w:sz w:val="14"/>
        </w:rPr>
      </w:pPr>
    </w:p>
    <w:p>
      <w:pPr>
        <w:pStyle w:val="ListParagraph"/>
        <w:numPr>
          <w:ilvl w:val="0"/>
          <w:numId w:val="1"/>
        </w:numPr>
        <w:tabs>
          <w:tab w:pos="357" w:val="left" w:leader="none"/>
        </w:tabs>
        <w:spacing w:line="240" w:lineRule="auto" w:before="0" w:after="0"/>
        <w:ind w:left="100" w:right="0" w:firstLine="0"/>
        <w:jc w:val="left"/>
        <w:rPr>
          <w:sz w:val="18"/>
        </w:rPr>
      </w:pPr>
      <w:r>
        <w:rPr>
          <w:sz w:val="18"/>
        </w:rPr>
        <w:t>投保人破产、解散；</w:t>
      </w:r>
    </w:p>
    <w:p>
      <w:pPr>
        <w:pStyle w:val="ListParagraph"/>
        <w:numPr>
          <w:ilvl w:val="0"/>
          <w:numId w:val="1"/>
        </w:numPr>
        <w:tabs>
          <w:tab w:pos="358" w:val="left" w:leader="none"/>
        </w:tabs>
        <w:spacing w:line="420" w:lineRule="atLeast" w:before="19" w:after="0"/>
        <w:ind w:left="100" w:right="6712" w:firstLine="0"/>
        <w:jc w:val="left"/>
        <w:rPr>
          <w:sz w:val="18"/>
        </w:rPr>
      </w:pPr>
      <w:r>
        <w:rPr>
          <w:spacing w:val="-1"/>
          <w:sz w:val="18"/>
        </w:rPr>
        <w:t>本合同因其他条款所列情况而终止。注：</w:t>
      </w:r>
    </w:p>
    <w:p>
      <w:pPr>
        <w:pStyle w:val="BodyText"/>
        <w:spacing w:line="246" w:lineRule="exact"/>
        <w:ind w:left="145"/>
      </w:pPr>
      <w:r>
        <w:rPr/>
        <w:t>（</w:t>
      </w:r>
      <w:r>
        <w:rPr>
          <w:rFonts w:ascii="Times New Roman" w:eastAsia="Times New Roman"/>
        </w:rPr>
        <w:t>1</w:t>
      </w:r>
      <w:r>
        <w:rPr/>
        <w:t>）在第（</w:t>
      </w:r>
      <w:r>
        <w:rPr>
          <w:rFonts w:ascii="Times New Roman" w:eastAsia="Times New Roman"/>
        </w:rPr>
        <w:t>1</w:t>
      </w:r>
      <w:r>
        <w:rPr/>
        <w:t>）项，第（</w:t>
      </w:r>
      <w:r>
        <w:rPr>
          <w:rFonts w:ascii="Times New Roman" w:eastAsia="Times New Roman"/>
        </w:rPr>
        <w:t>3</w:t>
      </w:r>
      <w:r>
        <w:rPr/>
        <w:t>）及第（</w:t>
      </w:r>
      <w:r>
        <w:rPr>
          <w:rFonts w:ascii="Times New Roman" w:eastAsia="Times New Roman"/>
        </w:rPr>
        <w:t>4</w:t>
      </w:r>
      <w:r>
        <w:rPr/>
        <w:t>）项所提及的情况下，本公司根据本合同终止日计算并退还投保人未满期净保险费。</w:t>
      </w:r>
    </w:p>
    <w:p>
      <w:pPr>
        <w:pStyle w:val="BodyText"/>
        <w:spacing w:before="9"/>
        <w:rPr>
          <w:sz w:val="14"/>
        </w:rPr>
      </w:pPr>
    </w:p>
    <w:p>
      <w:pPr>
        <w:pStyle w:val="BodyText"/>
        <w:ind w:left="100"/>
      </w:pPr>
      <w:r>
        <w:rPr/>
        <w:t>（</w:t>
      </w:r>
      <w:r>
        <w:rPr>
          <w:rFonts w:ascii="Times New Roman" w:eastAsia="Times New Roman"/>
        </w:rPr>
        <w:t>2</w:t>
      </w:r>
      <w:r>
        <w:rPr/>
        <w:t>）在第（</w:t>
      </w:r>
      <w:r>
        <w:rPr>
          <w:rFonts w:ascii="Times New Roman" w:eastAsia="Times New Roman"/>
        </w:rPr>
        <w:t>2</w:t>
      </w:r>
      <w:r>
        <w:rPr/>
        <w:t>）项所提及的情况下，无论投保人是否已支付续保保险费，本合同效力于该保险单满期日自动终止。</w:t>
      </w:r>
    </w:p>
    <w:p>
      <w:pPr>
        <w:pStyle w:val="BodyText"/>
        <w:spacing w:before="9"/>
        <w:rPr>
          <w:sz w:val="19"/>
        </w:rPr>
      </w:pPr>
    </w:p>
    <w:p>
      <w:pPr>
        <w:pStyle w:val="Heading1"/>
        <w:tabs>
          <w:tab w:pos="985" w:val="left" w:leader="none"/>
        </w:tabs>
      </w:pPr>
      <w:r>
        <w:rPr/>
        <w:t>第八条</w:t>
        <w:tab/>
      </w:r>
      <w:r>
        <w:rPr>
          <w:w w:val="95"/>
        </w:rPr>
        <w:t>年龄错误</w:t>
      </w:r>
    </w:p>
    <w:p>
      <w:pPr>
        <w:pStyle w:val="BodyText"/>
        <w:spacing w:before="4"/>
        <w:rPr>
          <w:b/>
          <w:sz w:val="19"/>
        </w:rPr>
      </w:pPr>
    </w:p>
    <w:p>
      <w:pPr>
        <w:pStyle w:val="BodyText"/>
        <w:ind w:left="100"/>
      </w:pPr>
      <w:r>
        <w:rPr/>
        <w:t>投保人在申请投保时，应将与有效身份证件相符的被保险人的出生日期在投保单上填明，如果发生错误按照下列方式办理：</w:t>
      </w:r>
    </w:p>
    <w:p>
      <w:pPr>
        <w:pStyle w:val="BodyText"/>
        <w:spacing w:before="3"/>
        <w:rPr>
          <w:sz w:val="16"/>
        </w:rPr>
      </w:pPr>
    </w:p>
    <w:p>
      <w:pPr>
        <w:spacing w:line="232" w:lineRule="auto" w:before="0"/>
        <w:ind w:left="551" w:right="206" w:hanging="452"/>
        <w:jc w:val="both"/>
        <w:rPr>
          <w:b/>
          <w:sz w:val="18"/>
        </w:rPr>
      </w:pPr>
      <w:r>
        <w:rPr>
          <w:b/>
          <w:w w:val="95"/>
          <w:sz w:val="18"/>
        </w:rPr>
        <w:t>（</w:t>
      </w:r>
      <w:r>
        <w:rPr>
          <w:rFonts w:ascii="Times New Roman" w:hAnsi="Times New Roman" w:eastAsia="Times New Roman"/>
          <w:b/>
          <w:w w:val="95"/>
          <w:sz w:val="18"/>
        </w:rPr>
        <w:t>1</w:t>
      </w:r>
      <w:r>
        <w:rPr>
          <w:b/>
          <w:w w:val="95"/>
          <w:sz w:val="18"/>
        </w:rPr>
        <w:t>）投保人申报的被保险人年龄不真实，并且其真实年龄不符合本合同约定投保年龄限制的，本公司有权终止该被保险人    的被保资格，并将退还本合同项下该被保险人的未满期保险费（释义十五）。本公司行使被保险人的被保资格终止权    适用“本公司合同解除权及被保险人的被保资格终止权的限制”的规定。</w:t>
      </w:r>
    </w:p>
    <w:p>
      <w:pPr>
        <w:pStyle w:val="BodyText"/>
        <w:spacing w:before="1"/>
        <w:rPr>
          <w:b/>
          <w:sz w:val="20"/>
        </w:rPr>
      </w:pPr>
    </w:p>
    <w:p>
      <w:pPr>
        <w:spacing w:line="223" w:lineRule="auto" w:before="0"/>
        <w:ind w:left="551" w:right="207" w:hanging="452"/>
        <w:jc w:val="left"/>
        <w:rPr>
          <w:b/>
          <w:sz w:val="18"/>
        </w:rPr>
      </w:pPr>
      <w:r>
        <w:rPr>
          <w:b/>
          <w:w w:val="95"/>
          <w:sz w:val="18"/>
        </w:rPr>
        <w:t>（</w:t>
      </w:r>
      <w:r>
        <w:rPr>
          <w:rFonts w:ascii="Times New Roman" w:eastAsia="Times New Roman"/>
          <w:b/>
          <w:w w:val="95"/>
          <w:sz w:val="18"/>
        </w:rPr>
        <w:t>2</w:t>
      </w:r>
      <w:r>
        <w:rPr>
          <w:b/>
          <w:w w:val="95"/>
          <w:sz w:val="18"/>
        </w:rPr>
        <w:t>）投保人申报的被保险人年龄不真实，致使投保人实付保险费少于应付保险费的，本公司有权更正并要求投保人补交保    险费。若已经发生保险事故，在给付保险金时按实付保险费和应付保险费的比例给付。</w:t>
      </w:r>
    </w:p>
    <w:p>
      <w:pPr>
        <w:pStyle w:val="BodyText"/>
        <w:rPr>
          <w:b/>
          <w:sz w:val="17"/>
        </w:rPr>
      </w:pPr>
    </w:p>
    <w:p>
      <w:pPr>
        <w:spacing w:line="223" w:lineRule="auto" w:before="0"/>
        <w:ind w:left="551" w:right="206" w:hanging="452"/>
        <w:jc w:val="left"/>
        <w:rPr>
          <w:b/>
          <w:sz w:val="18"/>
        </w:rPr>
      </w:pPr>
      <w:r>
        <w:rPr>
          <w:b/>
          <w:w w:val="95"/>
          <w:sz w:val="18"/>
        </w:rPr>
        <w:t>（</w:t>
      </w:r>
      <w:r>
        <w:rPr>
          <w:rFonts w:ascii="Times New Roman" w:eastAsia="Times New Roman"/>
          <w:b/>
          <w:w w:val="95"/>
          <w:sz w:val="18"/>
        </w:rPr>
        <w:t>3</w:t>
      </w:r>
      <w:r>
        <w:rPr>
          <w:b/>
          <w:w w:val="95"/>
          <w:sz w:val="18"/>
        </w:rPr>
        <w:t>）投保人申报的被保险人年龄不真实，致使投保人实付保险费多于应付保险费的，本公司会将多收的保险费退还给投保    人。</w:t>
      </w:r>
    </w:p>
    <w:p>
      <w:pPr>
        <w:pStyle w:val="BodyText"/>
        <w:spacing w:before="5"/>
        <w:rPr>
          <w:b/>
          <w:sz w:val="17"/>
        </w:rPr>
      </w:pPr>
    </w:p>
    <w:p>
      <w:pPr>
        <w:tabs>
          <w:tab w:pos="985" w:val="left" w:leader="none"/>
        </w:tabs>
        <w:spacing w:before="0"/>
        <w:ind w:left="100" w:right="0" w:firstLine="0"/>
        <w:jc w:val="left"/>
        <w:rPr>
          <w:b/>
          <w:sz w:val="20"/>
        </w:rPr>
      </w:pPr>
      <w:r>
        <w:rPr>
          <w:b/>
          <w:sz w:val="20"/>
        </w:rPr>
        <w:t>第九条</w:t>
        <w:tab/>
      </w:r>
      <w:r>
        <w:rPr>
          <w:b/>
          <w:w w:val="95"/>
          <w:sz w:val="20"/>
        </w:rPr>
        <w:t>资料提供</w:t>
      </w:r>
    </w:p>
    <w:p>
      <w:pPr>
        <w:pStyle w:val="BodyText"/>
        <w:rPr>
          <w:b/>
        </w:rPr>
      </w:pPr>
    </w:p>
    <w:p>
      <w:pPr>
        <w:pStyle w:val="ListParagraph"/>
        <w:numPr>
          <w:ilvl w:val="0"/>
          <w:numId w:val="2"/>
        </w:numPr>
        <w:tabs>
          <w:tab w:pos="532" w:val="left" w:leader="none"/>
        </w:tabs>
        <w:spacing w:line="232" w:lineRule="auto" w:before="1" w:after="0"/>
        <w:ind w:left="532" w:right="98" w:hanging="432"/>
        <w:jc w:val="both"/>
        <w:rPr>
          <w:sz w:val="18"/>
        </w:rPr>
      </w:pPr>
      <w:r>
        <w:rPr>
          <w:sz w:val="18"/>
        </w:rPr>
        <w:t>投保人应保存本合同每个被保险人的个人资料，详细记录其姓名、性别、投保年龄、出生日期、职业、职务、保险金额、保险计划类别、被保险人加入本合同的生效日、被保险人被保资格终止日、保险计划类别的变更的指定和其他与本合同有关的一切资料。</w:t>
      </w:r>
    </w:p>
    <w:p>
      <w:pPr>
        <w:pStyle w:val="BodyText"/>
        <w:rPr>
          <w:sz w:val="20"/>
        </w:rPr>
      </w:pPr>
    </w:p>
    <w:p>
      <w:pPr>
        <w:pStyle w:val="BodyText"/>
        <w:spacing w:before="1"/>
        <w:rPr>
          <w:sz w:val="25"/>
        </w:rPr>
      </w:pPr>
    </w:p>
    <w:p>
      <w:pPr>
        <w:tabs>
          <w:tab w:pos="4961" w:val="right" w:leader="none"/>
        </w:tabs>
        <w:spacing w:before="44"/>
        <w:ind w:left="100" w:right="0" w:firstLine="0"/>
        <w:jc w:val="left"/>
        <w:rPr>
          <w:rFonts w:ascii="Times New Roman" w:eastAsia="Times New Roman"/>
          <w:sz w:val="18"/>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GH1009-01</w:t>
        <w:tab/>
      </w:r>
      <w:r>
        <w:rPr>
          <w:rFonts w:ascii="Times New Roman" w:eastAsia="Times New Roman"/>
          <w:sz w:val="18"/>
        </w:rPr>
        <w:t>2</w:t>
      </w:r>
    </w:p>
    <w:p>
      <w:pPr>
        <w:spacing w:after="0"/>
        <w:jc w:val="left"/>
        <w:rPr>
          <w:rFonts w:ascii="Times New Roman" w:eastAsia="Times New Roman"/>
          <w:sz w:val="18"/>
        </w:rPr>
        <w:sectPr>
          <w:pgSz w:w="11910" w:h="16840"/>
          <w:pgMar w:top="1020" w:bottom="280" w:left="980" w:right="980"/>
        </w:sectPr>
      </w:pPr>
    </w:p>
    <w:p>
      <w:pPr>
        <w:pStyle w:val="ListParagraph"/>
        <w:numPr>
          <w:ilvl w:val="0"/>
          <w:numId w:val="2"/>
        </w:numPr>
        <w:tabs>
          <w:tab w:pos="532" w:val="left" w:leader="none"/>
        </w:tabs>
        <w:spacing w:line="232" w:lineRule="auto" w:before="30" w:after="0"/>
        <w:ind w:left="532" w:right="98" w:hanging="432"/>
        <w:jc w:val="both"/>
        <w:rPr>
          <w:sz w:val="18"/>
        </w:rPr>
      </w:pPr>
      <w:r>
        <w:rPr/>
        <w:pict>
          <v:group style="position:absolute;margin-left:.169213pt;margin-top:0pt;width:595.3pt;height:833.05pt;mso-position-horizontal-relative:page;mso-position-vertical-relative:page;z-index:-19600"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sz w:val="18"/>
        </w:rPr>
        <w:t>投保人应根据本公司的要求提供每个被保险人的个人资料，且保证其提供给本公司的被保险人个人资料的准确性。投保人申报的单个被保险人个人资料不真实，并不会影响本合同中的其他合法有效部分，但在发现某被保险人个人申报</w:t>
      </w:r>
      <w:r>
        <w:rPr>
          <w:w w:val="95"/>
          <w:sz w:val="18"/>
        </w:rPr>
        <w:t>资料不真实时，本公司有权作出相应的调整。</w:t>
      </w:r>
    </w:p>
    <w:p>
      <w:pPr>
        <w:pStyle w:val="BodyText"/>
        <w:spacing w:before="9"/>
        <w:rPr>
          <w:sz w:val="15"/>
        </w:rPr>
      </w:pPr>
    </w:p>
    <w:p>
      <w:pPr>
        <w:pStyle w:val="ListParagraph"/>
        <w:numPr>
          <w:ilvl w:val="0"/>
          <w:numId w:val="2"/>
        </w:numPr>
        <w:tabs>
          <w:tab w:pos="531" w:val="left" w:leader="none"/>
          <w:tab w:pos="532" w:val="left" w:leader="none"/>
        </w:tabs>
        <w:spacing w:line="240" w:lineRule="auto" w:before="0" w:after="0"/>
        <w:ind w:left="532" w:right="0" w:hanging="432"/>
        <w:jc w:val="left"/>
        <w:rPr>
          <w:sz w:val="18"/>
        </w:rPr>
      </w:pPr>
      <w:r>
        <w:rPr>
          <w:w w:val="95"/>
          <w:sz w:val="18"/>
        </w:rPr>
        <w:t>本公司有权随时调阅被保险人提供给投保人的所有其他与本合同有关的资料。</w:t>
      </w:r>
    </w:p>
    <w:p>
      <w:pPr>
        <w:pStyle w:val="BodyText"/>
        <w:spacing w:before="12"/>
        <w:rPr>
          <w:sz w:val="15"/>
        </w:rPr>
      </w:pPr>
    </w:p>
    <w:p>
      <w:pPr>
        <w:pStyle w:val="ListParagraph"/>
        <w:numPr>
          <w:ilvl w:val="0"/>
          <w:numId w:val="2"/>
        </w:numPr>
        <w:tabs>
          <w:tab w:pos="531" w:val="left" w:leader="none"/>
          <w:tab w:pos="532" w:val="left" w:leader="none"/>
        </w:tabs>
        <w:spacing w:line="223" w:lineRule="auto" w:before="1" w:after="0"/>
        <w:ind w:left="532" w:right="98" w:hanging="432"/>
        <w:jc w:val="left"/>
        <w:rPr>
          <w:sz w:val="18"/>
        </w:rPr>
      </w:pPr>
      <w:r>
        <w:rPr>
          <w:sz w:val="18"/>
        </w:rPr>
        <w:t>本公司可收集与本合同有关的每个被保险人的个人资料，该个人资料将由本公司持有或使用，并可为与本保险及相关</w:t>
      </w:r>
      <w:r>
        <w:rPr>
          <w:w w:val="95"/>
          <w:sz w:val="18"/>
        </w:rPr>
        <w:t>服务之目的而透露给与本公司有关的个人或者组织。</w:t>
      </w:r>
    </w:p>
    <w:p>
      <w:pPr>
        <w:pStyle w:val="BodyText"/>
        <w:spacing w:before="3"/>
        <w:rPr>
          <w:sz w:val="17"/>
        </w:rPr>
      </w:pPr>
    </w:p>
    <w:p>
      <w:pPr>
        <w:pStyle w:val="Heading1"/>
        <w:tabs>
          <w:tab w:pos="1187" w:val="left" w:leader="none"/>
        </w:tabs>
      </w:pPr>
      <w:r>
        <w:rPr/>
        <w:t>第十条</w:t>
        <w:tab/>
      </w:r>
      <w:r>
        <w:rPr>
          <w:w w:val="95"/>
        </w:rPr>
        <w:t>合同的转让和质押</w:t>
      </w:r>
    </w:p>
    <w:p>
      <w:pPr>
        <w:pStyle w:val="BodyText"/>
        <w:spacing w:before="6"/>
        <w:rPr>
          <w:b/>
          <w:sz w:val="17"/>
        </w:rPr>
      </w:pPr>
    </w:p>
    <w:p>
      <w:pPr>
        <w:pStyle w:val="BodyText"/>
        <w:ind w:left="100"/>
      </w:pPr>
      <w:r>
        <w:rPr/>
        <w:t>本合同不可转让和质押。</w:t>
      </w:r>
    </w:p>
    <w:p>
      <w:pPr>
        <w:pStyle w:val="BodyText"/>
        <w:rPr>
          <w:sz w:val="19"/>
        </w:rPr>
      </w:pPr>
    </w:p>
    <w:p>
      <w:pPr>
        <w:pStyle w:val="Heading1"/>
        <w:tabs>
          <w:tab w:pos="1187" w:val="left" w:leader="none"/>
        </w:tabs>
        <w:spacing w:before="1"/>
      </w:pPr>
      <w:r>
        <w:rPr/>
        <w:t>第十一条</w:t>
        <w:tab/>
      </w:r>
      <w:r>
        <w:rPr>
          <w:w w:val="95"/>
        </w:rPr>
        <w:t>投保人地址的变更</w:t>
      </w:r>
    </w:p>
    <w:p>
      <w:pPr>
        <w:pStyle w:val="BodyText"/>
        <w:rPr>
          <w:b/>
          <w:sz w:val="21"/>
        </w:rPr>
      </w:pPr>
    </w:p>
    <w:p>
      <w:pPr>
        <w:pStyle w:val="BodyText"/>
        <w:ind w:left="100"/>
      </w:pPr>
      <w:r>
        <w:rPr/>
        <w:t>投保人的地址有变更时，应及时书面通知本公司。</w:t>
      </w:r>
    </w:p>
    <w:p>
      <w:pPr>
        <w:pStyle w:val="BodyText"/>
        <w:spacing w:before="6"/>
        <w:rPr>
          <w:sz w:val="17"/>
        </w:rPr>
      </w:pPr>
    </w:p>
    <w:p>
      <w:pPr>
        <w:pStyle w:val="BodyText"/>
        <w:spacing w:before="1"/>
        <w:ind w:left="100"/>
      </w:pPr>
      <w:r>
        <w:rPr/>
        <w:t>投保人不作上述通知时，本公司按投保单所载的投保人的最后地址所发送的通知，均视为已送达投保人。</w:t>
      </w:r>
    </w:p>
    <w:p>
      <w:pPr>
        <w:pStyle w:val="BodyText"/>
        <w:spacing w:before="3"/>
        <w:rPr>
          <w:sz w:val="17"/>
        </w:rPr>
      </w:pPr>
    </w:p>
    <w:p>
      <w:pPr>
        <w:pStyle w:val="Heading1"/>
        <w:tabs>
          <w:tab w:pos="1187" w:val="left" w:leader="none"/>
        </w:tabs>
      </w:pPr>
      <w:r>
        <w:rPr/>
        <w:t>第十二条</w:t>
        <w:tab/>
      </w:r>
      <w:r>
        <w:rPr>
          <w:w w:val="95"/>
        </w:rPr>
        <w:t>合同内容变更</w:t>
      </w:r>
    </w:p>
    <w:p>
      <w:pPr>
        <w:pStyle w:val="BodyText"/>
        <w:spacing w:before="9"/>
        <w:rPr>
          <w:b/>
          <w:sz w:val="17"/>
        </w:rPr>
      </w:pPr>
    </w:p>
    <w:p>
      <w:pPr>
        <w:pStyle w:val="BodyText"/>
        <w:spacing w:line="237" w:lineRule="auto"/>
        <w:ind w:left="100" w:right="126"/>
      </w:pPr>
      <w:r>
        <w:rPr/>
        <w:t>投保人和本公司可以协商变更合同内容。投保人可根据本公司的规定申请变更本合同内容，经本公司同意并记录及在本合同上批注后生效。合同内容发生变更时，投保人应及时告知本合同项下的每一被保险人。</w:t>
      </w:r>
    </w:p>
    <w:p>
      <w:pPr>
        <w:pStyle w:val="BodyText"/>
        <w:spacing w:before="5"/>
        <w:rPr>
          <w:sz w:val="17"/>
        </w:rPr>
      </w:pPr>
    </w:p>
    <w:p>
      <w:pPr>
        <w:pStyle w:val="Heading1"/>
        <w:tabs>
          <w:tab w:pos="1187" w:val="left" w:leader="none"/>
        </w:tabs>
      </w:pPr>
      <w:r>
        <w:rPr/>
        <w:t>第十三条</w:t>
        <w:tab/>
      </w:r>
      <w:r>
        <w:rPr>
          <w:w w:val="95"/>
        </w:rPr>
        <w:t>被保资格的获得和被保险人的增加</w:t>
      </w:r>
    </w:p>
    <w:p>
      <w:pPr>
        <w:pStyle w:val="BodyText"/>
        <w:spacing w:before="6"/>
        <w:rPr>
          <w:b/>
          <w:sz w:val="17"/>
        </w:rPr>
      </w:pPr>
    </w:p>
    <w:p>
      <w:pPr>
        <w:pStyle w:val="BodyText"/>
        <w:ind w:left="100"/>
      </w:pPr>
      <w:r>
        <w:rPr/>
        <w:t>一、本合同所约定的</w:t>
      </w:r>
      <w:r>
        <w:rPr>
          <w:b/>
        </w:rPr>
        <w:t>团体</w:t>
      </w:r>
      <w:r>
        <w:rPr/>
        <w:t>(释义十六)中的</w:t>
      </w:r>
      <w:r>
        <w:rPr>
          <w:b/>
        </w:rPr>
        <w:t>成员</w:t>
      </w:r>
      <w:r>
        <w:rPr/>
        <w:t>(释义十七)，可按以下约定获得被保资格：</w:t>
      </w:r>
    </w:p>
    <w:p>
      <w:pPr>
        <w:pStyle w:val="BodyText"/>
        <w:spacing w:before="11"/>
        <w:rPr>
          <w:sz w:val="17"/>
        </w:rPr>
      </w:pPr>
    </w:p>
    <w:p>
      <w:pPr>
        <w:pStyle w:val="ListParagraph"/>
        <w:numPr>
          <w:ilvl w:val="0"/>
          <w:numId w:val="3"/>
        </w:numPr>
        <w:tabs>
          <w:tab w:pos="532" w:val="left" w:leader="none"/>
        </w:tabs>
        <w:spacing w:line="237" w:lineRule="auto" w:before="1" w:after="0"/>
        <w:ind w:left="532" w:right="234" w:hanging="432"/>
        <w:jc w:val="left"/>
        <w:rPr>
          <w:sz w:val="18"/>
        </w:rPr>
      </w:pPr>
      <w:r>
        <w:rPr>
          <w:sz w:val="18"/>
        </w:rPr>
        <w:t>在本合同生效日已通过本合同所定义的</w:t>
      </w:r>
      <w:r>
        <w:rPr>
          <w:b/>
          <w:sz w:val="18"/>
        </w:rPr>
        <w:t>等候期</w:t>
      </w:r>
      <w:r>
        <w:rPr>
          <w:sz w:val="18"/>
        </w:rPr>
        <w:t>（释义十八</w:t>
      </w:r>
      <w:r>
        <w:rPr>
          <w:spacing w:val="-3"/>
          <w:sz w:val="18"/>
        </w:rPr>
        <w:t>）</w:t>
      </w:r>
      <w:r>
        <w:rPr>
          <w:sz w:val="18"/>
        </w:rPr>
        <w:t>的成员，且未有任何其他不能满足本合同规定的情况，则该成员应于本合同生效日获得被保资格。</w:t>
      </w:r>
    </w:p>
    <w:p>
      <w:pPr>
        <w:pStyle w:val="BodyText"/>
        <w:spacing w:before="10"/>
        <w:rPr>
          <w:sz w:val="17"/>
        </w:rPr>
      </w:pPr>
    </w:p>
    <w:p>
      <w:pPr>
        <w:pStyle w:val="ListParagraph"/>
        <w:numPr>
          <w:ilvl w:val="0"/>
          <w:numId w:val="3"/>
        </w:numPr>
        <w:tabs>
          <w:tab w:pos="532" w:val="left" w:leader="none"/>
        </w:tabs>
        <w:spacing w:line="240" w:lineRule="auto" w:before="0" w:after="0"/>
        <w:ind w:left="532" w:right="234" w:hanging="432"/>
        <w:jc w:val="left"/>
        <w:rPr>
          <w:sz w:val="18"/>
        </w:rPr>
      </w:pPr>
      <w:r>
        <w:rPr>
          <w:sz w:val="18"/>
        </w:rPr>
        <w:t>新成员或在本合同生效日尚未通过本合同定义的等候期的成员，若于等候期满后的第一日未有任何其他不能满足本合同规定的情况，则该成员应于等候期满后的第一日获得被保资格。</w:t>
      </w:r>
    </w:p>
    <w:p>
      <w:pPr>
        <w:pStyle w:val="BodyText"/>
        <w:spacing w:before="9"/>
        <w:rPr>
          <w:sz w:val="17"/>
        </w:rPr>
      </w:pPr>
    </w:p>
    <w:p>
      <w:pPr>
        <w:pStyle w:val="ListParagraph"/>
        <w:numPr>
          <w:ilvl w:val="0"/>
          <w:numId w:val="3"/>
        </w:numPr>
        <w:tabs>
          <w:tab w:pos="532" w:val="left" w:leader="none"/>
        </w:tabs>
        <w:spacing w:line="240" w:lineRule="auto" w:before="1" w:after="0"/>
        <w:ind w:left="532" w:right="0" w:hanging="432"/>
        <w:jc w:val="left"/>
        <w:rPr>
          <w:sz w:val="18"/>
        </w:rPr>
      </w:pPr>
      <w:r>
        <w:rPr>
          <w:sz w:val="18"/>
        </w:rPr>
        <w:t>已丧失原被保资格的成员重新申请被保资格将被视为新成员处理。</w:t>
      </w:r>
    </w:p>
    <w:p>
      <w:pPr>
        <w:pStyle w:val="BodyText"/>
        <w:spacing w:before="12"/>
        <w:rPr>
          <w:sz w:val="17"/>
        </w:rPr>
      </w:pPr>
    </w:p>
    <w:p>
      <w:pPr>
        <w:pStyle w:val="ListParagraph"/>
        <w:numPr>
          <w:ilvl w:val="0"/>
          <w:numId w:val="3"/>
        </w:numPr>
        <w:tabs>
          <w:tab w:pos="532" w:val="left" w:leader="none"/>
        </w:tabs>
        <w:spacing w:line="237" w:lineRule="auto" w:before="0" w:after="0"/>
        <w:ind w:left="532" w:right="141" w:hanging="432"/>
        <w:jc w:val="left"/>
        <w:rPr>
          <w:sz w:val="18"/>
        </w:rPr>
      </w:pPr>
      <w:r>
        <w:rPr>
          <w:sz w:val="18"/>
        </w:rPr>
        <w:t>任何上述（1）、（2）及（3）项规定所提及的成员，若因</w:t>
      </w:r>
      <w:r>
        <w:rPr>
          <w:b/>
          <w:sz w:val="18"/>
        </w:rPr>
        <w:t>休假</w:t>
      </w:r>
      <w:r>
        <w:rPr>
          <w:sz w:val="18"/>
        </w:rPr>
        <w:t>（释义十九）</w:t>
      </w:r>
      <w:r>
        <w:rPr>
          <w:spacing w:val="-3"/>
          <w:sz w:val="18"/>
        </w:rPr>
        <w:t>、</w:t>
      </w:r>
      <w:r>
        <w:rPr>
          <w:b/>
          <w:sz w:val="18"/>
        </w:rPr>
        <w:t>非正常状况</w:t>
      </w:r>
      <w:r>
        <w:rPr>
          <w:sz w:val="18"/>
        </w:rPr>
        <w:t>（释义二十）或任何其他事</w:t>
      </w:r>
      <w:r>
        <w:rPr>
          <w:w w:val="95"/>
          <w:sz w:val="18"/>
        </w:rPr>
        <w:t>故而未能从事本合同约定的</w:t>
      </w:r>
      <w:r>
        <w:rPr>
          <w:b/>
          <w:w w:val="95"/>
          <w:sz w:val="18"/>
        </w:rPr>
        <w:t>正常工作</w:t>
      </w:r>
      <w:r>
        <w:rPr>
          <w:w w:val="95"/>
          <w:sz w:val="18"/>
        </w:rPr>
        <w:t>（释义二十一），</w:t>
      </w:r>
      <w:r>
        <w:rPr>
          <w:spacing w:val="-2"/>
          <w:w w:val="95"/>
          <w:sz w:val="18"/>
        </w:rPr>
        <w:t>则该成员须延迟至其恢复正常工作的第一日始获得被保资格。</w:t>
      </w:r>
    </w:p>
    <w:p>
      <w:pPr>
        <w:pStyle w:val="BodyText"/>
        <w:spacing w:before="3"/>
        <w:rPr>
          <w:sz w:val="16"/>
        </w:rPr>
      </w:pPr>
    </w:p>
    <w:p>
      <w:pPr>
        <w:pStyle w:val="ListParagraph"/>
        <w:numPr>
          <w:ilvl w:val="0"/>
          <w:numId w:val="3"/>
        </w:numPr>
        <w:tabs>
          <w:tab w:pos="531" w:val="left" w:leader="none"/>
          <w:tab w:pos="532" w:val="left" w:leader="none"/>
        </w:tabs>
        <w:spacing w:line="232" w:lineRule="auto" w:before="0" w:after="0"/>
        <w:ind w:left="532" w:right="143" w:hanging="432"/>
        <w:jc w:val="left"/>
        <w:rPr>
          <w:rFonts w:ascii="Times New Roman" w:eastAsia="Times New Roman"/>
          <w:sz w:val="18"/>
        </w:rPr>
      </w:pPr>
      <w:r>
        <w:rPr>
          <w:sz w:val="18"/>
        </w:rPr>
        <w:t>任何上述（1）、（2）及（3）项规定所提及的成员，若被任何国家或国际组织认定为恐怖分子或恐怖组织成员，或非法从事毒品、核武器、生物或化学武器交易，则该成员不能获得被保资格。本合同不承保任何国家或国际组织认定的</w:t>
      </w:r>
      <w:r>
        <w:rPr>
          <w:w w:val="95"/>
          <w:sz w:val="18"/>
        </w:rPr>
        <w:t>恐怖分子或恐怖组织成员，或非法从事毒品、核武器、生物或化学武器交易人员。</w:t>
      </w:r>
    </w:p>
    <w:p>
      <w:pPr>
        <w:pStyle w:val="BodyText"/>
        <w:spacing w:before="11"/>
        <w:rPr>
          <w:sz w:val="15"/>
        </w:rPr>
      </w:pPr>
    </w:p>
    <w:p>
      <w:pPr>
        <w:pStyle w:val="BodyText"/>
        <w:spacing w:line="237" w:lineRule="auto"/>
        <w:ind w:left="100" w:right="126"/>
        <w:jc w:val="both"/>
      </w:pPr>
      <w:r>
        <w:rPr/>
        <w:t>二、获得被保资格的成员若要成为本合同的被保险人，必须在获得被保资格后由投保人提出加入本合同的书面申请并按日数比例支付相应的保险费，经本公司同意后，该成员才能加入本合同从而成为本合同的被保险人。获得被保资格的成员若要在本合同生效日以后加入本合同，则必须在获得被保资格后的三十一日内由投保人提出申请，否则，本公司有权要求投保人或该成员自费提供最新的可保证明，且经本公司同意后，该成员才能成为本合同的被保险人。</w:t>
      </w:r>
    </w:p>
    <w:p>
      <w:pPr>
        <w:pStyle w:val="BodyText"/>
        <w:spacing w:before="3"/>
        <w:rPr>
          <w:sz w:val="17"/>
        </w:rPr>
      </w:pPr>
    </w:p>
    <w:p>
      <w:pPr>
        <w:pStyle w:val="Heading1"/>
        <w:tabs>
          <w:tab w:pos="1187" w:val="left" w:leader="none"/>
        </w:tabs>
      </w:pPr>
      <w:r>
        <w:rPr/>
        <w:t>第十四条</w:t>
        <w:tab/>
      </w:r>
      <w:r>
        <w:rPr>
          <w:w w:val="95"/>
        </w:rPr>
        <w:t>被保资格的丧失或终止及被保险人的减少</w:t>
      </w:r>
    </w:p>
    <w:p>
      <w:pPr>
        <w:pStyle w:val="BodyText"/>
        <w:spacing w:before="9"/>
        <w:rPr>
          <w:b/>
          <w:sz w:val="17"/>
        </w:rPr>
      </w:pPr>
    </w:p>
    <w:p>
      <w:pPr>
        <w:pStyle w:val="BodyText"/>
        <w:ind w:left="100"/>
      </w:pPr>
      <w:r>
        <w:rPr/>
        <w:t>在本合同有效期内，下列任一情况下，被保险人将丧失或终止被保资格：</w:t>
      </w:r>
    </w:p>
    <w:p>
      <w:pPr>
        <w:pStyle w:val="BodyText"/>
        <w:spacing w:before="9"/>
        <w:rPr>
          <w:sz w:val="17"/>
        </w:rPr>
      </w:pPr>
    </w:p>
    <w:p>
      <w:pPr>
        <w:pStyle w:val="ListParagraph"/>
        <w:numPr>
          <w:ilvl w:val="0"/>
          <w:numId w:val="4"/>
        </w:numPr>
        <w:tabs>
          <w:tab w:pos="532" w:val="left" w:leader="none"/>
        </w:tabs>
        <w:spacing w:line="240" w:lineRule="auto" w:before="0" w:after="0"/>
        <w:ind w:left="532" w:right="0" w:hanging="432"/>
        <w:jc w:val="left"/>
        <w:rPr>
          <w:sz w:val="18"/>
        </w:rPr>
      </w:pPr>
      <w:r>
        <w:rPr>
          <w:sz w:val="18"/>
        </w:rPr>
        <w:t>被保险人正式成为陆、海、空军人，其被保资格将丧失；</w:t>
      </w:r>
    </w:p>
    <w:p>
      <w:pPr>
        <w:pStyle w:val="BodyText"/>
        <w:spacing w:before="11"/>
        <w:rPr>
          <w:sz w:val="17"/>
        </w:rPr>
      </w:pPr>
    </w:p>
    <w:p>
      <w:pPr>
        <w:pStyle w:val="ListParagraph"/>
        <w:numPr>
          <w:ilvl w:val="0"/>
          <w:numId w:val="4"/>
        </w:numPr>
        <w:tabs>
          <w:tab w:pos="532" w:val="left" w:leader="none"/>
        </w:tabs>
        <w:spacing w:line="237" w:lineRule="auto" w:before="0" w:after="0"/>
        <w:ind w:left="532" w:right="234" w:hanging="432"/>
        <w:jc w:val="left"/>
        <w:rPr>
          <w:sz w:val="18"/>
        </w:rPr>
      </w:pPr>
      <w:r>
        <w:rPr>
          <w:sz w:val="18"/>
        </w:rPr>
        <w:t>被保险人达到本合同约定书上载明的终止年龄后的首个保险单周年日，或被保险人达到本合同约定书上载明的终止年龄的生日（若被保险人生日与保险单周年日为同一日期），其被保资格将自该保险单周年日起终止；</w:t>
      </w:r>
    </w:p>
    <w:p>
      <w:pPr>
        <w:pStyle w:val="BodyText"/>
        <w:spacing w:before="9"/>
        <w:rPr>
          <w:sz w:val="17"/>
        </w:rPr>
      </w:pPr>
    </w:p>
    <w:p>
      <w:pPr>
        <w:pStyle w:val="ListParagraph"/>
        <w:numPr>
          <w:ilvl w:val="0"/>
          <w:numId w:val="4"/>
        </w:numPr>
        <w:tabs>
          <w:tab w:pos="532" w:val="left" w:leader="none"/>
        </w:tabs>
        <w:spacing w:line="240" w:lineRule="auto" w:before="0" w:after="0"/>
        <w:ind w:left="532" w:right="0" w:hanging="432"/>
        <w:jc w:val="left"/>
        <w:rPr>
          <w:sz w:val="18"/>
        </w:rPr>
      </w:pPr>
      <w:r>
        <w:rPr>
          <w:sz w:val="18"/>
        </w:rPr>
        <w:t>若被保险人身故，则其被保资格将自其身故之日起终止；</w:t>
      </w:r>
    </w:p>
    <w:p>
      <w:pPr>
        <w:pStyle w:val="BodyText"/>
        <w:rPr>
          <w:sz w:val="20"/>
        </w:rPr>
      </w:pPr>
    </w:p>
    <w:p>
      <w:pPr>
        <w:pStyle w:val="BodyText"/>
        <w:rPr>
          <w:sz w:val="20"/>
        </w:rPr>
      </w:pPr>
    </w:p>
    <w:p>
      <w:pPr>
        <w:pStyle w:val="BodyText"/>
        <w:spacing w:before="1"/>
        <w:rPr>
          <w:sz w:val="29"/>
        </w:rPr>
      </w:pPr>
    </w:p>
    <w:p>
      <w:pPr>
        <w:pStyle w:val="Heading2"/>
        <w:tabs>
          <w:tab w:pos="4961" w:val="right" w:leader="none"/>
        </w:tabs>
        <w:rPr>
          <w:sz w:val="18"/>
        </w:rPr>
      </w:pPr>
      <w:r>
        <w:rPr>
          <w:rFonts w:ascii="宋体" w:eastAsia="宋体" w:hint="eastAsia"/>
        </w:rPr>
        <w:t>条款编号</w:t>
      </w:r>
      <w:r>
        <w:rPr/>
        <w:t>:</w:t>
      </w:r>
      <w:r>
        <w:rPr>
          <w:spacing w:val="-1"/>
        </w:rPr>
        <w:t> </w:t>
      </w:r>
      <w:r>
        <w:rPr/>
        <w:t>GH1009-01</w:t>
        <w:tab/>
      </w:r>
      <w:r>
        <w:rPr>
          <w:sz w:val="18"/>
        </w:rPr>
        <w:t>3</w:t>
      </w:r>
    </w:p>
    <w:p>
      <w:pPr>
        <w:spacing w:after="0"/>
        <w:rPr>
          <w:sz w:val="18"/>
        </w:rPr>
        <w:sectPr>
          <w:pgSz w:w="11910" w:h="16840"/>
          <w:pgMar w:top="1220" w:bottom="280" w:left="980" w:right="980"/>
        </w:sectPr>
      </w:pPr>
    </w:p>
    <w:p>
      <w:pPr>
        <w:pStyle w:val="ListParagraph"/>
        <w:numPr>
          <w:ilvl w:val="0"/>
          <w:numId w:val="4"/>
        </w:numPr>
        <w:tabs>
          <w:tab w:pos="532" w:val="left" w:leader="none"/>
        </w:tabs>
        <w:spacing w:line="237" w:lineRule="auto" w:before="18" w:after="0"/>
        <w:ind w:left="532" w:right="254" w:hanging="432"/>
        <w:jc w:val="both"/>
        <w:rPr>
          <w:sz w:val="18"/>
        </w:rPr>
      </w:pPr>
      <w:r>
        <w:rPr/>
        <w:pict>
          <v:group style="position:absolute;margin-left:.169213pt;margin-top:0pt;width:595.3pt;height:833.05pt;mso-position-horizontal-relative:page;mso-position-vertical-relative:page;z-index:-19576"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sz w:val="18"/>
        </w:rPr>
        <w:t>被保险人未能从事本合同约定的正常工作，其被保资格将丧失。但若被保险人因暂时性非正常工作，在投保人同意并继续为其支付保险费的情况下，其被保资格仍可继续保留六个月；六个月后，若该被保险人仍未恢复正常工作，则该被保险人将丧失其被保资格，本公司将退还本合同项下该被保险人的未满期保险费。</w:t>
      </w:r>
    </w:p>
    <w:p>
      <w:pPr>
        <w:pStyle w:val="BodyText"/>
        <w:spacing w:before="9"/>
        <w:rPr>
          <w:sz w:val="17"/>
        </w:rPr>
      </w:pPr>
    </w:p>
    <w:p>
      <w:pPr>
        <w:pStyle w:val="ListParagraph"/>
        <w:numPr>
          <w:ilvl w:val="0"/>
          <w:numId w:val="4"/>
        </w:numPr>
        <w:tabs>
          <w:tab w:pos="532" w:val="left" w:leader="none"/>
        </w:tabs>
        <w:spacing w:line="240" w:lineRule="auto" w:before="0" w:after="0"/>
        <w:ind w:left="532" w:right="0" w:hanging="432"/>
        <w:jc w:val="left"/>
        <w:rPr>
          <w:sz w:val="18"/>
        </w:rPr>
      </w:pPr>
      <w:r>
        <w:rPr>
          <w:sz w:val="18"/>
        </w:rPr>
        <w:t>被保险人因其他条款所列情况而丧失或终止被保资格。</w:t>
      </w:r>
    </w:p>
    <w:p>
      <w:pPr>
        <w:pStyle w:val="BodyText"/>
        <w:spacing w:before="9"/>
        <w:rPr>
          <w:sz w:val="17"/>
        </w:rPr>
      </w:pPr>
    </w:p>
    <w:p>
      <w:pPr>
        <w:pStyle w:val="BodyText"/>
        <w:spacing w:line="285" w:lineRule="auto"/>
        <w:ind w:left="100" w:right="119"/>
      </w:pPr>
      <w:r>
        <w:rPr/>
        <w:t>若被保险人的被保资格丧失或终止，则本合同项下的被保险人将不再包含该被保险人，本公司将退还本合同项下该被保险人的未满期保险费。</w:t>
      </w:r>
    </w:p>
    <w:p>
      <w:pPr>
        <w:pStyle w:val="BodyText"/>
        <w:spacing w:before="3"/>
      </w:pPr>
    </w:p>
    <w:p>
      <w:pPr>
        <w:pStyle w:val="Heading1"/>
        <w:tabs>
          <w:tab w:pos="1187" w:val="left" w:leader="none"/>
        </w:tabs>
      </w:pPr>
      <w:r>
        <w:rPr/>
        <w:t>第十五条</w:t>
        <w:tab/>
      </w:r>
      <w:r>
        <w:rPr>
          <w:w w:val="95"/>
        </w:rPr>
        <w:t>被保险人家属的被保资格的获得和附属被保险人的增加</w:t>
      </w:r>
    </w:p>
    <w:p>
      <w:pPr>
        <w:pStyle w:val="BodyText"/>
        <w:spacing w:before="8"/>
        <w:rPr>
          <w:b/>
          <w:sz w:val="17"/>
        </w:rPr>
      </w:pPr>
    </w:p>
    <w:p>
      <w:pPr>
        <w:pStyle w:val="BodyText"/>
        <w:spacing w:line="237" w:lineRule="auto" w:before="1"/>
        <w:ind w:left="100" w:right="146" w:hanging="1"/>
      </w:pPr>
      <w:r>
        <w:rPr/>
        <w:t>一、投保人可为被保险人的家属投保本合同。本合同被保险人家属仅指被保险人的</w:t>
      </w:r>
      <w:r>
        <w:rPr>
          <w:b/>
        </w:rPr>
        <w:t>配偶</w:t>
      </w:r>
      <w:r>
        <w:rPr/>
        <w:t>（释义二十二）和未婚</w:t>
      </w:r>
      <w:r>
        <w:rPr>
          <w:b/>
        </w:rPr>
        <w:t>子女</w:t>
      </w:r>
      <w:r>
        <w:rPr/>
        <w:t>（释义二十三），且须符合以下条件才具有被保资格：</w:t>
      </w:r>
    </w:p>
    <w:p>
      <w:pPr>
        <w:pStyle w:val="BodyText"/>
        <w:spacing w:before="9"/>
        <w:rPr>
          <w:sz w:val="15"/>
        </w:rPr>
      </w:pPr>
    </w:p>
    <w:p>
      <w:pPr>
        <w:pStyle w:val="ListParagraph"/>
        <w:numPr>
          <w:ilvl w:val="0"/>
          <w:numId w:val="5"/>
        </w:numPr>
        <w:tabs>
          <w:tab w:pos="531" w:val="left" w:leader="none"/>
          <w:tab w:pos="532" w:val="left" w:leader="none"/>
        </w:tabs>
        <w:spacing w:line="240" w:lineRule="auto" w:before="1" w:after="0"/>
        <w:ind w:left="532" w:right="0" w:hanging="432"/>
        <w:jc w:val="left"/>
        <w:rPr>
          <w:rFonts w:ascii="Times New Roman" w:eastAsia="Times New Roman"/>
          <w:sz w:val="18"/>
        </w:rPr>
      </w:pPr>
      <w:r>
        <w:rPr>
          <w:w w:val="95"/>
          <w:sz w:val="18"/>
        </w:rPr>
        <w:t>被保险人家属的年龄必须符合本合同约定书上所载的投保年龄范围的规定；</w:t>
      </w:r>
    </w:p>
    <w:p>
      <w:pPr>
        <w:pStyle w:val="BodyText"/>
        <w:spacing w:before="11"/>
        <w:rPr>
          <w:sz w:val="14"/>
        </w:rPr>
      </w:pPr>
    </w:p>
    <w:p>
      <w:pPr>
        <w:pStyle w:val="ListParagraph"/>
        <w:numPr>
          <w:ilvl w:val="0"/>
          <w:numId w:val="5"/>
        </w:numPr>
        <w:tabs>
          <w:tab w:pos="532" w:val="left" w:leader="none"/>
        </w:tabs>
        <w:spacing w:line="237" w:lineRule="auto" w:before="0" w:after="0"/>
        <w:ind w:left="532" w:right="254" w:hanging="432"/>
        <w:jc w:val="left"/>
        <w:rPr>
          <w:sz w:val="18"/>
        </w:rPr>
      </w:pPr>
      <w:r>
        <w:rPr>
          <w:sz w:val="18"/>
        </w:rPr>
        <w:t>被保险人家属未被任何国家或国际组织认定为恐怖分子或恐怖组织成员，且未非法从事毒品、核武器、生物或化学武器交易；</w:t>
      </w:r>
    </w:p>
    <w:p>
      <w:pPr>
        <w:pStyle w:val="BodyText"/>
        <w:spacing w:before="3"/>
        <w:rPr>
          <w:sz w:val="16"/>
        </w:rPr>
      </w:pPr>
    </w:p>
    <w:p>
      <w:pPr>
        <w:pStyle w:val="ListParagraph"/>
        <w:numPr>
          <w:ilvl w:val="0"/>
          <w:numId w:val="5"/>
        </w:numPr>
        <w:tabs>
          <w:tab w:pos="532" w:val="left" w:leader="none"/>
        </w:tabs>
        <w:spacing w:line="232" w:lineRule="auto" w:before="0" w:after="0"/>
        <w:ind w:left="532" w:right="252" w:hanging="432"/>
        <w:jc w:val="both"/>
        <w:rPr>
          <w:rFonts w:ascii="Times New Roman" w:eastAsia="Times New Roman"/>
          <w:sz w:val="18"/>
        </w:rPr>
      </w:pPr>
      <w:r>
        <w:rPr>
          <w:sz w:val="18"/>
        </w:rPr>
        <w:t>符合上述（1）和（2）</w:t>
      </w:r>
      <w:r>
        <w:rPr>
          <w:spacing w:val="-1"/>
          <w:sz w:val="18"/>
        </w:rPr>
        <w:t>中的规定，若在本合同生效日已成为本合同的被保险人家属且未处于非正常状况，则于生效日获得被保资格；符合上述（1）和（2）中的规定，若在本合同生效日尚未成为本合同的被保险人家属，可于成为本合</w:t>
      </w:r>
      <w:r>
        <w:rPr>
          <w:spacing w:val="-1"/>
          <w:w w:val="95"/>
          <w:sz w:val="18"/>
        </w:rPr>
        <w:t>同的被保险人家属后且未处于非正常状况后的第一日开始获得被保资格。</w:t>
      </w:r>
    </w:p>
    <w:p>
      <w:pPr>
        <w:pStyle w:val="BodyText"/>
        <w:spacing w:before="11"/>
        <w:rPr>
          <w:sz w:val="15"/>
        </w:rPr>
      </w:pPr>
    </w:p>
    <w:p>
      <w:pPr>
        <w:pStyle w:val="BodyText"/>
        <w:spacing w:line="237" w:lineRule="auto"/>
        <w:ind w:left="100" w:right="146"/>
        <w:jc w:val="both"/>
      </w:pPr>
      <w:r>
        <w:rPr/>
        <w:t>二、获得被保资格的被保险人家属若要成为本合同的附属被保险人，必须在获得被保资格后的三十一日内由投保人提出加入本合同的书面申请并支付相应的保险费，经本公司同意后，该被保险人家属才能成为本合同的附属被保险人，否则，本公司有权要求投保人、被保险人或被保险人家属自费提供新的可保证明，且经本公司同意后，该被保险人家属才能成为本合同的附属被保险人。</w:t>
      </w:r>
    </w:p>
    <w:p>
      <w:pPr>
        <w:pStyle w:val="BodyText"/>
        <w:rPr>
          <w:sz w:val="19"/>
        </w:rPr>
      </w:pPr>
    </w:p>
    <w:p>
      <w:pPr>
        <w:pStyle w:val="Heading1"/>
        <w:tabs>
          <w:tab w:pos="1187" w:val="left" w:leader="none"/>
        </w:tabs>
        <w:spacing w:before="1"/>
      </w:pPr>
      <w:r>
        <w:rPr/>
        <w:t>第十六条</w:t>
        <w:tab/>
      </w:r>
      <w:r>
        <w:rPr>
          <w:w w:val="95"/>
        </w:rPr>
        <w:t>附属被保险人的被保资格的丧失或终止及附属被保险人的减少</w:t>
      </w:r>
    </w:p>
    <w:p>
      <w:pPr>
        <w:pStyle w:val="BodyText"/>
        <w:spacing w:before="7"/>
        <w:rPr>
          <w:b/>
          <w:sz w:val="17"/>
        </w:rPr>
      </w:pPr>
    </w:p>
    <w:p>
      <w:pPr>
        <w:pStyle w:val="BodyText"/>
        <w:ind w:left="100"/>
      </w:pPr>
      <w:r>
        <w:rPr/>
        <w:t>在本合同有效期内，下列任一情况下，附属被保险人将丧失或终止被保资格：</w:t>
      </w:r>
    </w:p>
    <w:p>
      <w:pPr>
        <w:pStyle w:val="BodyText"/>
        <w:spacing w:before="9"/>
        <w:rPr>
          <w:sz w:val="15"/>
        </w:rPr>
      </w:pPr>
    </w:p>
    <w:p>
      <w:pPr>
        <w:pStyle w:val="ListParagraph"/>
        <w:numPr>
          <w:ilvl w:val="0"/>
          <w:numId w:val="6"/>
        </w:numPr>
        <w:tabs>
          <w:tab w:pos="531" w:val="left" w:leader="none"/>
          <w:tab w:pos="532" w:val="left" w:leader="none"/>
        </w:tabs>
        <w:spacing w:line="240" w:lineRule="auto" w:before="0" w:after="0"/>
        <w:ind w:left="532" w:right="0" w:hanging="432"/>
        <w:jc w:val="left"/>
        <w:rPr>
          <w:sz w:val="18"/>
        </w:rPr>
      </w:pPr>
      <w:r>
        <w:rPr>
          <w:w w:val="95"/>
          <w:sz w:val="18"/>
        </w:rPr>
        <w:t>附属被保险人正式成为陆、海、空军人或被保险人的子女成为全日制雇员，其被保资格将丧失；</w:t>
      </w:r>
    </w:p>
    <w:p>
      <w:pPr>
        <w:pStyle w:val="BodyText"/>
        <w:spacing w:before="6"/>
        <w:rPr>
          <w:sz w:val="14"/>
        </w:rPr>
      </w:pPr>
    </w:p>
    <w:p>
      <w:pPr>
        <w:pStyle w:val="ListParagraph"/>
        <w:numPr>
          <w:ilvl w:val="0"/>
          <w:numId w:val="6"/>
        </w:numPr>
        <w:tabs>
          <w:tab w:pos="531" w:val="left" w:leader="none"/>
          <w:tab w:pos="532" w:val="left" w:leader="none"/>
        </w:tabs>
        <w:spacing w:line="240" w:lineRule="auto" w:before="0" w:after="0"/>
        <w:ind w:left="532" w:right="0" w:hanging="432"/>
        <w:jc w:val="left"/>
        <w:rPr>
          <w:sz w:val="18"/>
        </w:rPr>
      </w:pPr>
      <w:r>
        <w:rPr>
          <w:w w:val="95"/>
          <w:sz w:val="18"/>
        </w:rPr>
        <w:t>若被保险人丧失或终止被保资格，则该被保险人所对应的附属被保险人同时丧失或终止被保资格；</w:t>
      </w:r>
    </w:p>
    <w:p>
      <w:pPr>
        <w:pStyle w:val="BodyText"/>
        <w:rPr>
          <w:sz w:val="16"/>
        </w:rPr>
      </w:pPr>
    </w:p>
    <w:p>
      <w:pPr>
        <w:pStyle w:val="ListParagraph"/>
        <w:numPr>
          <w:ilvl w:val="0"/>
          <w:numId w:val="6"/>
        </w:numPr>
        <w:tabs>
          <w:tab w:pos="531" w:val="left" w:leader="none"/>
          <w:tab w:pos="532" w:val="left" w:leader="none"/>
        </w:tabs>
        <w:spacing w:line="223" w:lineRule="auto" w:before="0" w:after="0"/>
        <w:ind w:left="532" w:right="254" w:hanging="432"/>
        <w:jc w:val="left"/>
        <w:rPr>
          <w:sz w:val="18"/>
        </w:rPr>
      </w:pPr>
      <w:r>
        <w:rPr>
          <w:sz w:val="18"/>
        </w:rPr>
        <w:t>若附属被保险人达到本合同约定书上载明的终止年龄后的首个保险单周年日，或附属被保险人达到本合同约定书上载</w:t>
      </w:r>
      <w:r>
        <w:rPr>
          <w:w w:val="95"/>
          <w:sz w:val="18"/>
        </w:rPr>
        <w:t>明的终止年龄的生日（若附属被保险人生日与保险单周年日为同一日期），则其被保资格自该保险单周年日起终止；</w:t>
      </w:r>
    </w:p>
    <w:p>
      <w:pPr>
        <w:pStyle w:val="BodyText"/>
        <w:spacing w:before="9"/>
        <w:rPr>
          <w:sz w:val="15"/>
        </w:rPr>
      </w:pPr>
    </w:p>
    <w:p>
      <w:pPr>
        <w:pStyle w:val="ListParagraph"/>
        <w:numPr>
          <w:ilvl w:val="0"/>
          <w:numId w:val="6"/>
        </w:numPr>
        <w:tabs>
          <w:tab w:pos="531" w:val="left" w:leader="none"/>
          <w:tab w:pos="532" w:val="left" w:leader="none"/>
        </w:tabs>
        <w:spacing w:line="240" w:lineRule="auto" w:before="0" w:after="0"/>
        <w:ind w:left="532" w:right="0" w:hanging="432"/>
        <w:jc w:val="left"/>
        <w:rPr>
          <w:sz w:val="18"/>
        </w:rPr>
      </w:pPr>
      <w:r>
        <w:rPr>
          <w:w w:val="95"/>
          <w:sz w:val="18"/>
        </w:rPr>
        <w:t>若附属被保险人身故，则其被保资格自其身故之日起终止；</w:t>
      </w:r>
    </w:p>
    <w:p>
      <w:pPr>
        <w:pStyle w:val="BodyText"/>
        <w:spacing w:before="8"/>
        <w:rPr>
          <w:sz w:val="14"/>
        </w:rPr>
      </w:pPr>
    </w:p>
    <w:p>
      <w:pPr>
        <w:pStyle w:val="ListParagraph"/>
        <w:numPr>
          <w:ilvl w:val="0"/>
          <w:numId w:val="6"/>
        </w:numPr>
        <w:tabs>
          <w:tab w:pos="531" w:val="left" w:leader="none"/>
          <w:tab w:pos="532" w:val="left" w:leader="none"/>
        </w:tabs>
        <w:spacing w:line="240" w:lineRule="auto" w:before="0" w:after="0"/>
        <w:ind w:left="532" w:right="0" w:hanging="432"/>
        <w:jc w:val="left"/>
        <w:rPr>
          <w:sz w:val="18"/>
        </w:rPr>
      </w:pPr>
      <w:r>
        <w:rPr>
          <w:w w:val="95"/>
          <w:sz w:val="18"/>
        </w:rPr>
        <w:t>被保险人的未婚子女结婚，则该子女的被保资格终止；</w:t>
      </w:r>
    </w:p>
    <w:p>
      <w:pPr>
        <w:pStyle w:val="BodyText"/>
        <w:spacing w:before="6"/>
        <w:rPr>
          <w:sz w:val="14"/>
        </w:rPr>
      </w:pPr>
    </w:p>
    <w:p>
      <w:pPr>
        <w:pStyle w:val="ListParagraph"/>
        <w:numPr>
          <w:ilvl w:val="0"/>
          <w:numId w:val="6"/>
        </w:numPr>
        <w:tabs>
          <w:tab w:pos="531" w:val="left" w:leader="none"/>
          <w:tab w:pos="532" w:val="left" w:leader="none"/>
        </w:tabs>
        <w:spacing w:line="240" w:lineRule="auto" w:before="0" w:after="0"/>
        <w:ind w:left="532" w:right="0" w:hanging="432"/>
        <w:jc w:val="left"/>
        <w:rPr>
          <w:sz w:val="18"/>
        </w:rPr>
      </w:pPr>
      <w:r>
        <w:rPr>
          <w:w w:val="95"/>
          <w:sz w:val="18"/>
        </w:rPr>
        <w:t>附属被保险人不再符合本合同约定的被保险人家属的资格，其被保资格终止。</w:t>
      </w:r>
    </w:p>
    <w:p>
      <w:pPr>
        <w:pStyle w:val="BodyText"/>
        <w:spacing w:before="8"/>
        <w:rPr>
          <w:sz w:val="14"/>
        </w:rPr>
      </w:pPr>
    </w:p>
    <w:p>
      <w:pPr>
        <w:pStyle w:val="BodyText"/>
        <w:spacing w:before="1"/>
        <w:ind w:left="100" w:right="146"/>
      </w:pPr>
      <w:r>
        <w:rPr/>
        <w:t>若附属被保险人的被保资格丧失或终止，则本合同项下的附属被保险人将不再包含该附属被保险人，本公司将退还本合同项下该附属被保险人的未满期保险费。</w:t>
      </w:r>
    </w:p>
    <w:p>
      <w:pPr>
        <w:pStyle w:val="BodyText"/>
      </w:pPr>
    </w:p>
    <w:p>
      <w:pPr>
        <w:pStyle w:val="BodyText"/>
        <w:spacing w:before="5"/>
        <w:rPr>
          <w:sz w:val="15"/>
        </w:rPr>
      </w:pPr>
    </w:p>
    <w:p>
      <w:pPr>
        <w:pStyle w:val="Heading1"/>
      </w:pPr>
      <w:r>
        <w:rPr/>
        <w:t>第十七条 基本保险金额</w:t>
      </w:r>
    </w:p>
    <w:p>
      <w:pPr>
        <w:pStyle w:val="BodyText"/>
        <w:spacing w:before="8"/>
        <w:rPr>
          <w:b/>
          <w:sz w:val="17"/>
        </w:rPr>
      </w:pPr>
    </w:p>
    <w:p>
      <w:pPr>
        <w:pStyle w:val="BodyText"/>
        <w:spacing w:line="237" w:lineRule="auto" w:before="1"/>
        <w:ind w:left="100" w:right="146"/>
      </w:pPr>
      <w:r>
        <w:rPr/>
        <w:t>本合同所称的各被保险人的基本保险金额是指本公司承担赔偿或给付该被保险人保险金责任的限额，并载于投保单和保险单上。</w:t>
      </w:r>
    </w:p>
    <w:p>
      <w:pPr>
        <w:pStyle w:val="BodyText"/>
        <w:spacing w:before="9"/>
        <w:rPr>
          <w:sz w:val="15"/>
        </w:rPr>
      </w:pPr>
    </w:p>
    <w:p>
      <w:pPr>
        <w:pStyle w:val="BodyText"/>
        <w:spacing w:before="1"/>
        <w:ind w:left="100"/>
      </w:pPr>
      <w:r>
        <w:rPr/>
        <w:t>若该金额按本合同其他条款或批注的修正而发生变更，则以变更后的金额为该被保险人对应的基本保险金额。</w:t>
      </w:r>
    </w:p>
    <w:p>
      <w:pPr>
        <w:pStyle w:val="BodyText"/>
      </w:pPr>
    </w:p>
    <w:p>
      <w:pPr>
        <w:pStyle w:val="BodyText"/>
        <w:spacing w:before="3"/>
        <w:rPr>
          <w:sz w:val="15"/>
        </w:rPr>
      </w:pPr>
    </w:p>
    <w:p>
      <w:pPr>
        <w:pStyle w:val="Heading1"/>
        <w:tabs>
          <w:tab w:pos="1187" w:val="left" w:leader="none"/>
        </w:tabs>
      </w:pPr>
      <w:r>
        <w:rPr/>
        <w:t>第十八条</w:t>
        <w:tab/>
      </w:r>
      <w:r>
        <w:rPr>
          <w:w w:val="95"/>
        </w:rPr>
        <w:t>免可保证明限额</w:t>
      </w:r>
    </w:p>
    <w:p>
      <w:pPr>
        <w:pStyle w:val="BodyText"/>
        <w:spacing w:before="2"/>
        <w:rPr>
          <w:b/>
          <w:sz w:val="19"/>
        </w:rPr>
      </w:pPr>
    </w:p>
    <w:p>
      <w:pPr>
        <w:pStyle w:val="BodyText"/>
        <w:ind w:left="100" w:right="146"/>
      </w:pPr>
      <w:r>
        <w:rPr/>
        <w:t>若保险金额高于本合同投保单上所载的免可保证明限额，本公司将根据被保险人的免可保证明限额决定是否同意承保其超过该限额的保险金额部分。若其超过该限额的保险金额部分未获本公司书面同意，则保险金额以免可保证明限额为最高限额，</w:t>
      </w:r>
    </w:p>
    <w:p>
      <w:pPr>
        <w:pStyle w:val="BodyText"/>
        <w:rPr>
          <w:sz w:val="20"/>
        </w:rPr>
      </w:pPr>
    </w:p>
    <w:p>
      <w:pPr>
        <w:pStyle w:val="BodyText"/>
        <w:spacing w:before="3"/>
        <w:rPr>
          <w:sz w:val="27"/>
        </w:rPr>
      </w:pPr>
    </w:p>
    <w:p>
      <w:pPr>
        <w:pStyle w:val="Heading2"/>
        <w:tabs>
          <w:tab w:pos="4961" w:val="right" w:leader="none"/>
        </w:tabs>
        <w:rPr>
          <w:sz w:val="18"/>
        </w:rPr>
      </w:pPr>
      <w:r>
        <w:rPr>
          <w:rFonts w:ascii="宋体" w:eastAsia="宋体" w:hint="eastAsia"/>
        </w:rPr>
        <w:t>条款编号</w:t>
      </w:r>
      <w:r>
        <w:rPr/>
        <w:t>:</w:t>
      </w:r>
      <w:r>
        <w:rPr>
          <w:spacing w:val="-1"/>
        </w:rPr>
        <w:t> </w:t>
      </w:r>
      <w:r>
        <w:rPr/>
        <w:t>GH1009-01</w:t>
        <w:tab/>
      </w:r>
      <w:r>
        <w:rPr>
          <w:sz w:val="18"/>
        </w:rPr>
        <w:t>4</w:t>
      </w:r>
    </w:p>
    <w:p>
      <w:pPr>
        <w:spacing w:after="0"/>
        <w:rPr>
          <w:sz w:val="18"/>
        </w:rPr>
        <w:sectPr>
          <w:pgSz w:w="11910" w:h="16840"/>
          <w:pgMar w:top="1020" w:bottom="280" w:left="980" w:right="960"/>
        </w:sectPr>
      </w:pPr>
    </w:p>
    <w:p>
      <w:pPr>
        <w:pStyle w:val="BodyText"/>
        <w:spacing w:line="237" w:lineRule="auto" w:before="18"/>
        <w:ind w:left="100" w:right="186"/>
      </w:pPr>
      <w:r>
        <w:rPr/>
        <w:pict>
          <v:group style="position:absolute;margin-left:.169213pt;margin-top:0pt;width:595.3pt;height:833.05pt;mso-position-horizontal-relative:page;mso-position-vertical-relative:page;z-index:-19552"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t>且保险费以免可保证明限额计算。对于超过免可保证明限额的保险金额部分，本公司保留要求投保人或被保险人重新提交可保证明的权利。免可保证明限额于每个保险单周年日由本公司重新核定。</w:t>
      </w:r>
    </w:p>
    <w:p>
      <w:pPr>
        <w:pStyle w:val="BodyText"/>
        <w:spacing w:before="11"/>
        <w:rPr>
          <w:sz w:val="20"/>
        </w:rPr>
      </w:pPr>
    </w:p>
    <w:p>
      <w:pPr>
        <w:pStyle w:val="Heading1"/>
      </w:pPr>
      <w:r>
        <w:rPr/>
        <w:t>第十九条 保险费的支付</w:t>
      </w:r>
    </w:p>
    <w:p>
      <w:pPr>
        <w:pStyle w:val="BodyText"/>
        <w:spacing w:before="12"/>
        <w:rPr>
          <w:b/>
          <w:sz w:val="20"/>
        </w:rPr>
      </w:pPr>
    </w:p>
    <w:p>
      <w:pPr>
        <w:pStyle w:val="BodyText"/>
        <w:spacing w:before="1"/>
        <w:ind w:left="100" w:right="186"/>
        <w:jc w:val="both"/>
      </w:pPr>
      <w:r>
        <w:rPr/>
        <w:t>本合同的保险费以保险单年度为单位计算，投保人可选择由本公司同意的分期支付的方式支付保险费。第一期以后的保险费应在保险费到期日或以前由投保人根据本合同投保单上所载的缴费方式自行支付，或按宽限期的规定支付，并根据本合同投保单所载的付费方式计算。于本合同生效日以后新增的被保险人所对应的保险费根据其加入本合同日距保险费到期日的日数按比例计算。</w:t>
      </w:r>
    </w:p>
    <w:p>
      <w:pPr>
        <w:pStyle w:val="BodyText"/>
        <w:spacing w:before="5"/>
        <w:rPr>
          <w:sz w:val="15"/>
        </w:rPr>
      </w:pPr>
    </w:p>
    <w:p>
      <w:pPr>
        <w:pStyle w:val="Heading1"/>
      </w:pPr>
      <w:r>
        <w:rPr/>
        <w:t>第二十条 宽限期</w:t>
      </w:r>
    </w:p>
    <w:p>
      <w:pPr>
        <w:pStyle w:val="BodyText"/>
        <w:spacing w:before="4"/>
        <w:rPr>
          <w:b/>
          <w:sz w:val="21"/>
        </w:rPr>
      </w:pPr>
    </w:p>
    <w:p>
      <w:pPr>
        <w:pStyle w:val="BodyText"/>
        <w:spacing w:line="237" w:lineRule="auto"/>
        <w:ind w:left="100" w:right="105"/>
        <w:jc w:val="both"/>
      </w:pPr>
      <w:r>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的保险费。如果投保人宽限期结束之后仍未支付保险费，则本合同自宽限期满的次日零时起效力中止。</w:t>
      </w:r>
    </w:p>
    <w:p>
      <w:pPr>
        <w:pStyle w:val="BodyText"/>
        <w:spacing w:before="2"/>
        <w:rPr>
          <w:sz w:val="17"/>
        </w:rPr>
      </w:pPr>
    </w:p>
    <w:p>
      <w:pPr>
        <w:pStyle w:val="Heading1"/>
        <w:tabs>
          <w:tab w:pos="1539" w:val="left" w:leader="none"/>
        </w:tabs>
        <w:spacing w:before="1"/>
      </w:pPr>
      <w:r>
        <w:rPr/>
        <w:t>第二十一条</w:t>
        <w:tab/>
      </w:r>
      <w:r>
        <w:rPr>
          <w:w w:val="95"/>
        </w:rPr>
        <w:t>效力恢复</w:t>
      </w:r>
    </w:p>
    <w:p>
      <w:pPr>
        <w:pStyle w:val="BodyText"/>
        <w:spacing w:before="2"/>
        <w:rPr>
          <w:b/>
          <w:sz w:val="19"/>
        </w:rPr>
      </w:pPr>
    </w:p>
    <w:p>
      <w:pPr>
        <w:pStyle w:val="BodyText"/>
        <w:ind w:left="100" w:right="186"/>
      </w:pPr>
      <w:r>
        <w:rPr/>
        <w:t>本合同的效力中止期间同未满期的保险期间，在本合同效力中止期间，投保人可以申请恢复合同效力。经本公司与投保人协商并达成协议，在投保人补交保险费之日起，合同效力恢复。</w:t>
      </w:r>
    </w:p>
    <w:p>
      <w:pPr>
        <w:pStyle w:val="BodyText"/>
        <w:spacing w:before="9"/>
        <w:rPr>
          <w:sz w:val="15"/>
        </w:rPr>
      </w:pPr>
    </w:p>
    <w:p>
      <w:pPr>
        <w:pStyle w:val="BodyText"/>
        <w:ind w:left="100"/>
      </w:pPr>
      <w:r>
        <w:rPr/>
        <w:t>本合同于效力中止期间届满时自动终止。</w:t>
      </w:r>
    </w:p>
    <w:p>
      <w:pPr>
        <w:pStyle w:val="BodyText"/>
        <w:spacing w:before="5"/>
        <w:rPr>
          <w:sz w:val="15"/>
        </w:rPr>
      </w:pPr>
    </w:p>
    <w:p>
      <w:pPr>
        <w:pStyle w:val="Heading1"/>
        <w:tabs>
          <w:tab w:pos="1539" w:val="left" w:leader="none"/>
        </w:tabs>
      </w:pPr>
      <w:r>
        <w:rPr/>
        <w:t>第二十二条</w:t>
        <w:tab/>
      </w:r>
      <w:r>
        <w:rPr>
          <w:w w:val="95"/>
        </w:rPr>
        <w:t>保险费费率的调整和续保保险费</w:t>
      </w:r>
    </w:p>
    <w:p>
      <w:pPr>
        <w:pStyle w:val="BodyText"/>
        <w:spacing w:before="6"/>
        <w:rPr>
          <w:b/>
          <w:sz w:val="17"/>
        </w:rPr>
      </w:pPr>
    </w:p>
    <w:p>
      <w:pPr>
        <w:pStyle w:val="BodyText"/>
        <w:spacing w:line="448" w:lineRule="auto"/>
        <w:ind w:left="100" w:right="1626"/>
      </w:pPr>
      <w:r>
        <w:rPr/>
        <w:t>续保保险费根据续保时本合同所承保的风险，按当时本公司核定的费率计算，本公司将书面通知投保人。若本公司已明确拒绝续保，但投保人已支付续保保险费的，则本公司将无息退还已支付的续保保险费。</w:t>
      </w:r>
    </w:p>
    <w:p>
      <w:pPr>
        <w:pStyle w:val="BodyText"/>
        <w:spacing w:line="237" w:lineRule="auto" w:before="51"/>
        <w:ind w:left="100" w:right="107"/>
      </w:pPr>
      <w:r>
        <w:rPr/>
        <w:t>若根据本合同的约定被保险人的被保资格于续保时已经丧失或终止，则本公司将无息退还已支付的该被保险人相应部分的续保保险费。</w:t>
      </w:r>
    </w:p>
    <w:p>
      <w:pPr>
        <w:pStyle w:val="BodyText"/>
        <w:spacing w:before="11"/>
        <w:rPr>
          <w:sz w:val="15"/>
        </w:rPr>
      </w:pPr>
    </w:p>
    <w:p>
      <w:pPr>
        <w:pStyle w:val="BodyText"/>
        <w:spacing w:line="237" w:lineRule="auto" w:before="1"/>
        <w:ind w:left="100" w:right="186"/>
      </w:pPr>
      <w:r>
        <w:rPr/>
        <w:t>被保险人由于职业、工作场所、设备、业务种类或其他变更，导致本合同所承保的危险有显著增加时，投保人应于该变更发生后十日内书面通知本公司，本公司有权根据危险增加的程度自接到通知之日起增加相应的保险费，或在变更足以直接影响本公司决定是否同意承保该被保险人的情况下自接到通知之日起终止该被保险人的被保资格；被保险人由于职业、工作场 所、设备、业务种类或其他变更，导致本合同所承保的危险显著减少时，本公司在收到投保人变更书面通知后，根据危险减少的程度自接到通知之日起减少相应的保险费。</w:t>
      </w:r>
    </w:p>
    <w:p>
      <w:pPr>
        <w:pStyle w:val="BodyText"/>
        <w:spacing w:before="12"/>
        <w:rPr>
          <w:sz w:val="15"/>
        </w:rPr>
      </w:pPr>
    </w:p>
    <w:p>
      <w:pPr>
        <w:pStyle w:val="BodyText"/>
        <w:spacing w:line="237" w:lineRule="auto"/>
        <w:ind w:left="100" w:right="186"/>
        <w:jc w:val="both"/>
      </w:pPr>
      <w:r>
        <w:rPr/>
        <w:t>若投保人未履行告知义务，被保险人由于职业、工作场所、设备、业务种类或其他变更，导致本合同所承保的危险有显著增加，足以直接影响本公司决定是否同意承保该被保险人，则本公司对因上述危险增加而导致被保险人发生的保险事故不负赔偿责任，并终止该被保险人的被保资格，退还该被保险人项下相应部分的未满期保险费；若上述未如实告知对本合同构成严重影响的，则本公司有权解除本合同，并退还本合同的未满期净保险费。但本公司行使合同解除权及被保险人的被保资格终止权适用“本公司合同解除权及被保险人的被保资格终止权的限制”的规定。</w:t>
      </w:r>
    </w:p>
    <w:p>
      <w:pPr>
        <w:pStyle w:val="BodyText"/>
        <w:spacing w:before="3"/>
        <w:rPr>
          <w:sz w:val="17"/>
        </w:rPr>
      </w:pPr>
    </w:p>
    <w:p>
      <w:pPr>
        <w:pStyle w:val="Heading1"/>
        <w:tabs>
          <w:tab w:pos="1539" w:val="left" w:leader="none"/>
        </w:tabs>
      </w:pPr>
      <w:r>
        <w:rPr/>
        <w:t>第二十三条</w:t>
        <w:tab/>
      </w:r>
      <w:r>
        <w:rPr>
          <w:w w:val="95"/>
        </w:rPr>
        <w:t>明确说明与如实告知</w:t>
      </w:r>
    </w:p>
    <w:p>
      <w:pPr>
        <w:pStyle w:val="BodyText"/>
        <w:spacing w:before="8"/>
        <w:rPr>
          <w:b/>
          <w:sz w:val="17"/>
        </w:rPr>
      </w:pPr>
    </w:p>
    <w:p>
      <w:pPr>
        <w:pStyle w:val="BodyText"/>
        <w:spacing w:line="237" w:lineRule="auto" w:before="1"/>
        <w:ind w:left="100" w:right="186"/>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9"/>
        <w:rPr>
          <w:sz w:val="15"/>
        </w:rPr>
      </w:pPr>
    </w:p>
    <w:p>
      <w:pPr>
        <w:pStyle w:val="BodyText"/>
        <w:ind w:left="100"/>
      </w:pPr>
      <w:r>
        <w:rPr/>
        <w:t>本公司就投保人和被保险人的有关情况提出询问，投保人应当如实告知。</w:t>
      </w:r>
    </w:p>
    <w:p>
      <w:pPr>
        <w:pStyle w:val="BodyText"/>
        <w:spacing w:before="8"/>
        <w:rPr>
          <w:sz w:val="15"/>
        </w:rPr>
      </w:pPr>
    </w:p>
    <w:p>
      <w:pPr>
        <w:spacing w:line="237" w:lineRule="auto" w:before="1"/>
        <w:ind w:left="100" w:right="177" w:firstLine="0"/>
        <w:jc w:val="both"/>
        <w:rPr>
          <w:b/>
          <w:sz w:val="18"/>
        </w:rPr>
      </w:pPr>
      <w:r>
        <w:rPr>
          <w:b/>
          <w:w w:val="95"/>
          <w:sz w:val="18"/>
        </w:rPr>
        <w:t>如果投保人故意或者因重大过失未履行前款规定的如实告知义务，足以影响本公司决定是否同意承保或者提高保险费率的，    本公司有权解除本合同；但若上述未如实告知情况仅对某被保险人是否应获得被保资格产生影响的，本公司仅有权终止该被    保险人的被保资格。</w:t>
      </w:r>
    </w:p>
    <w:p>
      <w:pPr>
        <w:pStyle w:val="BodyText"/>
        <w:spacing w:before="12"/>
        <w:rPr>
          <w:b/>
          <w:sz w:val="15"/>
        </w:rPr>
      </w:pPr>
    </w:p>
    <w:p>
      <w:pPr>
        <w:spacing w:line="237" w:lineRule="auto" w:before="0"/>
        <w:ind w:left="100" w:right="177" w:firstLine="0"/>
        <w:jc w:val="left"/>
        <w:rPr>
          <w:b/>
          <w:sz w:val="18"/>
        </w:rPr>
      </w:pPr>
      <w:r>
        <w:rPr>
          <w:b/>
          <w:w w:val="95"/>
          <w:sz w:val="18"/>
        </w:rPr>
        <w:t>如果投保人故意不履行如实告知义务且对本公司决定是否同意承保足以产生影响的，对于本合同解除前发生的保险事故，本    公司不承担给付保险金的责任，并不退还保险费。</w:t>
      </w:r>
    </w:p>
    <w:p>
      <w:pPr>
        <w:pStyle w:val="BodyText"/>
        <w:spacing w:before="9"/>
        <w:rPr>
          <w:b/>
          <w:sz w:val="15"/>
        </w:rPr>
      </w:pPr>
    </w:p>
    <w:p>
      <w:pPr>
        <w:spacing w:before="0"/>
        <w:ind w:left="100" w:right="177" w:firstLine="0"/>
        <w:jc w:val="left"/>
        <w:rPr>
          <w:b/>
          <w:sz w:val="18"/>
        </w:rPr>
      </w:pPr>
      <w:r>
        <w:rPr>
          <w:b/>
          <w:w w:val="95"/>
          <w:sz w:val="18"/>
        </w:rPr>
        <w:t>如果投保人故意不履行如实告知义务且仅对某被保险人是否应获得被保资格产生影响的，对该被保险人于被保险资格终止前    发生的保险事故，本公司不承担给付保险金的责任，并不退还对应的保险费。</w:t>
      </w:r>
    </w:p>
    <w:p>
      <w:pPr>
        <w:pStyle w:val="BodyText"/>
        <w:rPr>
          <w:b/>
          <w:sz w:val="20"/>
        </w:rPr>
      </w:pPr>
    </w:p>
    <w:p>
      <w:pPr>
        <w:pStyle w:val="BodyText"/>
        <w:spacing w:before="9"/>
        <w:rPr>
          <w:b/>
          <w:sz w:val="17"/>
        </w:rPr>
      </w:pPr>
    </w:p>
    <w:p>
      <w:pPr>
        <w:tabs>
          <w:tab w:pos="4961" w:val="right" w:leader="none"/>
        </w:tabs>
        <w:spacing w:before="44"/>
        <w:ind w:left="100" w:right="0" w:firstLine="0"/>
        <w:jc w:val="left"/>
        <w:rPr>
          <w:rFonts w:ascii="Times New Roman" w:eastAsia="Times New Roman"/>
          <w:sz w:val="18"/>
        </w:rPr>
      </w:pPr>
      <w:r>
        <w:rPr>
          <w:sz w:val="20"/>
        </w:rPr>
        <w:t>条款编号</w:t>
      </w:r>
      <w:r>
        <w:rPr>
          <w:rFonts w:ascii="Times New Roman" w:eastAsia="Times New Roman"/>
          <w:sz w:val="20"/>
        </w:rPr>
        <w:t>:</w:t>
      </w:r>
      <w:r>
        <w:rPr>
          <w:rFonts w:ascii="Times New Roman" w:eastAsia="Times New Roman"/>
          <w:spacing w:val="-1"/>
          <w:sz w:val="20"/>
        </w:rPr>
        <w:t> </w:t>
      </w:r>
      <w:r>
        <w:rPr>
          <w:rFonts w:ascii="Times New Roman" w:eastAsia="Times New Roman"/>
          <w:sz w:val="20"/>
        </w:rPr>
        <w:t>GH1009-01</w:t>
        <w:tab/>
      </w:r>
      <w:r>
        <w:rPr>
          <w:rFonts w:ascii="Times New Roman" w:eastAsia="Times New Roman"/>
          <w:sz w:val="18"/>
        </w:rPr>
        <w:t>5</w:t>
      </w:r>
    </w:p>
    <w:p>
      <w:pPr>
        <w:spacing w:after="0"/>
        <w:jc w:val="left"/>
        <w:rPr>
          <w:rFonts w:ascii="Times New Roman" w:eastAsia="Times New Roman"/>
          <w:sz w:val="18"/>
        </w:rPr>
        <w:sectPr>
          <w:pgSz w:w="11910" w:h="16840"/>
          <w:pgMar w:top="1020" w:bottom="280" w:left="980" w:right="920"/>
        </w:sectPr>
      </w:pPr>
    </w:p>
    <w:p>
      <w:pPr>
        <w:spacing w:before="22"/>
        <w:ind w:left="120" w:right="277" w:firstLine="0"/>
        <w:jc w:val="left"/>
        <w:rPr>
          <w:b/>
          <w:sz w:val="18"/>
        </w:rPr>
      </w:pPr>
      <w:r>
        <w:rPr/>
        <w:pict>
          <v:group style="position:absolute;margin-left:.169213pt;margin-top:0pt;width:595.3pt;height:833.05pt;mso-position-horizontal-relative:page;mso-position-vertical-relative:page;z-index:-19528"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b/>
          <w:w w:val="95"/>
          <w:sz w:val="18"/>
        </w:rPr>
        <w:t>如果投保人因重大过失未履行如实告知义务且对本公司决定是否同意承保足以产生影响，从而对保险事故的发生也有严重影    响的，对于本合同解除前发生的保险事故，本公司不承担给付保险金的责任，但应当退还保险费。</w:t>
      </w:r>
    </w:p>
    <w:p>
      <w:pPr>
        <w:pStyle w:val="BodyText"/>
        <w:spacing w:before="9"/>
        <w:rPr>
          <w:b/>
          <w:sz w:val="15"/>
        </w:rPr>
      </w:pPr>
    </w:p>
    <w:p>
      <w:pPr>
        <w:spacing w:line="237" w:lineRule="auto" w:before="0"/>
        <w:ind w:left="120" w:right="277" w:firstLine="0"/>
        <w:jc w:val="both"/>
        <w:rPr>
          <w:b/>
          <w:sz w:val="18"/>
        </w:rPr>
      </w:pPr>
      <w:r>
        <w:rPr>
          <w:b/>
          <w:w w:val="95"/>
          <w:sz w:val="18"/>
        </w:rPr>
        <w:t>如果投保人因重大过失未履行如实告知义务且仅对某被保险人是否应获得被保资格产生影响，从而对该被保险人保险事故的    发生有严重影响的，对该被保险人于被保险资格终止前发生的保险事故，本公司不承担给付保险金的责任，但应当退还对应    的保险费。</w:t>
      </w:r>
    </w:p>
    <w:p>
      <w:pPr>
        <w:pStyle w:val="BodyText"/>
        <w:spacing w:before="9"/>
        <w:rPr>
          <w:b/>
          <w:sz w:val="15"/>
        </w:rPr>
      </w:pPr>
    </w:p>
    <w:p>
      <w:pPr>
        <w:pStyle w:val="BodyText"/>
        <w:ind w:left="120" w:right="466"/>
      </w:pPr>
      <w:r>
        <w:rPr/>
        <w:t>本公司在合同订立时已经知道投保人未如实告知情况的，本公司不得解除合同及终止被保险人的被保资格；发生保险事故的，本公司承担给付保险金的责任。</w:t>
      </w:r>
    </w:p>
    <w:p>
      <w:pPr>
        <w:pStyle w:val="BodyText"/>
        <w:spacing w:before="2"/>
        <w:rPr>
          <w:sz w:val="17"/>
        </w:rPr>
      </w:pPr>
    </w:p>
    <w:p>
      <w:pPr>
        <w:pStyle w:val="Heading1"/>
        <w:tabs>
          <w:tab w:pos="1559" w:val="left" w:leader="none"/>
        </w:tabs>
        <w:spacing w:before="1"/>
        <w:ind w:left="120"/>
      </w:pPr>
      <w:r>
        <w:rPr/>
        <w:t>第二十四条</w:t>
        <w:tab/>
      </w:r>
      <w:r>
        <w:rPr>
          <w:w w:val="95"/>
        </w:rPr>
        <w:t>本公司合同解除权及被保险人的被保资格终止权的限制</w:t>
      </w:r>
    </w:p>
    <w:p>
      <w:pPr>
        <w:pStyle w:val="BodyText"/>
        <w:spacing w:before="9"/>
        <w:rPr>
          <w:b/>
          <w:sz w:val="17"/>
        </w:rPr>
      </w:pPr>
    </w:p>
    <w:p>
      <w:pPr>
        <w:pStyle w:val="BodyText"/>
        <w:spacing w:line="237" w:lineRule="auto"/>
        <w:ind w:left="120" w:right="106"/>
        <w:jc w:val="both"/>
      </w:pPr>
      <w:r>
        <w:rPr/>
        <w:t>前条规定的合同解除权及被保险人的被保资格终止权，自本公司知道有解除及终止事由之日起，超过三十日不行使而消灭。自本合同成立之日起超过二年的，本公司不得解除合同及终止被保险人的被保资格；发生保险事故的，本公司承担给付保险金的责任。</w:t>
      </w:r>
    </w:p>
    <w:p>
      <w:pPr>
        <w:pStyle w:val="BodyText"/>
        <w:spacing w:before="9"/>
        <w:rPr>
          <w:sz w:val="20"/>
        </w:rPr>
      </w:pPr>
    </w:p>
    <w:p>
      <w:pPr>
        <w:pStyle w:val="Heading1"/>
        <w:tabs>
          <w:tab w:pos="1559" w:val="left" w:leader="none"/>
        </w:tabs>
        <w:ind w:left="120"/>
      </w:pPr>
      <w:r>
        <w:rPr/>
        <w:t>第二十五条</w:t>
        <w:tab/>
      </w:r>
      <w:r>
        <w:rPr>
          <w:w w:val="95"/>
        </w:rPr>
        <w:t>保险事故的通知</w:t>
      </w:r>
    </w:p>
    <w:p>
      <w:pPr>
        <w:pStyle w:val="BodyText"/>
        <w:spacing w:before="7"/>
        <w:rPr>
          <w:b/>
          <w:sz w:val="17"/>
        </w:rPr>
      </w:pPr>
    </w:p>
    <w:p>
      <w:pPr>
        <w:pStyle w:val="BodyText"/>
        <w:ind w:left="120"/>
      </w:pPr>
      <w:r>
        <w:rPr/>
        <w:t>投保人或被保险人在知道保险事故后应当在十日内通知本公司。</w:t>
      </w:r>
    </w:p>
    <w:p>
      <w:pPr>
        <w:pStyle w:val="BodyText"/>
        <w:spacing w:before="12"/>
        <w:rPr>
          <w:sz w:val="15"/>
        </w:rPr>
      </w:pPr>
    </w:p>
    <w:p>
      <w:pPr>
        <w:spacing w:line="237" w:lineRule="auto" w:before="0"/>
        <w:ind w:left="119" w:right="277" w:firstLine="0"/>
        <w:jc w:val="both"/>
        <w:rPr>
          <w:sz w:val="18"/>
        </w:rPr>
      </w:pPr>
      <w:r>
        <w:rPr>
          <w:b/>
          <w:w w:val="95"/>
          <w:sz w:val="18"/>
        </w:rPr>
        <w:t>如果投保人或被保险人故意或者因重大过失未及时通知，致使保险事故的性质、原因、损失程度等难以确定的，本公司对无    </w:t>
      </w:r>
      <w:r>
        <w:rPr>
          <w:b/>
          <w:sz w:val="18"/>
        </w:rPr>
        <w:t>法确定的部分，不承担给付保险金的责任</w:t>
      </w:r>
      <w:r>
        <w:rPr>
          <w:spacing w:val="-1"/>
          <w:sz w:val="18"/>
        </w:rPr>
        <w:t>，但本公司通过其他途径已经及时知道或者应当及时知道保险事故发生或者虽未及时通知但不影响本公司确定保险事故的性质、原因、损失程度的除外。</w:t>
      </w:r>
    </w:p>
    <w:p>
      <w:pPr>
        <w:pStyle w:val="BodyText"/>
        <w:spacing w:before="3"/>
        <w:rPr>
          <w:sz w:val="17"/>
        </w:rPr>
      </w:pPr>
    </w:p>
    <w:p>
      <w:pPr>
        <w:pStyle w:val="Heading1"/>
        <w:tabs>
          <w:tab w:pos="1559" w:val="left" w:leader="none"/>
        </w:tabs>
        <w:ind w:left="120"/>
      </w:pPr>
      <w:r>
        <w:rPr/>
        <w:t>第二十六条</w:t>
        <w:tab/>
      </w:r>
      <w:r>
        <w:rPr>
          <w:w w:val="95"/>
        </w:rPr>
        <w:t>保险金申请</w:t>
      </w:r>
    </w:p>
    <w:p>
      <w:pPr>
        <w:pStyle w:val="BodyText"/>
        <w:spacing w:before="6"/>
        <w:rPr>
          <w:b/>
          <w:sz w:val="17"/>
        </w:rPr>
      </w:pPr>
    </w:p>
    <w:p>
      <w:pPr>
        <w:pStyle w:val="BodyText"/>
        <w:ind w:left="120"/>
      </w:pPr>
      <w:r>
        <w:rPr>
          <w:w w:val="95"/>
        </w:rPr>
        <w:t>在申请重大疾病保险金时，</w:t>
      </w:r>
      <w:r>
        <w:rPr>
          <w:b/>
          <w:w w:val="95"/>
        </w:rPr>
        <w:t>申请人</w:t>
      </w:r>
      <w:r>
        <w:rPr>
          <w:w w:val="95"/>
        </w:rPr>
        <w:t>（释义二十四）须填写保险金给付申请书，并提供下列证明和资料：</w:t>
      </w:r>
    </w:p>
    <w:p>
      <w:pPr>
        <w:pStyle w:val="BodyText"/>
        <w:spacing w:before="8"/>
        <w:rPr>
          <w:sz w:val="15"/>
        </w:rPr>
      </w:pPr>
    </w:p>
    <w:p>
      <w:pPr>
        <w:pStyle w:val="BodyText"/>
        <w:spacing w:line="242" w:lineRule="exact" w:before="1"/>
        <w:ind w:left="120"/>
      </w:pPr>
      <w:r>
        <w:rPr/>
        <w:t>（</w:t>
      </w:r>
      <w:r>
        <w:rPr>
          <w:rFonts w:ascii="Times New Roman" w:eastAsia="Times New Roman"/>
        </w:rPr>
        <w:t>1</w:t>
      </w:r>
      <w:r>
        <w:rPr/>
        <w:t>）被保险人的有效身份证件；</w:t>
      </w:r>
    </w:p>
    <w:p>
      <w:pPr>
        <w:pStyle w:val="BodyText"/>
        <w:spacing w:line="223" w:lineRule="auto" w:before="10"/>
        <w:ind w:left="120" w:right="375"/>
      </w:pPr>
      <w:r>
        <w:rPr/>
        <w:t>（</w:t>
      </w:r>
      <w:r>
        <w:rPr>
          <w:rFonts w:ascii="Times New Roman" w:eastAsia="Times New Roman"/>
        </w:rPr>
        <w:t>2</w:t>
      </w:r>
      <w:r>
        <w:rPr/>
        <w:t>）由</w:t>
      </w:r>
      <w:r>
        <w:rPr>
          <w:b/>
        </w:rPr>
        <w:t>医院</w:t>
      </w:r>
      <w:r>
        <w:rPr/>
        <w:t>（释义二十五）出具的病历、必需的病理检验、血液检验及其它科学诊断报告以及由专科医生出具的诊断书、手术证明；</w:t>
      </w:r>
    </w:p>
    <w:p>
      <w:pPr>
        <w:pStyle w:val="BodyText"/>
        <w:spacing w:line="422" w:lineRule="auto"/>
        <w:ind w:left="120" w:right="4066"/>
      </w:pPr>
      <w:r>
        <w:rPr/>
        <w:t>（</w:t>
      </w:r>
      <w:r>
        <w:rPr>
          <w:rFonts w:ascii="Times New Roman" w:eastAsia="Times New Roman"/>
        </w:rPr>
        <w:t>3</w:t>
      </w:r>
      <w:r>
        <w:rPr/>
        <w:t>）所能提供的与确认保险事故的性质、原因等有关的其他证明和资料。保险金作为被保险人遗产时，必须提供可证明合法继承权的相关权利文件。</w:t>
      </w:r>
    </w:p>
    <w:p>
      <w:pPr>
        <w:pStyle w:val="BodyText"/>
        <w:spacing w:before="70"/>
        <w:ind w:left="120"/>
      </w:pPr>
      <w:r>
        <w:rPr/>
        <w:t>以上证明和资料不完整的，本公司将及时一次性通知申请人补充提供有关证明和资料。</w:t>
      </w:r>
    </w:p>
    <w:p>
      <w:pPr>
        <w:pStyle w:val="BodyText"/>
        <w:spacing w:before="3"/>
        <w:rPr>
          <w:sz w:val="17"/>
        </w:rPr>
      </w:pPr>
    </w:p>
    <w:p>
      <w:pPr>
        <w:pStyle w:val="Heading1"/>
        <w:tabs>
          <w:tab w:pos="1711" w:val="left" w:leader="none"/>
        </w:tabs>
        <w:ind w:left="120"/>
      </w:pPr>
      <w:r>
        <w:rPr/>
        <w:t>第二十七条</w:t>
        <w:tab/>
      </w:r>
      <w:r>
        <w:rPr>
          <w:w w:val="95"/>
        </w:rPr>
        <w:t>保险金给付</w:t>
      </w:r>
    </w:p>
    <w:p>
      <w:pPr>
        <w:pStyle w:val="BodyText"/>
        <w:spacing w:before="4"/>
        <w:rPr>
          <w:b/>
          <w:sz w:val="19"/>
        </w:rPr>
      </w:pPr>
    </w:p>
    <w:p>
      <w:pPr>
        <w:pStyle w:val="BodyText"/>
        <w:spacing w:line="446" w:lineRule="auto"/>
        <w:ind w:left="120" w:right="466"/>
      </w:pPr>
      <w:r>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50"/>
        <w:ind w:left="120"/>
      </w:pPr>
      <w:r>
        <w:rPr/>
        <w:t>本公司未及时履行前款规定义务的，除支付保险金外，应当赔偿被保险人因此受到的损失。</w:t>
      </w:r>
    </w:p>
    <w:p>
      <w:pPr>
        <w:pStyle w:val="BodyText"/>
        <w:spacing w:before="9"/>
        <w:rPr>
          <w:sz w:val="15"/>
        </w:rPr>
      </w:pPr>
    </w:p>
    <w:p>
      <w:pPr>
        <w:pStyle w:val="BodyText"/>
        <w:ind w:left="120"/>
      </w:pPr>
      <w:r>
        <w:rPr/>
        <w:t>对不属于保险责任的，本公司自作出核定之日起三日内向被保险人发出拒绝给付保险金通知书并说明理由。</w:t>
      </w:r>
    </w:p>
    <w:p>
      <w:pPr>
        <w:pStyle w:val="BodyText"/>
        <w:spacing w:before="7"/>
        <w:rPr>
          <w:sz w:val="15"/>
        </w:rPr>
      </w:pPr>
    </w:p>
    <w:p>
      <w:pPr>
        <w:pStyle w:val="BodyText"/>
        <w:ind w:left="120" w:right="286"/>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7"/>
        <w:rPr>
          <w:sz w:val="15"/>
        </w:rPr>
      </w:pPr>
    </w:p>
    <w:p>
      <w:pPr>
        <w:pStyle w:val="Heading1"/>
        <w:tabs>
          <w:tab w:pos="1660" w:val="left" w:leader="none"/>
        </w:tabs>
        <w:ind w:left="120"/>
      </w:pPr>
      <w:r>
        <w:rPr/>
        <w:t>第二十八条</w:t>
        <w:tab/>
      </w:r>
      <w:r>
        <w:rPr>
          <w:w w:val="95"/>
        </w:rPr>
        <w:t>诉讼时效</w:t>
      </w:r>
    </w:p>
    <w:p>
      <w:pPr>
        <w:pStyle w:val="BodyText"/>
        <w:spacing w:before="8"/>
        <w:rPr>
          <w:b/>
          <w:sz w:val="15"/>
        </w:rPr>
      </w:pPr>
    </w:p>
    <w:p>
      <w:pPr>
        <w:pStyle w:val="BodyText"/>
        <w:ind w:left="120"/>
      </w:pPr>
      <w:r>
        <w:rPr/>
        <w:t>被保险人向本公司请求给付保险金的诉讼时效期间为二年，自其知道或者应当知道保险事故发生之日起计算。</w:t>
      </w:r>
    </w:p>
    <w:p>
      <w:pPr>
        <w:pStyle w:val="BodyText"/>
        <w:spacing w:before="2"/>
        <w:rPr>
          <w:sz w:val="17"/>
        </w:rPr>
      </w:pPr>
    </w:p>
    <w:p>
      <w:pPr>
        <w:pStyle w:val="Heading1"/>
        <w:tabs>
          <w:tab w:pos="1559" w:val="left" w:leader="none"/>
        </w:tabs>
        <w:spacing w:before="1"/>
        <w:ind w:left="120"/>
      </w:pPr>
      <w:r>
        <w:rPr/>
        <w:t>第二十九条</w:t>
        <w:tab/>
      </w:r>
      <w:r>
        <w:rPr>
          <w:w w:val="95"/>
        </w:rPr>
        <w:t>争议的处理</w:t>
      </w:r>
    </w:p>
    <w:p>
      <w:pPr>
        <w:pStyle w:val="BodyText"/>
        <w:spacing w:before="3"/>
        <w:rPr>
          <w:b/>
          <w:sz w:val="21"/>
        </w:rPr>
      </w:pPr>
    </w:p>
    <w:p>
      <w:pPr>
        <w:pStyle w:val="BodyText"/>
        <w:ind w:left="120"/>
      </w:pPr>
      <w:r>
        <w:rPr/>
        <w:t>合同争议解决方式由当事人在合同约定从下列两种方式中选择一种：</w:t>
      </w:r>
    </w:p>
    <w:p>
      <w:pPr>
        <w:pStyle w:val="BodyText"/>
        <w:spacing w:before="7"/>
        <w:rPr>
          <w:sz w:val="15"/>
        </w:rPr>
      </w:pPr>
    </w:p>
    <w:p>
      <w:pPr>
        <w:pStyle w:val="ListParagraph"/>
        <w:numPr>
          <w:ilvl w:val="0"/>
          <w:numId w:val="7"/>
        </w:numPr>
        <w:tabs>
          <w:tab w:pos="551" w:val="left" w:leader="none"/>
          <w:tab w:pos="552" w:val="left" w:leader="none"/>
        </w:tabs>
        <w:spacing w:line="242" w:lineRule="exact" w:before="0" w:after="0"/>
        <w:ind w:left="552" w:right="0" w:hanging="432"/>
        <w:jc w:val="left"/>
        <w:rPr>
          <w:sz w:val="18"/>
        </w:rPr>
      </w:pPr>
      <w:r>
        <w:rPr>
          <w:spacing w:val="-2"/>
          <w:sz w:val="18"/>
        </w:rPr>
        <w:t>因履行本合同发生的争议，由当事人协商解决。协商不成的，提交 </w:t>
      </w:r>
      <w:r>
        <w:rPr>
          <w:rFonts w:ascii="Times New Roman" w:eastAsia="Times New Roman"/>
          <w:sz w:val="18"/>
        </w:rPr>
        <w:t>XXX</w:t>
      </w:r>
      <w:r>
        <w:rPr>
          <w:rFonts w:ascii="Times New Roman" w:eastAsia="Times New Roman"/>
          <w:spacing w:val="-9"/>
          <w:sz w:val="18"/>
        </w:rPr>
        <w:t> </w:t>
      </w:r>
      <w:r>
        <w:rPr>
          <w:sz w:val="18"/>
        </w:rPr>
        <w:t>仲裁委员会仲裁；</w:t>
      </w:r>
    </w:p>
    <w:p>
      <w:pPr>
        <w:pStyle w:val="ListParagraph"/>
        <w:numPr>
          <w:ilvl w:val="0"/>
          <w:numId w:val="7"/>
        </w:numPr>
        <w:tabs>
          <w:tab w:pos="551" w:val="left" w:leader="none"/>
          <w:tab w:pos="552" w:val="left" w:leader="none"/>
        </w:tabs>
        <w:spacing w:line="242" w:lineRule="exact" w:before="0" w:after="0"/>
        <w:ind w:left="552" w:right="0" w:hanging="432"/>
        <w:jc w:val="left"/>
        <w:rPr>
          <w:sz w:val="18"/>
        </w:rPr>
      </w:pPr>
      <w:r>
        <w:rPr>
          <w:w w:val="95"/>
          <w:sz w:val="18"/>
        </w:rPr>
        <w:t>因履行本合同发生的争议，由当事人协商解决。协商不成的，依法向人民法院起诉。</w:t>
      </w:r>
    </w:p>
    <w:p>
      <w:pPr>
        <w:pStyle w:val="BodyText"/>
        <w:rPr>
          <w:sz w:val="20"/>
        </w:rPr>
      </w:pPr>
    </w:p>
    <w:p>
      <w:pPr>
        <w:pStyle w:val="BodyText"/>
        <w:spacing w:before="2"/>
        <w:rPr>
          <w:sz w:val="25"/>
        </w:rPr>
      </w:pPr>
    </w:p>
    <w:p>
      <w:pPr>
        <w:pStyle w:val="Heading2"/>
        <w:tabs>
          <w:tab w:pos="4981" w:val="right" w:leader="none"/>
        </w:tabs>
        <w:ind w:left="120"/>
        <w:rPr>
          <w:sz w:val="18"/>
        </w:rPr>
      </w:pPr>
      <w:r>
        <w:rPr>
          <w:rFonts w:ascii="宋体" w:eastAsia="宋体" w:hint="eastAsia"/>
        </w:rPr>
        <w:t>条款编号</w:t>
      </w:r>
      <w:r>
        <w:rPr/>
        <w:t>:</w:t>
      </w:r>
      <w:r>
        <w:rPr>
          <w:spacing w:val="-1"/>
        </w:rPr>
        <w:t> </w:t>
      </w:r>
      <w:r>
        <w:rPr/>
        <w:t>GH1009-01</w:t>
        <w:tab/>
      </w:r>
      <w:r>
        <w:rPr>
          <w:sz w:val="18"/>
        </w:rPr>
        <w:t>6</w:t>
      </w:r>
    </w:p>
    <w:p>
      <w:pPr>
        <w:spacing w:after="0"/>
        <w:rPr>
          <w:sz w:val="18"/>
        </w:rPr>
        <w:sectPr>
          <w:pgSz w:w="11910" w:h="16840"/>
          <w:pgMar w:top="1220" w:bottom="280" w:left="960" w:right="820"/>
        </w:sectPr>
      </w:pPr>
    </w:p>
    <w:p>
      <w:pPr>
        <w:tabs>
          <w:tab w:pos="1207" w:val="left" w:leader="none"/>
        </w:tabs>
        <w:spacing w:before="25"/>
        <w:ind w:left="120" w:right="0" w:firstLine="0"/>
        <w:jc w:val="left"/>
        <w:rPr>
          <w:b/>
          <w:sz w:val="20"/>
        </w:rPr>
      </w:pPr>
      <w:r>
        <w:rPr/>
        <w:pict>
          <v:group style="position:absolute;margin-left:.169213pt;margin-top:0pt;width:595.3pt;height:833.05pt;mso-position-horizontal-relative:page;mso-position-vertical-relative:page;z-index:-19504"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b/>
          <w:sz w:val="20"/>
        </w:rPr>
        <w:t>第三十条</w:t>
        <w:tab/>
      </w:r>
      <w:r>
        <w:rPr>
          <w:b/>
          <w:w w:val="95"/>
          <w:sz w:val="20"/>
        </w:rPr>
        <w:t>释义</w:t>
      </w:r>
    </w:p>
    <w:p>
      <w:pPr>
        <w:pStyle w:val="BodyText"/>
        <w:spacing w:before="2"/>
        <w:rPr>
          <w:b/>
          <w:sz w:val="19"/>
        </w:rPr>
      </w:pPr>
    </w:p>
    <w:p>
      <w:pPr>
        <w:pStyle w:val="BodyText"/>
        <w:spacing w:before="1"/>
        <w:ind w:left="571" w:right="286" w:hanging="452"/>
      </w:pPr>
      <w:r>
        <w:rPr/>
        <w:t>一、投保人：指在中华人民共和国</w:t>
      </w:r>
      <w:r>
        <w:rPr>
          <w:b/>
        </w:rPr>
        <w:t>境内</w:t>
      </w:r>
      <w:r>
        <w:rPr/>
        <w:t>（释义二十六）依法且非因购买保险而设立的，与本公司订立本合同并且按照合同约定负有支付保险费义务的法人及其他组织。</w:t>
      </w:r>
    </w:p>
    <w:p>
      <w:pPr>
        <w:pStyle w:val="BodyText"/>
        <w:spacing w:before="12"/>
        <w:rPr>
          <w:sz w:val="15"/>
        </w:rPr>
      </w:pPr>
    </w:p>
    <w:p>
      <w:pPr>
        <w:pStyle w:val="BodyText"/>
        <w:spacing w:line="237" w:lineRule="auto"/>
        <w:ind w:left="120" w:right="106"/>
      </w:pPr>
      <w:r>
        <w:rPr/>
        <w:t>二、等待期：被保险人加入或恢复加入本合同起（以较迟者为准）约定的一段时期为等待期。若被保险人在等待期期间首次发病或被确诊患有本合同所定义的重大疾病，则本公司不承担保险责任；但被保险人因遭受</w:t>
      </w:r>
      <w:r>
        <w:rPr>
          <w:b/>
        </w:rPr>
        <w:t>意外事故</w:t>
      </w:r>
      <w:r>
        <w:rPr/>
        <w:t>（释义二十七）</w:t>
      </w:r>
      <w:r>
        <w:rPr>
          <w:spacing w:val="-3"/>
        </w:rPr>
        <w:t>而导 </w:t>
      </w:r>
      <w:r>
        <w:rPr/>
        <w:t>致的首次发病或被确诊患有本合同所定义的重大疾病的，则不受等待期的限制。该时期将载于投保单上。</w:t>
      </w:r>
    </w:p>
    <w:p>
      <w:pPr>
        <w:pStyle w:val="BodyText"/>
        <w:spacing w:before="7"/>
        <w:rPr>
          <w:sz w:val="15"/>
        </w:rPr>
      </w:pPr>
    </w:p>
    <w:p>
      <w:pPr>
        <w:pStyle w:val="BodyText"/>
        <w:ind w:left="120" w:right="106"/>
      </w:pPr>
      <w:r>
        <w:rPr/>
        <w:t>三、发病：指被保险人出现本合同定义的重大疾病特有的临床症状或体征，或已经显现足以引起注意并寻求诊断、治疗或护理的病症。</w:t>
      </w:r>
    </w:p>
    <w:p>
      <w:pPr>
        <w:pStyle w:val="BodyText"/>
        <w:spacing w:before="7"/>
        <w:rPr>
          <w:sz w:val="15"/>
        </w:rPr>
      </w:pPr>
    </w:p>
    <w:p>
      <w:pPr>
        <w:pStyle w:val="BodyText"/>
        <w:spacing w:line="235" w:lineRule="exact"/>
        <w:ind w:left="120"/>
      </w:pPr>
      <w:r>
        <w:rPr/>
        <w:t>四、专科医生：专科医生应当同时满足以下四项资格条件：</w:t>
      </w:r>
    </w:p>
    <w:p>
      <w:pPr>
        <w:pStyle w:val="BodyText"/>
        <w:spacing w:line="234" w:lineRule="exact"/>
        <w:ind w:left="120"/>
      </w:pPr>
      <w:r>
        <w:rPr/>
        <w:t>（1）具有有效的中华人民共和国《医师资格证书》；</w:t>
      </w:r>
    </w:p>
    <w:p>
      <w:pPr>
        <w:pStyle w:val="BodyText"/>
        <w:spacing w:line="234" w:lineRule="exact"/>
        <w:ind w:left="120"/>
      </w:pPr>
      <w:r>
        <w:rPr/>
        <w:t>（2）具有有效的中华人民共和国《医师执业证书》，并按期到相关部门登记注册；</w:t>
      </w:r>
    </w:p>
    <w:p>
      <w:pPr>
        <w:pStyle w:val="BodyText"/>
        <w:spacing w:line="234" w:lineRule="exact"/>
        <w:ind w:left="120"/>
      </w:pPr>
      <w:r>
        <w:rPr/>
        <w:t>（3）具有有效的中华人民共和国主治医师或主治医师以上职称的《医师职称证书》；</w:t>
      </w:r>
    </w:p>
    <w:p>
      <w:pPr>
        <w:pStyle w:val="BodyText"/>
        <w:spacing w:line="234" w:lineRule="exact"/>
        <w:ind w:left="120"/>
      </w:pPr>
      <w:r>
        <w:rPr/>
        <w:t>（4）在二级或二级以上医院的相应科室从事临床工作三年以上。</w:t>
      </w:r>
    </w:p>
    <w:p>
      <w:pPr>
        <w:pStyle w:val="BodyText"/>
        <w:spacing w:before="11"/>
        <w:rPr>
          <w:sz w:val="15"/>
        </w:rPr>
      </w:pPr>
    </w:p>
    <w:p>
      <w:pPr>
        <w:pStyle w:val="BodyText"/>
        <w:spacing w:line="237" w:lineRule="auto"/>
        <w:ind w:left="120" w:right="106"/>
        <w:jc w:val="both"/>
      </w:pPr>
      <w:r>
        <w:rPr/>
        <w:t>五、第一类重大疾病：指被保险人于本合同等待期后首次发病，并被专科医生首次确诊患有符合下列定义的疾病、达到疾病状态或初次接受重大疾病定义中所指的手术。但被保险人因遭受意外而导致被首次确诊患有符合下列定义的疾病、达到疾病状态或初次接受重大疾病定义中所指的手术的，则不受前述等待期的限制。</w:t>
      </w:r>
    </w:p>
    <w:p>
      <w:pPr>
        <w:pStyle w:val="BodyText"/>
        <w:spacing w:before="8"/>
        <w:rPr>
          <w:sz w:val="15"/>
        </w:rPr>
      </w:pPr>
    </w:p>
    <w:p>
      <w:pPr>
        <w:pStyle w:val="ListParagraph"/>
        <w:numPr>
          <w:ilvl w:val="0"/>
          <w:numId w:val="8"/>
        </w:numPr>
        <w:tabs>
          <w:tab w:pos="480" w:val="left" w:leader="none"/>
        </w:tabs>
        <w:spacing w:line="240" w:lineRule="auto" w:before="1" w:after="0"/>
        <w:ind w:left="480" w:right="0" w:hanging="360"/>
        <w:jc w:val="left"/>
        <w:rPr>
          <w:sz w:val="18"/>
        </w:rPr>
      </w:pPr>
      <w:r>
        <w:rPr>
          <w:sz w:val="18"/>
        </w:rPr>
        <w:t>极早期恶性肿瘤或恶性病变</w:t>
      </w:r>
    </w:p>
    <w:p>
      <w:pPr>
        <w:pStyle w:val="BodyText"/>
        <w:spacing w:line="235" w:lineRule="exact" w:before="101"/>
        <w:ind w:left="120"/>
      </w:pPr>
      <w:r>
        <w:rPr/>
        <w:t>指经组织病理学检查被明确诊断为下列恶性病变，并且接受了相应的治疗。</w:t>
      </w:r>
    </w:p>
    <w:p>
      <w:pPr>
        <w:pStyle w:val="BodyText"/>
        <w:spacing w:line="241" w:lineRule="exact"/>
        <w:ind w:left="340"/>
      </w:pPr>
      <w:r>
        <w:rPr/>
        <w:t>（</w:t>
      </w:r>
      <w:r>
        <w:rPr>
          <w:rFonts w:ascii="Times New Roman" w:eastAsia="Times New Roman"/>
        </w:rPr>
        <w:t>1</w:t>
      </w:r>
      <w:r>
        <w:rPr/>
        <w:t>）原位癌</w:t>
      </w:r>
      <w:r>
        <w:rPr>
          <w:rFonts w:ascii="Times New Roman" w:eastAsia="Times New Roman"/>
        </w:rPr>
        <w:t>*</w:t>
      </w:r>
      <w:r>
        <w:rPr/>
        <w:t>；</w:t>
      </w:r>
    </w:p>
    <w:p>
      <w:pPr>
        <w:pStyle w:val="BodyText"/>
        <w:spacing w:line="234" w:lineRule="exact"/>
        <w:ind w:left="340"/>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34" w:lineRule="exact"/>
        <w:ind w:left="340"/>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34" w:lineRule="exact"/>
        <w:ind w:left="340"/>
      </w:pPr>
      <w:r>
        <w:rPr/>
        <w:t>（</w:t>
      </w:r>
      <w:r>
        <w:rPr>
          <w:rFonts w:ascii="Times New Roman" w:eastAsia="Times New Roman"/>
        </w:rPr>
        <w:t>4</w:t>
      </w:r>
      <w:r>
        <w:rPr/>
        <w:t>）皮肤癌（不包括恶性黑色素瘤及已发生转移的皮肤癌）；</w:t>
      </w:r>
    </w:p>
    <w:p>
      <w:pPr>
        <w:pStyle w:val="BodyText"/>
        <w:spacing w:line="234" w:lineRule="exact"/>
        <w:ind w:left="34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vertAlign w:val="baseline"/>
        </w:rPr>
        <w:t>期或更轻分期的前列腺癌。</w:t>
      </w:r>
    </w:p>
    <w:p>
      <w:pPr>
        <w:pStyle w:val="BodyText"/>
        <w:spacing w:line="234" w:lineRule="exact"/>
        <w:ind w:left="119"/>
      </w:pPr>
      <w:r>
        <w:rPr>
          <w:rFonts w:ascii="Times New Roman" w:eastAsia="Times New Roman"/>
        </w:rPr>
        <w:t>*</w:t>
      </w:r>
      <w:r>
        <w:rPr/>
        <w:t>原位癌</w:t>
      </w:r>
    </w:p>
    <w:p>
      <w:pPr>
        <w:pStyle w:val="BodyText"/>
        <w:spacing w:line="237" w:lineRule="auto"/>
        <w:ind w:left="119" w:right="106"/>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1"/>
        <w:rPr>
          <w:sz w:val="16"/>
        </w:rPr>
      </w:pPr>
    </w:p>
    <w:p>
      <w:pPr>
        <w:pStyle w:val="ListParagraph"/>
        <w:numPr>
          <w:ilvl w:val="0"/>
          <w:numId w:val="8"/>
        </w:numPr>
        <w:tabs>
          <w:tab w:pos="480" w:val="left" w:leader="none"/>
        </w:tabs>
        <w:spacing w:line="240" w:lineRule="auto" w:before="0" w:after="0"/>
        <w:ind w:left="479" w:right="0" w:hanging="360"/>
        <w:jc w:val="left"/>
        <w:rPr>
          <w:sz w:val="18"/>
        </w:rPr>
      </w:pPr>
      <w:r>
        <w:rPr>
          <w:spacing w:val="-9"/>
          <w:sz w:val="18"/>
        </w:rPr>
        <w:t>较小面积 </w:t>
      </w:r>
      <w:r>
        <w:rPr>
          <w:rFonts w:ascii="Times New Roman" w:eastAsia="Times New Roman"/>
          <w:sz w:val="18"/>
        </w:rPr>
        <w:t>III</w:t>
      </w:r>
      <w:r>
        <w:rPr>
          <w:rFonts w:ascii="Times New Roman" w:eastAsia="Times New Roman"/>
          <w:spacing w:val="-9"/>
          <w:sz w:val="18"/>
        </w:rPr>
        <w:t> </w:t>
      </w:r>
      <w:r>
        <w:rPr>
          <w:sz w:val="18"/>
        </w:rPr>
        <w:t>度烧伤</w:t>
      </w:r>
    </w:p>
    <w:p>
      <w:pPr>
        <w:pStyle w:val="BodyText"/>
        <w:spacing w:line="241" w:lineRule="exact" w:before="100"/>
        <w:ind w:left="119"/>
      </w:pPr>
      <w:r>
        <w:rPr/>
        <w:t>指烧伤程度为</w:t>
      </w:r>
      <w:r>
        <w:rPr>
          <w:rFonts w:ascii="MS PGothic" w:hAnsi="MS PGothic" w:eastAsia="MS PGothic" w:hint="eastAsia"/>
        </w:rPr>
        <w:t>Ⅲ</w:t>
      </w:r>
      <w:r>
        <w:rPr/>
        <w:t>度，且</w:t>
      </w:r>
      <w:r>
        <w:rPr>
          <w:rFonts w:ascii="MS PGothic" w:hAnsi="MS PGothic" w:eastAsia="MS PGothic" w:hint="eastAsia"/>
        </w:rPr>
        <w:t>Ⅲ</w:t>
      </w:r>
      <w:r>
        <w:rPr/>
        <w:t>度烧伤面积达到全身体表面积的 </w:t>
      </w:r>
      <w:r>
        <w:rPr>
          <w:rFonts w:ascii="Times New Roman" w:hAnsi="Times New Roman" w:eastAsia="Times New Roman"/>
        </w:rPr>
        <w:t>10%</w:t>
      </w:r>
      <w:r>
        <w:rPr/>
        <w:t>（百分之十）但少于 </w:t>
      </w:r>
      <w:r>
        <w:rPr>
          <w:rFonts w:ascii="Times New Roman" w:hAnsi="Times New Roman" w:eastAsia="Times New Roman"/>
        </w:rPr>
        <w:t>20%</w:t>
      </w:r>
      <w:r>
        <w:rPr/>
        <w:t>（百分之二十）。体表面积根据</w:t>
      </w:r>
    </w:p>
    <w:p>
      <w:pPr>
        <w:pStyle w:val="BodyText"/>
        <w:spacing w:line="227" w:lineRule="exact"/>
        <w:ind w:left="119"/>
      </w:pPr>
      <w:r>
        <w:rPr/>
        <w:t>《中国新九分法》计算。</w:t>
      </w:r>
    </w:p>
    <w:p>
      <w:pPr>
        <w:pStyle w:val="BodyText"/>
        <w:spacing w:before="10"/>
        <w:rPr>
          <w:sz w:val="15"/>
        </w:rPr>
      </w:pPr>
    </w:p>
    <w:p>
      <w:pPr>
        <w:pStyle w:val="ListParagraph"/>
        <w:numPr>
          <w:ilvl w:val="0"/>
          <w:numId w:val="8"/>
        </w:numPr>
        <w:tabs>
          <w:tab w:pos="480" w:val="left" w:leader="none"/>
        </w:tabs>
        <w:spacing w:line="240" w:lineRule="auto" w:before="0" w:after="0"/>
        <w:ind w:left="479" w:right="0" w:hanging="360"/>
        <w:jc w:val="left"/>
        <w:rPr>
          <w:sz w:val="18"/>
        </w:rPr>
      </w:pPr>
      <w:r>
        <w:rPr>
          <w:sz w:val="18"/>
        </w:rPr>
        <w:t>轻微脑中风</w:t>
      </w:r>
    </w:p>
    <w:p>
      <w:pPr>
        <w:pStyle w:val="BodyText"/>
        <w:spacing w:line="242" w:lineRule="exact" w:before="101"/>
        <w:ind w:left="119"/>
      </w:pPr>
      <w:r>
        <w:rPr/>
        <w:t>指实际发生了脑血管的突发病变，出现了神经系统功能障碍表现，并接受住院治疗，经头颅断层扫描（</w:t>
      </w:r>
      <w:r>
        <w:rPr>
          <w:rFonts w:ascii="Times New Roman" w:eastAsia="Times New Roman"/>
        </w:rPr>
        <w:t>CT</w:t>
      </w:r>
      <w:r>
        <w:rPr/>
        <w:t>）、核磁共振</w:t>
      </w:r>
    </w:p>
    <w:p>
      <w:pPr>
        <w:pStyle w:val="BodyText"/>
        <w:spacing w:line="223" w:lineRule="auto" w:before="10"/>
        <w:ind w:left="119" w:right="126"/>
      </w:pPr>
      <w:r>
        <w:rPr/>
        <w:t>（</w:t>
      </w:r>
      <w:r>
        <w:rPr>
          <w:rFonts w:ascii="Times New Roman" w:hAnsi="Times New Roman" w:eastAsia="Times New Roman"/>
        </w:rPr>
        <w:t>MRI</w:t>
      </w:r>
      <w:r>
        <w:rPr/>
        <w:t>）等影像学检查证实存在对应病灶，确诊为脑出血、脑栓塞或脑梗塞，在确诊一百八十日后神经系统功能障碍程度未</w:t>
      </w:r>
      <w:r>
        <w:rPr>
          <w:w w:val="95"/>
        </w:rPr>
        <w:t>达到第二类重大疾病</w:t>
      </w:r>
      <w:r>
        <w:rPr>
          <w:rFonts w:ascii="Times New Roman" w:hAnsi="Times New Roman" w:eastAsia="Times New Roman"/>
          <w:w w:val="95"/>
        </w:rPr>
        <w:t>“</w:t>
      </w:r>
      <w:r>
        <w:rPr>
          <w:w w:val="95"/>
        </w:rPr>
        <w:t>脑中风后遗症</w:t>
      </w:r>
      <w:r>
        <w:rPr>
          <w:rFonts w:ascii="Times New Roman" w:hAnsi="Times New Roman" w:eastAsia="Times New Roman"/>
          <w:w w:val="95"/>
        </w:rPr>
        <w:t>”</w:t>
      </w:r>
      <w:r>
        <w:rPr>
          <w:w w:val="95"/>
        </w:rPr>
        <w:t>的给付标准。</w:t>
      </w:r>
    </w:p>
    <w:p>
      <w:pPr>
        <w:pStyle w:val="BodyText"/>
        <w:spacing w:before="10"/>
        <w:rPr>
          <w:sz w:val="15"/>
        </w:rPr>
      </w:pPr>
    </w:p>
    <w:p>
      <w:pPr>
        <w:pStyle w:val="BodyText"/>
        <w:spacing w:line="225" w:lineRule="auto"/>
        <w:ind w:left="119" w:right="126"/>
      </w:pPr>
      <w:r>
        <w:rPr/>
        <w:t>若本次发病已符合第二类重大疾病</w:t>
      </w:r>
      <w:r>
        <w:rPr>
          <w:rFonts w:ascii="Times New Roman" w:hAnsi="Times New Roman" w:eastAsia="Times New Roman"/>
        </w:rPr>
        <w:t>“</w:t>
      </w:r>
      <w:r>
        <w:rPr/>
        <w:t>脑中风后遗症</w:t>
      </w:r>
      <w:r>
        <w:rPr>
          <w:rFonts w:ascii="Times New Roman" w:hAnsi="Times New Roman" w:eastAsia="Times New Roman"/>
        </w:rPr>
        <w:t>”</w:t>
      </w:r>
      <w:r>
        <w:rPr/>
        <w:t>给付标准的，则不在本疾病保障范围内。被保险人需在确诊一百八十日后申请理赔。</w:t>
      </w:r>
    </w:p>
    <w:p>
      <w:pPr>
        <w:pStyle w:val="BodyText"/>
        <w:spacing w:before="6"/>
        <w:rPr>
          <w:sz w:val="15"/>
        </w:rPr>
      </w:pPr>
    </w:p>
    <w:p>
      <w:pPr>
        <w:pStyle w:val="ListParagraph"/>
        <w:numPr>
          <w:ilvl w:val="0"/>
          <w:numId w:val="8"/>
        </w:numPr>
        <w:tabs>
          <w:tab w:pos="480" w:val="left" w:leader="none"/>
        </w:tabs>
        <w:spacing w:line="240" w:lineRule="auto" w:before="1" w:after="0"/>
        <w:ind w:left="479" w:right="0" w:hanging="360"/>
        <w:jc w:val="left"/>
        <w:rPr>
          <w:sz w:val="18"/>
        </w:rPr>
      </w:pPr>
      <w:r>
        <w:rPr>
          <w:sz w:val="18"/>
        </w:rPr>
        <w:t>冠状动脉介入手术（非开胸手术）</w:t>
      </w:r>
    </w:p>
    <w:p>
      <w:pPr>
        <w:pStyle w:val="BodyText"/>
        <w:spacing w:before="101"/>
        <w:ind w:left="119" w:right="106"/>
      </w:pPr>
      <w:r>
        <w:rPr/>
        <w:t>为了治疗明显的冠状动脉狭窄性疾病，首次实际实施了冠状动脉球囊扩张成形术、冠状动脉支架植入术、冠状动脉粥肿斑块切除术或激光冠状动脉成形术。</w:t>
      </w:r>
    </w:p>
    <w:p>
      <w:pPr>
        <w:pStyle w:val="BodyText"/>
        <w:spacing w:before="9"/>
        <w:rPr>
          <w:sz w:val="15"/>
        </w:rPr>
      </w:pPr>
    </w:p>
    <w:p>
      <w:pPr>
        <w:pStyle w:val="ListParagraph"/>
        <w:numPr>
          <w:ilvl w:val="0"/>
          <w:numId w:val="8"/>
        </w:numPr>
        <w:tabs>
          <w:tab w:pos="480" w:val="left" w:leader="none"/>
        </w:tabs>
        <w:spacing w:line="240" w:lineRule="auto" w:before="0" w:after="0"/>
        <w:ind w:left="480" w:right="0" w:hanging="360"/>
        <w:jc w:val="left"/>
        <w:rPr>
          <w:sz w:val="18"/>
        </w:rPr>
      </w:pPr>
      <w:r>
        <w:rPr>
          <w:sz w:val="18"/>
        </w:rPr>
        <w:t>心脏瓣膜介入手术（非开胸手术）</w:t>
      </w:r>
    </w:p>
    <w:p>
      <w:pPr>
        <w:pStyle w:val="BodyText"/>
        <w:spacing w:before="101"/>
        <w:ind w:left="120"/>
      </w:pPr>
      <w:r>
        <w:rPr/>
        <w:t>为了治疗心脏瓣膜疾病，实际实施了非开胸的经胸壁打孔内镜手术或经皮经导管介入手术进行的心脏瓣膜置换或修复手术。</w:t>
      </w:r>
    </w:p>
    <w:p>
      <w:pPr>
        <w:pStyle w:val="BodyText"/>
        <w:spacing w:before="9"/>
        <w:rPr>
          <w:sz w:val="15"/>
        </w:rPr>
      </w:pPr>
    </w:p>
    <w:p>
      <w:pPr>
        <w:pStyle w:val="ListParagraph"/>
        <w:numPr>
          <w:ilvl w:val="0"/>
          <w:numId w:val="8"/>
        </w:numPr>
        <w:tabs>
          <w:tab w:pos="480" w:val="left" w:leader="none"/>
        </w:tabs>
        <w:spacing w:line="240" w:lineRule="auto" w:before="1" w:after="0"/>
        <w:ind w:left="480" w:right="0" w:hanging="360"/>
        <w:jc w:val="left"/>
        <w:rPr>
          <w:sz w:val="18"/>
        </w:rPr>
      </w:pPr>
      <w:r>
        <w:rPr>
          <w:sz w:val="18"/>
        </w:rPr>
        <w:t>视力严重受损</w:t>
      </w:r>
    </w:p>
    <w:p>
      <w:pPr>
        <w:pStyle w:val="BodyText"/>
        <w:spacing w:line="223" w:lineRule="auto" w:before="119"/>
        <w:ind w:left="119" w:right="126"/>
      </w:pPr>
      <w:r>
        <w:rPr/>
        <w:t>指因疾病或意外伤害导致双目视力</w:t>
      </w:r>
      <w:r>
        <w:rPr>
          <w:b/>
        </w:rPr>
        <w:t>永久不可逆</w:t>
      </w:r>
      <w:r>
        <w:rPr/>
        <w:t>（释义二十八）性丧失，虽然未达到第二类重大疾病</w:t>
      </w:r>
      <w:r>
        <w:rPr>
          <w:rFonts w:ascii="Times New Roman" w:hAnsi="Times New Roman" w:eastAsia="Times New Roman"/>
        </w:rPr>
        <w:t>“</w:t>
      </w:r>
      <w:r>
        <w:rPr/>
        <w:t>双目失明</w:t>
      </w:r>
      <w:r>
        <w:rPr>
          <w:rFonts w:ascii="Times New Roman" w:hAnsi="Times New Roman" w:eastAsia="Times New Roman"/>
        </w:rPr>
        <w:t>”</w:t>
      </w:r>
      <w:r>
        <w:rPr/>
        <w:t>的给付标准， 但满足下列条件之一：</w:t>
      </w:r>
    </w:p>
    <w:p>
      <w:pPr>
        <w:pStyle w:val="BodyText"/>
        <w:spacing w:line="241" w:lineRule="exact"/>
        <w:ind w:left="539"/>
      </w:pPr>
      <w:r>
        <w:rPr/>
        <w:t>（</w:t>
      </w:r>
      <w:r>
        <w:rPr>
          <w:rFonts w:ascii="Times New Roman" w:eastAsia="Times New Roman"/>
        </w:rPr>
        <w:t>1</w:t>
      </w:r>
      <w:r>
        <w:rPr/>
        <w:t>）双眼中较好眼矫正视力低于 </w:t>
      </w:r>
      <w:r>
        <w:rPr>
          <w:rFonts w:ascii="Times New Roman" w:eastAsia="Times New Roman"/>
        </w:rPr>
        <w:t>0.1</w:t>
      </w:r>
      <w:r>
        <w:rPr/>
        <w:t>（采用国际标准视力表，如果使用其他视力表应进行换算）；</w:t>
      </w:r>
    </w:p>
    <w:p>
      <w:pPr>
        <w:pStyle w:val="BodyText"/>
        <w:spacing w:line="234" w:lineRule="exact"/>
        <w:ind w:left="539"/>
      </w:pPr>
      <w:r>
        <w:rPr/>
        <w:t>（</w:t>
      </w:r>
      <w:r>
        <w:rPr>
          <w:rFonts w:ascii="Times New Roman" w:eastAsia="Times New Roman"/>
        </w:rPr>
        <w:t>2</w:t>
      </w:r>
      <w:r>
        <w:rPr/>
        <w:t>）双眼中较好眼视野半径小于 </w:t>
      </w:r>
      <w:r>
        <w:rPr>
          <w:rFonts w:ascii="Times New Roman" w:eastAsia="Times New Roman"/>
        </w:rPr>
        <w:t>20 </w:t>
      </w:r>
      <w:r>
        <w:rPr/>
        <w:t>度。</w:t>
      </w:r>
    </w:p>
    <w:p>
      <w:pPr>
        <w:pStyle w:val="BodyText"/>
        <w:spacing w:line="229" w:lineRule="exact"/>
        <w:ind w:left="119"/>
      </w:pPr>
      <w:r>
        <w:rPr/>
        <w:t>若本次发病已符合第二类重大疾病“双目失明”给付标准的，则不在本疾病保障范围内。</w:t>
      </w:r>
    </w:p>
    <w:p>
      <w:pPr>
        <w:pStyle w:val="BodyText"/>
        <w:rPr>
          <w:sz w:val="20"/>
        </w:rPr>
      </w:pPr>
    </w:p>
    <w:p>
      <w:pPr>
        <w:pStyle w:val="BodyText"/>
        <w:spacing w:before="6"/>
        <w:rPr>
          <w:sz w:val="16"/>
        </w:rPr>
      </w:pPr>
    </w:p>
    <w:p>
      <w:pPr>
        <w:pStyle w:val="Heading2"/>
        <w:tabs>
          <w:tab w:pos="4981" w:val="right" w:leader="none"/>
        </w:tabs>
        <w:ind w:left="120"/>
        <w:rPr>
          <w:sz w:val="18"/>
        </w:rPr>
      </w:pPr>
      <w:r>
        <w:rPr>
          <w:rFonts w:ascii="宋体" w:eastAsia="宋体" w:hint="eastAsia"/>
        </w:rPr>
        <w:t>条款编号</w:t>
      </w:r>
      <w:r>
        <w:rPr/>
        <w:t>:</w:t>
      </w:r>
      <w:r>
        <w:rPr>
          <w:spacing w:val="-1"/>
        </w:rPr>
        <w:t> </w:t>
      </w:r>
      <w:r>
        <w:rPr/>
        <w:t>GH1009-01</w:t>
        <w:tab/>
      </w:r>
      <w:r>
        <w:rPr>
          <w:sz w:val="18"/>
        </w:rPr>
        <w:t>7</w:t>
      </w:r>
    </w:p>
    <w:p>
      <w:pPr>
        <w:spacing w:after="0"/>
        <w:rPr>
          <w:sz w:val="18"/>
        </w:rPr>
        <w:sectPr>
          <w:pgSz w:w="11910" w:h="16840"/>
          <w:pgMar w:top="1240" w:bottom="280" w:left="960" w:right="1000"/>
        </w:sectPr>
      </w:pPr>
    </w:p>
    <w:p>
      <w:pPr>
        <w:pStyle w:val="ListParagraph"/>
        <w:numPr>
          <w:ilvl w:val="0"/>
          <w:numId w:val="8"/>
        </w:numPr>
        <w:tabs>
          <w:tab w:pos="481" w:val="left" w:leader="none"/>
        </w:tabs>
        <w:spacing w:line="240" w:lineRule="auto" w:before="22" w:after="0"/>
        <w:ind w:left="480" w:right="0" w:hanging="360"/>
        <w:jc w:val="left"/>
        <w:rPr>
          <w:sz w:val="18"/>
        </w:rPr>
      </w:pPr>
      <w:r>
        <w:rPr/>
        <w:pict>
          <v:group style="position:absolute;margin-left:.169213pt;margin-top:0pt;width:595.3pt;height:833.05pt;mso-position-horizontal-relative:page;mso-position-vertical-relative:page;z-index:-19480"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sz w:val="18"/>
        </w:rPr>
        <w:t>主动脉内手术（非开胸手术）</w:t>
      </w:r>
    </w:p>
    <w:p>
      <w:pPr>
        <w:pStyle w:val="BodyText"/>
        <w:spacing w:before="100"/>
        <w:ind w:left="120" w:right="286"/>
      </w:pPr>
      <w:r>
        <w:rPr/>
        <w:t>为了治疗主动脉疾病实际实施了经皮经导管进行的动脉内手术。主动脉指胸主动脉和腹主动脉，不包括胸主动脉和腹主动脉的分支血管。</w:t>
      </w:r>
    </w:p>
    <w:p>
      <w:pPr>
        <w:pStyle w:val="BodyText"/>
        <w:spacing w:before="8"/>
        <w:rPr>
          <w:sz w:val="15"/>
        </w:rPr>
      </w:pPr>
    </w:p>
    <w:p>
      <w:pPr>
        <w:pStyle w:val="ListParagraph"/>
        <w:numPr>
          <w:ilvl w:val="0"/>
          <w:numId w:val="8"/>
        </w:numPr>
        <w:tabs>
          <w:tab w:pos="481" w:val="left" w:leader="none"/>
        </w:tabs>
        <w:spacing w:line="240" w:lineRule="auto" w:before="1" w:after="0"/>
        <w:ind w:left="480" w:right="0" w:hanging="360"/>
        <w:jc w:val="both"/>
        <w:rPr>
          <w:sz w:val="18"/>
        </w:rPr>
      </w:pPr>
      <w:r>
        <w:rPr>
          <w:sz w:val="18"/>
        </w:rPr>
        <w:t>脑垂体瘤、脑囊肿、脑动脉瘤及脑血管瘤</w:t>
      </w:r>
    </w:p>
    <w:p>
      <w:pPr>
        <w:pStyle w:val="BodyText"/>
        <w:spacing w:line="241" w:lineRule="exact" w:before="101"/>
        <w:ind w:left="120"/>
        <w:jc w:val="both"/>
      </w:pPr>
      <w:r>
        <w:rPr>
          <w:w w:val="95"/>
        </w:rPr>
        <w:t>指经头颅断层扫描（</w:t>
      </w:r>
      <w:r>
        <w:rPr>
          <w:rFonts w:ascii="Times New Roman" w:eastAsia="Times New Roman"/>
          <w:w w:val="95"/>
        </w:rPr>
        <w:t>CT</w:t>
      </w:r>
      <w:r>
        <w:rPr>
          <w:w w:val="95"/>
        </w:rPr>
        <w:t>）、核磁共振（</w:t>
      </w:r>
      <w:r>
        <w:rPr>
          <w:rFonts w:ascii="Times New Roman" w:eastAsia="Times New Roman"/>
          <w:w w:val="95"/>
        </w:rPr>
        <w:t>MRI</w:t>
      </w:r>
      <w:r>
        <w:rPr>
          <w:w w:val="95"/>
        </w:rPr>
        <w:t>）或其他影像学检查被确诊为下列病变，并实际接受了手术或放射治疗。</w:t>
      </w:r>
    </w:p>
    <w:p>
      <w:pPr>
        <w:pStyle w:val="BodyText"/>
        <w:spacing w:line="234" w:lineRule="exact"/>
        <w:ind w:left="340"/>
      </w:pPr>
      <w:r>
        <w:rPr/>
        <w:t>（</w:t>
      </w:r>
      <w:r>
        <w:rPr>
          <w:rFonts w:ascii="Times New Roman" w:eastAsia="Times New Roman"/>
        </w:rPr>
        <w:t>1</w:t>
      </w:r>
      <w:r>
        <w:rPr/>
        <w:t>）脑垂体瘤；</w:t>
      </w:r>
    </w:p>
    <w:p>
      <w:pPr>
        <w:pStyle w:val="BodyText"/>
        <w:spacing w:line="234" w:lineRule="exact"/>
        <w:ind w:left="340"/>
      </w:pPr>
      <w:r>
        <w:rPr/>
        <w:t>（</w:t>
      </w:r>
      <w:r>
        <w:rPr>
          <w:rFonts w:ascii="Times New Roman" w:eastAsia="Times New Roman"/>
        </w:rPr>
        <w:t>2</w:t>
      </w:r>
      <w:r>
        <w:rPr/>
        <w:t>）脑囊肿；</w:t>
      </w:r>
    </w:p>
    <w:p>
      <w:pPr>
        <w:pStyle w:val="BodyText"/>
        <w:spacing w:line="241" w:lineRule="exact"/>
        <w:ind w:left="340"/>
      </w:pPr>
      <w:r>
        <w:rPr/>
        <w:t>（</w:t>
      </w:r>
      <w:r>
        <w:rPr>
          <w:rFonts w:ascii="Times New Roman" w:eastAsia="Times New Roman"/>
        </w:rPr>
        <w:t>3</w:t>
      </w:r>
      <w:r>
        <w:rPr/>
        <w:t>）脑动脉瘤、脑血管瘤。</w:t>
      </w:r>
    </w:p>
    <w:p>
      <w:pPr>
        <w:pStyle w:val="BodyText"/>
        <w:spacing w:before="11"/>
        <w:rPr>
          <w:sz w:val="14"/>
        </w:rPr>
      </w:pPr>
    </w:p>
    <w:p>
      <w:pPr>
        <w:pStyle w:val="BodyText"/>
        <w:spacing w:line="237" w:lineRule="auto" w:before="1"/>
        <w:ind w:left="120" w:right="106"/>
        <w:jc w:val="both"/>
      </w:pPr>
      <w:r>
        <w:rPr/>
        <w:t>六、第二类重大疾病：指被保险人于本合同等待期后首次发病，并被专科医生首次确诊患有符合下列定义的疾病、达到疾病状态或初次接受手术。但被保险人因遭受意外而导致被首次确诊患有符合下列定义的疾病、达到疾病状态或初次接受重大疾病定义中所指的手术的，则不受前述等待期的限制。</w:t>
      </w:r>
    </w:p>
    <w:p>
      <w:pPr>
        <w:pStyle w:val="BodyText"/>
        <w:spacing w:before="11"/>
        <w:rPr>
          <w:sz w:val="20"/>
        </w:rPr>
      </w:pPr>
    </w:p>
    <w:p>
      <w:pPr>
        <w:pStyle w:val="BodyText"/>
        <w:ind w:left="120"/>
      </w:pPr>
      <w:r>
        <w:rPr>
          <w:rFonts w:ascii="Times New Roman" w:eastAsia="Times New Roman"/>
        </w:rPr>
        <w:t>1</w:t>
      </w:r>
      <w:r>
        <w:rPr/>
        <w:t>）恶性肿瘤</w:t>
      </w:r>
    </w:p>
    <w:p>
      <w:pPr>
        <w:pStyle w:val="BodyText"/>
        <w:spacing w:line="237" w:lineRule="auto" w:before="105"/>
        <w:ind w:left="120" w:right="286"/>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line="233" w:lineRule="exact"/>
        <w:ind w:left="120"/>
        <w:jc w:val="both"/>
      </w:pPr>
      <w:r>
        <w:rPr/>
        <w:t>下列疾病不在保障范围内：</w:t>
      </w:r>
    </w:p>
    <w:p>
      <w:pPr>
        <w:pStyle w:val="BodyText"/>
        <w:spacing w:line="234" w:lineRule="exact"/>
        <w:ind w:left="120"/>
        <w:jc w:val="both"/>
      </w:pPr>
      <w:r>
        <w:rPr/>
        <w:t>（1）原位癌；</w:t>
      </w:r>
    </w:p>
    <w:p>
      <w:pPr>
        <w:pStyle w:val="BodyText"/>
        <w:spacing w:line="234" w:lineRule="exact"/>
        <w:ind w:left="120"/>
        <w:jc w:val="both"/>
      </w:pPr>
      <w:r>
        <w:rPr/>
        <w:t>（2）相当于Binet 分期方案A 期程度的慢性淋巴细胞白血病；</w:t>
      </w:r>
    </w:p>
    <w:p>
      <w:pPr>
        <w:pStyle w:val="BodyText"/>
        <w:spacing w:line="234" w:lineRule="exact"/>
        <w:ind w:left="120"/>
        <w:jc w:val="both"/>
      </w:pPr>
      <w:r>
        <w:rPr/>
        <w:t>（3）相当于Ann Arbor 分期方案I 期程度的何杰金氏病；</w:t>
      </w:r>
    </w:p>
    <w:p>
      <w:pPr>
        <w:pStyle w:val="BodyText"/>
        <w:spacing w:line="234" w:lineRule="exact"/>
        <w:ind w:left="120"/>
        <w:jc w:val="both"/>
      </w:pPr>
      <w:r>
        <w:rPr/>
        <w:t>（4）皮肤癌（不包括恶性黑色素瘤及已发生转移的皮肤癌）；</w:t>
      </w:r>
    </w:p>
    <w:p>
      <w:pPr>
        <w:pStyle w:val="BodyText"/>
        <w:spacing w:line="234" w:lineRule="exact"/>
        <w:ind w:left="120"/>
        <w:jc w:val="both"/>
      </w:pPr>
      <w:r>
        <w:rPr/>
        <w:t>（5）TNM分期为T1N0M0期或更轻分期的前列腺癌；</w:t>
      </w:r>
    </w:p>
    <w:p>
      <w:pPr>
        <w:pStyle w:val="BodyText"/>
        <w:spacing w:line="234" w:lineRule="exact"/>
        <w:ind w:left="120"/>
        <w:jc w:val="both"/>
      </w:pPr>
      <w:r>
        <w:rPr/>
        <w:t>（6）感染艾滋病病毒或患艾滋病期间所患恶性肿瘤。</w:t>
      </w:r>
    </w:p>
    <w:p>
      <w:pPr>
        <w:pStyle w:val="BodyText"/>
        <w:spacing w:before="10"/>
        <w:rPr>
          <w:sz w:val="17"/>
        </w:rPr>
      </w:pPr>
    </w:p>
    <w:p>
      <w:pPr>
        <w:pStyle w:val="BodyText"/>
        <w:ind w:left="120"/>
        <w:jc w:val="both"/>
      </w:pPr>
      <w:r>
        <w:rPr>
          <w:rFonts w:ascii="Times New Roman" w:eastAsia="Times New Roman"/>
        </w:rPr>
        <w:t>2</w:t>
      </w:r>
      <w:r>
        <w:rPr/>
        <w:t>）急性心肌梗塞</w:t>
      </w:r>
    </w:p>
    <w:p>
      <w:pPr>
        <w:pStyle w:val="BodyText"/>
        <w:spacing w:before="101"/>
        <w:ind w:left="120" w:right="4966"/>
      </w:pPr>
      <w:r>
        <w:rPr/>
        <w:t>指因冠状动脉阻塞导致的相应区域供血不足造成部分心肌坏死。须满足下列至少三项条件：</w:t>
      </w:r>
    </w:p>
    <w:p>
      <w:pPr>
        <w:pStyle w:val="BodyText"/>
        <w:spacing w:line="233" w:lineRule="exact"/>
        <w:ind w:left="120"/>
        <w:jc w:val="both"/>
      </w:pPr>
      <w:r>
        <w:rPr/>
        <w:t>（1）典型临床表现，例如急性胸痛等；</w:t>
      </w:r>
    </w:p>
    <w:p>
      <w:pPr>
        <w:pStyle w:val="BodyText"/>
        <w:spacing w:line="234" w:lineRule="exact"/>
        <w:ind w:left="120"/>
        <w:jc w:val="both"/>
      </w:pPr>
      <w:r>
        <w:rPr/>
        <w:t>（2）新近的心电图改变提示急性心肌梗塞；</w:t>
      </w:r>
    </w:p>
    <w:p>
      <w:pPr>
        <w:pStyle w:val="BodyText"/>
        <w:spacing w:line="234" w:lineRule="exact"/>
        <w:ind w:left="120"/>
        <w:jc w:val="both"/>
      </w:pPr>
      <w:r>
        <w:rPr/>
        <w:t>（3）心肌酶或肌钙蛋白有诊断意义的升高，或呈符合急性心肌梗塞的动态性变化；</w:t>
      </w:r>
    </w:p>
    <w:p>
      <w:pPr>
        <w:pStyle w:val="BodyText"/>
        <w:ind w:left="120"/>
        <w:jc w:val="both"/>
      </w:pPr>
      <w:r>
        <w:rPr/>
        <w:t>（4）发病九十日后，经检查证实左心室功能降低，如左心室射血分数低于50%。</w:t>
      </w:r>
    </w:p>
    <w:p>
      <w:pPr>
        <w:pStyle w:val="BodyText"/>
        <w:spacing w:before="10"/>
        <w:rPr>
          <w:sz w:val="17"/>
        </w:rPr>
      </w:pPr>
    </w:p>
    <w:p>
      <w:pPr>
        <w:pStyle w:val="BodyText"/>
        <w:ind w:left="120"/>
        <w:jc w:val="both"/>
      </w:pPr>
      <w:r>
        <w:rPr>
          <w:rFonts w:ascii="Times New Roman" w:eastAsia="Times New Roman"/>
        </w:rPr>
        <w:t>3</w:t>
      </w:r>
      <w:r>
        <w:rPr/>
        <w:t>）脑中风后遗症</w:t>
      </w:r>
    </w:p>
    <w:p>
      <w:pPr>
        <w:pStyle w:val="BodyText"/>
        <w:spacing w:before="101"/>
        <w:ind w:left="120" w:right="286"/>
      </w:pPr>
      <w:r>
        <w:rPr/>
        <w:t>指因脑血管的突发病变引起脑血管出血、栓塞或梗塞，并导致神经系统永久性的功能障碍。神经系统永久性的功能障碍，指疾病确诊一百八十日后，仍遗留下列一种或一种以上障碍：</w:t>
      </w:r>
    </w:p>
    <w:p>
      <w:pPr>
        <w:spacing w:line="233" w:lineRule="exact" w:before="0"/>
        <w:ind w:left="120" w:right="0" w:firstLine="0"/>
        <w:jc w:val="both"/>
        <w:rPr>
          <w:sz w:val="18"/>
        </w:rPr>
      </w:pPr>
      <w:r>
        <w:rPr>
          <w:w w:val="95"/>
          <w:sz w:val="18"/>
        </w:rPr>
        <w:t>（1）一肢或一肢以上</w:t>
      </w:r>
      <w:r>
        <w:rPr>
          <w:b/>
          <w:w w:val="95"/>
          <w:sz w:val="18"/>
        </w:rPr>
        <w:t>肢体机能完全丧失</w:t>
      </w:r>
      <w:r>
        <w:rPr>
          <w:w w:val="95"/>
          <w:sz w:val="18"/>
        </w:rPr>
        <w:t>（释义二十九）；</w:t>
      </w:r>
    </w:p>
    <w:p>
      <w:pPr>
        <w:spacing w:line="234" w:lineRule="exact" w:before="0"/>
        <w:ind w:left="119" w:right="0" w:firstLine="0"/>
        <w:jc w:val="both"/>
        <w:rPr>
          <w:sz w:val="18"/>
        </w:rPr>
      </w:pPr>
      <w:r>
        <w:rPr>
          <w:w w:val="95"/>
          <w:sz w:val="18"/>
        </w:rPr>
        <w:t>（2）</w:t>
      </w:r>
      <w:r>
        <w:rPr>
          <w:b/>
          <w:w w:val="95"/>
          <w:sz w:val="18"/>
        </w:rPr>
        <w:t>语言能力或咀嚼吞咽能力完全丧失</w:t>
      </w:r>
      <w:r>
        <w:rPr>
          <w:w w:val="95"/>
          <w:sz w:val="18"/>
        </w:rPr>
        <w:t>（释义三十）；</w:t>
      </w:r>
    </w:p>
    <w:p>
      <w:pPr>
        <w:spacing w:line="234" w:lineRule="exact" w:before="0"/>
        <w:ind w:left="119" w:right="0" w:firstLine="0"/>
        <w:jc w:val="both"/>
        <w:rPr>
          <w:sz w:val="18"/>
        </w:rPr>
      </w:pPr>
      <w:r>
        <w:rPr>
          <w:w w:val="95"/>
          <w:sz w:val="18"/>
        </w:rPr>
        <w:t>（3）自主生活能力完全丧失，无法独立完成</w:t>
      </w:r>
      <w:r>
        <w:rPr>
          <w:b/>
          <w:w w:val="95"/>
          <w:sz w:val="18"/>
        </w:rPr>
        <w:t>六项基本日常生活活动</w:t>
      </w:r>
      <w:r>
        <w:rPr>
          <w:w w:val="95"/>
          <w:sz w:val="18"/>
        </w:rPr>
        <w:t>（释义三十一）中的三项或三项以上。</w:t>
      </w:r>
    </w:p>
    <w:p>
      <w:pPr>
        <w:pStyle w:val="BodyText"/>
        <w:spacing w:before="10"/>
        <w:rPr>
          <w:sz w:val="17"/>
        </w:rPr>
      </w:pPr>
    </w:p>
    <w:p>
      <w:pPr>
        <w:pStyle w:val="BodyText"/>
        <w:ind w:left="120"/>
        <w:jc w:val="both"/>
      </w:pPr>
      <w:r>
        <w:rPr>
          <w:rFonts w:ascii="Times New Roman" w:eastAsia="Times New Roman"/>
        </w:rPr>
        <w:t>4</w:t>
      </w:r>
      <w:r>
        <w:rPr/>
        <w:t>）重大器官移植术或造血干细胞移植术</w:t>
      </w:r>
    </w:p>
    <w:p>
      <w:pPr>
        <w:pStyle w:val="BodyText"/>
        <w:spacing w:line="235" w:lineRule="exact" w:before="101"/>
        <w:ind w:left="120"/>
        <w:jc w:val="both"/>
      </w:pPr>
      <w:r>
        <w:rPr/>
        <w:t>重大器官移植术，指因相应器官功能衰竭，已经实施了肾脏、肝脏、心脏或肺脏的异体移植手术。</w:t>
      </w:r>
    </w:p>
    <w:p>
      <w:pPr>
        <w:pStyle w:val="BodyText"/>
        <w:spacing w:line="237" w:lineRule="auto" w:before="2"/>
        <w:ind w:left="120" w:right="286"/>
      </w:pPr>
      <w:r>
        <w:rPr/>
        <w:t>造血干细胞移植术，指因造血功能损害或造血系统恶性肿瘤，已经实施了造血干细胞（包括骨髓造血干细胞、外周血造血干细胞和脐血造血干细胞）的异体移植手术。</w:t>
      </w:r>
    </w:p>
    <w:p>
      <w:pPr>
        <w:pStyle w:val="BodyText"/>
        <w:spacing w:before="9"/>
        <w:rPr>
          <w:sz w:val="17"/>
        </w:rPr>
      </w:pPr>
    </w:p>
    <w:p>
      <w:pPr>
        <w:pStyle w:val="BodyText"/>
        <w:spacing w:before="1"/>
        <w:ind w:left="120"/>
        <w:jc w:val="both"/>
      </w:pPr>
      <w:r>
        <w:rPr>
          <w:rFonts w:ascii="Times New Roman" w:eastAsia="Times New Roman"/>
        </w:rPr>
        <w:t>5</w:t>
      </w:r>
      <w:r>
        <w:rPr/>
        <w:t>）冠状动脉搭桥术（或称冠状动脉旁路移植术）</w:t>
      </w:r>
    </w:p>
    <w:p>
      <w:pPr>
        <w:pStyle w:val="BodyText"/>
        <w:spacing w:line="234" w:lineRule="exact" w:before="103"/>
        <w:ind w:left="120"/>
        <w:jc w:val="both"/>
      </w:pPr>
      <w:r>
        <w:rPr/>
        <w:t>指为治疗严重的冠心病，实际实施了开胸进行的冠状动脉血管旁路移植的手术。</w:t>
      </w:r>
    </w:p>
    <w:p>
      <w:pPr>
        <w:pStyle w:val="BodyText"/>
        <w:spacing w:line="234" w:lineRule="exact"/>
        <w:ind w:left="120"/>
        <w:jc w:val="both"/>
      </w:pPr>
      <w:r>
        <w:rPr/>
        <w:t>冠状动脉支架植入术、心导管球囊扩张术、激光射频技术及其它非开胸的介入手术、腔镜手术不在保障范围内。</w:t>
      </w:r>
    </w:p>
    <w:p>
      <w:pPr>
        <w:pStyle w:val="BodyText"/>
        <w:spacing w:before="10"/>
        <w:rPr>
          <w:sz w:val="17"/>
        </w:rPr>
      </w:pPr>
    </w:p>
    <w:p>
      <w:pPr>
        <w:pStyle w:val="BodyText"/>
        <w:ind w:left="120"/>
        <w:jc w:val="both"/>
      </w:pPr>
      <w:r>
        <w:rPr>
          <w:rFonts w:ascii="Times New Roman" w:eastAsia="Times New Roman"/>
        </w:rPr>
        <w:t>6</w:t>
      </w:r>
      <w:r>
        <w:rPr/>
        <w:t>）终末期肾病（或称慢性肾功能衰竭尿毒症期）</w:t>
      </w:r>
    </w:p>
    <w:p>
      <w:pPr>
        <w:pStyle w:val="BodyText"/>
        <w:spacing w:before="100"/>
        <w:ind w:left="120"/>
        <w:jc w:val="both"/>
      </w:pPr>
      <w:r>
        <w:rPr/>
        <w:t>指双肾功能慢性不可逆性衰竭，达到尿毒症期，经诊断后已经进行了至少九十日的规律性透析治疗或实施了肾脏移植手术。</w:t>
      </w:r>
    </w:p>
    <w:p>
      <w:pPr>
        <w:pStyle w:val="BodyText"/>
        <w:spacing w:before="9"/>
        <w:rPr>
          <w:sz w:val="17"/>
        </w:rPr>
      </w:pPr>
    </w:p>
    <w:p>
      <w:pPr>
        <w:pStyle w:val="BodyText"/>
        <w:ind w:left="120"/>
        <w:jc w:val="both"/>
      </w:pPr>
      <w:r>
        <w:rPr>
          <w:rFonts w:ascii="Times New Roman" w:eastAsia="Times New Roman"/>
        </w:rPr>
        <w:t>7</w:t>
      </w:r>
      <w:r>
        <w:rPr/>
        <w:t>）多个肢体缺失</w:t>
      </w:r>
    </w:p>
    <w:p>
      <w:pPr>
        <w:pStyle w:val="BodyText"/>
        <w:spacing w:before="103"/>
        <w:ind w:left="120"/>
        <w:jc w:val="both"/>
      </w:pPr>
      <w:r>
        <w:rPr/>
        <w:t>指因疾病或意外伤害导致两个或两个以上肢体自腕关节或踝关节近端（靠近躯干端）以上完全性断离。</w:t>
      </w:r>
    </w:p>
    <w:p>
      <w:pPr>
        <w:pStyle w:val="BodyText"/>
        <w:rPr>
          <w:sz w:val="20"/>
        </w:rPr>
      </w:pPr>
    </w:p>
    <w:p>
      <w:pPr>
        <w:pStyle w:val="BodyText"/>
        <w:spacing w:before="7"/>
        <w:rPr>
          <w:sz w:val="26"/>
        </w:rPr>
      </w:pPr>
    </w:p>
    <w:p>
      <w:pPr>
        <w:pStyle w:val="Heading2"/>
        <w:tabs>
          <w:tab w:pos="4981" w:val="right" w:leader="none"/>
        </w:tabs>
        <w:ind w:left="120"/>
        <w:rPr>
          <w:sz w:val="18"/>
        </w:rPr>
      </w:pPr>
      <w:r>
        <w:rPr>
          <w:rFonts w:ascii="宋体" w:eastAsia="宋体" w:hint="eastAsia"/>
        </w:rPr>
        <w:t>条款编号</w:t>
      </w:r>
      <w:r>
        <w:rPr/>
        <w:t>:</w:t>
      </w:r>
      <w:r>
        <w:rPr>
          <w:spacing w:val="-1"/>
        </w:rPr>
        <w:t> </w:t>
      </w:r>
      <w:r>
        <w:rPr/>
        <w:t>GH1009-01</w:t>
        <w:tab/>
      </w:r>
      <w:r>
        <w:rPr>
          <w:sz w:val="18"/>
        </w:rPr>
        <w:t>8</w:t>
      </w:r>
    </w:p>
    <w:p>
      <w:pPr>
        <w:spacing w:after="0"/>
        <w:rPr>
          <w:sz w:val="18"/>
        </w:rPr>
        <w:sectPr>
          <w:pgSz w:w="11910" w:h="16840"/>
          <w:pgMar w:top="1220" w:bottom="280" w:left="960" w:right="820"/>
        </w:sectPr>
      </w:pPr>
    </w:p>
    <w:p>
      <w:pPr>
        <w:pStyle w:val="BodyText"/>
        <w:spacing w:before="29"/>
        <w:ind w:left="100"/>
      </w:pPr>
      <w:r>
        <w:rPr/>
        <w:pict>
          <v:group style="position:absolute;margin-left:.169213pt;margin-top:0pt;width:595.3pt;height:833.05pt;mso-position-horizontal-relative:page;mso-position-vertical-relative:page;z-index:-19456"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rFonts w:ascii="Times New Roman" w:eastAsia="Times New Roman"/>
        </w:rPr>
        <w:t>8</w:t>
      </w:r>
      <w:r>
        <w:rPr/>
        <w:t>）急性或亚急性重症肝炎</w:t>
      </w:r>
    </w:p>
    <w:p>
      <w:pPr>
        <w:pStyle w:val="BodyText"/>
        <w:spacing w:line="237" w:lineRule="auto" w:before="106"/>
        <w:ind w:left="100" w:right="286"/>
      </w:pPr>
      <w:r>
        <w:rPr/>
        <w:t>指因肝炎病毒感染引起肝脏组织弥漫性坏死，导致急性肝功能衰竭，且经血清学或病毒学检查证实，并须满足下列全部条件：</w:t>
      </w:r>
    </w:p>
    <w:p>
      <w:pPr>
        <w:pStyle w:val="BodyText"/>
        <w:spacing w:line="234" w:lineRule="exact"/>
        <w:ind w:left="100"/>
      </w:pPr>
      <w:r>
        <w:rPr/>
        <w:t>（1）重度黄疸或黄疸迅速加重；</w:t>
      </w:r>
    </w:p>
    <w:p>
      <w:pPr>
        <w:pStyle w:val="BodyText"/>
        <w:spacing w:line="234" w:lineRule="exact"/>
        <w:ind w:left="100"/>
      </w:pPr>
      <w:r>
        <w:rPr/>
        <w:t>（2）肝性脑病；</w:t>
      </w:r>
    </w:p>
    <w:p>
      <w:pPr>
        <w:pStyle w:val="BodyText"/>
        <w:spacing w:line="234" w:lineRule="exact"/>
        <w:ind w:left="100"/>
      </w:pPr>
      <w:r>
        <w:rPr/>
        <w:t>（3）B 超或其它影像学检查显示肝脏体积急速萎缩；</w:t>
      </w:r>
    </w:p>
    <w:p>
      <w:pPr>
        <w:pStyle w:val="BodyText"/>
        <w:spacing w:line="234" w:lineRule="exact"/>
        <w:ind w:left="100"/>
      </w:pPr>
      <w:r>
        <w:rPr/>
        <w:t>（4）肝功能指标进行性恶化。</w:t>
      </w:r>
    </w:p>
    <w:p>
      <w:pPr>
        <w:pStyle w:val="BodyText"/>
        <w:spacing w:before="9"/>
        <w:rPr>
          <w:sz w:val="17"/>
        </w:rPr>
      </w:pPr>
    </w:p>
    <w:p>
      <w:pPr>
        <w:pStyle w:val="BodyText"/>
        <w:spacing w:before="1"/>
        <w:ind w:left="100"/>
      </w:pPr>
      <w:r>
        <w:rPr>
          <w:rFonts w:ascii="Times New Roman" w:eastAsia="Times New Roman"/>
        </w:rPr>
        <w:t>9</w:t>
      </w:r>
      <w:r>
        <w:rPr/>
        <w:t>）良性脑肿瘤</w:t>
      </w:r>
    </w:p>
    <w:p>
      <w:pPr>
        <w:pStyle w:val="BodyText"/>
        <w:spacing w:line="237" w:lineRule="auto" w:before="103"/>
        <w:ind w:left="100" w:right="103"/>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line="234" w:lineRule="exact"/>
        <w:ind w:left="100"/>
      </w:pPr>
      <w:r>
        <w:rPr/>
        <w:t>（1）实际实施了开颅进行的脑肿瘤完全切除或部分切除的手术；</w:t>
      </w:r>
    </w:p>
    <w:p>
      <w:pPr>
        <w:pStyle w:val="BodyText"/>
        <w:spacing w:line="234" w:lineRule="exact"/>
        <w:ind w:left="100"/>
      </w:pPr>
      <w:r>
        <w:rPr/>
        <w:t>（2）实际实施了对脑肿瘤进行的放射治疗。</w:t>
      </w:r>
    </w:p>
    <w:p>
      <w:pPr>
        <w:pStyle w:val="BodyText"/>
        <w:ind w:left="100"/>
      </w:pPr>
      <w:r>
        <w:rPr/>
        <w:t>脑垂体瘤、脑囊肿、脑血管性疾病不在保障范围内。</w:t>
      </w:r>
    </w:p>
    <w:p>
      <w:pPr>
        <w:pStyle w:val="BodyText"/>
        <w:spacing w:before="10"/>
        <w:rPr>
          <w:sz w:val="17"/>
        </w:rPr>
      </w:pPr>
    </w:p>
    <w:p>
      <w:pPr>
        <w:pStyle w:val="BodyText"/>
        <w:spacing w:before="1"/>
        <w:ind w:left="100"/>
      </w:pPr>
      <w:r>
        <w:rPr>
          <w:rFonts w:ascii="Times New Roman" w:eastAsia="Times New Roman"/>
        </w:rPr>
        <w:t>10</w:t>
      </w:r>
      <w:r>
        <w:rPr/>
        <w:t>）慢性肝功能衰竭失代偿期</w:t>
      </w:r>
    </w:p>
    <w:p>
      <w:pPr>
        <w:pStyle w:val="BodyText"/>
        <w:spacing w:line="235" w:lineRule="exact" w:before="101"/>
        <w:ind w:left="100"/>
      </w:pPr>
      <w:r>
        <w:rPr/>
        <w:t>指因慢性肝脏疾病导致肝功能衰竭。须满足下列全部条件：</w:t>
      </w:r>
    </w:p>
    <w:p>
      <w:pPr>
        <w:pStyle w:val="BodyText"/>
        <w:spacing w:line="234" w:lineRule="exact"/>
        <w:ind w:left="100"/>
      </w:pPr>
      <w:r>
        <w:rPr/>
        <w:t>（1）持续性黄疸；</w:t>
      </w:r>
    </w:p>
    <w:p>
      <w:pPr>
        <w:pStyle w:val="BodyText"/>
        <w:spacing w:line="234" w:lineRule="exact"/>
        <w:ind w:left="100"/>
      </w:pPr>
      <w:r>
        <w:rPr/>
        <w:t>（2）腹水；</w:t>
      </w:r>
    </w:p>
    <w:p>
      <w:pPr>
        <w:pStyle w:val="BodyText"/>
        <w:spacing w:line="234" w:lineRule="exact"/>
        <w:ind w:left="100"/>
      </w:pPr>
      <w:r>
        <w:rPr/>
        <w:t>（3）肝性脑病；</w:t>
      </w:r>
    </w:p>
    <w:p>
      <w:pPr>
        <w:pStyle w:val="BodyText"/>
        <w:ind w:left="100" w:right="5415"/>
      </w:pPr>
      <w:r>
        <w:rPr/>
        <w:t>（4）充血性脾肿大伴脾功能亢进或食管胃底静脉曲张。因酗酒或药物滥用导致的肝功能衰竭不在保障范围内。</w:t>
      </w:r>
    </w:p>
    <w:p>
      <w:pPr>
        <w:pStyle w:val="BodyText"/>
        <w:spacing w:before="10"/>
        <w:rPr>
          <w:sz w:val="17"/>
        </w:rPr>
      </w:pPr>
    </w:p>
    <w:p>
      <w:pPr>
        <w:pStyle w:val="BodyText"/>
        <w:spacing w:before="1"/>
        <w:ind w:left="100"/>
      </w:pPr>
      <w:r>
        <w:rPr>
          <w:rFonts w:ascii="Times New Roman" w:eastAsia="Times New Roman"/>
        </w:rPr>
        <w:t>11</w:t>
      </w:r>
      <w:r>
        <w:rPr/>
        <w:t>）脑炎后遗症或脑膜炎后遗症</w:t>
      </w:r>
    </w:p>
    <w:p>
      <w:pPr>
        <w:pStyle w:val="BodyText"/>
        <w:spacing w:line="237" w:lineRule="auto" w:before="103"/>
        <w:ind w:left="100" w:right="106"/>
      </w:pPr>
      <w:r>
        <w:rPr/>
        <w:t>指因患脑炎或脑膜炎导致的神经系统永久性的功能障碍。神经系统永久性的功能障碍，指疾病确诊一百八十日后，仍遗留下列一种或一种以上障碍：</w:t>
      </w:r>
    </w:p>
    <w:p>
      <w:pPr>
        <w:pStyle w:val="BodyText"/>
        <w:spacing w:line="234" w:lineRule="exact"/>
        <w:ind w:left="100"/>
      </w:pPr>
      <w:r>
        <w:rPr/>
        <w:t>（1）一肢或一肢以上肢体机能完全丧失；</w:t>
      </w:r>
    </w:p>
    <w:p>
      <w:pPr>
        <w:pStyle w:val="BodyText"/>
        <w:spacing w:line="234" w:lineRule="exact"/>
        <w:ind w:left="100"/>
      </w:pPr>
      <w:r>
        <w:rPr/>
        <w:t>（2）语言能力或咀嚼吞咽能力完全丧失；</w:t>
      </w:r>
    </w:p>
    <w:p>
      <w:pPr>
        <w:pStyle w:val="BodyText"/>
        <w:ind w:left="100"/>
      </w:pPr>
      <w:r>
        <w:rPr/>
        <w:t>（3）自主生活能力完全丧失，无法独立完成六项基本日常生活活动中的三项或三项以上。</w:t>
      </w:r>
    </w:p>
    <w:p>
      <w:pPr>
        <w:pStyle w:val="BodyText"/>
        <w:spacing w:before="10"/>
        <w:rPr>
          <w:sz w:val="17"/>
        </w:rPr>
      </w:pPr>
    </w:p>
    <w:p>
      <w:pPr>
        <w:pStyle w:val="BodyText"/>
        <w:spacing w:before="1"/>
        <w:ind w:left="100"/>
      </w:pPr>
      <w:r>
        <w:rPr>
          <w:rFonts w:ascii="Times New Roman" w:eastAsia="Times New Roman"/>
        </w:rPr>
        <w:t>12</w:t>
      </w:r>
      <w:r>
        <w:rPr/>
        <w:t>）深度昏迷</w:t>
      </w:r>
    </w:p>
    <w:p>
      <w:pPr>
        <w:pStyle w:val="BodyText"/>
        <w:spacing w:line="235" w:lineRule="exact" w:before="101"/>
        <w:ind w:left="100"/>
      </w:pPr>
      <w:r>
        <w:rPr/>
        <w:t>指因疾病或意外伤害导致意识丧失,对外界刺激和体内需求均无反应,昏迷程度按照格拉斯哥昏迷分级（Glasgow coma</w:t>
      </w:r>
    </w:p>
    <w:p>
      <w:pPr>
        <w:pStyle w:val="BodyText"/>
        <w:spacing w:line="237" w:lineRule="auto" w:before="1"/>
        <w:ind w:left="100" w:right="2712"/>
      </w:pPr>
      <w:r>
        <w:rPr/>
        <w:t>scale）结果为5 分或5 分以下，且已经持续使用呼吸机及其它生命维持系统96小时以上。因酗酒或药物滥用导致的深度昏迷不在保障范围内。</w:t>
      </w:r>
    </w:p>
    <w:p>
      <w:pPr>
        <w:pStyle w:val="BodyText"/>
        <w:spacing w:before="9"/>
        <w:rPr>
          <w:sz w:val="17"/>
        </w:rPr>
      </w:pPr>
    </w:p>
    <w:p>
      <w:pPr>
        <w:pStyle w:val="BodyText"/>
        <w:ind w:left="100"/>
      </w:pPr>
      <w:r>
        <w:rPr>
          <w:rFonts w:ascii="Times New Roman" w:eastAsia="Times New Roman"/>
        </w:rPr>
        <w:t>13</w:t>
      </w:r>
      <w:r>
        <w:rPr/>
        <w:t>）双耳失聪 － 须三岁后申请理赔</w:t>
      </w:r>
    </w:p>
    <w:p>
      <w:pPr>
        <w:pStyle w:val="BodyText"/>
        <w:spacing w:before="101"/>
        <w:ind w:left="100" w:right="281"/>
      </w:pPr>
      <w:r>
        <w:rPr/>
        <w:t>指因疾病或意外伤害导致双耳听力永久不可逆性丧失，在500 赫兹、1000 赫兹和2000 赫兹语音频率下，平均听阈大于90 分贝，且经纯音听力测试、声导抗检测或听觉诱发电位检测等证实。</w:t>
      </w:r>
    </w:p>
    <w:p>
      <w:pPr>
        <w:pStyle w:val="BodyText"/>
        <w:spacing w:before="9"/>
        <w:rPr>
          <w:sz w:val="17"/>
        </w:rPr>
      </w:pPr>
    </w:p>
    <w:p>
      <w:pPr>
        <w:pStyle w:val="BodyText"/>
        <w:spacing w:before="1"/>
        <w:ind w:left="100"/>
      </w:pPr>
      <w:r>
        <w:rPr/>
        <w:t>被保险人申请理赔时年龄必须在三岁以上，并且提供理赔当时的听力丧失诊断及检查证明和资料。</w:t>
      </w:r>
    </w:p>
    <w:p>
      <w:pPr>
        <w:pStyle w:val="BodyText"/>
        <w:spacing w:before="10"/>
        <w:rPr>
          <w:sz w:val="17"/>
        </w:rPr>
      </w:pPr>
    </w:p>
    <w:p>
      <w:pPr>
        <w:pStyle w:val="BodyText"/>
        <w:ind w:left="100"/>
      </w:pPr>
      <w:r>
        <w:rPr>
          <w:rFonts w:ascii="Times New Roman" w:eastAsia="Times New Roman"/>
        </w:rPr>
        <w:t>14</w:t>
      </w:r>
      <w:r>
        <w:rPr/>
        <w:t>）双目失明 － 须三岁后申请理赔</w:t>
      </w:r>
    </w:p>
    <w:p>
      <w:pPr>
        <w:pStyle w:val="BodyText"/>
        <w:spacing w:line="235" w:lineRule="exact" w:before="101"/>
        <w:ind w:left="100"/>
      </w:pPr>
      <w:r>
        <w:rPr/>
        <w:t>指因疾病或意外伤害导致双眼视力永久不可逆性丧失，双眼中较好眼须满足下列至少一项条件：</w:t>
      </w:r>
    </w:p>
    <w:p>
      <w:pPr>
        <w:pStyle w:val="BodyText"/>
        <w:spacing w:line="234" w:lineRule="exact"/>
        <w:ind w:left="100"/>
      </w:pPr>
      <w:r>
        <w:rPr/>
        <w:t>（1）眼球缺失或摘除；</w:t>
      </w:r>
    </w:p>
    <w:p>
      <w:pPr>
        <w:pStyle w:val="BodyText"/>
        <w:spacing w:line="234" w:lineRule="exact"/>
        <w:ind w:left="100"/>
      </w:pPr>
      <w:r>
        <w:rPr/>
        <w:t>（2）矫正视力低于0.02（采用国际标准视力表，如果使用其它视力表应进行换算）；</w:t>
      </w:r>
    </w:p>
    <w:p>
      <w:pPr>
        <w:pStyle w:val="BodyText"/>
        <w:ind w:left="100"/>
      </w:pPr>
      <w:r>
        <w:rPr/>
        <w:t>（3）视野半径小于5 度。</w:t>
      </w:r>
    </w:p>
    <w:p>
      <w:pPr>
        <w:pStyle w:val="BodyText"/>
        <w:spacing w:before="10"/>
        <w:rPr>
          <w:sz w:val="17"/>
        </w:rPr>
      </w:pPr>
    </w:p>
    <w:p>
      <w:pPr>
        <w:pStyle w:val="BodyText"/>
        <w:ind w:left="100"/>
      </w:pPr>
      <w:r>
        <w:rPr/>
        <w:t>被保险人申请理赔时年龄必须在三岁以上，并且提供理赔当时的视力丧失诊断及检查证明和资料。</w:t>
      </w:r>
    </w:p>
    <w:p>
      <w:pPr>
        <w:pStyle w:val="BodyText"/>
        <w:spacing w:before="9"/>
        <w:rPr>
          <w:sz w:val="17"/>
        </w:rPr>
      </w:pPr>
    </w:p>
    <w:p>
      <w:pPr>
        <w:pStyle w:val="BodyText"/>
        <w:ind w:left="100"/>
      </w:pPr>
      <w:r>
        <w:rPr>
          <w:rFonts w:ascii="Times New Roman" w:eastAsia="Times New Roman"/>
        </w:rPr>
        <w:t>15</w:t>
      </w:r>
      <w:r>
        <w:rPr/>
        <w:t>）瘫痪</w:t>
      </w:r>
    </w:p>
    <w:p>
      <w:pPr>
        <w:pStyle w:val="BodyText"/>
        <w:spacing w:line="237" w:lineRule="auto" w:before="103"/>
        <w:ind w:left="100" w:right="106"/>
      </w:pPr>
      <w:r>
        <w:rPr/>
        <w:t>指因疾病或意外伤害导致两肢或两肢以上肢体机能永久完全丧失。肢体机能永久完全丧失，指疾病确诊一百八十日后或意外伤害发生一百八十日后，每肢三大关节中的两大关节仍然完全僵硬，或不能随意识活动。</w:t>
      </w:r>
    </w:p>
    <w:p>
      <w:pPr>
        <w:pStyle w:val="BodyText"/>
        <w:spacing w:line="249" w:lineRule="exact"/>
        <w:ind w:left="100"/>
      </w:pPr>
      <w:r>
        <w:rPr>
          <w:rFonts w:ascii="Times New Roman" w:eastAsia="Times New Roman"/>
        </w:rPr>
        <w:t>16</w:t>
      </w:r>
      <w:r>
        <w:rPr/>
        <w:t>）心脏瓣膜手术</w:t>
      </w:r>
    </w:p>
    <w:p>
      <w:pPr>
        <w:pStyle w:val="BodyText"/>
        <w:spacing w:before="101"/>
        <w:ind w:left="100"/>
      </w:pPr>
      <w:r>
        <w:rPr/>
        <w:t>指为治疗心脏瓣膜疾病，实际实施了开胸进行的心脏瓣膜置换或修复的手术。</w:t>
      </w:r>
    </w:p>
    <w:p>
      <w:pPr>
        <w:pStyle w:val="BodyText"/>
        <w:rPr>
          <w:sz w:val="20"/>
        </w:rPr>
      </w:pPr>
    </w:p>
    <w:p>
      <w:pPr>
        <w:pStyle w:val="BodyText"/>
        <w:spacing w:before="7"/>
        <w:rPr>
          <w:sz w:val="23"/>
        </w:rPr>
      </w:pPr>
    </w:p>
    <w:p>
      <w:pPr>
        <w:pStyle w:val="Heading2"/>
        <w:tabs>
          <w:tab w:pos="4961" w:val="right" w:leader="none"/>
        </w:tabs>
        <w:rPr>
          <w:sz w:val="18"/>
        </w:rPr>
      </w:pPr>
      <w:r>
        <w:rPr>
          <w:rFonts w:ascii="宋体" w:eastAsia="宋体" w:hint="eastAsia"/>
        </w:rPr>
        <w:t>条款编号</w:t>
      </w:r>
      <w:r>
        <w:rPr/>
        <w:t>:</w:t>
      </w:r>
      <w:r>
        <w:rPr>
          <w:spacing w:val="-1"/>
        </w:rPr>
        <w:t> </w:t>
      </w:r>
      <w:r>
        <w:rPr/>
        <w:t>GH1009-01</w:t>
        <w:tab/>
      </w:r>
      <w:r>
        <w:rPr>
          <w:sz w:val="18"/>
        </w:rPr>
        <w:t>9</w:t>
      </w:r>
    </w:p>
    <w:p>
      <w:pPr>
        <w:spacing w:after="0"/>
        <w:rPr>
          <w:sz w:val="18"/>
        </w:rPr>
        <w:sectPr>
          <w:pgSz w:w="11910" w:h="16840"/>
          <w:pgMar w:top="1240" w:bottom="280" w:left="980" w:right="1000"/>
        </w:sectPr>
      </w:pPr>
    </w:p>
    <w:p>
      <w:pPr>
        <w:pStyle w:val="BodyText"/>
        <w:spacing w:before="29"/>
        <w:ind w:left="120"/>
      </w:pPr>
      <w:r>
        <w:rPr/>
        <w:pict>
          <v:group style="position:absolute;margin-left:.169213pt;margin-top:0pt;width:595.3pt;height:833.05pt;mso-position-horizontal-relative:page;mso-position-vertical-relative:page;z-index:-19432"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rFonts w:ascii="Times New Roman" w:eastAsia="Times New Roman"/>
        </w:rPr>
        <w:t>17</w:t>
      </w:r>
      <w:r>
        <w:rPr/>
        <w:t>）严重阿尔茨海默病</w:t>
      </w:r>
    </w:p>
    <w:p>
      <w:pPr>
        <w:pStyle w:val="BodyText"/>
        <w:spacing w:line="237" w:lineRule="auto" w:before="106"/>
        <w:ind w:left="120" w:right="10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line="233" w:lineRule="exact"/>
        <w:ind w:left="120"/>
      </w:pPr>
      <w:r>
        <w:rPr/>
        <w:t>神经官能症和精神疾病不在保障范围内。</w:t>
      </w:r>
    </w:p>
    <w:p>
      <w:pPr>
        <w:pStyle w:val="BodyText"/>
        <w:spacing w:before="10"/>
        <w:rPr>
          <w:sz w:val="17"/>
        </w:rPr>
      </w:pPr>
    </w:p>
    <w:p>
      <w:pPr>
        <w:pStyle w:val="BodyText"/>
        <w:ind w:left="120"/>
      </w:pPr>
      <w:r>
        <w:rPr>
          <w:rFonts w:ascii="Times New Roman" w:eastAsia="Times New Roman"/>
        </w:rPr>
        <w:t>18</w:t>
      </w:r>
      <w:r>
        <w:rPr/>
        <w:t>）严重脑损伤</w:t>
      </w:r>
    </w:p>
    <w:p>
      <w:pPr>
        <w:pStyle w:val="BodyText"/>
        <w:spacing w:line="237" w:lineRule="auto" w:before="103"/>
        <w:ind w:left="120" w:right="104"/>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日后，仍遗留下列一种或一种以上障碍：</w:t>
      </w:r>
    </w:p>
    <w:p>
      <w:pPr>
        <w:pStyle w:val="BodyText"/>
        <w:spacing w:line="234" w:lineRule="exact"/>
        <w:ind w:left="120"/>
      </w:pPr>
      <w:r>
        <w:rPr/>
        <w:t>（1）一肢或一肢以上肢体机能完全丧失；</w:t>
      </w:r>
    </w:p>
    <w:p>
      <w:pPr>
        <w:pStyle w:val="BodyText"/>
        <w:spacing w:line="234" w:lineRule="exact"/>
        <w:ind w:left="120"/>
      </w:pPr>
      <w:r>
        <w:rPr/>
        <w:t>（2）语言能力或咀嚼吞咽能力完全丧失；</w:t>
      </w:r>
    </w:p>
    <w:p>
      <w:pPr>
        <w:pStyle w:val="BodyText"/>
        <w:ind w:left="120"/>
      </w:pPr>
      <w:r>
        <w:rPr/>
        <w:t>（3）自主生活能力完全丧失，无法独立完成六项基本日常生活活动中的三项或三项以上。</w:t>
      </w:r>
    </w:p>
    <w:p>
      <w:pPr>
        <w:pStyle w:val="BodyText"/>
        <w:spacing w:before="10"/>
        <w:rPr>
          <w:sz w:val="17"/>
        </w:rPr>
      </w:pPr>
    </w:p>
    <w:p>
      <w:pPr>
        <w:pStyle w:val="BodyText"/>
        <w:ind w:left="120"/>
      </w:pPr>
      <w:r>
        <w:rPr>
          <w:rFonts w:ascii="Times New Roman" w:eastAsia="Times New Roman"/>
        </w:rPr>
        <w:t>19</w:t>
      </w:r>
      <w:r>
        <w:rPr/>
        <w:t>）严重帕金森病</w:t>
      </w:r>
    </w:p>
    <w:p>
      <w:pPr>
        <w:pStyle w:val="BodyText"/>
        <w:spacing w:line="235" w:lineRule="exact" w:before="100"/>
        <w:ind w:left="120"/>
      </w:pPr>
      <w:r>
        <w:rPr/>
        <w:t>是一种中枢神经系统的退行性疾病，临床表现为震颤麻痹、共济失调等。须满足下列全部条件：</w:t>
      </w:r>
    </w:p>
    <w:p>
      <w:pPr>
        <w:pStyle w:val="BodyText"/>
        <w:spacing w:line="234" w:lineRule="exact"/>
        <w:ind w:left="120"/>
      </w:pPr>
      <w:r>
        <w:rPr/>
        <w:t>（1）药物治疗无法控制病情；</w:t>
      </w:r>
    </w:p>
    <w:p>
      <w:pPr>
        <w:pStyle w:val="BodyText"/>
        <w:ind w:left="120" w:right="2715"/>
      </w:pPr>
      <w:r>
        <w:rPr/>
        <w:t>（2）自主生活能力完全丧失，无法独立完成六项基本日常生活活动中的三项或三项以上。继发性帕金森综合征不在保障范围内。</w:t>
      </w:r>
    </w:p>
    <w:p>
      <w:pPr>
        <w:pStyle w:val="BodyText"/>
        <w:spacing w:before="10"/>
        <w:rPr>
          <w:sz w:val="17"/>
        </w:rPr>
      </w:pPr>
    </w:p>
    <w:p>
      <w:pPr>
        <w:pStyle w:val="BodyText"/>
        <w:spacing w:before="1"/>
        <w:ind w:left="120"/>
      </w:pPr>
      <w:r>
        <w:rPr>
          <w:rFonts w:ascii="Times New Roman" w:hAnsi="Times New Roman" w:eastAsia="Times New Roman"/>
        </w:rPr>
        <w:t>20</w:t>
      </w:r>
      <w:r>
        <w:rPr/>
        <w:t>）严重Ⅲ度烧伤</w:t>
      </w:r>
    </w:p>
    <w:p>
      <w:pPr>
        <w:pStyle w:val="BodyText"/>
        <w:spacing w:before="101"/>
        <w:ind w:left="120"/>
      </w:pPr>
      <w:r>
        <w:rPr/>
        <w:t>指烧伤程度为Ⅲ度，且Ⅲ度烧伤的面积达到全身体表面积的20％或20％以上。体表面积根据《中国新九分法》计算。</w:t>
      </w:r>
    </w:p>
    <w:p>
      <w:pPr>
        <w:pStyle w:val="BodyText"/>
        <w:spacing w:before="9"/>
        <w:rPr>
          <w:sz w:val="17"/>
        </w:rPr>
      </w:pPr>
    </w:p>
    <w:p>
      <w:pPr>
        <w:pStyle w:val="BodyText"/>
        <w:ind w:left="120"/>
      </w:pPr>
      <w:r>
        <w:rPr>
          <w:rFonts w:ascii="Times New Roman" w:eastAsia="Times New Roman"/>
        </w:rPr>
        <w:t>21</w:t>
      </w:r>
      <w:r>
        <w:rPr/>
        <w:t>）严重原发性肺动脉高压</w:t>
      </w:r>
    </w:p>
    <w:p>
      <w:pPr>
        <w:pStyle w:val="BodyText"/>
        <w:spacing w:before="100"/>
        <w:ind w:left="120" w:right="106"/>
      </w:pPr>
      <w:r>
        <w:rPr/>
        <w:t>指不明原因的肺动脉压力持续性增高，进行性发展而导致的慢性疾病，已经造成永久不可逆性的体力活动能力受限，达到美国纽约心脏病学会心功能状态分级IV 级，且静息状态下肺动脉平均压超过30mmHg。</w:t>
      </w:r>
    </w:p>
    <w:p>
      <w:pPr>
        <w:pStyle w:val="BodyText"/>
        <w:spacing w:before="9"/>
        <w:rPr>
          <w:sz w:val="17"/>
        </w:rPr>
      </w:pPr>
    </w:p>
    <w:p>
      <w:pPr>
        <w:pStyle w:val="BodyText"/>
        <w:ind w:left="120"/>
      </w:pPr>
      <w:r>
        <w:rPr>
          <w:rFonts w:ascii="Times New Roman" w:eastAsia="Times New Roman"/>
        </w:rPr>
        <w:t>22</w:t>
      </w:r>
      <w:r>
        <w:rPr/>
        <w:t>）严重运动神经元病</w:t>
      </w:r>
    </w:p>
    <w:p>
      <w:pPr>
        <w:pStyle w:val="BodyText"/>
        <w:spacing w:line="237" w:lineRule="auto" w:before="103"/>
        <w:ind w:left="120" w:right="106"/>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rPr>
          <w:sz w:val="17"/>
        </w:rPr>
      </w:pPr>
    </w:p>
    <w:p>
      <w:pPr>
        <w:pStyle w:val="BodyText"/>
        <w:ind w:left="120"/>
      </w:pPr>
      <w:r>
        <w:rPr>
          <w:rFonts w:ascii="Times New Roman" w:eastAsia="Times New Roman"/>
        </w:rPr>
        <w:t>23</w:t>
      </w:r>
      <w:r>
        <w:rPr/>
        <w:t>）语言能力丧失 － 须三岁后申请理赔</w:t>
      </w:r>
    </w:p>
    <w:p>
      <w:pPr>
        <w:pStyle w:val="BodyText"/>
        <w:spacing w:line="237" w:lineRule="auto" w:before="105"/>
        <w:ind w:left="120" w:right="195"/>
      </w:pPr>
      <w:r>
        <w:rPr/>
        <w:t>指因疾病或意外伤害导致完全丧失语言能力，经过积极治疗至少12 个月（声带完全切除不受此时间限制），仍无法通过现有医疗手段恢复。</w:t>
      </w:r>
    </w:p>
    <w:p>
      <w:pPr>
        <w:pStyle w:val="BodyText"/>
        <w:spacing w:line="235" w:lineRule="exact"/>
        <w:ind w:left="120"/>
      </w:pPr>
      <w:r>
        <w:rPr/>
        <w:t>精神心理因素所致的语言能力丧失不在保障范围内。</w:t>
      </w:r>
    </w:p>
    <w:p>
      <w:pPr>
        <w:pStyle w:val="BodyText"/>
        <w:spacing w:before="10"/>
        <w:rPr>
          <w:sz w:val="17"/>
        </w:rPr>
      </w:pPr>
    </w:p>
    <w:p>
      <w:pPr>
        <w:pStyle w:val="BodyText"/>
        <w:ind w:left="120"/>
      </w:pPr>
      <w:r>
        <w:rPr/>
        <w:t>被保险人申请理赔时年龄必须在三岁以上，并且提供理赔当时的语言能力丧失诊断及检查证明和资料。</w:t>
      </w:r>
    </w:p>
    <w:p>
      <w:pPr>
        <w:pStyle w:val="BodyText"/>
        <w:spacing w:before="9"/>
        <w:rPr>
          <w:sz w:val="17"/>
        </w:rPr>
      </w:pPr>
    </w:p>
    <w:p>
      <w:pPr>
        <w:pStyle w:val="BodyText"/>
        <w:ind w:left="120"/>
      </w:pPr>
      <w:r>
        <w:rPr>
          <w:rFonts w:ascii="Times New Roman" w:eastAsia="Times New Roman"/>
        </w:rPr>
        <w:t>24</w:t>
      </w:r>
      <w:r>
        <w:rPr/>
        <w:t>）重型再生障碍性贫血</w:t>
      </w:r>
    </w:p>
    <w:p>
      <w:pPr>
        <w:pStyle w:val="BodyText"/>
        <w:spacing w:line="234" w:lineRule="exact" w:before="100"/>
        <w:ind w:left="120"/>
      </w:pPr>
      <w:r>
        <w:rPr/>
        <w:t>指因骨髓造血功能慢性持续性衰竭导致的贫血、中性粒细胞减少及血小板减少。须满足下列全部条件：</w:t>
      </w:r>
    </w:p>
    <w:p>
      <w:pPr>
        <w:pStyle w:val="BodyText"/>
        <w:spacing w:line="234" w:lineRule="exact"/>
        <w:ind w:left="120"/>
      </w:pPr>
      <w:r>
        <w:rPr/>
        <w:t>（1）骨髓穿刺检查或骨髓活检结果支持诊断；</w:t>
      </w:r>
    </w:p>
    <w:p>
      <w:pPr>
        <w:pStyle w:val="BodyText"/>
        <w:spacing w:line="234" w:lineRule="exact"/>
        <w:ind w:left="120"/>
      </w:pPr>
      <w:r>
        <w:rPr/>
        <w:t>（2）外周血象须具备以下三项条件：</w:t>
      </w:r>
    </w:p>
    <w:p>
      <w:pPr>
        <w:pStyle w:val="BodyText"/>
        <w:spacing w:line="234" w:lineRule="exact"/>
        <w:ind w:left="120"/>
      </w:pPr>
      <w:r>
        <w:rPr/>
        <w:t>① 中性粒细胞绝对值≤0.5×10</w:t>
      </w:r>
      <w:r>
        <w:rPr>
          <w:position w:val="9"/>
          <w:sz w:val="9"/>
        </w:rPr>
        <w:t>9</w:t>
      </w:r>
      <w:r>
        <w:rPr/>
        <w:t>/L ；</w:t>
      </w:r>
    </w:p>
    <w:p>
      <w:pPr>
        <w:pStyle w:val="BodyText"/>
        <w:spacing w:line="234" w:lineRule="exact"/>
        <w:ind w:left="120"/>
      </w:pPr>
      <w:r>
        <w:rPr/>
        <w:t>② 网织红细胞＜1%；</w:t>
      </w:r>
    </w:p>
    <w:p>
      <w:pPr>
        <w:pStyle w:val="BodyText"/>
        <w:spacing w:line="234" w:lineRule="exact"/>
        <w:ind w:left="120"/>
      </w:pPr>
      <w:r>
        <w:rPr/>
        <w:t>③ 血小板绝对值≤20×10</w:t>
      </w:r>
      <w:r>
        <w:rPr>
          <w:position w:val="9"/>
          <w:sz w:val="9"/>
        </w:rPr>
        <w:t>9</w:t>
      </w:r>
      <w:r>
        <w:rPr/>
        <w:t>/L。</w:t>
      </w:r>
    </w:p>
    <w:p>
      <w:pPr>
        <w:pStyle w:val="BodyText"/>
        <w:spacing w:before="10"/>
        <w:rPr>
          <w:sz w:val="17"/>
        </w:rPr>
      </w:pPr>
    </w:p>
    <w:p>
      <w:pPr>
        <w:pStyle w:val="BodyText"/>
        <w:ind w:left="119"/>
      </w:pPr>
      <w:r>
        <w:rPr>
          <w:rFonts w:ascii="Times New Roman" w:eastAsia="Times New Roman"/>
        </w:rPr>
        <w:t>25</w:t>
      </w:r>
      <w:r>
        <w:rPr/>
        <w:t>）主动脉手术</w:t>
      </w:r>
    </w:p>
    <w:p>
      <w:pPr>
        <w:pStyle w:val="BodyText"/>
        <w:spacing w:line="237" w:lineRule="auto" w:before="105"/>
        <w:ind w:left="120" w:right="106"/>
      </w:pPr>
      <w:r>
        <w:rPr/>
        <w:t>指为治疗主动脉疾病，实际实施了开胸或开腹进行的切除、置换、修补病损主动脉血管的手术。主动脉指胸主动脉和腹主动脉，不包括胸主动脉和腹主动脉的分支血管。</w:t>
      </w:r>
    </w:p>
    <w:p>
      <w:pPr>
        <w:pStyle w:val="BodyText"/>
        <w:spacing w:line="235" w:lineRule="exact"/>
        <w:ind w:left="120"/>
      </w:pPr>
      <w:r>
        <w:rPr/>
        <w:t>动脉内血管成形术不在保障范围内。</w:t>
      </w:r>
    </w:p>
    <w:p>
      <w:pPr>
        <w:pStyle w:val="BodyText"/>
        <w:spacing w:before="10"/>
        <w:rPr>
          <w:sz w:val="17"/>
        </w:rPr>
      </w:pPr>
    </w:p>
    <w:p>
      <w:pPr>
        <w:spacing w:before="0"/>
        <w:ind w:left="120" w:right="0" w:firstLine="0"/>
        <w:jc w:val="left"/>
        <w:rPr>
          <w:b/>
          <w:sz w:val="18"/>
        </w:rPr>
      </w:pPr>
      <w:r>
        <w:rPr>
          <w:b/>
          <w:w w:val="95"/>
          <w:sz w:val="18"/>
        </w:rPr>
        <w:t>上述重大疾病（包括手术）的定义依照中国保险行业协会指定的《重大疾病保险的疾病定义使用规范》</w:t>
      </w:r>
    </w:p>
    <w:p>
      <w:pPr>
        <w:pStyle w:val="BodyText"/>
        <w:spacing w:before="9"/>
        <w:rPr>
          <w:b/>
          <w:sz w:val="17"/>
        </w:rPr>
      </w:pPr>
    </w:p>
    <w:p>
      <w:pPr>
        <w:pStyle w:val="BodyText"/>
        <w:ind w:left="120"/>
      </w:pPr>
      <w:r>
        <w:rPr>
          <w:rFonts w:ascii="Times New Roman" w:eastAsia="Times New Roman"/>
        </w:rPr>
        <w:t>26</w:t>
      </w:r>
      <w:r>
        <w:rPr/>
        <w:t>）植物人</w:t>
      </w:r>
    </w:p>
    <w:p>
      <w:pPr>
        <w:pStyle w:val="BodyText"/>
        <w:spacing w:before="100"/>
        <w:ind w:left="120"/>
      </w:pPr>
      <w:r>
        <w:rPr/>
        <w:t>指大脑皮质全面坏死，意识完全丧失，但脑干仍保持完好，且此情况持续一个月或一个月以上。</w:t>
      </w:r>
    </w:p>
    <w:p>
      <w:pPr>
        <w:pStyle w:val="BodyText"/>
        <w:rPr>
          <w:sz w:val="20"/>
        </w:rPr>
      </w:pPr>
    </w:p>
    <w:p>
      <w:pPr>
        <w:pStyle w:val="BodyText"/>
        <w:spacing w:before="7"/>
        <w:rPr>
          <w:sz w:val="14"/>
        </w:rPr>
      </w:pPr>
    </w:p>
    <w:p>
      <w:pPr>
        <w:pStyle w:val="Heading2"/>
        <w:tabs>
          <w:tab w:pos="5073" w:val="right" w:leader="none"/>
        </w:tabs>
        <w:ind w:left="120"/>
        <w:rPr>
          <w:sz w:val="18"/>
        </w:rPr>
      </w:pPr>
      <w:r>
        <w:rPr>
          <w:rFonts w:ascii="宋体" w:eastAsia="宋体" w:hint="eastAsia"/>
        </w:rPr>
        <w:t>条款编号</w:t>
      </w:r>
      <w:r>
        <w:rPr/>
        <w:t>: GH1009-01</w:t>
        <w:tab/>
      </w:r>
      <w:r>
        <w:rPr>
          <w:sz w:val="18"/>
        </w:rPr>
        <w:t>10</w:t>
      </w:r>
    </w:p>
    <w:p>
      <w:pPr>
        <w:spacing w:after="0"/>
        <w:rPr>
          <w:sz w:val="18"/>
        </w:rPr>
        <w:sectPr>
          <w:pgSz w:w="11910" w:h="16840"/>
          <w:pgMar w:top="1240" w:bottom="280" w:left="960" w:right="1000"/>
        </w:sectPr>
      </w:pPr>
    </w:p>
    <w:p>
      <w:pPr>
        <w:pStyle w:val="BodyText"/>
        <w:spacing w:before="22"/>
        <w:ind w:left="120"/>
      </w:pPr>
      <w:r>
        <w:rPr/>
        <w:pict>
          <v:group style="position:absolute;margin-left:.169213pt;margin-top:0pt;width:595.3pt;height:833.05pt;mso-position-horizontal-relative:page;mso-position-vertical-relative:page;z-index:-19408"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rFonts w:ascii="Times New Roman" w:eastAsia="Times New Roman"/>
        </w:rPr>
        <w:t>27</w:t>
      </w:r>
      <w:r>
        <w:rPr/>
        <w:t>）</w:t>
      </w:r>
      <w:r>
        <w:rPr>
          <w:rFonts w:ascii="Times New Roman" w:eastAsia="Times New Roman"/>
        </w:rPr>
        <w:t>I </w:t>
      </w:r>
      <w:r>
        <w:rPr/>
        <w:t>型糖尿病或胰岛素依赖型糖尿病</w:t>
      </w:r>
    </w:p>
    <w:p>
      <w:pPr>
        <w:pStyle w:val="BodyText"/>
        <w:spacing w:before="100"/>
        <w:ind w:left="120" w:right="106"/>
      </w:pPr>
      <w:r>
        <w:rPr/>
        <w:t>指由于胰岛素分泌绝对不足引起的慢性血糖升高，并持续性地依赖外源性胰岛素维持一百八十日以上。须经血胰岛素测定、血 </w:t>
      </w:r>
      <w:r>
        <w:rPr>
          <w:rFonts w:ascii="Times New Roman" w:eastAsia="Times New Roman"/>
        </w:rPr>
        <w:t>C </w:t>
      </w:r>
      <w:r>
        <w:rPr/>
        <w:t>肽测定或尿 </w:t>
      </w:r>
      <w:r>
        <w:rPr>
          <w:rFonts w:ascii="Times New Roman" w:eastAsia="Times New Roman"/>
        </w:rPr>
        <w:t>C </w:t>
      </w:r>
      <w:r>
        <w:rPr/>
        <w:t>肽测定，结果异常。并须在本合同有效期内，满足下述条件之一者：</w:t>
      </w:r>
    </w:p>
    <w:p>
      <w:pPr>
        <w:pStyle w:val="BodyText"/>
        <w:spacing w:line="226" w:lineRule="exact"/>
        <w:ind w:left="120"/>
      </w:pPr>
      <w:r>
        <w:rPr/>
        <w:t>（</w:t>
      </w:r>
      <w:r>
        <w:rPr>
          <w:rFonts w:ascii="Times New Roman" w:eastAsia="Times New Roman"/>
        </w:rPr>
        <w:t>1</w:t>
      </w:r>
      <w:r>
        <w:rPr/>
        <w:t>）植入心脏起搏器治疗心脏病；</w:t>
      </w:r>
    </w:p>
    <w:p>
      <w:pPr>
        <w:pStyle w:val="BodyText"/>
        <w:spacing w:line="242" w:lineRule="exact"/>
        <w:ind w:left="120"/>
      </w:pPr>
      <w:r>
        <w:rPr/>
        <w:t>（</w:t>
      </w:r>
      <w:r>
        <w:rPr>
          <w:rFonts w:ascii="Times New Roman" w:eastAsia="Times New Roman"/>
        </w:rPr>
        <w:t>2</w:t>
      </w:r>
      <w:r>
        <w:rPr/>
        <w:t>）因坏疽需切除一只或以上脚趾。</w:t>
      </w:r>
    </w:p>
    <w:p>
      <w:pPr>
        <w:pStyle w:val="BodyText"/>
        <w:spacing w:before="8"/>
        <w:rPr>
          <w:sz w:val="14"/>
        </w:rPr>
      </w:pPr>
    </w:p>
    <w:p>
      <w:pPr>
        <w:pStyle w:val="BodyText"/>
        <w:ind w:left="120"/>
      </w:pPr>
      <w:r>
        <w:rPr>
          <w:rFonts w:ascii="Times New Roman" w:eastAsia="Times New Roman"/>
        </w:rPr>
        <w:t>28</w:t>
      </w:r>
      <w:r>
        <w:rPr/>
        <w:t>）严重溃疡性结肠炎</w:t>
      </w:r>
    </w:p>
    <w:p>
      <w:pPr>
        <w:pStyle w:val="BodyText"/>
        <w:spacing w:line="237" w:lineRule="auto" w:before="103"/>
        <w:ind w:left="120" w:right="106"/>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 术。</w:t>
      </w:r>
    </w:p>
    <w:p>
      <w:pPr>
        <w:pStyle w:val="BodyText"/>
        <w:spacing w:before="9"/>
        <w:rPr>
          <w:sz w:val="15"/>
        </w:rPr>
      </w:pPr>
    </w:p>
    <w:p>
      <w:pPr>
        <w:pStyle w:val="BodyText"/>
        <w:ind w:left="120"/>
      </w:pPr>
      <w:r>
        <w:rPr>
          <w:rFonts w:ascii="Times New Roman" w:eastAsia="Times New Roman"/>
        </w:rPr>
        <w:t>29</w:t>
      </w:r>
      <w:r>
        <w:rPr/>
        <w:t>）严重心肌病</w:t>
      </w:r>
    </w:p>
    <w:p>
      <w:pPr>
        <w:pStyle w:val="BodyText"/>
        <w:spacing w:line="237" w:lineRule="auto" w:before="103"/>
        <w:ind w:left="120" w:right="106"/>
      </w:pPr>
      <w:r>
        <w:rPr/>
        <w:t>指因原发性心肌病导致慢性心功能损害造成永久不可逆性的心功能衰竭。心功能衰竭程度达到纽约心脏病学会的心功能分级标准之心功能 </w:t>
      </w:r>
      <w:r>
        <w:rPr>
          <w:rFonts w:ascii="Times New Roman" w:eastAsia="Times New Roman"/>
        </w:rPr>
        <w:t>IV </w:t>
      </w:r>
      <w:r>
        <w:rPr/>
        <w:t>级。被保险人永久不可逆性的体力活动能力受限，不能从事任何体力活动。</w:t>
      </w:r>
    </w:p>
    <w:p>
      <w:pPr>
        <w:pStyle w:val="BodyText"/>
        <w:spacing w:before="9"/>
        <w:rPr>
          <w:sz w:val="14"/>
        </w:rPr>
      </w:pPr>
    </w:p>
    <w:p>
      <w:pPr>
        <w:pStyle w:val="BodyText"/>
        <w:ind w:left="120"/>
      </w:pPr>
      <w:r>
        <w:rPr>
          <w:rFonts w:ascii="Times New Roman" w:eastAsia="Times New Roman"/>
        </w:rPr>
        <w:t>30</w:t>
      </w:r>
      <w:r>
        <w:rPr/>
        <w:t>）多样性硬化</w:t>
      </w:r>
    </w:p>
    <w:p>
      <w:pPr>
        <w:pStyle w:val="BodyText"/>
        <w:spacing w:line="225" w:lineRule="auto" w:before="116"/>
        <w:ind w:left="119" w:right="89"/>
      </w:pPr>
      <w:r>
        <w:rPr/>
        <w:t>指因中枢神经系统脱髓鞘而导致的不可逆的身体部位的功能障碍，并有 </w:t>
      </w:r>
      <w:r>
        <w:rPr>
          <w:rFonts w:ascii="Times New Roman" w:eastAsia="Times New Roman"/>
        </w:rPr>
        <w:t>CT </w:t>
      </w:r>
      <w:r>
        <w:rPr/>
        <w:t>或核磁共振检查结果诊断报告。所谓不可逆的身体部位功能障碍指初次诊断为功能障碍后需持续一百八十日以上。其诊断必须包含以下全部内容：</w:t>
      </w:r>
    </w:p>
    <w:p>
      <w:pPr>
        <w:pStyle w:val="BodyText"/>
        <w:spacing w:before="7"/>
        <w:rPr>
          <w:sz w:val="15"/>
        </w:rPr>
      </w:pPr>
    </w:p>
    <w:p>
      <w:pPr>
        <w:pStyle w:val="BodyText"/>
        <w:spacing w:line="242" w:lineRule="exact"/>
        <w:ind w:left="119"/>
      </w:pPr>
      <w:r>
        <w:rPr/>
        <w:t>（</w:t>
      </w:r>
      <w:r>
        <w:rPr>
          <w:rFonts w:ascii="Times New Roman" w:eastAsia="Times New Roman"/>
        </w:rPr>
        <w:t>1</w:t>
      </w:r>
      <w:r>
        <w:rPr/>
        <w:t>）由于视神经、脑干、脊髓损伤而导致的临床表现；</w:t>
      </w:r>
    </w:p>
    <w:p>
      <w:pPr>
        <w:pStyle w:val="BodyText"/>
        <w:spacing w:line="234" w:lineRule="exact"/>
        <w:ind w:left="119"/>
      </w:pPr>
      <w:r>
        <w:rPr/>
        <w:t>（</w:t>
      </w:r>
      <w:r>
        <w:rPr>
          <w:rFonts w:ascii="Times New Roman" w:eastAsia="Times New Roman"/>
        </w:rPr>
        <w:t>2</w:t>
      </w:r>
      <w:r>
        <w:rPr/>
        <w:t>）散在的身体损害的多样性；</w:t>
      </w:r>
    </w:p>
    <w:p>
      <w:pPr>
        <w:pStyle w:val="BodyText"/>
        <w:spacing w:line="241" w:lineRule="exact"/>
        <w:ind w:left="119"/>
      </w:pPr>
      <w:r>
        <w:rPr/>
        <w:t>（</w:t>
      </w:r>
      <w:r>
        <w:rPr>
          <w:rFonts w:ascii="Times New Roman" w:eastAsia="Times New Roman"/>
        </w:rPr>
        <w:t>3</w:t>
      </w:r>
      <w:r>
        <w:rPr/>
        <w:t>）上述症状反复发作、恶化、及神经损伤的病史记录。</w:t>
      </w:r>
    </w:p>
    <w:p>
      <w:pPr>
        <w:pStyle w:val="BodyText"/>
        <w:spacing w:before="9"/>
        <w:rPr>
          <w:sz w:val="14"/>
        </w:rPr>
      </w:pPr>
    </w:p>
    <w:p>
      <w:pPr>
        <w:pStyle w:val="BodyText"/>
        <w:ind w:left="119"/>
      </w:pPr>
      <w:r>
        <w:rPr>
          <w:rFonts w:ascii="Times New Roman" w:eastAsia="Times New Roman"/>
        </w:rPr>
        <w:t>31</w:t>
      </w:r>
      <w:r>
        <w:rPr/>
        <w:t>）严重急性坏死性胰腺炎</w:t>
      </w:r>
    </w:p>
    <w:p>
      <w:pPr>
        <w:pStyle w:val="BodyText"/>
        <w:spacing w:before="101"/>
        <w:ind w:left="119" w:right="106"/>
      </w:pPr>
      <w:r>
        <w:rPr/>
        <w:t>指由专科医生确诊为急性坏死性胰腺炎，并进行坏死组织清除、病灶切除或胰腺部分切除的手术治疗。因酒精作用所引致的急性坏死性胰腺炎不在保障范围内。</w:t>
      </w:r>
    </w:p>
    <w:p>
      <w:pPr>
        <w:pStyle w:val="BodyText"/>
        <w:spacing w:before="7"/>
        <w:rPr>
          <w:sz w:val="15"/>
        </w:rPr>
      </w:pPr>
    </w:p>
    <w:p>
      <w:pPr>
        <w:pStyle w:val="BodyText"/>
        <w:ind w:left="119"/>
      </w:pPr>
      <w:r>
        <w:rPr>
          <w:rFonts w:ascii="Times New Roman" w:eastAsia="Times New Roman"/>
        </w:rPr>
        <w:t>32</w:t>
      </w:r>
      <w:r>
        <w:rPr/>
        <w:t>）肌营养不良症</w:t>
      </w:r>
    </w:p>
    <w:p>
      <w:pPr>
        <w:pStyle w:val="BodyText"/>
        <w:spacing w:line="234" w:lineRule="exact" w:before="103"/>
        <w:ind w:left="119"/>
      </w:pPr>
      <w:r>
        <w:rPr/>
        <w:t>指骨骼肌对称地进行性无力和萎缩，须满足下列全部条件：</w:t>
      </w:r>
    </w:p>
    <w:p>
      <w:pPr>
        <w:pStyle w:val="BodyText"/>
        <w:spacing w:line="241" w:lineRule="exact"/>
        <w:ind w:left="119"/>
      </w:pPr>
      <w:r>
        <w:rPr/>
        <w:t>（</w:t>
      </w:r>
      <w:r>
        <w:rPr>
          <w:rFonts w:ascii="Times New Roman" w:eastAsia="Times New Roman"/>
        </w:rPr>
        <w:t>1</w:t>
      </w:r>
      <w:r>
        <w:rPr/>
        <w:t>）肌电图显示典型肌营养不良症的阳性改变；</w:t>
      </w:r>
    </w:p>
    <w:p>
      <w:pPr>
        <w:pStyle w:val="BodyText"/>
        <w:spacing w:line="234" w:lineRule="exact"/>
        <w:ind w:left="119"/>
      </w:pPr>
      <w:r>
        <w:rPr/>
        <w:t>（</w:t>
      </w:r>
      <w:r>
        <w:rPr>
          <w:rFonts w:ascii="Times New Roman" w:eastAsia="Times New Roman"/>
        </w:rPr>
        <w:t>2</w:t>
      </w:r>
      <w:r>
        <w:rPr/>
        <w:t>）肌肉活检的病理学诊断符合肌营养不良症的肌肉细胞变性、坏死等阳性改变；</w:t>
      </w:r>
    </w:p>
    <w:p>
      <w:pPr>
        <w:pStyle w:val="BodyText"/>
        <w:spacing w:line="241" w:lineRule="exact"/>
        <w:ind w:left="119"/>
      </w:pPr>
      <w:r>
        <w:rPr/>
        <w:t>（</w:t>
      </w:r>
      <w:r>
        <w:rPr>
          <w:rFonts w:ascii="Times New Roman" w:eastAsia="Times New Roman"/>
        </w:rPr>
        <w:t>3</w:t>
      </w:r>
      <w:r>
        <w:rPr/>
        <w:t>）自主生活能力完全丧失，无法独立完成六项基本日常生活活动中的三项或三项以上。</w:t>
      </w:r>
    </w:p>
    <w:p>
      <w:pPr>
        <w:pStyle w:val="BodyText"/>
        <w:spacing w:before="9"/>
        <w:rPr>
          <w:sz w:val="14"/>
        </w:rPr>
      </w:pPr>
    </w:p>
    <w:p>
      <w:pPr>
        <w:pStyle w:val="BodyText"/>
        <w:ind w:left="119"/>
      </w:pPr>
      <w:r>
        <w:rPr>
          <w:rFonts w:ascii="Times New Roman" w:eastAsia="Times New Roman"/>
        </w:rPr>
        <w:t>33</w:t>
      </w:r>
      <w:r>
        <w:rPr/>
        <w:t>）慢性呼吸功能衰竭</w:t>
      </w:r>
    </w:p>
    <w:p>
      <w:pPr>
        <w:pStyle w:val="BodyText"/>
        <w:spacing w:line="235" w:lineRule="exact" w:before="100"/>
        <w:ind w:left="119"/>
      </w:pPr>
      <w:r>
        <w:rPr/>
        <w:t>慢性肺部疾病导致永久不可逆性的慢性呼吸功能衰竭。慢性呼吸功能衰竭必须明确诊断并满足下列全部条件：</w:t>
      </w:r>
    </w:p>
    <w:p>
      <w:pPr>
        <w:pStyle w:val="BodyText"/>
        <w:spacing w:line="241" w:lineRule="exact"/>
        <w:ind w:left="119"/>
      </w:pPr>
      <w:r>
        <w:rPr/>
        <w:t>（</w:t>
      </w:r>
      <w:r>
        <w:rPr>
          <w:rFonts w:ascii="Times New Roman" w:eastAsia="Times New Roman"/>
        </w:rPr>
        <w:t>1</w:t>
      </w:r>
      <w:r>
        <w:rPr/>
        <w:t>）休息时出现呼吸困难；</w:t>
      </w:r>
    </w:p>
    <w:p>
      <w:pPr>
        <w:pStyle w:val="BodyText"/>
        <w:spacing w:line="234" w:lineRule="exact"/>
        <w:ind w:left="119"/>
      </w:pPr>
      <w:r>
        <w:rPr/>
        <w:t>（</w:t>
      </w:r>
      <w:r>
        <w:rPr>
          <w:rFonts w:ascii="Times New Roman" w:eastAsia="Times New Roman"/>
        </w:rPr>
        <w:t>2</w:t>
      </w:r>
      <w:r>
        <w:rPr/>
        <w:t>）动脉血氧分压 （</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34" w:lineRule="exact"/>
        <w:ind w:left="119"/>
      </w:pPr>
      <w:r>
        <w:rPr/>
        <w:t>（</w:t>
      </w:r>
      <w:r>
        <w:rPr>
          <w:rFonts w:ascii="Times New Roman" w:eastAsia="Times New Roman"/>
        </w:rPr>
        <w:t>3</w:t>
      </w:r>
      <w:r>
        <w:rPr/>
        <w:t>）动脉血氧饱和度 （</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41" w:lineRule="exact"/>
        <w:ind w:left="120"/>
      </w:pPr>
      <w:r>
        <w:rPr/>
        <w:t>（</w:t>
      </w:r>
      <w:r>
        <w:rPr>
          <w:rFonts w:ascii="Times New Roman" w:eastAsia="Times New Roman"/>
        </w:rPr>
        <w:t>4</w:t>
      </w:r>
      <w:r>
        <w:rPr/>
        <w:t>）因缺氧必须接受持续的输氧治疗。</w:t>
      </w:r>
    </w:p>
    <w:p>
      <w:pPr>
        <w:pStyle w:val="BodyText"/>
        <w:spacing w:before="8"/>
        <w:rPr>
          <w:sz w:val="14"/>
        </w:rPr>
      </w:pPr>
    </w:p>
    <w:p>
      <w:pPr>
        <w:pStyle w:val="BodyText"/>
        <w:ind w:left="120"/>
      </w:pPr>
      <w:r>
        <w:rPr>
          <w:rFonts w:ascii="Times New Roman" w:eastAsia="Times New Roman"/>
        </w:rPr>
        <w:t>34</w:t>
      </w:r>
      <w:r>
        <w:rPr/>
        <w:t>）系统性红斑狼疮 － </w:t>
      </w:r>
      <w:r>
        <w:rPr>
          <w:rFonts w:ascii="Times New Roman" w:eastAsia="Times New Roman"/>
        </w:rPr>
        <w:t>III </w:t>
      </w:r>
      <w:r>
        <w:rPr/>
        <w:t>型或以上狼疮性肾炎</w:t>
      </w:r>
    </w:p>
    <w:p>
      <w:pPr>
        <w:pStyle w:val="BodyText"/>
        <w:spacing w:line="235" w:lineRule="exact" w:before="100"/>
        <w:ind w:left="120"/>
      </w:pPr>
      <w:r>
        <w:rPr/>
        <w:t>系统性红斑狼疮是由多种因素引起，累及多系统的自身免疫性疾病。其特点是生成自身抗体对抗多种自身抗原。</w:t>
      </w:r>
    </w:p>
    <w:p>
      <w:pPr>
        <w:pStyle w:val="BodyText"/>
        <w:spacing w:line="223" w:lineRule="auto" w:before="16"/>
        <w:ind w:left="120" w:right="99"/>
      </w:pPr>
      <w:r>
        <w:rPr/>
        <w:t>本保单所指的系统性红斑狼疮仅限于累及肾脏（</w:t>
      </w:r>
      <w:r>
        <w:rPr>
          <w:spacing w:val="-4"/>
        </w:rPr>
        <w:t>经肾脏活检确认的，符合 </w:t>
      </w:r>
      <w:r>
        <w:rPr>
          <w:rFonts w:ascii="Times New Roman" w:eastAsia="Times New Roman"/>
        </w:rPr>
        <w:t>WHO </w:t>
      </w:r>
      <w:r>
        <w:rPr>
          <w:spacing w:val="-7"/>
        </w:rPr>
        <w:t>诊断标准定义 </w:t>
      </w:r>
      <w:r>
        <w:rPr>
          <w:rFonts w:ascii="Times New Roman" w:eastAsia="Times New Roman"/>
        </w:rPr>
        <w:t>III </w:t>
      </w:r>
      <w:r>
        <w:rPr>
          <w:spacing w:val="-16"/>
        </w:rPr>
        <w:t>型至 </w:t>
      </w:r>
      <w:r>
        <w:rPr>
          <w:rFonts w:ascii="Times New Roman" w:eastAsia="Times New Roman"/>
        </w:rPr>
        <w:t>VI </w:t>
      </w:r>
      <w:r>
        <w:rPr>
          <w:spacing w:val="-1"/>
        </w:rPr>
        <w:t>型狼疮性肾炎</w:t>
      </w:r>
      <w:r>
        <w:rPr/>
        <w:t>）的系统性红斑狼疮。其他类型的红斑性狼疮，如盘状狼疮、仅累及血液及关节的狼疮不在本保单保障范围內。</w:t>
      </w:r>
    </w:p>
    <w:p>
      <w:pPr>
        <w:pStyle w:val="BodyText"/>
        <w:spacing w:line="249" w:lineRule="exact"/>
        <w:ind w:left="120"/>
      </w:pPr>
      <w:r>
        <w:rPr>
          <w:w w:val="95"/>
        </w:rPr>
        <w:t>世界卫生组织（</w:t>
      </w:r>
      <w:r>
        <w:rPr>
          <w:rFonts w:ascii="Times New Roman" w:eastAsia="Times New Roman"/>
          <w:w w:val="95"/>
        </w:rPr>
        <w:t>WHO</w:t>
      </w:r>
      <w:r>
        <w:rPr>
          <w:w w:val="95"/>
        </w:rPr>
        <w:t>）对狼疮性肾炎的分类标准：</w:t>
      </w:r>
    </w:p>
    <w:p>
      <w:pPr>
        <w:pStyle w:val="BodyText"/>
        <w:spacing w:before="10"/>
        <w:rPr>
          <w:sz w:val="6"/>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6"/>
      </w:tblGrid>
      <w:tr>
        <w:trPr>
          <w:trHeight w:val="270" w:hRule="atLeast"/>
        </w:trPr>
        <w:tc>
          <w:tcPr>
            <w:tcW w:w="4346" w:type="dxa"/>
          </w:tcPr>
          <w:p>
            <w:pPr>
              <w:pStyle w:val="TableParagraph"/>
              <w:spacing w:line="199" w:lineRule="exact" w:before="0"/>
              <w:rPr>
                <w:sz w:val="18"/>
              </w:rPr>
            </w:pPr>
            <w:r>
              <w:rPr>
                <w:rFonts w:ascii="Times New Roman" w:hAnsi="Times New Roman" w:eastAsia="Times New Roman"/>
                <w:sz w:val="18"/>
              </w:rPr>
              <w:t>I </w:t>
            </w:r>
            <w:r>
              <w:rPr>
                <w:sz w:val="18"/>
              </w:rPr>
              <w:t>型 </w:t>
            </w:r>
            <w:r>
              <w:rPr>
                <w:rFonts w:ascii="Times New Roman" w:hAnsi="Times New Roman" w:eastAsia="Times New Roman"/>
                <w:sz w:val="18"/>
              </w:rPr>
              <w:t>– </w:t>
            </w:r>
            <w:r>
              <w:rPr>
                <w:sz w:val="18"/>
              </w:rPr>
              <w:t>轻微病变型狼疮性肾小球肾炎</w:t>
            </w:r>
          </w:p>
        </w:tc>
      </w:tr>
      <w:tr>
        <w:trPr>
          <w:trHeight w:val="341" w:hRule="atLeast"/>
        </w:trPr>
        <w:tc>
          <w:tcPr>
            <w:tcW w:w="4346" w:type="dxa"/>
          </w:tcPr>
          <w:p>
            <w:pPr>
              <w:pStyle w:val="TableParagraph"/>
              <w:rPr>
                <w:sz w:val="18"/>
              </w:rPr>
            </w:pPr>
            <w:r>
              <w:rPr>
                <w:rFonts w:ascii="Times New Roman" w:hAnsi="Times New Roman" w:eastAsia="Times New Roman"/>
                <w:sz w:val="18"/>
              </w:rPr>
              <w:t>II </w:t>
            </w:r>
            <w:r>
              <w:rPr>
                <w:sz w:val="18"/>
              </w:rPr>
              <w:t>型 </w:t>
            </w:r>
            <w:r>
              <w:rPr>
                <w:rFonts w:ascii="Times New Roman" w:hAnsi="Times New Roman" w:eastAsia="Times New Roman"/>
                <w:sz w:val="18"/>
              </w:rPr>
              <w:t>–  </w:t>
            </w:r>
            <w:r>
              <w:rPr>
                <w:sz w:val="18"/>
              </w:rPr>
              <w:t>系膜病变型狼疮性肾小球肾炎</w:t>
            </w:r>
          </w:p>
        </w:tc>
      </w:tr>
      <w:tr>
        <w:trPr>
          <w:trHeight w:val="341" w:hRule="atLeast"/>
        </w:trPr>
        <w:tc>
          <w:tcPr>
            <w:tcW w:w="4346" w:type="dxa"/>
          </w:tcPr>
          <w:p>
            <w:pPr>
              <w:pStyle w:val="TableParagraph"/>
              <w:spacing w:before="22"/>
              <w:rPr>
                <w:sz w:val="18"/>
              </w:rPr>
            </w:pPr>
            <w:r>
              <w:rPr>
                <w:rFonts w:ascii="Times New Roman" w:hAnsi="Times New Roman" w:eastAsia="Times New Roman"/>
                <w:sz w:val="18"/>
              </w:rPr>
              <w:t>III </w:t>
            </w:r>
            <w:r>
              <w:rPr>
                <w:sz w:val="18"/>
              </w:rPr>
              <w:t>型 </w:t>
            </w:r>
            <w:r>
              <w:rPr>
                <w:rFonts w:ascii="Times New Roman" w:hAnsi="Times New Roman" w:eastAsia="Times New Roman"/>
                <w:sz w:val="18"/>
              </w:rPr>
              <w:t>– </w:t>
            </w:r>
            <w:r>
              <w:rPr>
                <w:sz w:val="18"/>
              </w:rPr>
              <w:t>节段增生型狼疮性肾小球肾炎</w:t>
            </w:r>
          </w:p>
        </w:tc>
      </w:tr>
      <w:tr>
        <w:trPr>
          <w:trHeight w:val="342" w:hRule="atLeast"/>
        </w:trPr>
        <w:tc>
          <w:tcPr>
            <w:tcW w:w="4346" w:type="dxa"/>
          </w:tcPr>
          <w:p>
            <w:pPr>
              <w:pStyle w:val="TableParagraph"/>
              <w:rPr>
                <w:sz w:val="18"/>
              </w:rPr>
            </w:pPr>
            <w:r>
              <w:rPr>
                <w:rFonts w:ascii="Times New Roman" w:hAnsi="Times New Roman" w:eastAsia="Times New Roman"/>
                <w:sz w:val="18"/>
              </w:rPr>
              <w:t>IV </w:t>
            </w:r>
            <w:r>
              <w:rPr>
                <w:sz w:val="18"/>
              </w:rPr>
              <w:t>型</w:t>
            </w:r>
            <w:r>
              <w:rPr>
                <w:rFonts w:ascii="Times New Roman" w:hAnsi="Times New Roman" w:eastAsia="Times New Roman"/>
                <w:sz w:val="18"/>
              </w:rPr>
              <w:t>– </w:t>
            </w:r>
            <w:r>
              <w:rPr>
                <w:sz w:val="18"/>
              </w:rPr>
              <w:t>弥漫增殖型狼疮性肾小球肾炎</w:t>
            </w:r>
          </w:p>
        </w:tc>
      </w:tr>
      <w:tr>
        <w:trPr>
          <w:trHeight w:val="342" w:hRule="atLeast"/>
        </w:trPr>
        <w:tc>
          <w:tcPr>
            <w:tcW w:w="4346" w:type="dxa"/>
          </w:tcPr>
          <w:p>
            <w:pPr>
              <w:pStyle w:val="TableParagraph"/>
              <w:spacing w:before="22"/>
              <w:rPr>
                <w:sz w:val="18"/>
              </w:rPr>
            </w:pPr>
            <w:r>
              <w:rPr>
                <w:rFonts w:ascii="Times New Roman" w:hAnsi="Times New Roman" w:eastAsia="Times New Roman"/>
                <w:sz w:val="18"/>
              </w:rPr>
              <w:t>V </w:t>
            </w:r>
            <w:r>
              <w:rPr>
                <w:sz w:val="18"/>
              </w:rPr>
              <w:t>型</w:t>
            </w:r>
            <w:r>
              <w:rPr>
                <w:rFonts w:ascii="Times New Roman" w:hAnsi="Times New Roman" w:eastAsia="Times New Roman"/>
                <w:sz w:val="18"/>
              </w:rPr>
              <w:t>– </w:t>
            </w:r>
            <w:r>
              <w:rPr>
                <w:sz w:val="18"/>
              </w:rPr>
              <w:t>广泛的肾小球基底膜增厚狼疮性肾小球肾炎</w:t>
            </w:r>
          </w:p>
        </w:tc>
      </w:tr>
      <w:tr>
        <w:trPr>
          <w:trHeight w:val="270" w:hRule="atLeast"/>
        </w:trPr>
        <w:tc>
          <w:tcPr>
            <w:tcW w:w="4346" w:type="dxa"/>
          </w:tcPr>
          <w:p>
            <w:pPr>
              <w:pStyle w:val="TableParagraph"/>
              <w:spacing w:line="229" w:lineRule="exact"/>
              <w:rPr>
                <w:sz w:val="18"/>
              </w:rPr>
            </w:pPr>
            <w:r>
              <w:rPr>
                <w:rFonts w:ascii="Times New Roman" w:hAnsi="Times New Roman" w:eastAsia="Times New Roman"/>
                <w:sz w:val="18"/>
              </w:rPr>
              <w:t>VI </w:t>
            </w:r>
            <w:r>
              <w:rPr>
                <w:spacing w:val="41"/>
                <w:sz w:val="18"/>
              </w:rPr>
              <w:t>型</w:t>
            </w:r>
            <w:r>
              <w:rPr>
                <w:rFonts w:ascii="Times New Roman" w:hAnsi="Times New Roman" w:eastAsia="Times New Roman"/>
                <w:sz w:val="18"/>
              </w:rPr>
              <w:t>– </w:t>
            </w:r>
            <w:r>
              <w:rPr>
                <w:spacing w:val="-1"/>
                <w:sz w:val="18"/>
              </w:rPr>
              <w:t>肾小球硬化型狼疮性肾小球肾炎</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pStyle w:val="Heading2"/>
        <w:tabs>
          <w:tab w:pos="4891" w:val="left" w:leader="none"/>
        </w:tabs>
        <w:spacing w:before="0"/>
        <w:ind w:left="120"/>
        <w:rPr>
          <w:sz w:val="18"/>
        </w:rPr>
      </w:pPr>
      <w:r>
        <w:rPr>
          <w:rFonts w:ascii="宋体" w:eastAsia="宋体" w:hint="eastAsia"/>
        </w:rPr>
        <w:t>条款编号</w:t>
      </w:r>
      <w:r>
        <w:rPr/>
        <w:t>:</w:t>
      </w:r>
      <w:r>
        <w:rPr>
          <w:spacing w:val="-1"/>
        </w:rPr>
        <w:t> </w:t>
      </w:r>
      <w:r>
        <w:rPr/>
        <w:t>GH1009-01</w:t>
        <w:tab/>
      </w:r>
      <w:r>
        <w:rPr>
          <w:spacing w:val="-6"/>
          <w:sz w:val="18"/>
        </w:rPr>
        <w:t>11</w:t>
      </w:r>
    </w:p>
    <w:p>
      <w:pPr>
        <w:spacing w:after="0"/>
        <w:rPr>
          <w:sz w:val="18"/>
        </w:rPr>
        <w:sectPr>
          <w:pgSz w:w="11910" w:h="16840"/>
          <w:pgMar w:top="1220" w:bottom="280" w:left="960" w:right="1000"/>
        </w:sectPr>
      </w:pPr>
    </w:p>
    <w:p>
      <w:pPr>
        <w:pStyle w:val="BodyText"/>
        <w:spacing w:line="237" w:lineRule="auto" w:before="18"/>
        <w:ind w:left="100" w:right="106"/>
      </w:pPr>
      <w:r>
        <w:rPr/>
        <w:pict>
          <v:group style="position:absolute;margin-left:.169213pt;margin-top:0pt;width:595.3pt;height:833.05pt;mso-position-horizontal-relative:page;mso-position-vertical-relative:page;z-index:-19384"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t>七、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 品。</w:t>
      </w:r>
    </w:p>
    <w:p>
      <w:pPr>
        <w:pStyle w:val="BodyText"/>
        <w:spacing w:before="11"/>
        <w:rPr>
          <w:sz w:val="17"/>
        </w:rPr>
      </w:pPr>
    </w:p>
    <w:p>
      <w:pPr>
        <w:pStyle w:val="BodyText"/>
        <w:spacing w:line="237" w:lineRule="auto" w:before="1"/>
        <w:ind w:left="100" w:right="106"/>
      </w:pPr>
      <w:r>
        <w:rPr/>
        <w:t>八、酒后驾驶：指经检测或鉴定，发生事故时车辆驾驶人员每百毫升血液中的酒精含量达到或超过一定的标准，公安机关交通管理部门依据《道路交通安全法》的规定认定为饮酒后驾驶或醉酒后驾驶。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10"/>
        <w:rPr>
          <w:sz w:val="17"/>
        </w:rPr>
      </w:pPr>
    </w:p>
    <w:p>
      <w:pPr>
        <w:pStyle w:val="BodyText"/>
        <w:ind w:left="100"/>
      </w:pPr>
      <w:r>
        <w:rPr/>
        <w:t>九、无合法有效驾驶证驾驶：指下列情形之一</w:t>
      </w:r>
    </w:p>
    <w:p>
      <w:pPr>
        <w:pStyle w:val="BodyText"/>
        <w:spacing w:before="9"/>
        <w:rPr>
          <w:sz w:val="17"/>
        </w:rPr>
      </w:pPr>
    </w:p>
    <w:p>
      <w:pPr>
        <w:pStyle w:val="BodyText"/>
        <w:spacing w:line="235" w:lineRule="exact" w:before="1"/>
        <w:ind w:left="100"/>
      </w:pPr>
      <w:r>
        <w:rPr/>
        <w:t>（1）没有取得驾驶资格；</w:t>
      </w:r>
    </w:p>
    <w:p>
      <w:pPr>
        <w:pStyle w:val="BodyText"/>
        <w:spacing w:line="234" w:lineRule="exact"/>
        <w:ind w:left="100"/>
      </w:pPr>
      <w:r>
        <w:rPr/>
        <w:t>（2）驾驶与驾驶证准驾车型不相符合的车辆；</w:t>
      </w:r>
    </w:p>
    <w:p>
      <w:pPr>
        <w:pStyle w:val="BodyText"/>
        <w:spacing w:line="234" w:lineRule="exact"/>
        <w:ind w:left="100"/>
      </w:pPr>
      <w:r>
        <w:rPr/>
        <w:t>（3）持审验不合格的驾驶证驾驶；</w:t>
      </w:r>
    </w:p>
    <w:p>
      <w:pPr>
        <w:pStyle w:val="BodyText"/>
        <w:ind w:left="100"/>
      </w:pPr>
      <w:r>
        <w:rPr/>
        <w:t>（4）持学习驾驶证学习驾车时，无教练员随车指导，或不按指定时间、路线学习驾车。</w:t>
      </w:r>
    </w:p>
    <w:p>
      <w:pPr>
        <w:pStyle w:val="BodyText"/>
        <w:spacing w:before="9"/>
        <w:rPr>
          <w:sz w:val="15"/>
        </w:rPr>
      </w:pPr>
    </w:p>
    <w:p>
      <w:pPr>
        <w:pStyle w:val="BodyText"/>
        <w:spacing w:line="234" w:lineRule="exact"/>
        <w:ind w:left="100"/>
      </w:pPr>
      <w:r>
        <w:rPr/>
        <w:t>十、无有效行驶证：指下列情形之一</w:t>
      </w:r>
    </w:p>
    <w:p>
      <w:pPr>
        <w:pStyle w:val="BodyText"/>
        <w:spacing w:line="234" w:lineRule="exact"/>
        <w:ind w:left="100"/>
      </w:pPr>
      <w:r>
        <w:rPr/>
        <w:t>（1）机动车被依法注销登记的；</w:t>
      </w:r>
    </w:p>
    <w:p>
      <w:pPr>
        <w:pStyle w:val="BodyText"/>
        <w:ind w:left="100"/>
      </w:pPr>
      <w:r>
        <w:rPr/>
        <w:t>（2）未依法按时进行或通过机动车安全技术检验。</w:t>
      </w:r>
    </w:p>
    <w:p>
      <w:pPr>
        <w:pStyle w:val="BodyText"/>
        <w:spacing w:before="6"/>
        <w:rPr>
          <w:sz w:val="15"/>
        </w:rPr>
      </w:pPr>
    </w:p>
    <w:p>
      <w:pPr>
        <w:pStyle w:val="BodyText"/>
        <w:spacing w:before="1"/>
        <w:ind w:left="100"/>
      </w:pPr>
      <w:r>
        <w:rPr/>
        <w:t>十一、感染艾滋病病毒或患艾滋病</w:t>
      </w:r>
    </w:p>
    <w:p>
      <w:pPr>
        <w:pStyle w:val="BodyText"/>
        <w:spacing w:before="45"/>
        <w:ind w:left="100"/>
      </w:pPr>
      <w:r>
        <w:rPr/>
        <w:t>艾滋病病毒指人类免疫缺陷病毒，英文缩写为 </w:t>
      </w:r>
      <w:r>
        <w:rPr>
          <w:rFonts w:ascii="Times New Roman" w:eastAsia="Times New Roman"/>
        </w:rPr>
        <w:t>HIV</w:t>
      </w:r>
      <w:r>
        <w:rPr/>
        <w:t>。艾滋病指人类免疫缺陷病毒引起的获得性免疫缺陷综合征，英文缩写为</w:t>
      </w:r>
    </w:p>
    <w:p>
      <w:pPr>
        <w:pStyle w:val="BodyText"/>
        <w:spacing w:before="31"/>
        <w:ind w:left="100"/>
      </w:pPr>
      <w:r>
        <w:rPr>
          <w:rFonts w:ascii="Times New Roman" w:eastAsia="Times New Roman"/>
          <w:w w:val="95"/>
        </w:rPr>
        <w:t>AIDS</w:t>
      </w:r>
      <w:r>
        <w:rPr>
          <w:w w:val="95"/>
        </w:rPr>
        <w:t>。</w:t>
      </w:r>
    </w:p>
    <w:p>
      <w:pPr>
        <w:pStyle w:val="BodyText"/>
        <w:spacing w:line="285" w:lineRule="auto" w:before="31"/>
        <w:ind w:left="100" w:right="106"/>
      </w:pPr>
      <w:r>
        <w:rPr/>
        <w:t>在人体血液或其他样本中检测到艾滋病病毒或其抗体呈阳性，没有出现临床症状或体征的，为感染艾滋病病毒；如果同时出现了明显临床症状或体征的，为患艾滋病。</w:t>
      </w:r>
    </w:p>
    <w:p>
      <w:pPr>
        <w:pStyle w:val="BodyText"/>
        <w:spacing w:before="10"/>
        <w:rPr>
          <w:sz w:val="16"/>
        </w:rPr>
      </w:pPr>
    </w:p>
    <w:p>
      <w:pPr>
        <w:pStyle w:val="BodyText"/>
        <w:spacing w:line="234" w:lineRule="exact"/>
        <w:ind w:left="100"/>
      </w:pPr>
      <w:r>
        <w:rPr/>
        <w:t>十二、遗传性疾病</w:t>
      </w:r>
    </w:p>
    <w:p>
      <w:pPr>
        <w:pStyle w:val="BodyText"/>
        <w:ind w:left="100" w:right="106"/>
      </w:pPr>
      <w:r>
        <w:rPr/>
        <w:t>指生殖细胞或受精卵的遗传物质（染色体和基因）发生突变或畸变所引起的疾病，通常具有由亲代传至后代的垂直传递的特征。</w:t>
      </w:r>
    </w:p>
    <w:p>
      <w:pPr>
        <w:pStyle w:val="BodyText"/>
        <w:spacing w:before="11"/>
        <w:rPr>
          <w:sz w:val="17"/>
        </w:rPr>
      </w:pPr>
    </w:p>
    <w:p>
      <w:pPr>
        <w:pStyle w:val="BodyText"/>
        <w:spacing w:line="234" w:lineRule="exact"/>
        <w:ind w:left="100"/>
      </w:pPr>
      <w:r>
        <w:rPr/>
        <w:t>十三、先天性畸形、变形或染色体异常：</w:t>
      </w:r>
    </w:p>
    <w:p>
      <w:pPr>
        <w:pStyle w:val="BodyText"/>
        <w:ind w:left="100" w:right="106"/>
      </w:pPr>
      <w:r>
        <w:rPr/>
        <w:t>指被保险人出生时就具有的畸形、变形或染色体异常。先天性畸形、变形和染色体异常依照世界卫生组织《疾病和有关健康问题的国际统计分类》（ICD-10）确定。</w:t>
      </w:r>
    </w:p>
    <w:p>
      <w:pPr>
        <w:pStyle w:val="BodyText"/>
        <w:spacing w:before="11"/>
        <w:rPr>
          <w:sz w:val="17"/>
        </w:rPr>
      </w:pPr>
    </w:p>
    <w:p>
      <w:pPr>
        <w:pStyle w:val="BodyText"/>
        <w:spacing w:before="1"/>
        <w:ind w:left="100"/>
      </w:pPr>
      <w:r>
        <w:rPr/>
        <w:t>十四、未满期净保险费：在本合同终止的情况下，未满期净保险费按以下方式计算：</w:t>
      </w:r>
    </w:p>
    <w:p>
      <w:pPr>
        <w:pStyle w:val="BodyText"/>
        <w:spacing w:before="9"/>
        <w:rPr>
          <w:sz w:val="16"/>
        </w:rPr>
      </w:pPr>
    </w:p>
    <w:p>
      <w:pPr>
        <w:pStyle w:val="BodyText"/>
        <w:spacing w:line="225" w:lineRule="auto"/>
        <w:ind w:left="100" w:right="135" w:hanging="1"/>
      </w:pPr>
      <w:r>
        <w:rPr/>
        <w:t>当期保险费×（</w:t>
      </w:r>
      <w:r>
        <w:rPr>
          <w:rFonts w:ascii="Times New Roman" w:hAnsi="Times New Roman" w:eastAsia="Times New Roman"/>
        </w:rPr>
        <w:t>1</w:t>
      </w:r>
      <w:r>
        <w:rPr/>
        <w:t>－</w:t>
      </w:r>
      <w:r>
        <w:rPr>
          <w:rFonts w:ascii="Times New Roman" w:hAnsi="Times New Roman" w:eastAsia="Times New Roman"/>
        </w:rPr>
        <w:t>25%</w:t>
      </w:r>
      <w:r>
        <w:rPr/>
        <w:t>）×（</w:t>
      </w:r>
      <w:r>
        <w:rPr>
          <w:rFonts w:ascii="Times New Roman" w:hAnsi="Times New Roman" w:eastAsia="Times New Roman"/>
        </w:rPr>
        <w:t>1</w:t>
      </w:r>
      <w:r>
        <w:rPr/>
        <w:t>－该保险费所保障的已经过日数÷该保险费所保障的日数），其中经过日数不足一日的按一日计算</w:t>
      </w:r>
    </w:p>
    <w:p>
      <w:pPr>
        <w:pStyle w:val="BodyText"/>
        <w:spacing w:before="6"/>
        <w:rPr>
          <w:sz w:val="15"/>
        </w:rPr>
      </w:pPr>
    </w:p>
    <w:p>
      <w:pPr>
        <w:pStyle w:val="BodyText"/>
        <w:spacing w:before="1"/>
        <w:ind w:left="100"/>
      </w:pPr>
      <w:r>
        <w:rPr/>
        <w:t>十五、未满期保险费：在被保险人被保资格丧失或终止的情况下，未满期保险费按以下方式计算：</w:t>
      </w:r>
    </w:p>
    <w:p>
      <w:pPr>
        <w:pStyle w:val="BodyText"/>
        <w:spacing w:before="9"/>
        <w:rPr>
          <w:sz w:val="15"/>
        </w:rPr>
      </w:pPr>
    </w:p>
    <w:p>
      <w:pPr>
        <w:pStyle w:val="BodyText"/>
        <w:ind w:left="100"/>
      </w:pPr>
      <w:r>
        <w:rPr/>
        <w:t>当期保险费×（</w:t>
      </w:r>
      <w:r>
        <w:rPr>
          <w:rFonts w:ascii="Times New Roman" w:hAnsi="Times New Roman" w:eastAsia="Times New Roman"/>
        </w:rPr>
        <w:t>1</w:t>
      </w:r>
      <w:r>
        <w:rPr/>
        <w:t>－该保险费所保障的已经过日数÷该保险费所保障的日数），其中经过日数不足一日的按一日计算。</w:t>
      </w:r>
    </w:p>
    <w:p>
      <w:pPr>
        <w:pStyle w:val="BodyText"/>
        <w:spacing w:before="10"/>
        <w:rPr>
          <w:sz w:val="14"/>
        </w:rPr>
      </w:pPr>
    </w:p>
    <w:p>
      <w:pPr>
        <w:pStyle w:val="BodyText"/>
        <w:spacing w:line="237" w:lineRule="auto"/>
        <w:ind w:left="100" w:right="106"/>
      </w:pPr>
      <w:r>
        <w:rPr/>
        <w:t>但在被保险人因非正常工作而丧失被保资格的情况下，未满期保险费应自本公司收到其非正常工作的证据前的最近一个保险单周年日或该被保险人被保资格终止日（以较迟者为准）开始计算。</w:t>
      </w:r>
    </w:p>
    <w:p>
      <w:pPr>
        <w:pStyle w:val="BodyText"/>
        <w:spacing w:before="8"/>
        <w:rPr>
          <w:sz w:val="15"/>
        </w:rPr>
      </w:pPr>
    </w:p>
    <w:p>
      <w:pPr>
        <w:pStyle w:val="BodyText"/>
        <w:spacing w:before="1"/>
        <w:ind w:left="100"/>
      </w:pPr>
      <w:r>
        <w:rPr/>
        <w:t>十六、团体：指投保人全体成员的集合，或满足本合同保险单或投保单上所约定成员资格的部分人员的集合。</w:t>
      </w:r>
    </w:p>
    <w:p>
      <w:pPr>
        <w:pStyle w:val="BodyText"/>
        <w:spacing w:before="12"/>
        <w:rPr>
          <w:sz w:val="15"/>
        </w:rPr>
      </w:pPr>
    </w:p>
    <w:p>
      <w:pPr>
        <w:pStyle w:val="BodyText"/>
        <w:spacing w:line="237" w:lineRule="auto"/>
        <w:ind w:left="100" w:right="106"/>
      </w:pPr>
      <w:r>
        <w:rPr/>
        <w:t>十七、成员：团体为社会团体的，成员指该团体的会员以及正式工作人员；团体为机关或企事业单位的，成员指该团体中身体健康、正常工作的在职员工。</w:t>
      </w:r>
    </w:p>
    <w:p>
      <w:pPr>
        <w:pStyle w:val="BodyText"/>
        <w:spacing w:before="9"/>
        <w:rPr>
          <w:sz w:val="17"/>
        </w:rPr>
      </w:pPr>
    </w:p>
    <w:p>
      <w:pPr>
        <w:pStyle w:val="BodyText"/>
        <w:spacing w:before="1"/>
        <w:ind w:left="100" w:right="106"/>
      </w:pPr>
      <w:r>
        <w:rPr/>
        <w:t>十八、等候期：指投保人的成员在其能获得被保险资格以前，所必须等待的一段时期。该时期根据投保人与投保人成员间聘用关系或从属关系的文件或资料而约定，且该时期将载于投保单上。</w:t>
      </w:r>
    </w:p>
    <w:p>
      <w:pPr>
        <w:pStyle w:val="BodyText"/>
        <w:spacing w:before="7"/>
        <w:rPr>
          <w:sz w:val="15"/>
        </w:rPr>
      </w:pPr>
    </w:p>
    <w:p>
      <w:pPr>
        <w:pStyle w:val="BodyText"/>
        <w:spacing w:line="448" w:lineRule="auto"/>
        <w:ind w:left="100" w:right="3706"/>
      </w:pPr>
      <w:r>
        <w:rPr/>
        <w:t>十九、休假：是指除法定节假日、双休日及被保险人享有的年假以外的假期。二十、非正常状况：指被保险人或其家属处于疾病或受伤中。</w:t>
      </w:r>
    </w:p>
    <w:p>
      <w:pPr>
        <w:pStyle w:val="BodyText"/>
        <w:spacing w:line="237" w:lineRule="auto" w:before="51"/>
        <w:ind w:left="100" w:right="106"/>
      </w:pPr>
      <w:r>
        <w:rPr/>
        <w:t>二十一、正常工作：指投保人合法雇佣的全职雇员，在投保人规定的工作日上班，以例行的方式在工作日全职履行投保人雇佣其执行的通常职责，且工作地点为投保人的办公地点，或者根据投保人的业务需要前往的地点。</w:t>
      </w:r>
    </w:p>
    <w:p>
      <w:pPr>
        <w:pStyle w:val="BodyText"/>
        <w:spacing w:before="11"/>
        <w:rPr>
          <w:sz w:val="15"/>
        </w:rPr>
      </w:pPr>
    </w:p>
    <w:p>
      <w:pPr>
        <w:pStyle w:val="BodyText"/>
        <w:spacing w:line="237" w:lineRule="auto" w:before="1"/>
        <w:ind w:left="100" w:right="106"/>
      </w:pPr>
      <w:r>
        <w:rPr/>
        <w:t>二十二、配偶：指处在合法婚姻中的丈夫和妻子。是男女双方因结婚而产生的亲属关系，是血亲和姻亲赖以发生的基础。在合法婚姻关系存在期间，夫妻一方互为他方的配偶。丈夫以妻子为配偶，妻子以丈夫为配偶。</w:t>
      </w:r>
    </w:p>
    <w:p>
      <w:pPr>
        <w:pStyle w:val="BodyText"/>
        <w:rPr>
          <w:sz w:val="20"/>
        </w:rPr>
      </w:pPr>
    </w:p>
    <w:p>
      <w:pPr>
        <w:pStyle w:val="BodyText"/>
        <w:spacing w:before="11"/>
        <w:rPr>
          <w:sz w:val="23"/>
        </w:rPr>
      </w:pPr>
    </w:p>
    <w:p>
      <w:pPr>
        <w:pStyle w:val="Heading2"/>
        <w:tabs>
          <w:tab w:pos="5053" w:val="right" w:leader="none"/>
        </w:tabs>
        <w:rPr>
          <w:sz w:val="18"/>
        </w:rPr>
      </w:pPr>
      <w:r>
        <w:rPr>
          <w:rFonts w:ascii="宋体" w:eastAsia="宋体" w:hint="eastAsia"/>
        </w:rPr>
        <w:t>条款编号</w:t>
      </w:r>
      <w:r>
        <w:rPr/>
        <w:t>: GH1009-01</w:t>
        <w:tab/>
      </w:r>
      <w:r>
        <w:rPr>
          <w:sz w:val="18"/>
        </w:rPr>
        <w:t>12</w:t>
      </w:r>
    </w:p>
    <w:p>
      <w:pPr>
        <w:spacing w:after="0"/>
        <w:rPr>
          <w:sz w:val="18"/>
        </w:rPr>
        <w:sectPr>
          <w:pgSz w:w="11910" w:h="16840"/>
          <w:pgMar w:top="1020" w:bottom="280" w:left="980" w:right="1000"/>
        </w:sectPr>
      </w:pPr>
    </w:p>
    <w:p>
      <w:pPr>
        <w:pStyle w:val="BodyText"/>
        <w:spacing w:line="448" w:lineRule="auto" w:before="22"/>
        <w:ind w:left="100" w:right="1546"/>
      </w:pPr>
      <w:r>
        <w:rPr/>
        <w:pict>
          <v:group style="position:absolute;margin-left:.169213pt;margin-top:0pt;width:595.3pt;height:833.05pt;mso-position-horizontal-relative:page;mso-position-vertical-relative:page;z-index:-19360" coordorigin="3,0" coordsize="11906,16661">
            <v:shape style="position:absolute;left:3;top:0;width:11906;height:16661" type="#_x0000_t75" stroked="false">
              <v:imagedata r:id="rId5" o:title=""/>
            </v:shape>
            <v:line style="position:absolute" from="1080,15615" to="10580,15615" stroked="true" strokeweight=".627480pt" strokecolor="#000000">
              <v:stroke dashstyle="solid"/>
            </v:line>
            <w10:wrap type="none"/>
          </v:group>
        </w:pict>
      </w:r>
      <w:r>
        <w:rPr/>
        <w:t>二十三、子女：指与本合同的被保险人之间具有法律上所承认的，且与被保险人形成父母子女关系的人。二十四、申请人：指本合同的被保险人或法律规定享有保险金请求权的人。</w:t>
      </w:r>
    </w:p>
    <w:p>
      <w:pPr>
        <w:pStyle w:val="BodyText"/>
        <w:spacing w:before="49"/>
        <w:ind w:left="100"/>
      </w:pPr>
      <w:r>
        <w:rPr>
          <w:b/>
        </w:rPr>
        <w:t>二</w:t>
      </w:r>
      <w:r>
        <w:rPr/>
        <w:t>十五</w:t>
      </w:r>
      <w:r>
        <w:rPr>
          <w:b/>
        </w:rPr>
        <w:t>、</w:t>
      </w:r>
      <w:r>
        <w:rPr/>
        <w:t>医院：是指符合下列所有条件的机构，</w:t>
      </w:r>
    </w:p>
    <w:p>
      <w:pPr>
        <w:pStyle w:val="BodyText"/>
        <w:spacing w:before="7"/>
        <w:rPr>
          <w:sz w:val="15"/>
        </w:rPr>
      </w:pPr>
    </w:p>
    <w:p>
      <w:pPr>
        <w:pStyle w:val="BodyText"/>
        <w:spacing w:line="235" w:lineRule="exact"/>
        <w:ind w:left="100"/>
      </w:pPr>
      <w:r>
        <w:rPr/>
        <w:t>（1）拥有合法经营执照；</w:t>
      </w:r>
    </w:p>
    <w:p>
      <w:pPr>
        <w:pStyle w:val="BodyText"/>
        <w:spacing w:line="234" w:lineRule="exact"/>
        <w:ind w:left="100"/>
      </w:pPr>
      <w:r>
        <w:rPr/>
        <w:t>（2）设立的主要目的为向受伤者和患病者提供留院治疗和护理服务；</w:t>
      </w:r>
    </w:p>
    <w:p>
      <w:pPr>
        <w:pStyle w:val="BodyText"/>
        <w:spacing w:line="234" w:lineRule="exact"/>
        <w:ind w:left="100"/>
      </w:pPr>
      <w:r>
        <w:rPr/>
        <w:t>（3）有合格的医生和护士提供全日二十四小时的医疗和护理服务。</w:t>
      </w:r>
    </w:p>
    <w:p>
      <w:pPr>
        <w:pStyle w:val="BodyText"/>
        <w:spacing w:line="477" w:lineRule="auto"/>
        <w:ind w:left="100" w:right="2266"/>
      </w:pPr>
      <w:r>
        <w:rPr/>
        <w:t>作为康复医院、诊所、护理、疗养、戒酒、戒毒或类似的医疗机构均不属于本合同的医院范围。二十六、境内：指中国大陆地区，该地区不包括台湾、香港、澳门特别行政区。</w:t>
      </w:r>
    </w:p>
    <w:p>
      <w:pPr>
        <w:pStyle w:val="BodyText"/>
        <w:spacing w:before="26"/>
        <w:ind w:left="100"/>
      </w:pPr>
      <w:r>
        <w:rPr/>
        <w:t>二十七、意外事故：指因外来的、突发的、非本意的、非疾病的原因而直接且单独地导致被保险人发生事故。</w:t>
      </w:r>
    </w:p>
    <w:p>
      <w:pPr>
        <w:pStyle w:val="BodyText"/>
        <w:spacing w:before="9"/>
        <w:rPr>
          <w:sz w:val="15"/>
        </w:rPr>
      </w:pPr>
    </w:p>
    <w:p>
      <w:pPr>
        <w:pStyle w:val="BodyText"/>
        <w:spacing w:line="235" w:lineRule="exact"/>
        <w:ind w:left="100"/>
      </w:pPr>
      <w:r>
        <w:rPr/>
        <w:t>二十八、永久不可逆</w:t>
      </w:r>
    </w:p>
    <w:p>
      <w:pPr>
        <w:pStyle w:val="BodyText"/>
        <w:ind w:left="100"/>
      </w:pPr>
      <w:r>
        <w:rPr/>
        <w:t>指自疾病确诊或意外伤害发生之日起，经过积极治疗一百八十日后，仍无法通过现有医疗手段恢复。</w:t>
      </w:r>
    </w:p>
    <w:p>
      <w:pPr>
        <w:pStyle w:val="BodyText"/>
        <w:spacing w:before="10"/>
        <w:rPr>
          <w:sz w:val="17"/>
        </w:rPr>
      </w:pPr>
    </w:p>
    <w:p>
      <w:pPr>
        <w:pStyle w:val="BodyText"/>
        <w:spacing w:line="234" w:lineRule="exact" w:before="1"/>
        <w:ind w:left="100"/>
      </w:pPr>
      <w:r>
        <w:rPr/>
        <w:t>二十九、肢体机能完全丧失</w:t>
      </w:r>
    </w:p>
    <w:p>
      <w:pPr>
        <w:pStyle w:val="BodyText"/>
        <w:spacing w:line="234" w:lineRule="exact"/>
        <w:ind w:left="100"/>
      </w:pPr>
      <w:r>
        <w:rPr/>
        <w:t>指肢体的三大关节中的两大关节僵硬，或不能随意识活动。肢体是指包括肩关节的整个上肢或包括髋关节的整个下肢。</w:t>
      </w:r>
    </w:p>
    <w:p>
      <w:pPr>
        <w:pStyle w:val="BodyText"/>
        <w:spacing w:before="9"/>
        <w:rPr>
          <w:sz w:val="17"/>
        </w:rPr>
      </w:pPr>
    </w:p>
    <w:p>
      <w:pPr>
        <w:pStyle w:val="BodyText"/>
        <w:spacing w:line="235" w:lineRule="exact" w:before="1"/>
        <w:ind w:left="100"/>
      </w:pPr>
      <w:r>
        <w:rPr/>
        <w:t>三十、语言能力或咀嚼吞咽能力完全丧失</w:t>
      </w:r>
    </w:p>
    <w:p>
      <w:pPr>
        <w:pStyle w:val="BodyText"/>
        <w:spacing w:line="237" w:lineRule="auto" w:before="2"/>
        <w:ind w:left="100" w:right="106"/>
      </w:pPr>
      <w:r>
        <w:rPr/>
        <w:t>语言能力完全丧失，指无法发出四种语音（包括口唇音、齿舌音、口盖音和喉头音）中的任何三种、或声带全部切除，或因大脑语言中枢受伤害而患失语症。</w:t>
      </w:r>
    </w:p>
    <w:p>
      <w:pPr>
        <w:pStyle w:val="BodyText"/>
        <w:spacing w:line="237" w:lineRule="auto" w:before="1"/>
        <w:ind w:left="100" w:right="106"/>
      </w:pPr>
      <w:r>
        <w:rPr/>
        <w:t>咀嚼吞咽能力完全丧失，指因牙齿以外的原因导致器质障碍或机能障碍，以致不能作咀嚼吞咽运动，除流质食物外不能摄取或吞咽的状态。</w:t>
      </w:r>
    </w:p>
    <w:p>
      <w:pPr>
        <w:pStyle w:val="BodyText"/>
        <w:spacing w:before="9"/>
        <w:rPr>
          <w:sz w:val="17"/>
        </w:rPr>
      </w:pPr>
    </w:p>
    <w:p>
      <w:pPr>
        <w:pStyle w:val="BodyText"/>
        <w:spacing w:line="235" w:lineRule="exact"/>
        <w:ind w:left="100"/>
      </w:pPr>
      <w:r>
        <w:rPr/>
        <w:t>三十一、六项基本日常生活活动</w:t>
      </w:r>
    </w:p>
    <w:p>
      <w:pPr>
        <w:pStyle w:val="BodyText"/>
        <w:spacing w:line="234" w:lineRule="exact"/>
        <w:ind w:left="100"/>
      </w:pPr>
      <w:r>
        <w:rPr/>
        <w:t>（1）穿衣：自己能够穿衣及脱衣；</w:t>
      </w:r>
    </w:p>
    <w:p>
      <w:pPr>
        <w:pStyle w:val="BodyText"/>
        <w:spacing w:line="234" w:lineRule="exact"/>
        <w:ind w:left="100"/>
      </w:pPr>
      <w:r>
        <w:rPr/>
        <w:t>（2）移动：自己从一个房间到另一个房间；</w:t>
      </w:r>
    </w:p>
    <w:p>
      <w:pPr>
        <w:pStyle w:val="BodyText"/>
        <w:spacing w:line="234" w:lineRule="exact"/>
        <w:ind w:left="100"/>
      </w:pPr>
      <w:r>
        <w:rPr/>
        <w:t>（3）行动：自己上下床或上下轮椅；</w:t>
      </w:r>
    </w:p>
    <w:p>
      <w:pPr>
        <w:pStyle w:val="BodyText"/>
        <w:spacing w:line="234" w:lineRule="exact"/>
        <w:ind w:left="100"/>
      </w:pPr>
      <w:r>
        <w:rPr/>
        <w:t>（4）如厕：自己控制进行大小便；</w:t>
      </w:r>
    </w:p>
    <w:p>
      <w:pPr>
        <w:pStyle w:val="BodyText"/>
        <w:spacing w:line="234" w:lineRule="exact"/>
        <w:ind w:left="100"/>
      </w:pPr>
      <w:r>
        <w:rPr/>
        <w:t>（5）进食：自己从已准备好的碗或碟中取食物放入口中；</w:t>
      </w:r>
    </w:p>
    <w:p>
      <w:pPr>
        <w:pStyle w:val="BodyText"/>
        <w:spacing w:line="234" w:lineRule="exact"/>
        <w:ind w:left="100"/>
      </w:pPr>
      <w:r>
        <w:rPr/>
        <w:t>（6）洗澡：自己进行淋浴或盆浴。</w:t>
      </w:r>
    </w:p>
    <w:p>
      <w:pPr>
        <w:pStyle w:val="BodyText"/>
      </w:pPr>
    </w:p>
    <w:p>
      <w:pPr>
        <w:pStyle w:val="BodyText"/>
        <w:spacing w:before="6"/>
        <w:rPr>
          <w:sz w:val="13"/>
        </w:rPr>
      </w:pPr>
    </w:p>
    <w:p>
      <w:pPr>
        <w:pStyle w:val="BodyText"/>
        <w:ind w:left="4235" w:right="4215"/>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Heading2"/>
        <w:tabs>
          <w:tab w:pos="5053" w:val="right" w:leader="none"/>
        </w:tabs>
        <w:rPr>
          <w:sz w:val="18"/>
        </w:rPr>
      </w:pPr>
      <w:r>
        <w:rPr>
          <w:rFonts w:ascii="宋体" w:eastAsia="宋体" w:hint="eastAsia"/>
        </w:rPr>
        <w:t>条款编号</w:t>
      </w:r>
      <w:r>
        <w:rPr/>
        <w:t>: GH1009-01</w:t>
        <w:tab/>
      </w:r>
      <w:r>
        <w:rPr>
          <w:sz w:val="18"/>
        </w:rPr>
        <w:t>13</w:t>
      </w:r>
    </w:p>
    <w:sectPr>
      <w:pgSz w:w="11910" w:h="16840"/>
      <w:pgMar w:top="122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PGothic">
    <w:altName w:val="MS PGothic"/>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80" w:hanging="360"/>
        <w:jc w:val="left"/>
      </w:pPr>
      <w:rPr>
        <w:rFonts w:hint="default" w:ascii="Times New Roman" w:hAnsi="Times New Roman" w:eastAsia="Times New Roman" w:cs="Times New Roman"/>
        <w:spacing w:val="0"/>
        <w:w w:val="100"/>
        <w:sz w:val="18"/>
        <w:szCs w:val="18"/>
      </w:rPr>
    </w:lvl>
    <w:lvl w:ilvl="1">
      <w:start w:val="0"/>
      <w:numFmt w:val="bullet"/>
      <w:lvlText w:val="•"/>
      <w:lvlJc w:val="left"/>
      <w:pPr>
        <w:ind w:left="800" w:hanging="360"/>
      </w:pPr>
      <w:rPr>
        <w:rFonts w:hint="default"/>
      </w:rPr>
    </w:lvl>
    <w:lvl w:ilvl="2">
      <w:start w:val="0"/>
      <w:numFmt w:val="bullet"/>
      <w:lvlText w:val="•"/>
      <w:lvlJc w:val="left"/>
      <w:pPr>
        <w:ind w:left="1816" w:hanging="360"/>
      </w:pPr>
      <w:rPr>
        <w:rFonts w:hint="default"/>
      </w:rPr>
    </w:lvl>
    <w:lvl w:ilvl="3">
      <w:start w:val="0"/>
      <w:numFmt w:val="bullet"/>
      <w:lvlText w:val="•"/>
      <w:lvlJc w:val="left"/>
      <w:pPr>
        <w:ind w:left="2833" w:hanging="360"/>
      </w:pPr>
      <w:rPr>
        <w:rFonts w:hint="default"/>
      </w:rPr>
    </w:lvl>
    <w:lvl w:ilvl="4">
      <w:start w:val="0"/>
      <w:numFmt w:val="bullet"/>
      <w:lvlText w:val="•"/>
      <w:lvlJc w:val="left"/>
      <w:pPr>
        <w:ind w:left="3849" w:hanging="360"/>
      </w:pPr>
      <w:rPr>
        <w:rFonts w:hint="default"/>
      </w:rPr>
    </w:lvl>
    <w:lvl w:ilvl="5">
      <w:start w:val="0"/>
      <w:numFmt w:val="bullet"/>
      <w:lvlText w:val="•"/>
      <w:lvlJc w:val="left"/>
      <w:pPr>
        <w:ind w:left="4866" w:hanging="360"/>
      </w:pPr>
      <w:rPr>
        <w:rFonts w:hint="default"/>
      </w:rPr>
    </w:lvl>
    <w:lvl w:ilvl="6">
      <w:start w:val="0"/>
      <w:numFmt w:val="bullet"/>
      <w:lvlText w:val="•"/>
      <w:lvlJc w:val="left"/>
      <w:pPr>
        <w:ind w:left="5882" w:hanging="360"/>
      </w:pPr>
      <w:rPr>
        <w:rFonts w:hint="default"/>
      </w:rPr>
    </w:lvl>
    <w:lvl w:ilvl="7">
      <w:start w:val="0"/>
      <w:numFmt w:val="bullet"/>
      <w:lvlText w:val="•"/>
      <w:lvlJc w:val="left"/>
      <w:pPr>
        <w:ind w:left="6899" w:hanging="360"/>
      </w:pPr>
      <w:rPr>
        <w:rFonts w:hint="default"/>
      </w:rPr>
    </w:lvl>
    <w:lvl w:ilvl="8">
      <w:start w:val="0"/>
      <w:numFmt w:val="bullet"/>
      <w:lvlText w:val="•"/>
      <w:lvlJc w:val="left"/>
      <w:pPr>
        <w:ind w:left="7915" w:hanging="360"/>
      </w:pPr>
      <w:rPr>
        <w:rFonts w:hint="default"/>
      </w:rPr>
    </w:lvl>
  </w:abstractNum>
  <w:abstractNum w:abstractNumId="6">
    <w:multiLevelType w:val="hybridMultilevel"/>
    <w:lvl w:ilvl="0">
      <w:start w:val="1"/>
      <w:numFmt w:val="decimal"/>
      <w:lvlText w:val="(%1)"/>
      <w:lvlJc w:val="left"/>
      <w:pPr>
        <w:ind w:left="552" w:hanging="432"/>
        <w:jc w:val="left"/>
      </w:pPr>
      <w:rPr>
        <w:rFonts w:hint="default" w:ascii="Times New Roman" w:hAnsi="Times New Roman" w:eastAsia="Times New Roman" w:cs="Times New Roman"/>
        <w:spacing w:val="-45"/>
        <w:w w:val="99"/>
        <w:sz w:val="18"/>
        <w:szCs w:val="18"/>
      </w:rPr>
    </w:lvl>
    <w:lvl w:ilvl="1">
      <w:start w:val="0"/>
      <w:numFmt w:val="bullet"/>
      <w:lvlText w:val="•"/>
      <w:lvlJc w:val="left"/>
      <w:pPr>
        <w:ind w:left="1516" w:hanging="432"/>
      </w:pPr>
      <w:rPr>
        <w:rFonts w:hint="default"/>
      </w:rPr>
    </w:lvl>
    <w:lvl w:ilvl="2">
      <w:start w:val="0"/>
      <w:numFmt w:val="bullet"/>
      <w:lvlText w:val="•"/>
      <w:lvlJc w:val="left"/>
      <w:pPr>
        <w:ind w:left="2473" w:hanging="432"/>
      </w:pPr>
      <w:rPr>
        <w:rFonts w:hint="default"/>
      </w:rPr>
    </w:lvl>
    <w:lvl w:ilvl="3">
      <w:start w:val="0"/>
      <w:numFmt w:val="bullet"/>
      <w:lvlText w:val="•"/>
      <w:lvlJc w:val="left"/>
      <w:pPr>
        <w:ind w:left="3430" w:hanging="432"/>
      </w:pPr>
      <w:rPr>
        <w:rFonts w:hint="default"/>
      </w:rPr>
    </w:lvl>
    <w:lvl w:ilvl="4">
      <w:start w:val="0"/>
      <w:numFmt w:val="bullet"/>
      <w:lvlText w:val="•"/>
      <w:lvlJc w:val="left"/>
      <w:pPr>
        <w:ind w:left="4387" w:hanging="432"/>
      </w:pPr>
      <w:rPr>
        <w:rFonts w:hint="default"/>
      </w:rPr>
    </w:lvl>
    <w:lvl w:ilvl="5">
      <w:start w:val="0"/>
      <w:numFmt w:val="bullet"/>
      <w:lvlText w:val="•"/>
      <w:lvlJc w:val="left"/>
      <w:pPr>
        <w:ind w:left="5344" w:hanging="432"/>
      </w:pPr>
      <w:rPr>
        <w:rFonts w:hint="default"/>
      </w:rPr>
    </w:lvl>
    <w:lvl w:ilvl="6">
      <w:start w:val="0"/>
      <w:numFmt w:val="bullet"/>
      <w:lvlText w:val="•"/>
      <w:lvlJc w:val="left"/>
      <w:pPr>
        <w:ind w:left="6301" w:hanging="432"/>
      </w:pPr>
      <w:rPr>
        <w:rFonts w:hint="default"/>
      </w:rPr>
    </w:lvl>
    <w:lvl w:ilvl="7">
      <w:start w:val="0"/>
      <w:numFmt w:val="bullet"/>
      <w:lvlText w:val="•"/>
      <w:lvlJc w:val="left"/>
      <w:pPr>
        <w:ind w:left="7258" w:hanging="432"/>
      </w:pPr>
      <w:rPr>
        <w:rFonts w:hint="default"/>
      </w:rPr>
    </w:lvl>
    <w:lvl w:ilvl="8">
      <w:start w:val="0"/>
      <w:numFmt w:val="bullet"/>
      <w:lvlText w:val="•"/>
      <w:lvlJc w:val="left"/>
      <w:pPr>
        <w:ind w:left="8215" w:hanging="432"/>
      </w:pPr>
      <w:rPr>
        <w:rFonts w:hint="default"/>
      </w:rPr>
    </w:lvl>
  </w:abstractNum>
  <w:abstractNum w:abstractNumId="5">
    <w:multiLevelType w:val="hybridMultilevel"/>
    <w:lvl w:ilvl="0">
      <w:start w:val="1"/>
      <w:numFmt w:val="decimal"/>
      <w:lvlText w:val="(%1)"/>
      <w:lvlJc w:val="left"/>
      <w:pPr>
        <w:ind w:left="532" w:hanging="432"/>
        <w:jc w:val="left"/>
      </w:pPr>
      <w:rPr>
        <w:rFonts w:hint="default" w:ascii="Times New Roman" w:hAnsi="Times New Roman" w:eastAsia="Times New Roman" w:cs="Times New Roman"/>
        <w:w w:val="99"/>
        <w:sz w:val="18"/>
        <w:szCs w:val="18"/>
      </w:rPr>
    </w:lvl>
    <w:lvl w:ilvl="1">
      <w:start w:val="0"/>
      <w:numFmt w:val="bullet"/>
      <w:lvlText w:val="•"/>
      <w:lvlJc w:val="left"/>
      <w:pPr>
        <w:ind w:left="1482" w:hanging="432"/>
      </w:pPr>
      <w:rPr>
        <w:rFonts w:hint="default"/>
      </w:rPr>
    </w:lvl>
    <w:lvl w:ilvl="2">
      <w:start w:val="0"/>
      <w:numFmt w:val="bullet"/>
      <w:lvlText w:val="•"/>
      <w:lvlJc w:val="left"/>
      <w:pPr>
        <w:ind w:left="2425" w:hanging="432"/>
      </w:pPr>
      <w:rPr>
        <w:rFonts w:hint="default"/>
      </w:rPr>
    </w:lvl>
    <w:lvl w:ilvl="3">
      <w:start w:val="0"/>
      <w:numFmt w:val="bullet"/>
      <w:lvlText w:val="•"/>
      <w:lvlJc w:val="left"/>
      <w:pPr>
        <w:ind w:left="3368" w:hanging="432"/>
      </w:pPr>
      <w:rPr>
        <w:rFonts w:hint="default"/>
      </w:rPr>
    </w:lvl>
    <w:lvl w:ilvl="4">
      <w:start w:val="0"/>
      <w:numFmt w:val="bullet"/>
      <w:lvlText w:val="•"/>
      <w:lvlJc w:val="left"/>
      <w:pPr>
        <w:ind w:left="4311" w:hanging="432"/>
      </w:pPr>
      <w:rPr>
        <w:rFonts w:hint="default"/>
      </w:rPr>
    </w:lvl>
    <w:lvl w:ilvl="5">
      <w:start w:val="0"/>
      <w:numFmt w:val="bullet"/>
      <w:lvlText w:val="•"/>
      <w:lvlJc w:val="left"/>
      <w:pPr>
        <w:ind w:left="5254" w:hanging="432"/>
      </w:pPr>
      <w:rPr>
        <w:rFonts w:hint="default"/>
      </w:rPr>
    </w:lvl>
    <w:lvl w:ilvl="6">
      <w:start w:val="0"/>
      <w:numFmt w:val="bullet"/>
      <w:lvlText w:val="•"/>
      <w:lvlJc w:val="left"/>
      <w:pPr>
        <w:ind w:left="6197" w:hanging="432"/>
      </w:pPr>
      <w:rPr>
        <w:rFonts w:hint="default"/>
      </w:rPr>
    </w:lvl>
    <w:lvl w:ilvl="7">
      <w:start w:val="0"/>
      <w:numFmt w:val="bullet"/>
      <w:lvlText w:val="•"/>
      <w:lvlJc w:val="left"/>
      <w:pPr>
        <w:ind w:left="7140" w:hanging="432"/>
      </w:pPr>
      <w:rPr>
        <w:rFonts w:hint="default"/>
      </w:rPr>
    </w:lvl>
    <w:lvl w:ilvl="8">
      <w:start w:val="0"/>
      <w:numFmt w:val="bullet"/>
      <w:lvlText w:val="•"/>
      <w:lvlJc w:val="left"/>
      <w:pPr>
        <w:ind w:left="8083" w:hanging="432"/>
      </w:pPr>
      <w:rPr>
        <w:rFonts w:hint="default"/>
      </w:rPr>
    </w:lvl>
  </w:abstractNum>
  <w:abstractNum w:abstractNumId="4">
    <w:multiLevelType w:val="hybridMultilevel"/>
    <w:lvl w:ilvl="0">
      <w:start w:val="1"/>
      <w:numFmt w:val="decimal"/>
      <w:lvlText w:val="(%1)"/>
      <w:lvlJc w:val="left"/>
      <w:pPr>
        <w:ind w:left="532" w:hanging="432"/>
        <w:jc w:val="left"/>
      </w:pPr>
      <w:rPr>
        <w:rFonts w:hint="default"/>
        <w:w w:val="99"/>
      </w:rPr>
    </w:lvl>
    <w:lvl w:ilvl="1">
      <w:start w:val="0"/>
      <w:numFmt w:val="bullet"/>
      <w:lvlText w:val="•"/>
      <w:lvlJc w:val="left"/>
      <w:pPr>
        <w:ind w:left="1482" w:hanging="432"/>
      </w:pPr>
      <w:rPr>
        <w:rFonts w:hint="default"/>
      </w:rPr>
    </w:lvl>
    <w:lvl w:ilvl="2">
      <w:start w:val="0"/>
      <w:numFmt w:val="bullet"/>
      <w:lvlText w:val="•"/>
      <w:lvlJc w:val="left"/>
      <w:pPr>
        <w:ind w:left="2425" w:hanging="432"/>
      </w:pPr>
      <w:rPr>
        <w:rFonts w:hint="default"/>
      </w:rPr>
    </w:lvl>
    <w:lvl w:ilvl="3">
      <w:start w:val="0"/>
      <w:numFmt w:val="bullet"/>
      <w:lvlText w:val="•"/>
      <w:lvlJc w:val="left"/>
      <w:pPr>
        <w:ind w:left="3368" w:hanging="432"/>
      </w:pPr>
      <w:rPr>
        <w:rFonts w:hint="default"/>
      </w:rPr>
    </w:lvl>
    <w:lvl w:ilvl="4">
      <w:start w:val="0"/>
      <w:numFmt w:val="bullet"/>
      <w:lvlText w:val="•"/>
      <w:lvlJc w:val="left"/>
      <w:pPr>
        <w:ind w:left="4311" w:hanging="432"/>
      </w:pPr>
      <w:rPr>
        <w:rFonts w:hint="default"/>
      </w:rPr>
    </w:lvl>
    <w:lvl w:ilvl="5">
      <w:start w:val="0"/>
      <w:numFmt w:val="bullet"/>
      <w:lvlText w:val="•"/>
      <w:lvlJc w:val="left"/>
      <w:pPr>
        <w:ind w:left="5254" w:hanging="432"/>
      </w:pPr>
      <w:rPr>
        <w:rFonts w:hint="default"/>
      </w:rPr>
    </w:lvl>
    <w:lvl w:ilvl="6">
      <w:start w:val="0"/>
      <w:numFmt w:val="bullet"/>
      <w:lvlText w:val="•"/>
      <w:lvlJc w:val="left"/>
      <w:pPr>
        <w:ind w:left="6197" w:hanging="432"/>
      </w:pPr>
      <w:rPr>
        <w:rFonts w:hint="default"/>
      </w:rPr>
    </w:lvl>
    <w:lvl w:ilvl="7">
      <w:start w:val="0"/>
      <w:numFmt w:val="bullet"/>
      <w:lvlText w:val="•"/>
      <w:lvlJc w:val="left"/>
      <w:pPr>
        <w:ind w:left="7140" w:hanging="432"/>
      </w:pPr>
      <w:rPr>
        <w:rFonts w:hint="default"/>
      </w:rPr>
    </w:lvl>
    <w:lvl w:ilvl="8">
      <w:start w:val="0"/>
      <w:numFmt w:val="bullet"/>
      <w:lvlText w:val="•"/>
      <w:lvlJc w:val="left"/>
      <w:pPr>
        <w:ind w:left="8083" w:hanging="432"/>
      </w:pPr>
      <w:rPr>
        <w:rFonts w:hint="default"/>
      </w:rPr>
    </w:lvl>
  </w:abstractNum>
  <w:abstractNum w:abstractNumId="3">
    <w:multiLevelType w:val="hybridMultilevel"/>
    <w:lvl w:ilvl="0">
      <w:start w:val="1"/>
      <w:numFmt w:val="decimal"/>
      <w:lvlText w:val="(%1)"/>
      <w:lvlJc w:val="left"/>
      <w:pPr>
        <w:ind w:left="532" w:hanging="432"/>
        <w:jc w:val="left"/>
      </w:pPr>
      <w:rPr>
        <w:rFonts w:hint="default" w:ascii="宋体" w:hAnsi="宋体" w:eastAsia="宋体" w:cs="宋体"/>
        <w:spacing w:val="-21"/>
        <w:w w:val="100"/>
        <w:sz w:val="18"/>
        <w:szCs w:val="18"/>
      </w:rPr>
    </w:lvl>
    <w:lvl w:ilvl="1">
      <w:start w:val="0"/>
      <w:numFmt w:val="bullet"/>
      <w:lvlText w:val="•"/>
      <w:lvlJc w:val="left"/>
      <w:pPr>
        <w:ind w:left="1480" w:hanging="432"/>
      </w:pPr>
      <w:rPr>
        <w:rFonts w:hint="default"/>
      </w:rPr>
    </w:lvl>
    <w:lvl w:ilvl="2">
      <w:start w:val="0"/>
      <w:numFmt w:val="bullet"/>
      <w:lvlText w:val="•"/>
      <w:lvlJc w:val="left"/>
      <w:pPr>
        <w:ind w:left="2421" w:hanging="432"/>
      </w:pPr>
      <w:rPr>
        <w:rFonts w:hint="default"/>
      </w:rPr>
    </w:lvl>
    <w:lvl w:ilvl="3">
      <w:start w:val="0"/>
      <w:numFmt w:val="bullet"/>
      <w:lvlText w:val="•"/>
      <w:lvlJc w:val="left"/>
      <w:pPr>
        <w:ind w:left="3362" w:hanging="432"/>
      </w:pPr>
      <w:rPr>
        <w:rFonts w:hint="default"/>
      </w:rPr>
    </w:lvl>
    <w:lvl w:ilvl="4">
      <w:start w:val="0"/>
      <w:numFmt w:val="bullet"/>
      <w:lvlText w:val="•"/>
      <w:lvlJc w:val="left"/>
      <w:pPr>
        <w:ind w:left="4303" w:hanging="432"/>
      </w:pPr>
      <w:rPr>
        <w:rFonts w:hint="default"/>
      </w:rPr>
    </w:lvl>
    <w:lvl w:ilvl="5">
      <w:start w:val="0"/>
      <w:numFmt w:val="bullet"/>
      <w:lvlText w:val="•"/>
      <w:lvlJc w:val="left"/>
      <w:pPr>
        <w:ind w:left="5244" w:hanging="432"/>
      </w:pPr>
      <w:rPr>
        <w:rFonts w:hint="default"/>
      </w:rPr>
    </w:lvl>
    <w:lvl w:ilvl="6">
      <w:start w:val="0"/>
      <w:numFmt w:val="bullet"/>
      <w:lvlText w:val="•"/>
      <w:lvlJc w:val="left"/>
      <w:pPr>
        <w:ind w:left="6185" w:hanging="432"/>
      </w:pPr>
      <w:rPr>
        <w:rFonts w:hint="default"/>
      </w:rPr>
    </w:lvl>
    <w:lvl w:ilvl="7">
      <w:start w:val="0"/>
      <w:numFmt w:val="bullet"/>
      <w:lvlText w:val="•"/>
      <w:lvlJc w:val="left"/>
      <w:pPr>
        <w:ind w:left="7126" w:hanging="432"/>
      </w:pPr>
      <w:rPr>
        <w:rFonts w:hint="default"/>
      </w:rPr>
    </w:lvl>
    <w:lvl w:ilvl="8">
      <w:start w:val="0"/>
      <w:numFmt w:val="bullet"/>
      <w:lvlText w:val="•"/>
      <w:lvlJc w:val="left"/>
      <w:pPr>
        <w:ind w:left="8067" w:hanging="432"/>
      </w:pPr>
      <w:rPr>
        <w:rFonts w:hint="default"/>
      </w:rPr>
    </w:lvl>
  </w:abstractNum>
  <w:abstractNum w:abstractNumId="2">
    <w:multiLevelType w:val="hybridMultilevel"/>
    <w:lvl w:ilvl="0">
      <w:start w:val="1"/>
      <w:numFmt w:val="decimal"/>
      <w:lvlText w:val="(%1)"/>
      <w:lvlJc w:val="left"/>
      <w:pPr>
        <w:ind w:left="532" w:hanging="432"/>
        <w:jc w:val="left"/>
      </w:pPr>
      <w:rPr>
        <w:rFonts w:hint="default"/>
        <w:spacing w:val="-21"/>
        <w:w w:val="99"/>
      </w:rPr>
    </w:lvl>
    <w:lvl w:ilvl="1">
      <w:start w:val="0"/>
      <w:numFmt w:val="bullet"/>
      <w:lvlText w:val="•"/>
      <w:lvlJc w:val="left"/>
      <w:pPr>
        <w:ind w:left="1480" w:hanging="432"/>
      </w:pPr>
      <w:rPr>
        <w:rFonts w:hint="default"/>
      </w:rPr>
    </w:lvl>
    <w:lvl w:ilvl="2">
      <w:start w:val="0"/>
      <w:numFmt w:val="bullet"/>
      <w:lvlText w:val="•"/>
      <w:lvlJc w:val="left"/>
      <w:pPr>
        <w:ind w:left="2421" w:hanging="432"/>
      </w:pPr>
      <w:rPr>
        <w:rFonts w:hint="default"/>
      </w:rPr>
    </w:lvl>
    <w:lvl w:ilvl="3">
      <w:start w:val="0"/>
      <w:numFmt w:val="bullet"/>
      <w:lvlText w:val="•"/>
      <w:lvlJc w:val="left"/>
      <w:pPr>
        <w:ind w:left="3362" w:hanging="432"/>
      </w:pPr>
      <w:rPr>
        <w:rFonts w:hint="default"/>
      </w:rPr>
    </w:lvl>
    <w:lvl w:ilvl="4">
      <w:start w:val="0"/>
      <w:numFmt w:val="bullet"/>
      <w:lvlText w:val="•"/>
      <w:lvlJc w:val="left"/>
      <w:pPr>
        <w:ind w:left="4303" w:hanging="432"/>
      </w:pPr>
      <w:rPr>
        <w:rFonts w:hint="default"/>
      </w:rPr>
    </w:lvl>
    <w:lvl w:ilvl="5">
      <w:start w:val="0"/>
      <w:numFmt w:val="bullet"/>
      <w:lvlText w:val="•"/>
      <w:lvlJc w:val="left"/>
      <w:pPr>
        <w:ind w:left="5244" w:hanging="432"/>
      </w:pPr>
      <w:rPr>
        <w:rFonts w:hint="default"/>
      </w:rPr>
    </w:lvl>
    <w:lvl w:ilvl="6">
      <w:start w:val="0"/>
      <w:numFmt w:val="bullet"/>
      <w:lvlText w:val="•"/>
      <w:lvlJc w:val="left"/>
      <w:pPr>
        <w:ind w:left="6185" w:hanging="432"/>
      </w:pPr>
      <w:rPr>
        <w:rFonts w:hint="default"/>
      </w:rPr>
    </w:lvl>
    <w:lvl w:ilvl="7">
      <w:start w:val="0"/>
      <w:numFmt w:val="bullet"/>
      <w:lvlText w:val="•"/>
      <w:lvlJc w:val="left"/>
      <w:pPr>
        <w:ind w:left="7126" w:hanging="432"/>
      </w:pPr>
      <w:rPr>
        <w:rFonts w:hint="default"/>
      </w:rPr>
    </w:lvl>
    <w:lvl w:ilvl="8">
      <w:start w:val="0"/>
      <w:numFmt w:val="bullet"/>
      <w:lvlText w:val="•"/>
      <w:lvlJc w:val="left"/>
      <w:pPr>
        <w:ind w:left="8067" w:hanging="432"/>
      </w:pPr>
      <w:rPr>
        <w:rFonts w:hint="default"/>
      </w:rPr>
    </w:lvl>
  </w:abstractNum>
  <w:abstractNum w:abstractNumId="1">
    <w:multiLevelType w:val="hybridMultilevel"/>
    <w:lvl w:ilvl="0">
      <w:start w:val="1"/>
      <w:numFmt w:val="decimal"/>
      <w:lvlText w:val="(%1)"/>
      <w:lvlJc w:val="left"/>
      <w:pPr>
        <w:ind w:left="532" w:hanging="432"/>
        <w:jc w:val="left"/>
      </w:pPr>
      <w:rPr>
        <w:rFonts w:hint="default" w:ascii="Times New Roman" w:hAnsi="Times New Roman" w:eastAsia="Times New Roman" w:cs="Times New Roman"/>
        <w:spacing w:val="-5"/>
        <w:w w:val="99"/>
        <w:sz w:val="18"/>
        <w:szCs w:val="18"/>
      </w:rPr>
    </w:lvl>
    <w:lvl w:ilvl="1">
      <w:start w:val="0"/>
      <w:numFmt w:val="bullet"/>
      <w:lvlText w:val="•"/>
      <w:lvlJc w:val="left"/>
      <w:pPr>
        <w:ind w:left="1480" w:hanging="432"/>
      </w:pPr>
      <w:rPr>
        <w:rFonts w:hint="default"/>
      </w:rPr>
    </w:lvl>
    <w:lvl w:ilvl="2">
      <w:start w:val="0"/>
      <w:numFmt w:val="bullet"/>
      <w:lvlText w:val="•"/>
      <w:lvlJc w:val="left"/>
      <w:pPr>
        <w:ind w:left="2421" w:hanging="432"/>
      </w:pPr>
      <w:rPr>
        <w:rFonts w:hint="default"/>
      </w:rPr>
    </w:lvl>
    <w:lvl w:ilvl="3">
      <w:start w:val="0"/>
      <w:numFmt w:val="bullet"/>
      <w:lvlText w:val="•"/>
      <w:lvlJc w:val="left"/>
      <w:pPr>
        <w:ind w:left="3362" w:hanging="432"/>
      </w:pPr>
      <w:rPr>
        <w:rFonts w:hint="default"/>
      </w:rPr>
    </w:lvl>
    <w:lvl w:ilvl="4">
      <w:start w:val="0"/>
      <w:numFmt w:val="bullet"/>
      <w:lvlText w:val="•"/>
      <w:lvlJc w:val="left"/>
      <w:pPr>
        <w:ind w:left="4303" w:hanging="432"/>
      </w:pPr>
      <w:rPr>
        <w:rFonts w:hint="default"/>
      </w:rPr>
    </w:lvl>
    <w:lvl w:ilvl="5">
      <w:start w:val="0"/>
      <w:numFmt w:val="bullet"/>
      <w:lvlText w:val="•"/>
      <w:lvlJc w:val="left"/>
      <w:pPr>
        <w:ind w:left="5244" w:hanging="432"/>
      </w:pPr>
      <w:rPr>
        <w:rFonts w:hint="default"/>
      </w:rPr>
    </w:lvl>
    <w:lvl w:ilvl="6">
      <w:start w:val="0"/>
      <w:numFmt w:val="bullet"/>
      <w:lvlText w:val="•"/>
      <w:lvlJc w:val="left"/>
      <w:pPr>
        <w:ind w:left="6185" w:hanging="432"/>
      </w:pPr>
      <w:rPr>
        <w:rFonts w:hint="default"/>
      </w:rPr>
    </w:lvl>
    <w:lvl w:ilvl="7">
      <w:start w:val="0"/>
      <w:numFmt w:val="bullet"/>
      <w:lvlText w:val="•"/>
      <w:lvlJc w:val="left"/>
      <w:pPr>
        <w:ind w:left="7126" w:hanging="432"/>
      </w:pPr>
      <w:rPr>
        <w:rFonts w:hint="default"/>
      </w:rPr>
    </w:lvl>
    <w:lvl w:ilvl="8">
      <w:start w:val="0"/>
      <w:numFmt w:val="bullet"/>
      <w:lvlText w:val="•"/>
      <w:lvlJc w:val="left"/>
      <w:pPr>
        <w:ind w:left="8067" w:hanging="432"/>
      </w:pPr>
      <w:rPr>
        <w:rFonts w:hint="default"/>
      </w:rPr>
    </w:lvl>
  </w:abstractNum>
  <w:abstractNum w:abstractNumId="0">
    <w:multiLevelType w:val="hybridMultilevel"/>
    <w:lvl w:ilvl="0">
      <w:start w:val="1"/>
      <w:numFmt w:val="decimal"/>
      <w:lvlText w:val="(%1)"/>
      <w:lvlJc w:val="left"/>
      <w:pPr>
        <w:ind w:left="100" w:hanging="257"/>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1084" w:hanging="257"/>
      </w:pPr>
      <w:rPr>
        <w:rFonts w:hint="default"/>
      </w:rPr>
    </w:lvl>
    <w:lvl w:ilvl="2">
      <w:start w:val="0"/>
      <w:numFmt w:val="bullet"/>
      <w:lvlText w:val="•"/>
      <w:lvlJc w:val="left"/>
      <w:pPr>
        <w:ind w:left="2069" w:hanging="257"/>
      </w:pPr>
      <w:rPr>
        <w:rFonts w:hint="default"/>
      </w:rPr>
    </w:lvl>
    <w:lvl w:ilvl="3">
      <w:start w:val="0"/>
      <w:numFmt w:val="bullet"/>
      <w:lvlText w:val="•"/>
      <w:lvlJc w:val="left"/>
      <w:pPr>
        <w:ind w:left="3054" w:hanging="257"/>
      </w:pPr>
      <w:rPr>
        <w:rFonts w:hint="default"/>
      </w:rPr>
    </w:lvl>
    <w:lvl w:ilvl="4">
      <w:start w:val="0"/>
      <w:numFmt w:val="bullet"/>
      <w:lvlText w:val="•"/>
      <w:lvlJc w:val="left"/>
      <w:pPr>
        <w:ind w:left="4039" w:hanging="257"/>
      </w:pPr>
      <w:rPr>
        <w:rFonts w:hint="default"/>
      </w:rPr>
    </w:lvl>
    <w:lvl w:ilvl="5">
      <w:start w:val="0"/>
      <w:numFmt w:val="bullet"/>
      <w:lvlText w:val="•"/>
      <w:lvlJc w:val="left"/>
      <w:pPr>
        <w:ind w:left="5024" w:hanging="257"/>
      </w:pPr>
      <w:rPr>
        <w:rFonts w:hint="default"/>
      </w:rPr>
    </w:lvl>
    <w:lvl w:ilvl="6">
      <w:start w:val="0"/>
      <w:numFmt w:val="bullet"/>
      <w:lvlText w:val="•"/>
      <w:lvlJc w:val="left"/>
      <w:pPr>
        <w:ind w:left="6009" w:hanging="257"/>
      </w:pPr>
      <w:rPr>
        <w:rFonts w:hint="default"/>
      </w:rPr>
    </w:lvl>
    <w:lvl w:ilvl="7">
      <w:start w:val="0"/>
      <w:numFmt w:val="bullet"/>
      <w:lvlText w:val="•"/>
      <w:lvlJc w:val="left"/>
      <w:pPr>
        <w:ind w:left="6994" w:hanging="257"/>
      </w:pPr>
      <w:rPr>
        <w:rFonts w:hint="default"/>
      </w:rPr>
    </w:lvl>
    <w:lvl w:ilvl="8">
      <w:start w:val="0"/>
      <w:numFmt w:val="bullet"/>
      <w:lvlText w:val="•"/>
      <w:lvlJc w:val="left"/>
      <w:pPr>
        <w:ind w:left="7979" w:hanging="257"/>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Heading2" w:type="paragraph">
    <w:name w:val="Heading 2"/>
    <w:basedOn w:val="Normal"/>
    <w:uiPriority w:val="1"/>
    <w:qFormat/>
    <w:pPr>
      <w:spacing w:before="44"/>
      <w:ind w:left="10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ind w:left="532" w:hanging="432"/>
    </w:pPr>
    <w:rPr>
      <w:rFonts w:ascii="宋体" w:hAnsi="宋体" w:eastAsia="宋体" w:cs="宋体"/>
    </w:rPr>
  </w:style>
  <w:style w:styleId="TableParagraph" w:type="paragraph">
    <w:name w:val="Table Paragraph"/>
    <w:basedOn w:val="Normal"/>
    <w:uiPriority w:val="1"/>
    <w:qFormat/>
    <w:pPr>
      <w:spacing w:before="21"/>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NPOS014</dc:creator>
  <dc:title>美国友邦保险有限公司XX分公司</dc:title>
  <dcterms:created xsi:type="dcterms:W3CDTF">2018-10-19T21:43:16Z</dcterms:created>
  <dcterms:modified xsi:type="dcterms:W3CDTF">2018-10-19T21:43:16Z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2014-09-10T00:00:00Z</vt:filetime>
  </property>
  <property fmtid="{D5CDD505-2E9C-101B-9397-08002B2CF9AE}" pid="3" name="Creator">
    <vt:lpwstr>Acrobat PDFMaker 11 Word 版</vt:lpwstr>
  </property>
  <property fmtid="{D5CDD505-2E9C-101B-9397-08002B2CF9AE}" pid="4" name="LastSaved">
    <vt:filetime>2018-10-19T00:00:00Z</vt:filetime>
  </property>
</Properties>
</file>