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r>
        <w:rPr/>
        <w:drawing>
          <wp:anchor distT="0" distB="0" distL="0" distR="0" allowOverlap="1" layoutInCell="1" locked="0" behindDoc="1" simplePos="0" relativeHeight="268414655">
            <wp:simplePos x="0" y="0"/>
            <wp:positionH relativeFrom="page">
              <wp:posOffset>5641340</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028 号</w:t>
            </w:r>
          </w:p>
        </w:tc>
      </w:tr>
      <w:tr>
        <w:trPr>
          <w:trHeight w:val="1872" w:hRule="atLeast"/>
        </w:trPr>
        <w:tc>
          <w:tcPr>
            <w:tcW w:w="9321" w:type="dxa"/>
            <w:gridSpan w:val="2"/>
          </w:tcPr>
          <w:p>
            <w:pPr>
              <w:pStyle w:val="TableParagraph"/>
              <w:spacing w:before="53"/>
              <w:ind w:left="2349" w:right="2352"/>
              <w:jc w:val="center"/>
              <w:rPr>
                <w:b/>
                <w:sz w:val="32"/>
              </w:rPr>
            </w:pPr>
            <w:r>
              <w:rPr>
                <w:b/>
                <w:w w:val="95"/>
                <w:sz w:val="32"/>
              </w:rPr>
              <w:t>中银三星人寿保险有限公司</w:t>
            </w:r>
          </w:p>
          <w:p>
            <w:pPr>
              <w:pStyle w:val="TableParagraph"/>
              <w:spacing w:before="130"/>
              <w:ind w:left="2351" w:right="2352"/>
              <w:jc w:val="center"/>
              <w:rPr>
                <w:b/>
                <w:sz w:val="24"/>
              </w:rPr>
            </w:pPr>
            <w:r>
              <w:rPr>
                <w:b/>
                <w:w w:val="95"/>
                <w:sz w:val="24"/>
              </w:rPr>
              <w:t>中银三星附加家鑫提前给付重大疾病保险条款</w:t>
            </w:r>
          </w:p>
          <w:p>
            <w:pPr>
              <w:pStyle w:val="TableParagraph"/>
              <w:spacing w:before="29"/>
              <w:ind w:left="2351" w:right="2349"/>
              <w:jc w:val="center"/>
              <w:rPr>
                <w:b/>
                <w:sz w:val="24"/>
              </w:rPr>
            </w:pPr>
            <w:r>
              <w:rPr>
                <w:b/>
                <w:sz w:val="24"/>
              </w:rPr>
              <w:t>（2015 年 9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47" w:hRule="atLeast"/>
        </w:trPr>
        <w:tc>
          <w:tcPr>
            <w:tcW w:w="9321" w:type="dxa"/>
            <w:gridSpan w:val="2"/>
          </w:tcPr>
          <w:p>
            <w:pPr>
              <w:pStyle w:val="TableParagraph"/>
              <w:spacing w:before="0"/>
              <w:ind w:left="0"/>
              <w:rPr>
                <w:rFonts w:ascii="Times New Roman"/>
                <w:sz w:val="19"/>
              </w:rPr>
            </w:pPr>
          </w:p>
          <w:p>
            <w:pPr>
              <w:pStyle w:val="TableParagraph"/>
              <w:spacing w:before="1"/>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8"/>
              <w:ind w:left="2351" w:right="2350"/>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6"/>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ind w:left="108" w:right="1810"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ind w:left="523"/>
              <w:rPr>
                <w:sz w:val="21"/>
              </w:rPr>
            </w:pPr>
            <w:r>
              <w:rPr>
                <w:sz w:val="21"/>
              </w:rPr>
              <w:t>六</w:t>
              <w:tab/>
              <w:t>毒品</w:t>
            </w:r>
          </w:p>
          <w:p>
            <w:pPr>
              <w:pStyle w:val="TableParagraph"/>
              <w:tabs>
                <w:tab w:pos="1574" w:val="left" w:leader="none"/>
              </w:tabs>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九</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十</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十一</w:t>
              <w:tab/>
              <w:t>现</w:t>
            </w:r>
            <w:r>
              <w:rPr>
                <w:spacing w:val="-3"/>
                <w:sz w:val="21"/>
              </w:rPr>
              <w:t>金</w:t>
            </w:r>
            <w:r>
              <w:rPr>
                <w:sz w:val="21"/>
              </w:rPr>
              <w:t>价值</w:t>
            </w:r>
          </w:p>
          <w:p>
            <w:pPr>
              <w:pStyle w:val="TableParagraph"/>
              <w:tabs>
                <w:tab w:pos="1574" w:val="left" w:leader="none"/>
              </w:tabs>
              <w:ind w:left="523"/>
              <w:rPr>
                <w:sz w:val="21"/>
              </w:rPr>
            </w:pPr>
            <w:r>
              <w:rPr>
                <w:sz w:val="21"/>
              </w:rPr>
              <w:t>十二</w:t>
              <w:tab/>
              <w:t>专</w:t>
            </w:r>
            <w:r>
              <w:rPr>
                <w:spacing w:val="-3"/>
                <w:sz w:val="21"/>
              </w:rPr>
              <w:t>科</w:t>
            </w:r>
            <w:r>
              <w:rPr>
                <w:sz w:val="21"/>
              </w:rPr>
              <w:t>医生</w:t>
            </w:r>
          </w:p>
          <w:p>
            <w:pPr>
              <w:pStyle w:val="TableParagraph"/>
              <w:tabs>
                <w:tab w:pos="1574" w:val="left" w:leader="none"/>
              </w:tabs>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十四</w:t>
              <w:tab/>
              <w:tab/>
              <w:t>语言能力或咀嚼吞咽能力完全丧 失</w:t>
            </w:r>
          </w:p>
          <w:p>
            <w:pPr>
              <w:pStyle w:val="TableParagraph"/>
              <w:tabs>
                <w:tab w:pos="1574" w:val="left" w:leader="none"/>
              </w:tabs>
              <w:spacing w:line="300" w:lineRule="auto" w:before="16"/>
              <w:ind w:left="523" w:right="977"/>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十七</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5"/>
              <w:rPr>
                <w:sz w:val="21"/>
              </w:rPr>
            </w:pPr>
            <w:r>
              <w:rPr>
                <w:spacing w:val="-3"/>
                <w:sz w:val="21"/>
              </w:rPr>
              <w:t>《中银三星附加家鑫提前给付重大疾病保险》合同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7036"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jc w:val="both"/>
              <w:rPr>
                <w:sz w:val="21"/>
              </w:rPr>
            </w:pPr>
            <w:r>
              <w:rPr>
                <w:sz w:val="21"/>
              </w:rPr>
              <w:t>一、重大疾病保险金</w:t>
            </w:r>
          </w:p>
          <w:p>
            <w:pPr>
              <w:pStyle w:val="TableParagraph"/>
              <w:spacing w:line="300" w:lineRule="auto"/>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4"/>
              <w:jc w:val="both"/>
              <w:rPr>
                <w:sz w:val="21"/>
              </w:rPr>
            </w:pPr>
            <w:r>
              <w:rPr>
                <w:sz w:val="21"/>
              </w:rPr>
              <w:t>（见释义二）确诊患本附加合同所定义的</w:t>
            </w:r>
            <w:r>
              <w:rPr>
                <w:b/>
                <w:sz w:val="21"/>
              </w:rPr>
              <w:t>重大疾病</w:t>
            </w:r>
            <w:r>
              <w:rPr>
                <w:sz w:val="21"/>
              </w:rPr>
              <w:t>（见释义三）（无论一种或多种），本公司按本附加合同基本保险金额的二倍给付重大疾病保险金，本附加合同终止。但因本附加合同有效期内发生的</w:t>
            </w:r>
            <w:r>
              <w:rPr>
                <w:b/>
                <w:sz w:val="21"/>
              </w:rPr>
              <w:t>意外伤害</w:t>
            </w:r>
            <w:r>
              <w:rPr>
                <w:sz w:val="21"/>
              </w:rPr>
              <w:t>（见释义四）导致重大疾病不受上述 90 日的限制。</w:t>
            </w:r>
          </w:p>
          <w:p>
            <w:pPr>
              <w:pStyle w:val="TableParagraph"/>
              <w:spacing w:line="300" w:lineRule="auto" w:before="15"/>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所交保险费，本附加合同终止。</w:t>
            </w:r>
          </w:p>
          <w:p>
            <w:pPr>
              <w:pStyle w:val="TableParagraph"/>
              <w:spacing w:line="300" w:lineRule="auto" w:before="15"/>
              <w:ind w:right="104"/>
              <w:jc w:val="both"/>
              <w:rPr>
                <w:sz w:val="21"/>
              </w:rPr>
            </w:pPr>
            <w:r>
              <w:rPr>
                <w:sz w:val="21"/>
              </w:rPr>
              <w:t>给付重大疾病保险金后，主合同的基本保险金额按照本附加合同的基本保险金额等额减少。自给付重大疾病保险金后，主合同各项权利义务按照变更后的基本保险金额核算。当主合同的基本保险金额减少至零时，主合同终止。</w:t>
            </w:r>
          </w:p>
          <w:p>
            <w:pPr>
              <w:pStyle w:val="TableParagraph"/>
              <w:spacing w:before="15"/>
              <w:jc w:val="both"/>
              <w:rPr>
                <w:sz w:val="21"/>
              </w:rPr>
            </w:pPr>
            <w:r>
              <w:rPr>
                <w:sz w:val="21"/>
              </w:rPr>
              <w:t>二、高残保险费豁免</w:t>
            </w:r>
          </w:p>
          <w:p>
            <w:pPr>
              <w:pStyle w:val="TableParagraph"/>
              <w:spacing w:line="300" w:lineRule="auto"/>
              <w:ind w:right="99"/>
              <w:jc w:val="both"/>
              <w:rPr>
                <w:sz w:val="21"/>
              </w:rPr>
            </w:pPr>
            <w:r>
              <w:rPr>
                <w:sz w:val="21"/>
              </w:rPr>
              <w:t>若被保险人因本附加合同交费期间内遭受的意外伤害或初次确诊的疾病导致</w:t>
            </w:r>
            <w:r>
              <w:rPr>
                <w:b/>
                <w:sz w:val="21"/>
              </w:rPr>
              <w:t>身体高度残疾</w:t>
            </w:r>
            <w:r>
              <w:rPr>
                <w:sz w:val="21"/>
              </w:rPr>
              <w:t>（见释义五），自被保险人确定为身体高度残疾后的首个保险费应付日起，本公司豁免本附加合同以后各期保险费。保险费豁免后，本附加合同不得变更交费方式、交费期间或基本保险金额，不得申请险种转换和保单借款。</w:t>
            </w:r>
          </w:p>
        </w:tc>
      </w:tr>
      <w:tr>
        <w:trPr>
          <w:trHeight w:val="1478"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right="104"/>
              <w:rPr>
                <w:sz w:val="21"/>
              </w:rPr>
            </w:pPr>
            <w:r>
              <w:rPr>
                <w:sz w:val="21"/>
              </w:rPr>
              <w:t>因下列情形之一或在效力中止期间被保险人身体高度残疾、患重大疾病、达到疾病状态或进行手术的，本公司不承担保险责任：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255" w:lineRule="exact"/>
              <w:rPr>
                <w:sz w:val="21"/>
              </w:rPr>
            </w:pPr>
            <w:r>
              <w:rPr>
                <w:sz w:val="21"/>
              </w:rPr>
              <w:t>二、被保险人故意自伤、故意犯罪或者抗拒依法采取的刑事强制措</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053"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608"/>
              <w:rPr>
                <w:sz w:val="21"/>
              </w:rPr>
            </w:pPr>
            <w:r>
              <w:rPr>
                <w:sz w:val="21"/>
              </w:rPr>
              <w:t>施；</w:t>
            </w:r>
          </w:p>
          <w:p>
            <w:pPr>
              <w:pStyle w:val="TableParagraph"/>
              <w:rPr>
                <w:sz w:val="21"/>
              </w:rPr>
            </w:pPr>
            <w:r>
              <w:rPr>
                <w:sz w:val="21"/>
              </w:rPr>
              <w:t>三、被保险人主动吸食或注射</w:t>
            </w:r>
            <w:r>
              <w:rPr>
                <w:b/>
                <w:sz w:val="21"/>
              </w:rPr>
              <w:t>毒品</w:t>
            </w:r>
            <w:r>
              <w:rPr>
                <w:sz w:val="21"/>
              </w:rPr>
              <w:t>（见释义六）；</w:t>
            </w:r>
          </w:p>
          <w:p>
            <w:pPr>
              <w:pStyle w:val="TableParagraph"/>
              <w:spacing w:line="300" w:lineRule="auto"/>
              <w:ind w:left="608" w:right="59" w:hanging="459"/>
              <w:rPr>
                <w:sz w:val="21"/>
              </w:rPr>
            </w:pPr>
            <w:r>
              <w:rPr>
                <w:sz w:val="21"/>
              </w:rPr>
              <w:t>四、被保险人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6"/>
              <w:ind w:right="68"/>
              <w:jc w:val="both"/>
              <w:rPr>
                <w:sz w:val="21"/>
              </w:rPr>
            </w:pPr>
            <w:r>
              <w:rPr>
                <w:sz w:val="21"/>
              </w:rPr>
              <w:t>五、战争、军事冲突、暴乱或武装叛乱；核爆炸、核辐射或核污染； 六、</w:t>
            </w:r>
            <w:r>
              <w:rPr>
                <w:b/>
                <w:sz w:val="21"/>
              </w:rPr>
              <w:t>先天性畸形、变形或染色体异常</w:t>
            </w:r>
            <w:r>
              <w:rPr>
                <w:sz w:val="21"/>
              </w:rPr>
              <w:t>(见释义十)。</w:t>
            </w:r>
          </w:p>
          <w:p>
            <w:pPr>
              <w:pStyle w:val="TableParagraph"/>
              <w:spacing w:line="300" w:lineRule="auto" w:before="16"/>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（见释义十一）。</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right="104"/>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4"/>
              <w:rPr>
                <w:sz w:val="21"/>
              </w:rPr>
            </w:pPr>
            <w:r>
              <w:rPr>
                <w:sz w:val="21"/>
              </w:rPr>
              <w:t>本附加合同的保险费交付方式、交费日期与主合同一致，本附加合同的保险费应与主合同一并交付。</w:t>
            </w:r>
          </w:p>
        </w:tc>
      </w:tr>
      <w:tr>
        <w:trPr>
          <w:trHeight w:val="2918" w:hRule="atLeast"/>
        </w:trPr>
        <w:tc>
          <w:tcPr>
            <w:tcW w:w="1070" w:type="dxa"/>
          </w:tcPr>
          <w:p>
            <w:pPr>
              <w:pStyle w:val="TableParagraph"/>
              <w:spacing w:before="174"/>
              <w:ind w:left="108"/>
              <w:rPr>
                <w:sz w:val="21"/>
              </w:rPr>
            </w:pPr>
            <w:r>
              <w:rPr>
                <w:sz w:val="21"/>
              </w:rPr>
              <w:t>第八条</w:t>
            </w:r>
          </w:p>
        </w:tc>
        <w:tc>
          <w:tcPr>
            <w:tcW w:w="1740" w:type="dxa"/>
          </w:tcPr>
          <w:p>
            <w:pPr>
              <w:pStyle w:val="TableParagraph"/>
              <w:spacing w:before="174"/>
              <w:ind w:left="329"/>
              <w:rPr>
                <w:sz w:val="21"/>
              </w:rPr>
            </w:pPr>
            <w:r>
              <w:rPr>
                <w:sz w:val="21"/>
              </w:rPr>
              <w:t>保险费率调整</w:t>
            </w:r>
          </w:p>
        </w:tc>
        <w:tc>
          <w:tcPr>
            <w:tcW w:w="6562" w:type="dxa"/>
          </w:tcPr>
          <w:p>
            <w:pPr>
              <w:pStyle w:val="TableParagraph"/>
              <w:spacing w:line="300" w:lineRule="auto" w:before="174"/>
              <w:ind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bl>
    <w:p>
      <w:pPr>
        <w:spacing w:after="0"/>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4"/>
      </w:tblGrid>
      <w:tr>
        <w:trPr>
          <w:trHeight w:val="2164" w:hRule="atLeast"/>
        </w:trPr>
        <w:tc>
          <w:tcPr>
            <w:tcW w:w="1175" w:type="dxa"/>
          </w:tcPr>
          <w:p>
            <w:pPr>
              <w:pStyle w:val="TableParagraph"/>
              <w:spacing w:line="211" w:lineRule="exact" w:before="0"/>
              <w:ind w:left="108"/>
              <w:rPr>
                <w:sz w:val="21"/>
              </w:rPr>
            </w:pPr>
            <w:r>
              <w:rPr>
                <w:sz w:val="21"/>
              </w:rPr>
              <w:t>第九条</w:t>
            </w:r>
          </w:p>
        </w:tc>
        <w:tc>
          <w:tcPr>
            <w:tcW w:w="1636" w:type="dxa"/>
          </w:tcPr>
          <w:p>
            <w:pPr>
              <w:pStyle w:val="TableParagraph"/>
              <w:spacing w:line="211" w:lineRule="exact" w:before="0"/>
              <w:ind w:left="224"/>
              <w:rPr>
                <w:sz w:val="21"/>
              </w:rPr>
            </w:pPr>
            <w:r>
              <w:rPr>
                <w:sz w:val="21"/>
              </w:rPr>
              <w:t>保险合同成立</w:t>
            </w:r>
          </w:p>
          <w:p>
            <w:pPr>
              <w:pStyle w:val="TableParagraph"/>
              <w:ind w:left="224"/>
              <w:rPr>
                <w:sz w:val="21"/>
              </w:rPr>
            </w:pPr>
            <w:r>
              <w:rPr>
                <w:sz w:val="21"/>
              </w:rPr>
              <w:t>与生效</w:t>
            </w:r>
          </w:p>
        </w:tc>
        <w:tc>
          <w:tcPr>
            <w:tcW w:w="6564" w:type="dxa"/>
          </w:tcPr>
          <w:p>
            <w:pPr>
              <w:pStyle w:val="TableParagraph"/>
              <w:spacing w:line="211" w:lineRule="exact" w:before="0"/>
              <w:ind w:left="148"/>
              <w:rPr>
                <w:sz w:val="21"/>
              </w:rPr>
            </w:pPr>
            <w:r>
              <w:rPr>
                <w:sz w:val="21"/>
              </w:rPr>
              <w:t>投保人于签订主合同同时申请签订本附加合同，本公司与投保人就承</w:t>
            </w:r>
          </w:p>
          <w:p>
            <w:pPr>
              <w:pStyle w:val="TableParagraph"/>
              <w:spacing w:line="300" w:lineRule="auto"/>
              <w:ind w:left="148" w:right="107"/>
              <w:jc w:val="both"/>
              <w:rPr>
                <w:sz w:val="21"/>
              </w:rPr>
            </w:pPr>
            <w:r>
              <w:rPr>
                <w:sz w:val="21"/>
              </w:rPr>
              <w:t>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保险期间</w:t>
            </w:r>
          </w:p>
        </w:tc>
        <w:tc>
          <w:tcPr>
            <w:tcW w:w="6564" w:type="dxa"/>
          </w:tcPr>
          <w:p>
            <w:pPr>
              <w:pStyle w:val="TableParagraph"/>
              <w:spacing w:line="300" w:lineRule="auto" w:before="174"/>
              <w:ind w:left="148" w:right="107"/>
              <w:rPr>
                <w:sz w:val="21"/>
              </w:rPr>
            </w:pPr>
            <w:r>
              <w:rPr>
                <w:sz w:val="21"/>
              </w:rPr>
              <w:t>本附加合同的保险期间载明于保险单上，保险期间自本附加合同生效时起算。</w:t>
            </w:r>
          </w:p>
        </w:tc>
      </w:tr>
      <w:tr>
        <w:trPr>
          <w:trHeight w:val="2389" w:hRule="atLeast"/>
        </w:trPr>
        <w:tc>
          <w:tcPr>
            <w:tcW w:w="1175" w:type="dxa"/>
          </w:tcPr>
          <w:p>
            <w:pPr>
              <w:pStyle w:val="TableParagraph"/>
              <w:spacing w:before="174"/>
              <w:ind w:left="108"/>
              <w:rPr>
                <w:sz w:val="21"/>
              </w:rPr>
            </w:pPr>
            <w:r>
              <w:rPr>
                <w:sz w:val="21"/>
              </w:rPr>
              <w:t>第十一条</w:t>
            </w:r>
          </w:p>
        </w:tc>
        <w:tc>
          <w:tcPr>
            <w:tcW w:w="1636" w:type="dxa"/>
          </w:tcPr>
          <w:p>
            <w:pPr>
              <w:pStyle w:val="TableParagraph"/>
              <w:spacing w:before="174"/>
              <w:ind w:left="224"/>
              <w:rPr>
                <w:sz w:val="21"/>
              </w:rPr>
            </w:pPr>
            <w:r>
              <w:rPr>
                <w:sz w:val="21"/>
              </w:rPr>
              <w:t>附加合同终止</w:t>
            </w:r>
          </w:p>
        </w:tc>
        <w:tc>
          <w:tcPr>
            <w:tcW w:w="6564" w:type="dxa"/>
          </w:tcPr>
          <w:p>
            <w:pPr>
              <w:pStyle w:val="TableParagraph"/>
              <w:spacing w:before="174"/>
              <w:ind w:left="148"/>
              <w:rPr>
                <w:sz w:val="21"/>
              </w:rPr>
            </w:pPr>
            <w:r>
              <w:rPr>
                <w:sz w:val="21"/>
              </w:rPr>
              <w:t>发生下列情形之一时，本附加合同终止：</w:t>
            </w:r>
          </w:p>
          <w:p>
            <w:pPr>
              <w:pStyle w:val="TableParagraph"/>
              <w:spacing w:line="300" w:lineRule="auto"/>
              <w:ind w:left="148" w:right="1156"/>
              <w:rPr>
                <w:sz w:val="21"/>
              </w:rPr>
            </w:pPr>
            <w:r>
              <w:rPr>
                <w:sz w:val="21"/>
              </w:rPr>
              <w:t>一、主合同保险期间届满、终止或变更为减额交清保险； 二、投保人申请解除本附加合同；</w:t>
            </w:r>
          </w:p>
          <w:p>
            <w:pPr>
              <w:pStyle w:val="TableParagraph"/>
              <w:spacing w:before="15"/>
              <w:ind w:left="148"/>
              <w:rPr>
                <w:sz w:val="21"/>
              </w:rPr>
            </w:pPr>
            <w:r>
              <w:rPr>
                <w:sz w:val="21"/>
              </w:rPr>
              <w:t>三、本附加合同保险期间届满；</w:t>
            </w:r>
          </w:p>
          <w:p>
            <w:pPr>
              <w:pStyle w:val="TableParagraph"/>
              <w:spacing w:before="67"/>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4" w:type="dxa"/>
            <w:shd w:val="clear" w:color="auto" w:fill="BEBEBE"/>
          </w:tcPr>
          <w:p>
            <w:pPr>
              <w:pStyle w:val="TableParagraph"/>
              <w:spacing w:before="0"/>
              <w:ind w:left="0"/>
              <w:rPr>
                <w:rFonts w:ascii="Times New Roman"/>
                <w:sz w:val="20"/>
              </w:rPr>
            </w:pPr>
          </w:p>
        </w:tc>
      </w:tr>
      <w:tr>
        <w:trPr>
          <w:trHeight w:val="6798"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4" w:type="dxa"/>
          </w:tcPr>
          <w:p>
            <w:pPr>
              <w:pStyle w:val="TableParagraph"/>
              <w:spacing w:before="2"/>
              <w:ind w:left="148"/>
              <w:rPr>
                <w:sz w:val="21"/>
              </w:rPr>
            </w:pPr>
            <w:r>
              <w:rPr>
                <w:sz w:val="21"/>
              </w:rPr>
              <w:t>一、重大疾病保险金</w:t>
            </w:r>
          </w:p>
          <w:p>
            <w:pPr>
              <w:pStyle w:val="TableParagraph"/>
              <w:spacing w:line="300" w:lineRule="auto"/>
              <w:ind w:left="148" w:right="107"/>
              <w:rPr>
                <w:sz w:val="21"/>
              </w:rPr>
            </w:pPr>
            <w:r>
              <w:rPr>
                <w:sz w:val="21"/>
              </w:rPr>
              <w:t>在申请重大疾病保险金时，重大疾病保险金受益人须填写保险金给付申请书，并提供下列证明和资料：</w:t>
            </w:r>
          </w:p>
          <w:p>
            <w:pPr>
              <w:pStyle w:val="TableParagraph"/>
              <w:numPr>
                <w:ilvl w:val="0"/>
                <w:numId w:val="1"/>
              </w:numPr>
              <w:tabs>
                <w:tab w:pos="568" w:val="left" w:leader="none"/>
                <w:tab w:pos="569" w:val="left" w:leader="none"/>
              </w:tabs>
              <w:spacing w:line="240" w:lineRule="auto" w:before="15" w:after="0"/>
              <w:ind w:left="607" w:right="0" w:hanging="459"/>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8" w:after="0"/>
              <w:ind w:left="607" w:right="0" w:hanging="459"/>
              <w:jc w:val="left"/>
              <w:rPr>
                <w:sz w:val="21"/>
              </w:rPr>
            </w:pPr>
            <w:r>
              <w:rPr>
                <w:spacing w:val="-3"/>
                <w:sz w:val="21"/>
              </w:rPr>
              <w:t>重大疾病保险金受益人的有效身份证件；</w:t>
            </w:r>
          </w:p>
          <w:p>
            <w:pPr>
              <w:pStyle w:val="TableParagraph"/>
              <w:numPr>
                <w:ilvl w:val="0"/>
                <w:numId w:val="1"/>
              </w:numPr>
              <w:tabs>
                <w:tab w:pos="568" w:val="left" w:leader="none"/>
                <w:tab w:pos="569" w:val="left" w:leader="none"/>
              </w:tabs>
              <w:spacing w:line="300" w:lineRule="auto" w:before="68" w:after="0"/>
              <w:ind w:left="607" w:right="107" w:hanging="459"/>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8" w:val="left" w:leader="none"/>
                <w:tab w:pos="569" w:val="left" w:leader="none"/>
              </w:tabs>
              <w:spacing w:line="300" w:lineRule="auto" w:before="16" w:after="0"/>
              <w:ind w:left="607" w:right="-15" w:hanging="459"/>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6"/>
              <w:ind w:left="148"/>
              <w:rPr>
                <w:sz w:val="21"/>
              </w:rPr>
            </w:pPr>
            <w:r>
              <w:rPr>
                <w:sz w:val="21"/>
              </w:rPr>
              <w:t>二、高残保险费豁免</w:t>
            </w:r>
          </w:p>
          <w:p>
            <w:pPr>
              <w:pStyle w:val="TableParagraph"/>
              <w:spacing w:line="300" w:lineRule="auto"/>
              <w:ind w:left="148" w:right="107"/>
              <w:rPr>
                <w:sz w:val="21"/>
              </w:rPr>
            </w:pPr>
            <w:r>
              <w:rPr>
                <w:sz w:val="21"/>
              </w:rPr>
              <w:t>在申请高残保险费豁免时，投保人须填写保险金给付申请书，并提供下列证明和资料：</w:t>
            </w:r>
          </w:p>
          <w:p>
            <w:pPr>
              <w:pStyle w:val="TableParagraph"/>
              <w:numPr>
                <w:ilvl w:val="0"/>
                <w:numId w:val="2"/>
              </w:numPr>
              <w:tabs>
                <w:tab w:pos="543" w:val="left" w:leader="none"/>
              </w:tabs>
              <w:spacing w:line="240" w:lineRule="auto" w:before="15" w:after="0"/>
              <w:ind w:left="542" w:right="0" w:hanging="360"/>
              <w:jc w:val="left"/>
              <w:rPr>
                <w:sz w:val="21"/>
              </w:rPr>
            </w:pPr>
            <w:r>
              <w:rPr>
                <w:spacing w:val="-1"/>
                <w:sz w:val="21"/>
              </w:rPr>
              <w:t>保险合同；</w:t>
            </w:r>
          </w:p>
          <w:p>
            <w:pPr>
              <w:pStyle w:val="TableParagraph"/>
              <w:numPr>
                <w:ilvl w:val="0"/>
                <w:numId w:val="2"/>
              </w:numPr>
              <w:tabs>
                <w:tab w:pos="543" w:val="left" w:leader="none"/>
              </w:tabs>
              <w:spacing w:line="240" w:lineRule="auto" w:before="68" w:after="0"/>
              <w:ind w:left="542" w:right="0" w:hanging="360"/>
              <w:jc w:val="left"/>
              <w:rPr>
                <w:sz w:val="21"/>
              </w:rPr>
            </w:pPr>
            <w:r>
              <w:rPr>
                <w:spacing w:val="-3"/>
                <w:sz w:val="21"/>
              </w:rPr>
              <w:t>高残保险费豁免申请人的有效身份证件；</w:t>
            </w:r>
          </w:p>
          <w:p>
            <w:pPr>
              <w:pStyle w:val="TableParagraph"/>
              <w:numPr>
                <w:ilvl w:val="0"/>
                <w:numId w:val="2"/>
              </w:numPr>
              <w:tabs>
                <w:tab w:pos="543" w:val="left" w:leader="none"/>
              </w:tabs>
              <w:spacing w:line="300" w:lineRule="auto" w:before="69" w:after="0"/>
              <w:ind w:left="542" w:right="106" w:hanging="360"/>
              <w:jc w:val="left"/>
              <w:rPr>
                <w:sz w:val="21"/>
              </w:rPr>
            </w:pPr>
            <w:r>
              <w:rPr>
                <w:sz w:val="21"/>
              </w:rPr>
              <w:t>由具有合法资质或国家有关机关指定或认可的伤残鉴定机构出具</w:t>
            </w:r>
            <w:r>
              <w:rPr>
                <w:spacing w:val="-3"/>
                <w:sz w:val="21"/>
              </w:rPr>
              <w:t>的被保险人残疾程度鉴定书；</w:t>
            </w:r>
          </w:p>
          <w:p>
            <w:pPr>
              <w:pStyle w:val="TableParagraph"/>
              <w:numPr>
                <w:ilvl w:val="0"/>
                <w:numId w:val="2"/>
              </w:numPr>
              <w:tabs>
                <w:tab w:pos="543" w:val="left" w:leader="none"/>
              </w:tabs>
              <w:spacing w:line="300" w:lineRule="auto" w:before="15" w:after="0"/>
              <w:ind w:left="542" w:right="106" w:hanging="360"/>
              <w:jc w:val="left"/>
              <w:rPr>
                <w:sz w:val="21"/>
              </w:rPr>
            </w:pPr>
            <w:r>
              <w:rPr>
                <w:sz w:val="21"/>
              </w:rPr>
              <w:t>投保人所能提供的与确认保险事故的时间、性质、原因、损失程</w:t>
            </w:r>
            <w:r>
              <w:rPr>
                <w:spacing w:val="-3"/>
                <w:sz w:val="21"/>
              </w:rPr>
              <w:t>度等相关的其他证明和资料。</w:t>
            </w:r>
          </w:p>
          <w:p>
            <w:pPr>
              <w:pStyle w:val="TableParagraph"/>
              <w:spacing w:before="15"/>
              <w:ind w:left="148"/>
              <w:rPr>
                <w:sz w:val="21"/>
              </w:rPr>
            </w:pPr>
            <w:r>
              <w:rPr>
                <w:sz w:val="21"/>
              </w:rPr>
              <w:t>本公司如果认为需要，可对被保险人进行身体检查，检查费用由本公</w:t>
            </w:r>
          </w:p>
          <w:p>
            <w:pPr>
              <w:pStyle w:val="TableParagraph"/>
              <w:spacing w:line="255" w:lineRule="exact"/>
              <w:ind w:left="148"/>
              <w:rPr>
                <w:sz w:val="21"/>
              </w:rPr>
            </w:pPr>
            <w:r>
              <w:rPr>
                <w:sz w:val="21"/>
              </w:rPr>
              <w:t>司承担。</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532"/>
        <w:gridCol w:w="6668"/>
      </w:tblGrid>
      <w:tr>
        <w:trPr>
          <w:trHeight w:val="791" w:hRule="atLeast"/>
        </w:trPr>
        <w:tc>
          <w:tcPr>
            <w:tcW w:w="1175"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668" w:type="dxa"/>
          </w:tcPr>
          <w:p>
            <w:pPr>
              <w:pStyle w:val="TableParagraph"/>
              <w:spacing w:line="211" w:lineRule="exact" w:before="0"/>
              <w:ind w:left="286"/>
              <w:rPr>
                <w:sz w:val="21"/>
              </w:rPr>
            </w:pPr>
            <w:r>
              <w:rPr>
                <w:sz w:val="21"/>
              </w:rPr>
              <w:t>以上证明和资料不完整的，本公司将及时一次性通知申请人补充提供</w:t>
            </w:r>
          </w:p>
          <w:p>
            <w:pPr>
              <w:pStyle w:val="TableParagraph"/>
              <w:ind w:left="286"/>
              <w:rPr>
                <w:sz w:val="21"/>
              </w:rPr>
            </w:pPr>
            <w:r>
              <w:rPr>
                <w:sz w:val="21"/>
              </w:rPr>
              <w:t>有关证明和资料。</w:t>
            </w:r>
          </w:p>
        </w:tc>
      </w:tr>
      <w:tr>
        <w:trPr>
          <w:trHeight w:val="4119" w:hRule="atLeast"/>
        </w:trPr>
        <w:tc>
          <w:tcPr>
            <w:tcW w:w="1175" w:type="dxa"/>
          </w:tcPr>
          <w:p>
            <w:pPr>
              <w:pStyle w:val="TableParagraph"/>
              <w:spacing w:before="174"/>
              <w:ind w:left="108"/>
              <w:rPr>
                <w:sz w:val="21"/>
              </w:rPr>
            </w:pPr>
            <w:r>
              <w:rPr>
                <w:sz w:val="21"/>
              </w:rPr>
              <w:t>第十三条</w:t>
            </w:r>
          </w:p>
        </w:tc>
        <w:tc>
          <w:tcPr>
            <w:tcW w:w="1532" w:type="dxa"/>
          </w:tcPr>
          <w:p>
            <w:pPr>
              <w:pStyle w:val="TableParagraph"/>
              <w:spacing w:before="174"/>
              <w:ind w:left="224"/>
              <w:rPr>
                <w:sz w:val="21"/>
              </w:rPr>
            </w:pPr>
            <w:r>
              <w:rPr>
                <w:sz w:val="21"/>
              </w:rPr>
              <w:t>保险金给付</w:t>
            </w:r>
          </w:p>
        </w:tc>
        <w:tc>
          <w:tcPr>
            <w:tcW w:w="6668" w:type="dxa"/>
          </w:tcPr>
          <w:p>
            <w:pPr>
              <w:pStyle w:val="TableParagraph"/>
              <w:spacing w:line="300" w:lineRule="auto" w:before="174"/>
              <w:ind w:left="252" w:right="107"/>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204"/>
              <w:rPr>
                <w:sz w:val="21"/>
              </w:rPr>
            </w:pPr>
            <w:r>
              <w:rPr>
                <w:sz w:val="21"/>
              </w:rPr>
              <w:t>对属于保险责任的，本公司在与受益人达成给付保险金的协议后 10 日内，履行给付保险金义务。</w:t>
            </w:r>
          </w:p>
          <w:p>
            <w:pPr>
              <w:pStyle w:val="TableParagraph"/>
              <w:spacing w:line="300" w:lineRule="auto" w:before="16"/>
              <w:ind w:left="252" w:right="107"/>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107"/>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252" w:right="103"/>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372" w:hRule="atLeast"/>
        </w:trPr>
        <w:tc>
          <w:tcPr>
            <w:tcW w:w="1175" w:type="dxa"/>
          </w:tcPr>
          <w:p>
            <w:pPr>
              <w:pStyle w:val="TableParagraph"/>
              <w:spacing w:before="174"/>
              <w:ind w:left="108"/>
              <w:rPr>
                <w:sz w:val="21"/>
              </w:rPr>
            </w:pPr>
            <w:r>
              <w:rPr>
                <w:sz w:val="21"/>
              </w:rPr>
              <w:t>第十四条</w:t>
            </w:r>
          </w:p>
        </w:tc>
        <w:tc>
          <w:tcPr>
            <w:tcW w:w="1532" w:type="dxa"/>
          </w:tcPr>
          <w:p>
            <w:pPr>
              <w:pStyle w:val="TableParagraph"/>
              <w:spacing w:before="174"/>
              <w:ind w:left="224"/>
              <w:rPr>
                <w:sz w:val="21"/>
              </w:rPr>
            </w:pPr>
            <w:r>
              <w:rPr>
                <w:sz w:val="21"/>
              </w:rPr>
              <w:t>诉讼时效</w:t>
            </w:r>
          </w:p>
        </w:tc>
        <w:tc>
          <w:tcPr>
            <w:tcW w:w="6668" w:type="dxa"/>
          </w:tcPr>
          <w:p>
            <w:pPr>
              <w:pStyle w:val="TableParagraph"/>
              <w:spacing w:line="300" w:lineRule="auto" w:before="174"/>
              <w:ind w:left="252" w:right="107"/>
              <w:rPr>
                <w:sz w:val="21"/>
              </w:rPr>
            </w:pPr>
            <w:r>
              <w:rPr>
                <w:spacing w:val="-3"/>
                <w:sz w:val="21"/>
              </w:rPr>
              <w:t>被保险人或受益人向本公司请求给付重大疾病保险金或豁免保险费的</w:t>
            </w:r>
            <w:r>
              <w:rPr>
                <w:spacing w:val="-9"/>
                <w:sz w:val="21"/>
              </w:rPr>
              <w:t>诉讼时效期间为 </w:t>
            </w:r>
            <w:r>
              <w:rPr>
                <w:sz w:val="21"/>
              </w:rPr>
              <w:t>2</w:t>
            </w:r>
            <w:r>
              <w:rPr>
                <w:spacing w:val="-8"/>
                <w:sz w:val="21"/>
              </w:rPr>
              <w:t> 年,自其知道或者应当知道保险事故发生之日起计算。</w:t>
            </w:r>
          </w:p>
        </w:tc>
      </w:tr>
      <w:tr>
        <w:trPr>
          <w:trHeight w:val="4634" w:hRule="atLeast"/>
        </w:trPr>
        <w:tc>
          <w:tcPr>
            <w:tcW w:w="1175" w:type="dxa"/>
          </w:tcPr>
          <w:p>
            <w:pPr>
              <w:pStyle w:val="TableParagraph"/>
              <w:spacing w:before="174"/>
              <w:ind w:left="108"/>
              <w:rPr>
                <w:sz w:val="21"/>
              </w:rPr>
            </w:pPr>
            <w:r>
              <w:rPr>
                <w:sz w:val="21"/>
              </w:rPr>
              <w:t>第十五条</w:t>
            </w:r>
          </w:p>
        </w:tc>
        <w:tc>
          <w:tcPr>
            <w:tcW w:w="1532" w:type="dxa"/>
          </w:tcPr>
          <w:p>
            <w:pPr>
              <w:pStyle w:val="TableParagraph"/>
              <w:spacing w:before="174"/>
              <w:ind w:left="224"/>
              <w:rPr>
                <w:sz w:val="21"/>
              </w:rPr>
            </w:pPr>
            <w:r>
              <w:rPr>
                <w:sz w:val="21"/>
              </w:rPr>
              <w:t>受益人</w:t>
            </w:r>
          </w:p>
        </w:tc>
        <w:tc>
          <w:tcPr>
            <w:tcW w:w="6668" w:type="dxa"/>
          </w:tcPr>
          <w:p>
            <w:pPr>
              <w:pStyle w:val="TableParagraph"/>
              <w:spacing w:line="300" w:lineRule="auto" w:before="174"/>
              <w:ind w:left="252" w:right="107"/>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252"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left="252" w:right="107"/>
              <w:rPr>
                <w:sz w:val="21"/>
              </w:rPr>
            </w:pPr>
            <w:r>
              <w:rPr>
                <w:sz w:val="21"/>
              </w:rPr>
              <w:t>被保险人为无民事行为能力人或限制民事行为能力人的，可以由其监护人指定受益人。</w:t>
            </w:r>
          </w:p>
          <w:p>
            <w:pPr>
              <w:pStyle w:val="TableParagraph"/>
              <w:spacing w:line="300" w:lineRule="auto" w:before="15"/>
              <w:ind w:left="252" w:right="107"/>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5"/>
              <w:ind w:left="252"/>
              <w:rPr>
                <w:sz w:val="21"/>
              </w:rPr>
            </w:pPr>
            <w:r>
              <w:rPr>
                <w:sz w:val="21"/>
              </w:rPr>
              <w:t>投保人指定和变更受益人时须经被保险人同意。</w:t>
            </w:r>
          </w:p>
          <w:p>
            <w:pPr>
              <w:pStyle w:val="TableParagraph"/>
              <w:spacing w:line="300" w:lineRule="auto"/>
              <w:ind w:left="252" w:right="107"/>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532" w:type="dxa"/>
            <w:shd w:val="clear" w:color="auto" w:fill="BEBEBE"/>
          </w:tcPr>
          <w:p>
            <w:pPr>
              <w:pStyle w:val="TableParagraph"/>
              <w:spacing w:before="2"/>
              <w:ind w:left="224"/>
              <w:rPr>
                <w:b/>
                <w:sz w:val="21"/>
              </w:rPr>
            </w:pPr>
            <w:r>
              <w:rPr>
                <w:b/>
                <w:sz w:val="21"/>
              </w:rPr>
              <w:t>释义</w:t>
            </w:r>
          </w:p>
        </w:tc>
        <w:tc>
          <w:tcPr>
            <w:tcW w:w="6668"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532" w:type="dxa"/>
          </w:tcPr>
          <w:p>
            <w:pPr>
              <w:pStyle w:val="TableParagraph"/>
              <w:spacing w:before="2"/>
              <w:ind w:left="224"/>
              <w:rPr>
                <w:sz w:val="21"/>
              </w:rPr>
            </w:pPr>
            <w:r>
              <w:rPr>
                <w:sz w:val="21"/>
              </w:rPr>
              <w:t>释义</w:t>
            </w:r>
          </w:p>
        </w:tc>
        <w:tc>
          <w:tcPr>
            <w:tcW w:w="6668"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532" w:type="dxa"/>
          </w:tcPr>
          <w:p>
            <w:pPr>
              <w:pStyle w:val="TableParagraph"/>
              <w:spacing w:before="2"/>
              <w:ind w:left="224"/>
              <w:rPr>
                <w:sz w:val="21"/>
              </w:rPr>
            </w:pPr>
            <w:r>
              <w:rPr>
                <w:sz w:val="21"/>
              </w:rPr>
              <w:t>本公司</w:t>
            </w:r>
          </w:p>
        </w:tc>
        <w:tc>
          <w:tcPr>
            <w:tcW w:w="6668" w:type="dxa"/>
          </w:tcPr>
          <w:p>
            <w:pPr>
              <w:pStyle w:val="TableParagraph"/>
              <w:spacing w:before="2"/>
              <w:ind w:left="252"/>
              <w:rPr>
                <w:sz w:val="21"/>
              </w:rPr>
            </w:pPr>
            <w:r>
              <w:rPr>
                <w:sz w:val="21"/>
              </w:rPr>
              <w:t>指中银三星人寿保险有限公司。</w:t>
            </w:r>
          </w:p>
        </w:tc>
      </w:tr>
      <w:tr>
        <w:trPr>
          <w:trHeight w:val="448" w:hRule="atLeast"/>
        </w:trPr>
        <w:tc>
          <w:tcPr>
            <w:tcW w:w="1175" w:type="dxa"/>
          </w:tcPr>
          <w:p>
            <w:pPr>
              <w:pStyle w:val="TableParagraph"/>
              <w:spacing w:line="255" w:lineRule="exact" w:before="174"/>
              <w:ind w:left="116"/>
              <w:jc w:val="center"/>
              <w:rPr>
                <w:sz w:val="21"/>
              </w:rPr>
            </w:pPr>
            <w:r>
              <w:rPr>
                <w:w w:val="100"/>
                <w:sz w:val="21"/>
              </w:rPr>
              <w:t>二</w:t>
            </w:r>
          </w:p>
        </w:tc>
        <w:tc>
          <w:tcPr>
            <w:tcW w:w="1532" w:type="dxa"/>
          </w:tcPr>
          <w:p>
            <w:pPr>
              <w:pStyle w:val="TableParagraph"/>
              <w:spacing w:line="255" w:lineRule="exact" w:before="174"/>
              <w:ind w:left="224"/>
              <w:rPr>
                <w:sz w:val="21"/>
              </w:rPr>
            </w:pPr>
            <w:r>
              <w:rPr>
                <w:sz w:val="21"/>
              </w:rPr>
              <w:t>医院</w:t>
            </w:r>
          </w:p>
        </w:tc>
        <w:tc>
          <w:tcPr>
            <w:tcW w:w="6668" w:type="dxa"/>
          </w:tcPr>
          <w:p>
            <w:pPr>
              <w:pStyle w:val="TableParagraph"/>
              <w:spacing w:line="255" w:lineRule="exact" w:before="174"/>
              <w:ind w:left="252"/>
              <w:rPr>
                <w:sz w:val="21"/>
              </w:rPr>
            </w:pPr>
            <w:r>
              <w:rPr>
                <w:sz w:val="21"/>
              </w:rPr>
              <w:t>指在本附加合同中列明的医院。本附加合同未列明的，则指国家卫生</w:t>
            </w:r>
          </w:p>
        </w:tc>
      </w:tr>
    </w:tbl>
    <w:p>
      <w:pPr>
        <w:spacing w:after="0" w:line="255" w:lineRule="exact"/>
        <w:rPr>
          <w:sz w:val="21"/>
        </w:rPr>
        <w:sectPr>
          <w:pgSz w:w="11910" w:h="16840"/>
          <w:pgMar w:header="0" w:footer="919" w:top="1580" w:bottom="1100" w:left="1180" w:right="11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791"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spacing w:line="211" w:lineRule="exact" w:before="0"/>
              <w:ind w:left="359"/>
              <w:rPr>
                <w:sz w:val="21"/>
              </w:rPr>
            </w:pPr>
            <w:r>
              <w:rPr>
                <w:sz w:val="21"/>
              </w:rPr>
              <w:t>行政部门评定的二级或二级以上公立医院，但不包括康复、护理、疗</w:t>
            </w:r>
          </w:p>
          <w:p>
            <w:pPr>
              <w:pStyle w:val="TableParagraph"/>
              <w:ind w:left="359"/>
              <w:rPr>
                <w:sz w:val="21"/>
              </w:rPr>
            </w:pPr>
            <w:r>
              <w:rPr>
                <w:sz w:val="21"/>
              </w:rPr>
              <w:t>养、戒酒、戒毒或类似性质的医疗机构。</w:t>
            </w:r>
          </w:p>
        </w:tc>
      </w:tr>
      <w:tr>
        <w:trPr>
          <w:trHeight w:val="11776"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2" w:type="dxa"/>
          </w:tcPr>
          <w:p>
            <w:pPr>
              <w:pStyle w:val="TableParagraph"/>
              <w:spacing w:line="300" w:lineRule="auto" w:before="174"/>
              <w:ind w:left="359" w:right="304"/>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9"/>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4"/>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4" w:hanging="360"/>
              <w:rPr>
                <w:sz w:val="21"/>
              </w:rPr>
            </w:pPr>
            <w:r>
              <w:rPr>
                <w:sz w:val="21"/>
              </w:rPr>
              <w:t>③ 心肌酶或肌钙蛋白有诊断意义的升高，或呈符合急性心肌梗塞的动态性变化；</w:t>
            </w:r>
          </w:p>
          <w:p>
            <w:pPr>
              <w:pStyle w:val="TableParagraph"/>
              <w:spacing w:line="300" w:lineRule="auto" w:before="16"/>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3"/>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00" w:lineRule="auto"/>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line="255" w:lineRule="exact" w:before="15"/>
              <w:ind w:left="359"/>
              <w:rPr>
                <w:sz w:val="21"/>
              </w:rPr>
            </w:pPr>
            <w:r>
              <w:rPr>
                <w:sz w:val="21"/>
              </w:rPr>
              <w:t>① 一肢或一肢以上肢体机能完全丧失；</w:t>
            </w:r>
          </w:p>
        </w:tc>
      </w:tr>
    </w:tbl>
    <w:p>
      <w:pPr>
        <w:spacing w:after="0" w:line="255" w:lineRule="exact"/>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158"/>
        <w:ind w:left="3049"/>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left="3049" w:right="209"/>
      </w:pPr>
      <w:r>
        <w:rPr/>
        <w:t>重大器官移植术，指因相应器官功能衰竭，已经实施了肾脏、肝脏、心脏或肺脏的异体移植手术。</w:t>
      </w:r>
    </w:p>
    <w:p>
      <w:pPr>
        <w:pStyle w:val="BodyText"/>
        <w:spacing w:line="300" w:lineRule="auto" w:before="15"/>
        <w:ind w:left="3049"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left="3049" w:right="209"/>
      </w:pPr>
      <w:r>
        <w:rPr/>
        <w:t>指双肾功能慢性不可逆性衰竭，达到尿毒症期，经诊断后已经进行了至少 90 天的规律性透析治疗或实施了肾脏移植手术。</w:t>
      </w:r>
    </w:p>
    <w:p>
      <w:pPr>
        <w:pStyle w:val="BodyText"/>
        <w:spacing w:before="6"/>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ind w:left="3049"/>
      </w:pPr>
      <w:r>
        <w:rPr/>
        <w:t>指因疾病或意外伤害导致两个或两个以上肢体自腕关节或踝关节近端</w:t>
      </w:r>
    </w:p>
    <w:p>
      <w:pPr>
        <w:pStyle w:val="BodyText"/>
        <w:ind w:left="3049"/>
      </w:pPr>
      <w:r>
        <w:rPr/>
        <w:t>（靠近躯干端）以上完全性断离。</w:t>
      </w:r>
    </w:p>
    <w:p>
      <w:pPr>
        <w:pStyle w:val="BodyText"/>
        <w:spacing w:before="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left="3049" w:right="209"/>
      </w:pPr>
      <w:r>
        <w:rPr/>
        <w:t>指因肝炎病毒感染引起肝脏组织弥漫性坏死，导致急性肝功能衰竭， 且经血清学或病毒学检查证实，并须满足下列全部条件：</w:t>
      </w:r>
    </w:p>
    <w:p>
      <w:pPr>
        <w:pStyle w:val="BodyText"/>
        <w:spacing w:before="16"/>
        <w:ind w:left="3049"/>
      </w:pPr>
      <w:r>
        <w:rPr/>
        <w:t>① 重度黄疸或黄疸迅速加重；</w:t>
      </w:r>
    </w:p>
    <w:p>
      <w:pPr>
        <w:pStyle w:val="BodyText"/>
        <w:ind w:left="3049"/>
      </w:pPr>
      <w:r>
        <w:rPr/>
        <w:t>② 肝性脑病；</w:t>
      </w:r>
    </w:p>
    <w:p>
      <w:pPr>
        <w:pStyle w:val="BodyText"/>
        <w:ind w:left="3049"/>
      </w:pPr>
      <w:r>
        <w:rPr/>
        <w:t>③ B 超或其它影像学检查显示肝脏体积急速萎缩；</w:t>
      </w:r>
    </w:p>
    <w:p>
      <w:pPr>
        <w:pStyle w:val="BodyText"/>
        <w:ind w:left="3049"/>
      </w:pPr>
      <w:r>
        <w:rPr/>
        <w:t>④ 肝功能指标进行性恶化。</w:t>
      </w:r>
    </w:p>
    <w:p>
      <w:pPr>
        <w:pStyle w:val="BodyText"/>
        <w:spacing w:before="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before="15"/>
        <w:ind w:left="3049"/>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p>
    <w:p>
      <w:pPr>
        <w:spacing w:after="0"/>
        <w:sectPr>
          <w:pgSz w:w="11910" w:h="16840"/>
          <w:pgMar w:header="0" w:footer="919" w:top="1580" w:bottom="1100" w:left="1200" w:right="1140"/>
        </w:sectPr>
      </w:pPr>
    </w:p>
    <w:p>
      <w:pPr>
        <w:pStyle w:val="BodyText"/>
        <w:spacing w:before="12"/>
        <w:rPr>
          <w:sz w:val="26"/>
        </w:rPr>
      </w:pPr>
    </w:p>
    <w:p>
      <w:pPr>
        <w:pStyle w:val="BodyText"/>
        <w:spacing w:before="36"/>
        <w:ind w:left="3049"/>
      </w:pPr>
      <w:r>
        <w:rPr/>
        <w:t>检查证实，并须满足下列至少一项条件：</w:t>
      </w:r>
    </w:p>
    <w:p>
      <w:pPr>
        <w:pStyle w:val="BodyText"/>
        <w:ind w:left="3049"/>
      </w:pPr>
      <w:r>
        <w:rPr/>
        <w:t>① 实际实施了开颅进行的脑肿瘤完全切除或部分切除的手术；</w:t>
      </w:r>
    </w:p>
    <w:p>
      <w:pPr>
        <w:pStyle w:val="BodyText"/>
        <w:ind w:left="3049"/>
      </w:pPr>
      <w:r>
        <w:rPr/>
        <w:t>② 实际实施了对脑肿瘤进行的放射治疗。</w:t>
      </w:r>
    </w:p>
    <w:p>
      <w:pPr>
        <w:pStyle w:val="BodyText"/>
        <w:ind w:left="3049"/>
      </w:pPr>
      <w:r>
        <w:rPr/>
        <w:t>脑垂体瘤、脑囊肿、脑血管性疾病不在保障范围内。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ind w:left="3049"/>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left="3049"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ind w:left="3049"/>
      </w:pPr>
      <w:r>
        <w:rPr/>
        <w:t>指因疾病或意外伤害导致双耳听力永久不可逆性丧失，在 500 赫兹、</w:t>
      </w:r>
    </w:p>
    <w:p>
      <w:pPr>
        <w:pStyle w:val="BodyText"/>
        <w:spacing w:line="300" w:lineRule="auto"/>
        <w:ind w:left="3049"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双目失明</w:t>
      </w:r>
    </w:p>
    <w:p>
      <w:pPr>
        <w:pStyle w:val="BodyText"/>
        <w:spacing w:line="300" w:lineRule="auto"/>
        <w:ind w:left="3049" w:right="207" w:firstLine="105"/>
      </w:pPr>
      <w:r>
        <w:rPr>
          <w:spacing w:val="-8"/>
        </w:rPr>
        <w:t>指因疾病或意外伤害导致双眼视力永久不可逆性丧失，双眼中较好眼</w:t>
      </w:r>
      <w:r>
        <w:rPr>
          <w:spacing w:val="-5"/>
        </w:rPr>
        <w:t>须满足下列至少一项条件：</w:t>
      </w:r>
    </w:p>
    <w:p>
      <w:pPr>
        <w:pStyle w:val="BodyText"/>
        <w:spacing w:before="15"/>
        <w:ind w:left="3049"/>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ind w:left="3049"/>
      </w:pPr>
      <w:r>
        <w:rPr/>
        <w:t>③ 视野半径小于 5 度。</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z w:val="21"/>
        </w:rPr>
        <w:t>瘫痪</w:t>
      </w:r>
    </w:p>
    <w:p>
      <w:pPr>
        <w:pStyle w:val="BodyText"/>
        <w:spacing w:line="300" w:lineRule="auto"/>
        <w:ind w:left="3049"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spacing w:after="0" w:line="300" w:lineRule="auto"/>
        <w:sectPr>
          <w:pgSz w:w="11910" w:h="16840"/>
          <w:pgMar w:header="0" w:footer="919" w:top="1580" w:bottom="1180" w:left="1200" w:right="1140"/>
        </w:sectPr>
      </w:pPr>
    </w:p>
    <w:p>
      <w:pPr>
        <w:pStyle w:val="BodyText"/>
        <w:spacing w:before="0"/>
        <w:rPr>
          <w:sz w:val="20"/>
        </w:rPr>
      </w:pPr>
    </w:p>
    <w:p>
      <w:pPr>
        <w:pStyle w:val="BodyText"/>
        <w:spacing w:before="0"/>
        <w:rPr>
          <w:sz w:val="20"/>
        </w:rPr>
      </w:pPr>
    </w:p>
    <w:p>
      <w:pPr>
        <w:pStyle w:val="BodyText"/>
        <w:spacing w:before="12"/>
        <w:rPr>
          <w:sz w:val="15"/>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left="3049" w:right="109"/>
      </w:pPr>
      <w:r>
        <w:rPr/>
        <w:t>指为治疗心脏瓣膜疾病，实际实施了开胸进行的心脏瓣膜置换或修复的手术。</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left="3049" w:right="1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ind w:left="3049"/>
      </w:pPr>
      <w:r>
        <w:rPr/>
        <w:t>神经官能症和精神疾病不在保障范围内。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7"/>
        <w:ind w:left="3049" w:right="1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ind w:left="3049"/>
      </w:pPr>
      <w:r>
        <w:rPr/>
        <w:t>① 一肢或一肢以上肢体机能完全丧失；</w:t>
      </w:r>
    </w:p>
    <w:p>
      <w:pPr>
        <w:pStyle w:val="BodyText"/>
        <w:ind w:left="3049"/>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left="3049" w:right="109"/>
      </w:pPr>
      <w:r>
        <w:rPr/>
        <w:t>是指一种中枢神经系统的退行性疾病，临床表现为震颤麻痹、共济失调等。须满足下列全部条件：</w:t>
      </w:r>
    </w:p>
    <w:p>
      <w:pPr>
        <w:pStyle w:val="BodyText"/>
        <w:spacing w:before="15"/>
        <w:ind w:left="3049"/>
      </w:pPr>
      <w:r>
        <w:rPr/>
        <w:t>① 药物治疗无法控制病情；</w:t>
      </w:r>
    </w:p>
    <w:p>
      <w:pPr>
        <w:pStyle w:val="BodyText"/>
        <w:spacing w:line="300" w:lineRule="auto"/>
        <w:ind w:left="3409" w:right="169" w:hanging="360"/>
      </w:pPr>
      <w:r>
        <w:rPr/>
        <w:t>② 自主生活能力完全丧失，无法独立完成六项基本日常生活活动中的三项或三项以上。</w:t>
      </w:r>
    </w:p>
    <w:p>
      <w:pPr>
        <w:pStyle w:val="BodyText"/>
        <w:spacing w:line="300" w:lineRule="auto" w:before="16"/>
        <w:ind w:left="304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ind w:left="3049"/>
      </w:pPr>
      <w:r>
        <w:rPr/>
        <w:t>继发性帕金森综合征不在保障范围内。</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ind w:left="3049"/>
      </w:pPr>
      <w:r>
        <w:rPr/>
        <w:t>指烧伤程度为Ⅲ度，且Ⅲ度烧伤的面积达到全身体表面积的 20％或</w:t>
      </w:r>
    </w:p>
    <w:p>
      <w:pPr>
        <w:spacing w:after="0"/>
        <w:sectPr>
          <w:pgSz w:w="11910" w:h="16840"/>
          <w:pgMar w:header="0" w:footer="919" w:top="1580" w:bottom="1180" w:left="1200" w:right="1240"/>
        </w:sectPr>
      </w:pPr>
    </w:p>
    <w:p>
      <w:pPr>
        <w:pStyle w:val="BodyText"/>
        <w:spacing w:before="12"/>
        <w:rPr>
          <w:sz w:val="26"/>
        </w:rPr>
      </w:pPr>
    </w:p>
    <w:p>
      <w:pPr>
        <w:pStyle w:val="BodyText"/>
        <w:spacing w:before="36"/>
        <w:ind w:left="3049"/>
      </w:pPr>
      <w:r>
        <w:rPr/>
        <w:t>20％以上。体表面积根据《中国新九分法》计算。</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left="3049"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left="3049"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left="3049"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left="3049" w:right="209"/>
      </w:pPr>
      <w:r>
        <w:rPr/>
        <w:t>指因骨髓造血功能慢性持续性衰竭导致的贫血、中性粒细胞减少及血小板减少。须满足下列全部条件：</w:t>
      </w:r>
    </w:p>
    <w:p>
      <w:pPr>
        <w:pStyle w:val="BodyText"/>
        <w:spacing w:before="16"/>
        <w:ind w:left="3049"/>
      </w:pPr>
      <w:r>
        <w:rPr/>
        <w:t>① 骨髓穿刺检查或骨髓活检结果支持诊断；</w:t>
      </w:r>
    </w:p>
    <w:p>
      <w:pPr>
        <w:pStyle w:val="BodyText"/>
        <w:ind w:left="3049"/>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left="3049"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ind w:left="3049"/>
      </w:pPr>
      <w:r>
        <w:rPr/>
        <w:t>动脉内血管成形术不在保障范围内。</w:t>
      </w:r>
    </w:p>
    <w:p>
      <w:pPr>
        <w:pStyle w:val="BodyText"/>
        <w:spacing w:before="0"/>
        <w:rPr>
          <w:sz w:val="20"/>
        </w:rPr>
      </w:pPr>
    </w:p>
    <w:p>
      <w:pPr>
        <w:pStyle w:val="BodyText"/>
        <w:tabs>
          <w:tab w:pos="3468" w:val="left" w:leader="none"/>
        </w:tabs>
        <w:spacing w:line="300" w:lineRule="auto" w:before="150"/>
        <w:ind w:left="3469" w:right="262" w:hanging="420"/>
      </w:pPr>
      <w:r>
        <w:rPr/>
        <w:t>2.</w:t>
        <w:tab/>
        <w:t>6</w:t>
      </w:r>
      <w:r>
        <w:rPr>
          <w:spacing w:val="-5"/>
        </w:rPr>
        <w:t> 种中国保险行业协会推荐范围以外的疾病是指符合下列条件的疾病：</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spacing w:after="0" w:line="240" w:lineRule="auto"/>
        <w:jc w:val="left"/>
        <w:rPr>
          <w:sz w:val="21"/>
        </w:rPr>
        <w:sectPr>
          <w:pgSz w:w="11910" w:h="16840"/>
          <w:pgMar w:header="0" w:footer="919" w:top="1580" w:bottom="1180" w:left="1200" w:right="1140"/>
        </w:sectPr>
      </w:pPr>
    </w:p>
    <w:p>
      <w:pPr>
        <w:pStyle w:val="BodyText"/>
        <w:spacing w:before="12"/>
        <w:rPr>
          <w:sz w:val="26"/>
        </w:rPr>
      </w:pPr>
    </w:p>
    <w:p>
      <w:pPr>
        <w:pStyle w:val="BodyText"/>
        <w:spacing w:line="300" w:lineRule="auto" w:before="36"/>
        <w:ind w:left="3049"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ind w:left="3049" w:right="109"/>
      </w:pPr>
      <w:r>
        <w:rPr/>
        <w:t>是一组以与神经系统无关的肌肉无力及萎缩为特征的遗传性疾病，并导致永久性运动功能障碍。须满足下列全部条件：</w:t>
      </w:r>
    </w:p>
    <w:p>
      <w:pPr>
        <w:pStyle w:val="BodyText"/>
        <w:tabs>
          <w:tab w:pos="3468" w:val="left" w:leader="none"/>
        </w:tabs>
        <w:spacing w:before="15"/>
        <w:ind w:left="3049"/>
      </w:pPr>
      <w:r>
        <w:rPr/>
        <w:t>①</w:t>
        <w:tab/>
      </w:r>
      <w:r>
        <w:rPr>
          <w:spacing w:val="-3"/>
        </w:rPr>
        <w:t>肌电图显示肌营养不良症的特征性改变；</w:t>
      </w:r>
    </w:p>
    <w:p>
      <w:pPr>
        <w:pStyle w:val="BodyText"/>
        <w:tabs>
          <w:tab w:pos="3468" w:val="left" w:leader="none"/>
        </w:tabs>
        <w:spacing w:line="300" w:lineRule="auto" w:before="67"/>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left="3049" w:right="1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系统性红斑狼疮</w:t>
      </w:r>
    </w:p>
    <w:p>
      <w:pPr>
        <w:pStyle w:val="BodyText"/>
        <w:spacing w:line="300" w:lineRule="auto" w:before="69"/>
        <w:ind w:left="3049"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ind w:left="3049"/>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spacing w:after="0" w:line="240" w:lineRule="auto"/>
        <w:jc w:val="left"/>
        <w:rPr>
          <w:sz w:val="21"/>
        </w:rPr>
        <w:sectPr>
          <w:pgSz w:w="11910" w:h="16840"/>
          <w:pgMar w:header="0" w:footer="919" w:top="1580" w:bottom="1180" w:left="1200" w:right="12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6283"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是指广泛的慢性渐进性的关节损害，伴有明显的关节畸形，必须具有</w:t>
            </w:r>
          </w:p>
          <w:p>
            <w:pPr>
              <w:pStyle w:val="TableParagraph"/>
              <w:rPr>
                <w:sz w:val="21"/>
              </w:rPr>
            </w:pPr>
            <w:r>
              <w:rPr>
                <w:sz w:val="21"/>
              </w:rPr>
              <w:t>下列所有情况：</w:t>
            </w:r>
          </w:p>
          <w:p>
            <w:pPr>
              <w:pStyle w:val="TableParagraph"/>
              <w:tabs>
                <w:tab w:pos="569" w:val="left" w:leader="none"/>
              </w:tabs>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ind w:left="56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5"/>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5"/>
              <w:ind w:right="304"/>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ind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2" w:type="dxa"/>
          </w:tcPr>
          <w:p>
            <w:pPr>
              <w:pStyle w:val="TableParagraph"/>
              <w:spacing w:before="174"/>
              <w:rPr>
                <w:sz w:val="21"/>
              </w:rPr>
            </w:pPr>
            <w:r>
              <w:rPr>
                <w:sz w:val="21"/>
              </w:rPr>
              <w:t>指外来的、突然的、非本意的、非疾病的使身体受到伤害的客观事件。</w:t>
            </w:r>
          </w:p>
        </w:tc>
      </w:tr>
      <w:tr>
        <w:trPr>
          <w:trHeight w:val="5597"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身体高度残疾</w:t>
            </w:r>
          </w:p>
        </w:tc>
        <w:tc>
          <w:tcPr>
            <w:tcW w:w="6762" w:type="dxa"/>
          </w:tcPr>
          <w:p>
            <w:pPr>
              <w:pStyle w:val="TableParagraph"/>
              <w:spacing w:before="174"/>
              <w:rPr>
                <w:sz w:val="21"/>
              </w:rPr>
            </w:pPr>
            <w:r>
              <w:rPr>
                <w:sz w:val="21"/>
              </w:rPr>
              <w:t>本附加合同所称的身体高度残疾是指下列情形之一：</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两上肢腕关节以上或两下肢踝关节以上缺失；</w:t>
            </w:r>
          </w:p>
          <w:p>
            <w:pPr>
              <w:pStyle w:val="TableParagraph"/>
              <w:numPr>
                <w:ilvl w:val="0"/>
                <w:numId w:val="7"/>
              </w:numPr>
              <w:tabs>
                <w:tab w:pos="675" w:val="left" w:leader="none"/>
                <w:tab w:pos="676" w:val="left" w:leader="none"/>
              </w:tabs>
              <w:spacing w:line="240" w:lineRule="auto" w:before="68" w:after="0"/>
              <w:ind w:left="675" w:right="0" w:hanging="526"/>
              <w:jc w:val="left"/>
              <w:rPr>
                <w:sz w:val="21"/>
              </w:rPr>
            </w:pPr>
            <w:r>
              <w:rPr>
                <w:spacing w:val="-3"/>
                <w:sz w:val="21"/>
              </w:rPr>
              <w:t>一上肢腕关节以上及一下肢踝关节以上缺失；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一目永久完全失明及一上肢腕关节以上缺失；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一目永久完全失明及一下肢踝关节以上缺失；</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四肢关节机能永久完全丧失（</w:t>
            </w:r>
            <w:r>
              <w:rPr>
                <w:spacing w:val="-21"/>
                <w:sz w:val="21"/>
              </w:rPr>
              <w:t>注 </w:t>
            </w:r>
            <w:r>
              <w:rPr>
                <w:sz w:val="21"/>
              </w:rPr>
              <w:t>2）；</w:t>
            </w:r>
          </w:p>
          <w:p>
            <w:pPr>
              <w:pStyle w:val="TableParagraph"/>
              <w:numPr>
                <w:ilvl w:val="0"/>
                <w:numId w:val="7"/>
              </w:numPr>
              <w:tabs>
                <w:tab w:pos="569" w:val="left" w:leader="none"/>
                <w:tab w:pos="570" w:val="left" w:leader="none"/>
              </w:tabs>
              <w:spacing w:line="240" w:lineRule="auto" w:before="68" w:after="0"/>
              <w:ind w:left="569"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7"/>
              </w:numPr>
              <w:tabs>
                <w:tab w:pos="570" w:val="left" w:leader="none"/>
              </w:tabs>
              <w:spacing w:line="300" w:lineRule="auto" w:before="68" w:after="0"/>
              <w:ind w:left="569" w:right="304" w:hanging="420"/>
              <w:jc w:val="both"/>
              <w:rPr>
                <w:sz w:val="21"/>
              </w:rPr>
            </w:pPr>
            <w:r>
              <w:rPr>
                <w:spacing w:val="-3"/>
                <w:sz w:val="21"/>
              </w:rPr>
              <w:t>中枢神经系统机能或胸、腹部脏器机能极度障碍，终身不能从事任何工作，为维持生命必要的日常生活活动，全需他人扶助（</w:t>
            </w:r>
            <w:r>
              <w:rPr>
                <w:sz w:val="21"/>
              </w:rPr>
              <w:t>注4）。</w:t>
            </w:r>
          </w:p>
          <w:p>
            <w:pPr>
              <w:pStyle w:val="TableParagraph"/>
              <w:spacing w:line="300" w:lineRule="auto" w:before="16"/>
              <w:ind w:left="780" w:right="299" w:hanging="632"/>
              <w:jc w:val="both"/>
              <w:rPr>
                <w:sz w:val="21"/>
              </w:rPr>
            </w:pPr>
            <w:r>
              <w:rPr>
                <w:spacing w:val="12"/>
                <w:sz w:val="21"/>
              </w:rPr>
              <w:t>注 </w:t>
            </w:r>
            <w:r>
              <w:rPr>
                <w:sz w:val="21"/>
              </w:rPr>
              <w:t>1</w:t>
            </w:r>
            <w:r>
              <w:rPr>
                <w:spacing w:val="-3"/>
                <w:sz w:val="21"/>
              </w:rPr>
              <w:t>：失明包括眼球缺失或摘除、或不能辨别明暗、或仅能辨别眼前</w:t>
            </w:r>
            <w:r>
              <w:rPr>
                <w:spacing w:val="-8"/>
                <w:sz w:val="21"/>
              </w:rPr>
              <w:t>手动者。最佳矫正视力低于国际标准视力表 </w:t>
            </w:r>
            <w:r>
              <w:rPr>
                <w:spacing w:val="-7"/>
                <w:sz w:val="21"/>
              </w:rPr>
              <w:t>0.02</w:t>
            </w:r>
            <w:r>
              <w:rPr>
                <w:spacing w:val="-3"/>
                <w:sz w:val="21"/>
              </w:rPr>
              <w:t>，或视野半径</w:t>
            </w:r>
            <w:r>
              <w:rPr>
                <w:spacing w:val="-14"/>
                <w:sz w:val="21"/>
              </w:rPr>
              <w:t>小于 </w:t>
            </w:r>
            <w:r>
              <w:rPr>
                <w:sz w:val="21"/>
              </w:rPr>
              <w:t>5</w:t>
            </w:r>
            <w:r>
              <w:rPr>
                <w:spacing w:val="-8"/>
                <w:sz w:val="21"/>
              </w:rPr>
              <w:t> 度，并由保险公司指定有资格的眼科医师出具医疗诊断证明。</w:t>
            </w:r>
          </w:p>
          <w:p>
            <w:pPr>
              <w:pStyle w:val="TableParagraph"/>
              <w:spacing w:line="255" w:lineRule="exact" w:before="15"/>
              <w:rPr>
                <w:sz w:val="21"/>
              </w:rPr>
            </w:pPr>
            <w:r>
              <w:rPr>
                <w:sz w:val="21"/>
              </w:rPr>
              <w:t>注 2：关节机能的丧失系指关节永久完全僵硬、或麻痹、或关节不能</w:t>
            </w:r>
          </w:p>
        </w:tc>
      </w:tr>
    </w:tbl>
    <w:p>
      <w:pPr>
        <w:spacing w:after="0" w:line="255" w:lineRule="exact"/>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456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ind w:left="780"/>
              <w:rPr>
                <w:sz w:val="21"/>
              </w:rPr>
            </w:pPr>
            <w:r>
              <w:rPr>
                <w:sz w:val="21"/>
              </w:rPr>
              <w:t>随意识活动。</w:t>
            </w:r>
          </w:p>
          <w:p>
            <w:pPr>
              <w:pStyle w:val="TableParagraph"/>
              <w:spacing w:line="300" w:lineRule="auto"/>
              <w:ind w:left="780" w:right="305" w:hanging="632"/>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5"/>
              <w:ind w:left="780" w:right="305" w:hanging="632"/>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5"/>
              <w:ind w:right="302"/>
              <w:jc w:val="both"/>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5"/>
              <w:ind w:right="304"/>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9"/>
                <w:sz w:val="21"/>
              </w:rPr>
              <w:t> 日的身体情况</w:t>
            </w:r>
            <w:r>
              <w:rPr>
                <w:spacing w:val="-5"/>
                <w:sz w:val="21"/>
              </w:rPr>
              <w:t>进行鉴定。</w:t>
            </w:r>
          </w:p>
        </w:tc>
      </w:tr>
      <w:tr>
        <w:trPr>
          <w:trHeight w:val="1716"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毒品</w:t>
            </w:r>
          </w:p>
        </w:tc>
        <w:tc>
          <w:tcPr>
            <w:tcW w:w="6765" w:type="dxa"/>
          </w:tcPr>
          <w:p>
            <w:pPr>
              <w:pStyle w:val="TableParagraph"/>
              <w:spacing w:line="300" w:lineRule="auto" w:before="174"/>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酒后驾驶</w:t>
            </w:r>
          </w:p>
        </w:tc>
        <w:tc>
          <w:tcPr>
            <w:tcW w:w="6765" w:type="dxa"/>
          </w:tcPr>
          <w:p>
            <w:pPr>
              <w:pStyle w:val="TableParagraph"/>
              <w:spacing w:line="300" w:lineRule="auto" w:before="174"/>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line="300" w:lineRule="auto" w:before="174"/>
              <w:ind w:left="324" w:right="146"/>
              <w:rPr>
                <w:sz w:val="21"/>
              </w:rPr>
            </w:pPr>
            <w:r>
              <w:rPr>
                <w:sz w:val="21"/>
              </w:rPr>
              <w:t>无合法有效驾驶证驾驶</w:t>
            </w:r>
          </w:p>
        </w:tc>
        <w:tc>
          <w:tcPr>
            <w:tcW w:w="6765" w:type="dxa"/>
          </w:tcPr>
          <w:p>
            <w:pPr>
              <w:pStyle w:val="TableParagraph"/>
              <w:spacing w:before="174"/>
              <w:rPr>
                <w:sz w:val="21"/>
              </w:rPr>
            </w:pPr>
            <w:r>
              <w:rPr>
                <w:sz w:val="21"/>
              </w:rPr>
              <w:t>指下列情形之一：</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8"/>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无有效行驶证</w:t>
            </w:r>
          </w:p>
        </w:tc>
        <w:tc>
          <w:tcPr>
            <w:tcW w:w="6765" w:type="dxa"/>
          </w:tcPr>
          <w:p>
            <w:pPr>
              <w:pStyle w:val="TableParagraph"/>
              <w:spacing w:before="174"/>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1135"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line="340" w:lineRule="atLeast" w:before="108"/>
              <w:ind w:left="324" w:right="146"/>
              <w:jc w:val="both"/>
              <w:rPr>
                <w:sz w:val="21"/>
              </w:rPr>
            </w:pPr>
            <w:r>
              <w:rPr>
                <w:sz w:val="21"/>
              </w:rPr>
              <w:t>先天性畸形、变形或染色体异常</w:t>
            </w:r>
          </w:p>
        </w:tc>
        <w:tc>
          <w:tcPr>
            <w:tcW w:w="6765" w:type="dxa"/>
          </w:tcPr>
          <w:p>
            <w:pPr>
              <w:pStyle w:val="TableParagraph"/>
              <w:spacing w:line="340" w:lineRule="atLeast" w:before="108"/>
              <w:ind w:right="307"/>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40" w:lineRule="atLeast"/>
        <w:jc w:val="both"/>
        <w:rPr>
          <w:sz w:val="21"/>
        </w:rPr>
        <w:sectPr>
          <w:pgSz w:w="11910" w:h="16840"/>
          <w:pgMar w:header="0" w:footer="919" w:top="1580" w:bottom="1100" w:left="1200" w:right="940"/>
        </w:sectPr>
      </w:pP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2" w:hRule="atLeast"/>
        </w:trPr>
        <w:tc>
          <w:tcPr>
            <w:tcW w:w="894" w:type="dxa"/>
          </w:tcPr>
          <w:p>
            <w:pPr>
              <w:pStyle w:val="TableParagraph"/>
              <w:spacing w:line="211" w:lineRule="exact" w:before="0"/>
              <w:ind w:left="182" w:right="251"/>
              <w:jc w:val="center"/>
              <w:rPr>
                <w:sz w:val="21"/>
              </w:rPr>
            </w:pPr>
            <w:r>
              <w:rPr>
                <w:sz w:val="21"/>
              </w:rPr>
              <w:t>十一</w:t>
            </w:r>
          </w:p>
        </w:tc>
        <w:tc>
          <w:tcPr>
            <w:tcW w:w="1683" w:type="dxa"/>
          </w:tcPr>
          <w:p>
            <w:pPr>
              <w:pStyle w:val="TableParagraph"/>
              <w:spacing w:line="211" w:lineRule="exact" w:before="0"/>
              <w:ind w:left="270"/>
              <w:rPr>
                <w:sz w:val="21"/>
              </w:rPr>
            </w:pPr>
            <w:r>
              <w:rPr>
                <w:sz w:val="21"/>
              </w:rPr>
              <w:t>现金价值</w:t>
            </w:r>
          </w:p>
        </w:tc>
        <w:tc>
          <w:tcPr>
            <w:tcW w:w="6763" w:type="dxa"/>
          </w:tcPr>
          <w:p>
            <w:pPr>
              <w:pStyle w:val="TableParagraph"/>
              <w:spacing w:line="211" w:lineRule="exact" w:before="0"/>
              <w:ind w:left="148"/>
              <w:rPr>
                <w:sz w:val="21"/>
              </w:rPr>
            </w:pPr>
            <w:r>
              <w:rPr>
                <w:sz w:val="21"/>
              </w:rPr>
              <w:t>指保险单所具有的价值，通常体现为解除合同时，根据精算原理计算</w:t>
            </w:r>
          </w:p>
          <w:p>
            <w:pPr>
              <w:pStyle w:val="TableParagraph"/>
              <w:ind w:left="148"/>
              <w:rPr>
                <w:sz w:val="21"/>
              </w:rPr>
            </w:pPr>
            <w:r>
              <w:rPr>
                <w:sz w:val="21"/>
              </w:rPr>
              <w:t>的，由本公司退还的那部分金额。</w:t>
            </w:r>
          </w:p>
        </w:tc>
      </w:tr>
      <w:tr>
        <w:trPr>
          <w:trHeight w:val="2746"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9"/>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83998pt;margin-top:780.961609pt;width:164pt;height:11pt;mso-position-horizontal-relative:page;mso-position-vertical-relative:page;z-index:-20800" type="#_x0000_t202" filled="false" stroked="false">
          <v:textbox inset="0,0,0,0">
            <w:txbxContent>
              <w:p>
                <w:pPr>
                  <w:spacing w:line="200" w:lineRule="exact" w:before="0"/>
                  <w:ind w:left="20" w:right="0" w:firstLine="0"/>
                  <w:jc w:val="left"/>
                  <w:rPr>
                    <w:sz w:val="18"/>
                  </w:rPr>
                </w:pPr>
                <w:r>
                  <w:rPr>
                    <w:sz w:val="18"/>
                  </w:rPr>
                  <w:t>中银三星附加家鑫提前给付重大疾病保险</w:t>
                </w:r>
              </w:p>
            </w:txbxContent>
          </v:textbox>
          <w10:wrap type="none"/>
        </v:shape>
      </w:pict>
    </w:r>
    <w:r>
      <w:rPr/>
      <w:pict>
        <v:shape style="position:absolute;margin-left:302.769989pt;margin-top:780.961609pt;width:20pt;height:11pt;mso-position-horizontal-relative:page;mso-position-vertical-relative:page;z-index:-2077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2075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7">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6">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abstractNum w:abstractNumId="1">
    <w:multiLevelType w:val="hybridMultilevel"/>
    <w:lvl w:ilvl="0">
      <w:start w:val="1"/>
      <w:numFmt w:val="decimal"/>
      <w:lvlText w:val="%1."/>
      <w:lvlJc w:val="left"/>
      <w:pPr>
        <w:ind w:left="542" w:hanging="360"/>
        <w:jc w:val="left"/>
      </w:pPr>
      <w:rPr>
        <w:rFonts w:hint="default" w:ascii="宋体" w:hAnsi="宋体" w:eastAsia="宋体" w:cs="宋体"/>
        <w:w w:val="100"/>
        <w:sz w:val="21"/>
        <w:szCs w:val="21"/>
      </w:rPr>
    </w:lvl>
    <w:lvl w:ilvl="1">
      <w:start w:val="0"/>
      <w:numFmt w:val="bullet"/>
      <w:lvlText w:val="•"/>
      <w:lvlJc w:val="left"/>
      <w:pPr>
        <w:ind w:left="1142" w:hanging="360"/>
      </w:pPr>
      <w:rPr>
        <w:rFonts w:hint="default"/>
      </w:rPr>
    </w:lvl>
    <w:lvl w:ilvl="2">
      <w:start w:val="0"/>
      <w:numFmt w:val="bullet"/>
      <w:lvlText w:val="•"/>
      <w:lvlJc w:val="left"/>
      <w:pPr>
        <w:ind w:left="1744" w:hanging="360"/>
      </w:pPr>
      <w:rPr>
        <w:rFonts w:hint="default"/>
      </w:rPr>
    </w:lvl>
    <w:lvl w:ilvl="3">
      <w:start w:val="0"/>
      <w:numFmt w:val="bullet"/>
      <w:lvlText w:val="•"/>
      <w:lvlJc w:val="left"/>
      <w:pPr>
        <w:ind w:left="2347" w:hanging="360"/>
      </w:pPr>
      <w:rPr>
        <w:rFonts w:hint="default"/>
      </w:rPr>
    </w:lvl>
    <w:lvl w:ilvl="4">
      <w:start w:val="0"/>
      <w:numFmt w:val="bullet"/>
      <w:lvlText w:val="•"/>
      <w:lvlJc w:val="left"/>
      <w:pPr>
        <w:ind w:left="2949" w:hanging="360"/>
      </w:pPr>
      <w:rPr>
        <w:rFonts w:hint="default"/>
      </w:rPr>
    </w:lvl>
    <w:lvl w:ilvl="5">
      <w:start w:val="0"/>
      <w:numFmt w:val="bullet"/>
      <w:lvlText w:val="•"/>
      <w:lvlJc w:val="left"/>
      <w:pPr>
        <w:ind w:left="3552" w:hanging="360"/>
      </w:pPr>
      <w:rPr>
        <w:rFonts w:hint="default"/>
      </w:rPr>
    </w:lvl>
    <w:lvl w:ilvl="6">
      <w:start w:val="0"/>
      <w:numFmt w:val="bullet"/>
      <w:lvlText w:val="•"/>
      <w:lvlJc w:val="left"/>
      <w:pPr>
        <w:ind w:left="4154" w:hanging="360"/>
      </w:pPr>
      <w:rPr>
        <w:rFonts w:hint="default"/>
      </w:rPr>
    </w:lvl>
    <w:lvl w:ilvl="7">
      <w:start w:val="0"/>
      <w:numFmt w:val="bullet"/>
      <w:lvlText w:val="•"/>
      <w:lvlJc w:val="left"/>
      <w:pPr>
        <w:ind w:left="4756" w:hanging="360"/>
      </w:pPr>
      <w:rPr>
        <w:rFonts w:hint="default"/>
      </w:rPr>
    </w:lvl>
    <w:lvl w:ilvl="8">
      <w:start w:val="0"/>
      <w:numFmt w:val="bullet"/>
      <w:lvlText w:val="•"/>
      <w:lvlJc w:val="left"/>
      <w:pPr>
        <w:ind w:left="5359" w:hanging="360"/>
      </w:pPr>
      <w:rPr>
        <w:rFonts w:hint="default"/>
      </w:rPr>
    </w:lvl>
  </w:abstractNum>
  <w:abstractNum w:abstractNumId="0">
    <w:multiLevelType w:val="hybridMultilevel"/>
    <w:lvl w:ilvl="0">
      <w:start w:val="1"/>
      <w:numFmt w:val="decimal"/>
      <w:lvlText w:val="%1."/>
      <w:lvlJc w:val="left"/>
      <w:pPr>
        <w:ind w:left="607" w:hanging="420"/>
        <w:jc w:val="left"/>
      </w:pPr>
      <w:rPr>
        <w:rFonts w:hint="default" w:ascii="宋体" w:hAnsi="宋体" w:eastAsia="宋体" w:cs="宋体"/>
        <w:w w:val="100"/>
        <w:sz w:val="21"/>
        <w:szCs w:val="21"/>
      </w:rPr>
    </w:lvl>
    <w:lvl w:ilvl="1">
      <w:start w:val="0"/>
      <w:numFmt w:val="bullet"/>
      <w:lvlText w:val="•"/>
      <w:lvlJc w:val="left"/>
      <w:pPr>
        <w:ind w:left="1196" w:hanging="420"/>
      </w:pPr>
      <w:rPr>
        <w:rFonts w:hint="default"/>
      </w:rPr>
    </w:lvl>
    <w:lvl w:ilvl="2">
      <w:start w:val="0"/>
      <w:numFmt w:val="bullet"/>
      <w:lvlText w:val="•"/>
      <w:lvlJc w:val="left"/>
      <w:pPr>
        <w:ind w:left="1792" w:hanging="420"/>
      </w:pPr>
      <w:rPr>
        <w:rFonts w:hint="default"/>
      </w:rPr>
    </w:lvl>
    <w:lvl w:ilvl="3">
      <w:start w:val="0"/>
      <w:numFmt w:val="bullet"/>
      <w:lvlText w:val="•"/>
      <w:lvlJc w:val="left"/>
      <w:pPr>
        <w:ind w:left="2389" w:hanging="420"/>
      </w:pPr>
      <w:rPr>
        <w:rFonts w:hint="default"/>
      </w:rPr>
    </w:lvl>
    <w:lvl w:ilvl="4">
      <w:start w:val="0"/>
      <w:numFmt w:val="bullet"/>
      <w:lvlText w:val="•"/>
      <w:lvlJc w:val="left"/>
      <w:pPr>
        <w:ind w:left="2985" w:hanging="420"/>
      </w:pPr>
      <w:rPr>
        <w:rFonts w:hint="default"/>
      </w:rPr>
    </w:lvl>
    <w:lvl w:ilvl="5">
      <w:start w:val="0"/>
      <w:numFmt w:val="bullet"/>
      <w:lvlText w:val="•"/>
      <w:lvlJc w:val="left"/>
      <w:pPr>
        <w:ind w:left="3582" w:hanging="420"/>
      </w:pPr>
      <w:rPr>
        <w:rFonts w:hint="default"/>
      </w:rPr>
    </w:lvl>
    <w:lvl w:ilvl="6">
      <w:start w:val="0"/>
      <w:numFmt w:val="bullet"/>
      <w:lvlText w:val="•"/>
      <w:lvlJc w:val="left"/>
      <w:pPr>
        <w:ind w:left="4178" w:hanging="420"/>
      </w:pPr>
      <w:rPr>
        <w:rFonts w:hint="default"/>
      </w:rPr>
    </w:lvl>
    <w:lvl w:ilvl="7">
      <w:start w:val="0"/>
      <w:numFmt w:val="bullet"/>
      <w:lvlText w:val="•"/>
      <w:lvlJc w:val="left"/>
      <w:pPr>
        <w:ind w:left="4774" w:hanging="420"/>
      </w:pPr>
      <w:rPr>
        <w:rFonts w:hint="default"/>
      </w:rPr>
    </w:lvl>
    <w:lvl w:ilvl="8">
      <w:start w:val="0"/>
      <w:numFmt w:val="bullet"/>
      <w:lvlText w:val="•"/>
      <w:lvlJc w:val="left"/>
      <w:pPr>
        <w:ind w:left="5371"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2018-10-19T21:43:20Z</dcterms:created>
  <dcterms:modified xsi:type="dcterms:W3CDTF">2018-10-19T21:43:20Z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