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42"/>
        </w:rPr>
      </w:pPr>
    </w:p>
    <w:p>
      <w:pPr>
        <w:pStyle w:val="BodyText"/>
        <w:spacing w:before="7"/>
        <w:rPr>
          <w:rFonts w:ascii="Times New Roman"/>
          <w:sz w:val="37"/>
        </w:rPr>
      </w:pPr>
    </w:p>
    <w:p>
      <w:pPr>
        <w:spacing w:before="0"/>
        <w:ind w:left="1625" w:right="3" w:firstLine="0"/>
        <w:jc w:val="center"/>
        <w:rPr>
          <w:rFonts w:ascii="微软雅黑" w:eastAsia="微软雅黑" w:hint="eastAsia"/>
          <w:b/>
          <w:sz w:val="32"/>
        </w:rPr>
      </w:pPr>
      <w:r>
        <w:rPr>
          <w:rFonts w:ascii="微软雅黑" w:eastAsia="微软雅黑" w:hint="eastAsia"/>
          <w:b/>
          <w:w w:val="95"/>
          <w:sz w:val="32"/>
        </w:rPr>
        <w:t>中荷人寿保险有限公司</w:t>
      </w:r>
    </w:p>
    <w:p>
      <w:pPr>
        <w:spacing w:before="306"/>
        <w:ind w:left="1627" w:right="3" w:firstLine="0"/>
        <w:jc w:val="center"/>
        <w:rPr>
          <w:rFonts w:ascii="微软雅黑" w:eastAsia="微软雅黑" w:hint="eastAsia"/>
          <w:b/>
          <w:sz w:val="32"/>
        </w:rPr>
      </w:pPr>
      <w:r>
        <w:rPr>
          <w:rFonts w:ascii="微软雅黑" w:eastAsia="微软雅黑" w:hint="eastAsia"/>
          <w:b/>
          <w:spacing w:val="-1"/>
          <w:sz w:val="32"/>
        </w:rPr>
        <w:t>中荷一生呵护 </w:t>
      </w:r>
      <w:r>
        <w:rPr>
          <w:rFonts w:ascii="微软雅黑" w:eastAsia="微软雅黑" w:hint="eastAsia"/>
          <w:b/>
          <w:sz w:val="32"/>
        </w:rPr>
        <w:t>C</w:t>
      </w:r>
      <w:r>
        <w:rPr>
          <w:rFonts w:ascii="微软雅黑" w:eastAsia="微软雅黑" w:hint="eastAsia"/>
          <w:b/>
          <w:spacing w:val="-3"/>
          <w:sz w:val="32"/>
        </w:rPr>
        <w:t> 款终身重大疾病保险合同条款</w:t>
      </w:r>
    </w:p>
    <w:p>
      <w:pPr>
        <w:spacing w:line="300" w:lineRule="auto" w:before="27"/>
        <w:ind w:left="731" w:right="375" w:firstLine="0"/>
        <w:jc w:val="center"/>
        <w:rPr>
          <w:b/>
          <w:sz w:val="18"/>
        </w:rPr>
      </w:pPr>
      <w:r>
        <w:rPr/>
        <w:br w:type="column"/>
      </w:r>
      <w:r>
        <w:rPr>
          <w:b/>
          <w:sz w:val="18"/>
        </w:rPr>
        <w:t>中荷人寿</w:t>
      </w:r>
      <w:r>
        <w:rPr>
          <w:rFonts w:ascii="Times New Roman" w:eastAsia="Times New Roman"/>
          <w:b/>
          <w:sz w:val="18"/>
        </w:rPr>
        <w:t>[2017] </w:t>
      </w:r>
      <w:r>
        <w:rPr>
          <w:b/>
          <w:sz w:val="18"/>
        </w:rPr>
        <w:t>疾病保险 </w:t>
      </w:r>
      <w:r>
        <w:rPr>
          <w:rFonts w:ascii="Times New Roman" w:eastAsia="Times New Roman"/>
          <w:b/>
          <w:sz w:val="18"/>
        </w:rPr>
        <w:t>25 </w:t>
      </w:r>
      <w:r>
        <w:rPr>
          <w:b/>
          <w:sz w:val="18"/>
        </w:rPr>
        <w:t>号</w:t>
      </w:r>
    </w:p>
    <w:p>
      <w:pPr>
        <w:pStyle w:val="BodyText"/>
        <w:spacing w:before="12"/>
        <w:rPr>
          <w:b/>
          <w:sz w:val="4"/>
        </w:rPr>
      </w:pPr>
    </w:p>
    <w:p>
      <w:pPr>
        <w:pStyle w:val="BodyText"/>
        <w:ind w:left="793"/>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before="56"/>
        <w:ind w:left="478" w:right="127" w:firstLine="0"/>
        <w:jc w:val="center"/>
        <w:rPr>
          <w:b/>
          <w:sz w:val="18"/>
        </w:rPr>
      </w:pPr>
      <w:r>
        <w:rPr>
          <w:b/>
          <w:w w:val="95"/>
          <w:sz w:val="18"/>
        </w:rPr>
        <w:t>请扫描以查询验证条款</w:t>
      </w:r>
    </w:p>
    <w:p>
      <w:pPr>
        <w:spacing w:after="0"/>
        <w:jc w:val="center"/>
        <w:rPr>
          <w:sz w:val="18"/>
        </w:rPr>
        <w:sectPr>
          <w:type w:val="continuous"/>
          <w:pgSz w:w="11910" w:h="16840"/>
          <w:pgMar w:top="440" w:bottom="280" w:left="1200" w:right="200"/>
          <w:cols w:num="2" w:equalWidth="0">
            <w:col w:w="8108" w:space="40"/>
            <w:col w:w="2362"/>
          </w:cols>
        </w:sectPr>
      </w:pPr>
    </w:p>
    <w:p>
      <w:pPr>
        <w:pStyle w:val="BodyText"/>
        <w:rPr>
          <w:b/>
          <w:sz w:val="26"/>
        </w:rPr>
      </w:pPr>
    </w:p>
    <w:p>
      <w:pPr>
        <w:pStyle w:val="BodyText"/>
        <w:spacing w:line="20" w:lineRule="exact"/>
        <w:ind w:left="306"/>
        <w:rPr>
          <w:sz w:val="2"/>
        </w:rPr>
      </w:pPr>
      <w:r>
        <w:rPr>
          <w:rFonts w:ascii="Times New Roman"/>
          <w:spacing w:val="5"/>
          <w:sz w:val="2"/>
        </w:rPr>
        <w:t> </w:t>
      </w:r>
      <w:r>
        <w:rPr>
          <w:spacing w:val="5"/>
          <w:sz w:val="2"/>
        </w:rPr>
        <w:pict>
          <v:group style="width:462pt;height:.75pt;mso-position-horizontal-relative:char;mso-position-vertical-relative:line" coordorigin="0,0" coordsize="9240,15">
            <v:line style="position:absolute" from="0,8" to="9240,8" stroked="true" strokeweight=".75pt" strokecolor="#000000">
              <v:stroke dashstyle="solid"/>
            </v:line>
          </v:group>
        </w:pict>
      </w:r>
      <w:r>
        <w:rPr>
          <w:spacing w:val="5"/>
          <w:sz w:val="2"/>
        </w:rPr>
      </w:r>
    </w:p>
    <w:p>
      <w:pPr>
        <w:pStyle w:val="BodyText"/>
        <w:spacing w:before="9"/>
        <w:rPr>
          <w:b/>
          <w:sz w:val="16"/>
        </w:rPr>
      </w:pPr>
      <w:r>
        <w:rPr/>
        <w:pict>
          <v:group style="position:absolute;margin-left:242.199997pt;margin-top:12.9pt;width:134.25pt;height:42pt;mso-position-horizontal-relative:page;mso-position-vertical-relative:paragraph;z-index:1072;mso-wrap-distance-left:0;mso-wrap-distance-right:0" coordorigin="4844,258" coordsize="2685,840">
            <v:shape style="position:absolute;left:4844;top:258;width:2685;height:840" coordorigin="4844,258" coordsize="2685,840" path="m7529,258l4844,258,4844,1098,7529,1098,7529,1078,4864,1078,4864,278,7529,278,7529,258xm7529,278l7509,278,7509,1078,7529,1078,7529,278xm4884,298l4884,1058,7489,1058,7489,1038,4904,1038,4904,318,4884,298xm7489,298l4884,298,4904,318,7469,318,7469,1038,7489,1038,7489,298xe" filled="true" fillcolor="#000000" stroked="false">
              <v:path arrowok="t"/>
              <v:fill type="solid"/>
            </v:shape>
            <v:shapetype id="_x0000_t202" o:spt="202" coordsize="21600,21600" path="m,l,21600r21600,l21600,xe">
              <v:stroke joinstyle="miter"/>
              <v:path gradientshapeok="t" o:connecttype="rect"/>
            </v:shapetype>
            <v:shape style="position:absolute;left:4844;top:258;width:2685;height:840" type="#_x0000_t202" filled="false" stroked="false">
              <v:textbox inset="0,0,0,0">
                <w:txbxContent>
                  <w:p>
                    <w:pPr>
                      <w:spacing w:before="83"/>
                      <w:ind w:left="460" w:right="0" w:firstLine="0"/>
                      <w:jc w:val="left"/>
                      <w:rPr>
                        <w:rFonts w:ascii="微软雅黑" w:eastAsia="微软雅黑" w:hint="eastAsia"/>
                        <w:b/>
                        <w:sz w:val="32"/>
                      </w:rPr>
                    </w:pPr>
                    <w:r>
                      <w:rPr>
                        <w:rFonts w:ascii="微软雅黑" w:eastAsia="微软雅黑" w:hint="eastAsia"/>
                        <w:b/>
                        <w:sz w:val="32"/>
                      </w:rPr>
                      <w:t>阅  读  提 示</w:t>
                    </w:r>
                  </w:p>
                </w:txbxContent>
              </v:textbox>
              <w10:wrap type="none"/>
            </v:shape>
            <w10:wrap type="topAndBottom"/>
          </v:group>
        </w:pict>
      </w:r>
    </w:p>
    <w:p>
      <w:pPr>
        <w:pStyle w:val="BodyText"/>
        <w:spacing w:before="1"/>
        <w:rPr>
          <w:b/>
          <w:sz w:val="16"/>
        </w:rPr>
      </w:pPr>
    </w:p>
    <w:p>
      <w:pPr>
        <w:pStyle w:val="Heading3"/>
        <w:spacing w:before="36"/>
        <w:ind w:left="103"/>
      </w:pPr>
      <w:r>
        <w:rPr/>
        <w:t>本阅读提示是为了帮助投保人、被保险人和受益人更好理解条款，对本合同内容的解释以条款正文为准。</w:t>
      </w:r>
    </w:p>
    <w:p>
      <w:pPr>
        <w:pStyle w:val="BodyText"/>
        <w:spacing w:before="6"/>
        <w:rPr>
          <w:b/>
          <w:sz w:val="24"/>
        </w:rPr>
      </w:pPr>
    </w:p>
    <w:p>
      <w:pPr>
        <w:spacing w:before="0"/>
        <w:ind w:left="2875" w:right="3570" w:firstLine="0"/>
        <w:jc w:val="center"/>
        <w:rPr>
          <w:b/>
          <w:sz w:val="24"/>
        </w:rPr>
      </w:pPr>
      <w:r>
        <w:rPr>
          <w:b/>
          <w:w w:val="95"/>
          <w:sz w:val="24"/>
        </w:rPr>
        <w:t>投保人应当特别注意的事项</w:t>
      </w:r>
    </w:p>
    <w:p>
      <w:pPr>
        <w:pStyle w:val="BodyText"/>
        <w:spacing w:before="25"/>
        <w:ind w:left="1994"/>
      </w:pPr>
      <w:r>
        <w:rPr/>
        <w:t>(投保人是指与我们签订保险合同并按照保险合同规定缴付保险费的人)</w:t>
      </w:r>
    </w:p>
    <w:p>
      <w:pPr>
        <w:pStyle w:val="BodyText"/>
        <w:tabs>
          <w:tab w:pos="9240" w:val="right" w:leader="dot"/>
        </w:tabs>
        <w:spacing w:before="349"/>
        <w:ind w:left="103"/>
      </w:pPr>
      <w:r>
        <w:rPr/>
        <w:t>投保</w:t>
      </w:r>
      <w:r>
        <w:rPr>
          <w:spacing w:val="-3"/>
        </w:rPr>
        <w:t>人</w:t>
      </w:r>
      <w:r>
        <w:rPr/>
        <w:t>有</w:t>
      </w:r>
      <w:r>
        <w:rPr>
          <w:spacing w:val="-3"/>
        </w:rPr>
        <w:t>如</w:t>
      </w:r>
      <w:r>
        <w:rPr/>
        <w:t>实</w:t>
      </w:r>
      <w:r>
        <w:rPr>
          <w:spacing w:val="-3"/>
        </w:rPr>
        <w:t>告</w:t>
      </w:r>
      <w:r>
        <w:rPr/>
        <w:t>知</w:t>
      </w:r>
      <w:r>
        <w:rPr>
          <w:spacing w:val="-3"/>
        </w:rPr>
        <w:t>的</w:t>
      </w:r>
      <w:r>
        <w:rPr/>
        <w:t>义务</w:t>
        <w:tab/>
        <w:t>1.2</w:t>
      </w:r>
    </w:p>
    <w:p>
      <w:pPr>
        <w:pStyle w:val="BodyText"/>
        <w:tabs>
          <w:tab w:pos="9239" w:val="right" w:leader="dot"/>
        </w:tabs>
        <w:spacing w:before="37"/>
        <w:ind w:left="103"/>
      </w:pPr>
      <w:r>
        <w:rPr/>
        <w:t>投保</w:t>
      </w:r>
      <w:r>
        <w:rPr>
          <w:spacing w:val="-3"/>
        </w:rPr>
        <w:t>人</w:t>
      </w:r>
      <w:r>
        <w:rPr/>
        <w:t>在</w:t>
      </w:r>
      <w:r>
        <w:rPr>
          <w:spacing w:val="-3"/>
        </w:rPr>
        <w:t>收</w:t>
      </w:r>
      <w:r>
        <w:rPr/>
        <w:t>到</w:t>
      </w:r>
      <w:r>
        <w:rPr>
          <w:spacing w:val="-3"/>
        </w:rPr>
        <w:t>保</w:t>
      </w:r>
      <w:r>
        <w:rPr/>
        <w:t>险</w:t>
      </w:r>
      <w:r>
        <w:rPr>
          <w:spacing w:val="-3"/>
        </w:rPr>
        <w:t>合</w:t>
      </w:r>
      <w:r>
        <w:rPr/>
        <w:t>同</w:t>
      </w:r>
      <w:r>
        <w:rPr>
          <w:spacing w:val="-3"/>
        </w:rPr>
        <w:t>后</w:t>
      </w:r>
      <w:r>
        <w:rPr/>
        <w:t>有</w:t>
      </w:r>
      <w:r>
        <w:rPr>
          <w:spacing w:val="-53"/>
        </w:rPr>
        <w:t> </w:t>
      </w:r>
      <w:r>
        <w:rPr/>
        <w:t>10</w:t>
      </w:r>
      <w:r>
        <w:rPr>
          <w:spacing w:val="-55"/>
        </w:rPr>
        <w:t> </w:t>
      </w:r>
      <w:r>
        <w:rPr/>
        <w:t>日</w:t>
      </w:r>
      <w:r>
        <w:rPr>
          <w:spacing w:val="-3"/>
        </w:rPr>
        <w:t>的</w:t>
      </w:r>
      <w:r>
        <w:rPr/>
        <w:t>犹</w:t>
      </w:r>
      <w:r>
        <w:rPr>
          <w:spacing w:val="-3"/>
        </w:rPr>
        <w:t>豫期</w:t>
        <w:tab/>
      </w:r>
      <w:r>
        <w:rPr/>
        <w:t>1.4</w:t>
      </w:r>
    </w:p>
    <w:p>
      <w:pPr>
        <w:pStyle w:val="Heading3"/>
        <w:tabs>
          <w:tab w:pos="9251" w:val="right" w:leader="dot"/>
        </w:tabs>
        <w:spacing w:before="37"/>
        <w:ind w:left="103"/>
        <w:rPr>
          <w:b w:val="0"/>
        </w:rPr>
      </w:pPr>
      <w:r>
        <w:rPr/>
        <w:t>在某些情况下，我</w:t>
      </w:r>
      <w:r>
        <w:rPr>
          <w:spacing w:val="-3"/>
        </w:rPr>
        <w:t>们</w:t>
      </w:r>
      <w:r>
        <w:rPr/>
        <w:t>不</w:t>
      </w:r>
      <w:r>
        <w:rPr>
          <w:spacing w:val="-3"/>
        </w:rPr>
        <w:t>承</w:t>
      </w:r>
      <w:r>
        <w:rPr/>
        <w:t>担保险责任</w:t>
        <w:tab/>
      </w:r>
      <w:r>
        <w:rPr>
          <w:b w:val="0"/>
        </w:rPr>
        <w:t>2.3</w:t>
      </w:r>
    </w:p>
    <w:p>
      <w:pPr>
        <w:pStyle w:val="BodyText"/>
        <w:tabs>
          <w:tab w:pos="9238" w:val="right" w:leader="dot"/>
        </w:tabs>
        <w:spacing w:before="37"/>
        <w:ind w:left="103"/>
      </w:pPr>
      <w:r>
        <w:rPr/>
        <w:t>投保</w:t>
      </w:r>
      <w:r>
        <w:rPr>
          <w:spacing w:val="-3"/>
        </w:rPr>
        <w:t>人</w:t>
      </w:r>
      <w:r>
        <w:rPr/>
        <w:t>有</w:t>
      </w:r>
      <w:r>
        <w:rPr>
          <w:spacing w:val="-3"/>
        </w:rPr>
        <w:t>及</w:t>
      </w:r>
      <w:r>
        <w:rPr/>
        <w:t>时</w:t>
      </w:r>
      <w:r>
        <w:rPr>
          <w:spacing w:val="-3"/>
        </w:rPr>
        <w:t>向</w:t>
      </w:r>
      <w:r>
        <w:rPr/>
        <w:t>我</w:t>
      </w:r>
      <w:r>
        <w:rPr>
          <w:spacing w:val="-3"/>
        </w:rPr>
        <w:t>们</w:t>
      </w:r>
      <w:r>
        <w:rPr/>
        <w:t>通</w:t>
      </w:r>
      <w:r>
        <w:rPr>
          <w:spacing w:val="-3"/>
        </w:rPr>
        <w:t>知</w:t>
      </w:r>
      <w:r>
        <w:rPr/>
        <w:t>保险</w:t>
      </w:r>
      <w:r>
        <w:rPr>
          <w:spacing w:val="-3"/>
        </w:rPr>
        <w:t>事</w:t>
      </w:r>
      <w:r>
        <w:rPr/>
        <w:t>故</w:t>
      </w:r>
      <w:r>
        <w:rPr>
          <w:spacing w:val="-3"/>
        </w:rPr>
        <w:t>的</w:t>
      </w:r>
      <w:r>
        <w:rPr/>
        <w:t>义务</w:t>
        <w:tab/>
        <w:t>4.2</w:t>
      </w:r>
    </w:p>
    <w:p>
      <w:pPr>
        <w:pStyle w:val="BodyText"/>
        <w:tabs>
          <w:tab w:pos="9239" w:val="right" w:leader="dot"/>
        </w:tabs>
        <w:spacing w:before="37"/>
        <w:ind w:left="103"/>
      </w:pPr>
      <w:r>
        <w:rPr/>
        <w:t>投保</w:t>
      </w:r>
      <w:r>
        <w:rPr>
          <w:spacing w:val="-3"/>
        </w:rPr>
        <w:t>人</w:t>
      </w:r>
      <w:r>
        <w:rPr/>
        <w:t>应</w:t>
      </w:r>
      <w:r>
        <w:rPr>
          <w:spacing w:val="-3"/>
        </w:rPr>
        <w:t>当</w:t>
      </w:r>
      <w:r>
        <w:rPr/>
        <w:t>按</w:t>
      </w:r>
      <w:r>
        <w:rPr>
          <w:spacing w:val="-3"/>
        </w:rPr>
        <w:t>时</w:t>
      </w:r>
      <w:r>
        <w:rPr/>
        <w:t>缴</w:t>
      </w:r>
      <w:r>
        <w:rPr>
          <w:spacing w:val="-3"/>
        </w:rPr>
        <w:t>纳</w:t>
      </w:r>
      <w:r>
        <w:rPr/>
        <w:t>保</w:t>
      </w:r>
      <w:r>
        <w:rPr>
          <w:spacing w:val="-3"/>
        </w:rPr>
        <w:t>险</w:t>
      </w:r>
      <w:r>
        <w:rPr/>
        <w:t>费</w:t>
        <w:tab/>
        <w:t>5.1</w:t>
      </w:r>
    </w:p>
    <w:p>
      <w:pPr>
        <w:pStyle w:val="BodyText"/>
        <w:tabs>
          <w:tab w:pos="9241" w:val="right" w:leader="dot"/>
        </w:tabs>
        <w:spacing w:before="37"/>
        <w:ind w:left="103"/>
      </w:pPr>
      <w:r>
        <w:rPr/>
        <w:t>投保</w:t>
      </w:r>
      <w:r>
        <w:rPr>
          <w:spacing w:val="-3"/>
        </w:rPr>
        <w:t>人</w:t>
      </w:r>
      <w:r>
        <w:rPr/>
        <w:t>有</w:t>
      </w:r>
      <w:r>
        <w:rPr>
          <w:spacing w:val="-3"/>
        </w:rPr>
        <w:t>保</w:t>
      </w:r>
      <w:r>
        <w:rPr/>
        <w:t>单</w:t>
      </w:r>
      <w:r>
        <w:rPr>
          <w:spacing w:val="-3"/>
        </w:rPr>
        <w:t>借</w:t>
      </w:r>
      <w:r>
        <w:rPr/>
        <w:t>款</w:t>
      </w:r>
      <w:r>
        <w:rPr>
          <w:spacing w:val="-3"/>
        </w:rPr>
        <w:t>的</w:t>
      </w:r>
      <w:r>
        <w:rPr/>
        <w:t>权利</w:t>
        <w:tab/>
        <w:t>6.1</w:t>
      </w:r>
    </w:p>
    <w:p>
      <w:pPr>
        <w:pStyle w:val="BodyText"/>
        <w:tabs>
          <w:tab w:pos="9241" w:val="right" w:leader="dot"/>
        </w:tabs>
        <w:spacing w:before="37"/>
        <w:ind w:left="103"/>
      </w:pPr>
      <w:r>
        <w:rPr/>
        <w:t>投保</w:t>
      </w:r>
      <w:r>
        <w:rPr>
          <w:spacing w:val="-3"/>
        </w:rPr>
        <w:t>人</w:t>
      </w:r>
      <w:r>
        <w:rPr/>
        <w:t>有</w:t>
      </w:r>
      <w:r>
        <w:rPr>
          <w:spacing w:val="-3"/>
        </w:rPr>
        <w:t>退</w:t>
      </w:r>
      <w:r>
        <w:rPr/>
        <w:t>保</w:t>
      </w:r>
      <w:r>
        <w:rPr>
          <w:spacing w:val="-3"/>
        </w:rPr>
        <w:t>的</w:t>
      </w:r>
      <w:r>
        <w:rPr/>
        <w:t>权利</w:t>
        <w:tab/>
        <w:t>6.3</w:t>
      </w:r>
    </w:p>
    <w:p>
      <w:pPr>
        <w:pStyle w:val="Heading3"/>
        <w:tabs>
          <w:tab w:pos="9249" w:val="right" w:leader="dot"/>
        </w:tabs>
        <w:spacing w:before="37"/>
        <w:ind w:left="103"/>
      </w:pPr>
      <w:r>
        <w:rPr/>
        <w:t>在某些情况下，本</w:t>
      </w:r>
      <w:r>
        <w:rPr>
          <w:spacing w:val="-3"/>
        </w:rPr>
        <w:t>合</w:t>
      </w:r>
      <w:r>
        <w:rPr/>
        <w:t>同</w:t>
      </w:r>
      <w:r>
        <w:rPr>
          <w:spacing w:val="-3"/>
        </w:rPr>
        <w:t>效</w:t>
      </w:r>
      <w:r>
        <w:rPr/>
        <w:t>力终止</w:t>
        <w:tab/>
        <w:t>7.2</w:t>
      </w:r>
    </w:p>
    <w:p>
      <w:pPr>
        <w:pStyle w:val="BodyText"/>
        <w:tabs>
          <w:tab w:pos="9036" w:val="right" w:leader="dot"/>
        </w:tabs>
        <w:spacing w:before="37"/>
        <w:ind w:left="103"/>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b/>
        </w:rPr>
        <w:t>显著标</w:t>
      </w:r>
      <w:r>
        <w:rPr>
          <w:b/>
          <w:spacing w:val="-3"/>
        </w:rPr>
        <w:t>识</w:t>
      </w:r>
      <w:r>
        <w:rPr/>
        <w:t>，请</w:t>
      </w:r>
      <w:r>
        <w:rPr>
          <w:spacing w:val="-3"/>
        </w:rPr>
        <w:t>投</w:t>
      </w:r>
      <w:r>
        <w:rPr/>
        <w:t>保</w:t>
      </w:r>
      <w:r>
        <w:rPr>
          <w:spacing w:val="-3"/>
        </w:rPr>
        <w:t>人</w:t>
      </w:r>
      <w:r>
        <w:rPr/>
        <w:t>注意</w:t>
        <w:tab/>
        <w:t>8</w:t>
      </w:r>
    </w:p>
    <w:p>
      <w:pPr>
        <w:spacing w:before="633"/>
        <w:ind w:left="3007" w:right="3570" w:firstLine="0"/>
        <w:jc w:val="center"/>
        <w:rPr>
          <w:b/>
          <w:sz w:val="24"/>
        </w:rPr>
      </w:pPr>
      <w:r>
        <w:rPr>
          <w:b/>
          <w:w w:val="95"/>
          <w:sz w:val="24"/>
        </w:rPr>
        <w:t>被保险人、受益人应当特别注意的事项</w:t>
      </w:r>
    </w:p>
    <w:p>
      <w:pPr>
        <w:pStyle w:val="BodyText"/>
        <w:spacing w:line="273" w:lineRule="auto" w:before="25"/>
        <w:ind w:left="2080" w:right="910" w:hanging="1945"/>
      </w:pPr>
      <w:r>
        <w:rPr/>
        <w:t>（被保险人是指其人身受保险合同保障，并有权申请保险金的人。受益人是指由投保人指定并经被保险人书面同意，或由被保险人指定的享有保险金申请权的人。）</w:t>
      </w:r>
    </w:p>
    <w:p>
      <w:pPr>
        <w:pStyle w:val="BodyText"/>
        <w:tabs>
          <w:tab w:pos="9347" w:val="right" w:leader="dot"/>
        </w:tabs>
        <w:spacing w:before="319"/>
        <w:ind w:left="103"/>
      </w:pPr>
      <w:r>
        <w:rPr/>
        <w:t>被保</w:t>
      </w:r>
      <w:r>
        <w:rPr>
          <w:spacing w:val="-3"/>
        </w:rPr>
        <w:t>险</w:t>
      </w:r>
      <w:r>
        <w:rPr/>
        <w:t>人</w:t>
      </w:r>
      <w:r>
        <w:rPr>
          <w:spacing w:val="-3"/>
        </w:rPr>
        <w:t>有</w:t>
      </w:r>
      <w:r>
        <w:rPr/>
        <w:t>如</w:t>
      </w:r>
      <w:r>
        <w:rPr>
          <w:spacing w:val="-3"/>
        </w:rPr>
        <w:t>实</w:t>
      </w:r>
      <w:r>
        <w:rPr/>
        <w:t>告</w:t>
      </w:r>
      <w:r>
        <w:rPr>
          <w:spacing w:val="-3"/>
        </w:rPr>
        <w:t>知</w:t>
      </w:r>
      <w:r>
        <w:rPr/>
        <w:t>的</w:t>
      </w:r>
      <w:r>
        <w:rPr>
          <w:spacing w:val="-3"/>
        </w:rPr>
        <w:t>义</w:t>
      </w:r>
      <w:r>
        <w:rPr/>
        <w:t>务</w:t>
        <w:tab/>
        <w:t>1.2</w:t>
      </w:r>
    </w:p>
    <w:p>
      <w:pPr>
        <w:pStyle w:val="BodyText"/>
        <w:tabs>
          <w:tab w:pos="9345" w:val="right" w:leader="dot"/>
        </w:tabs>
        <w:spacing w:before="36"/>
        <w:ind w:left="103"/>
      </w:pPr>
      <w:r>
        <w:rPr/>
        <w:t>被保</w:t>
      </w:r>
      <w:r>
        <w:rPr>
          <w:spacing w:val="-3"/>
        </w:rPr>
        <w:t>险</w:t>
      </w:r>
      <w:r>
        <w:rPr/>
        <w:t>人</w:t>
      </w:r>
      <w:r>
        <w:rPr>
          <w:spacing w:val="-3"/>
        </w:rPr>
        <w:t>、</w:t>
      </w:r>
      <w:r>
        <w:rPr/>
        <w:t>受</w:t>
      </w:r>
      <w:r>
        <w:rPr>
          <w:spacing w:val="-3"/>
        </w:rPr>
        <w:t>益</w:t>
      </w:r>
      <w:r>
        <w:rPr/>
        <w:t>人</w:t>
      </w:r>
      <w:r>
        <w:rPr>
          <w:spacing w:val="-3"/>
        </w:rPr>
        <w:t>可</w:t>
      </w:r>
      <w:r>
        <w:rPr/>
        <w:t>以</w:t>
      </w:r>
      <w:r>
        <w:rPr>
          <w:spacing w:val="-3"/>
        </w:rPr>
        <w:t>享</w:t>
      </w:r>
      <w:r>
        <w:rPr/>
        <w:t>受本</w:t>
      </w:r>
      <w:r>
        <w:rPr>
          <w:spacing w:val="-3"/>
        </w:rPr>
        <w:t>保</w:t>
      </w:r>
      <w:r>
        <w:rPr/>
        <w:t>险</w:t>
      </w:r>
      <w:r>
        <w:rPr>
          <w:spacing w:val="-3"/>
        </w:rPr>
        <w:t>提</w:t>
      </w:r>
      <w:r>
        <w:rPr/>
        <w:t>供</w:t>
      </w:r>
      <w:r>
        <w:rPr>
          <w:spacing w:val="-3"/>
        </w:rPr>
        <w:t>的</w:t>
      </w:r>
      <w:r>
        <w:rPr/>
        <w:t>保</w:t>
      </w:r>
      <w:r>
        <w:rPr>
          <w:spacing w:val="-3"/>
        </w:rPr>
        <w:t>障</w:t>
      </w:r>
      <w:r>
        <w:rPr/>
        <w:t>利益</w:t>
        <w:tab/>
        <w:t>2.2</w:t>
      </w:r>
    </w:p>
    <w:p>
      <w:pPr>
        <w:pStyle w:val="BodyText"/>
        <w:tabs>
          <w:tab w:pos="9350" w:val="right" w:leader="dot"/>
        </w:tabs>
        <w:spacing w:before="36"/>
        <w:ind w:left="103"/>
      </w:pPr>
      <w:r>
        <w:rPr/>
        <w:t>以被</w:t>
      </w:r>
      <w:r>
        <w:rPr>
          <w:spacing w:val="-3"/>
        </w:rPr>
        <w:t>保</w:t>
      </w:r>
      <w:r>
        <w:rPr/>
        <w:t>险</w:t>
      </w:r>
      <w:r>
        <w:rPr>
          <w:spacing w:val="-3"/>
        </w:rPr>
        <w:t>人</w:t>
      </w:r>
      <w:r>
        <w:rPr/>
        <w:t>死</w:t>
      </w:r>
      <w:r>
        <w:rPr>
          <w:spacing w:val="-3"/>
        </w:rPr>
        <w:t>亡</w:t>
      </w:r>
      <w:r>
        <w:rPr/>
        <w:t>为</w:t>
      </w:r>
      <w:r>
        <w:rPr>
          <w:spacing w:val="-3"/>
        </w:rPr>
        <w:t>给</w:t>
      </w:r>
      <w:r>
        <w:rPr/>
        <w:t>付</w:t>
      </w:r>
      <w:r>
        <w:rPr>
          <w:spacing w:val="-3"/>
        </w:rPr>
        <w:t>保</w:t>
      </w:r>
      <w:r>
        <w:rPr/>
        <w:t>险金</w:t>
      </w:r>
      <w:r>
        <w:rPr>
          <w:spacing w:val="-3"/>
        </w:rPr>
        <w:t>条</w:t>
      </w:r>
      <w:r>
        <w:rPr/>
        <w:t>件</w:t>
      </w:r>
      <w:r>
        <w:rPr>
          <w:spacing w:val="-3"/>
        </w:rPr>
        <w:t>的</w:t>
      </w:r>
      <w:r>
        <w:rPr/>
        <w:t>，</w:t>
      </w:r>
      <w:r>
        <w:rPr>
          <w:spacing w:val="-3"/>
        </w:rPr>
        <w:t>必</w:t>
      </w:r>
      <w:r>
        <w:rPr/>
        <w:t>须</w:t>
      </w:r>
      <w:r>
        <w:rPr>
          <w:spacing w:val="-3"/>
        </w:rPr>
        <w:t>经</w:t>
      </w:r>
      <w:r>
        <w:rPr/>
        <w:t>被</w:t>
      </w:r>
      <w:r>
        <w:rPr>
          <w:spacing w:val="-3"/>
        </w:rPr>
        <w:t>保</w:t>
      </w:r>
      <w:r>
        <w:rPr/>
        <w:t>险人</w:t>
      </w:r>
      <w:r>
        <w:rPr>
          <w:spacing w:val="-3"/>
        </w:rPr>
        <w:t>书</w:t>
      </w:r>
      <w:r>
        <w:rPr/>
        <w:t>面</w:t>
      </w:r>
      <w:r>
        <w:rPr>
          <w:spacing w:val="-3"/>
        </w:rPr>
        <w:t>同</w:t>
      </w:r>
      <w:r>
        <w:rPr/>
        <w:t>意</w:t>
      </w:r>
      <w:r>
        <w:rPr>
          <w:spacing w:val="-3"/>
        </w:rPr>
        <w:t>并</w:t>
      </w:r>
      <w:r>
        <w:rPr/>
        <w:t>认</w:t>
      </w:r>
      <w:r>
        <w:rPr>
          <w:spacing w:val="-3"/>
        </w:rPr>
        <w:t>可</w:t>
      </w:r>
      <w:r>
        <w:rPr/>
        <w:t>保</w:t>
      </w:r>
      <w:r>
        <w:rPr>
          <w:spacing w:val="-3"/>
        </w:rPr>
        <w:t>险</w:t>
      </w:r>
      <w:r>
        <w:rPr/>
        <w:t>金额</w:t>
        <w:tab/>
        <w:t>2.2</w:t>
      </w:r>
    </w:p>
    <w:p>
      <w:pPr>
        <w:pStyle w:val="BodyText"/>
        <w:tabs>
          <w:tab w:pos="9346" w:val="right" w:leader="dot"/>
        </w:tabs>
        <w:spacing w:before="36"/>
        <w:ind w:left="103"/>
      </w:pPr>
      <w:r>
        <w:rPr/>
        <w:t>被保</w:t>
      </w:r>
      <w:r>
        <w:rPr>
          <w:spacing w:val="-3"/>
        </w:rPr>
        <w:t>险</w:t>
      </w:r>
      <w:r>
        <w:rPr/>
        <w:t>人</w:t>
      </w:r>
      <w:r>
        <w:rPr>
          <w:spacing w:val="-3"/>
        </w:rPr>
        <w:t>的</w:t>
      </w:r>
      <w:r>
        <w:rPr/>
        <w:t>保</w:t>
      </w:r>
      <w:r>
        <w:rPr>
          <w:spacing w:val="-3"/>
        </w:rPr>
        <w:t>险</w:t>
      </w:r>
      <w:r>
        <w:rPr/>
        <w:t>金</w:t>
      </w:r>
      <w:r>
        <w:rPr>
          <w:spacing w:val="-3"/>
        </w:rPr>
        <w:t>给</w:t>
      </w:r>
      <w:r>
        <w:rPr/>
        <w:t>付</w:t>
      </w:r>
      <w:r>
        <w:rPr>
          <w:spacing w:val="-3"/>
        </w:rPr>
        <w:t>限</w:t>
      </w:r>
      <w:r>
        <w:rPr/>
        <w:t>制</w:t>
        <w:tab/>
        <w:t>2.2</w:t>
      </w:r>
    </w:p>
    <w:p>
      <w:pPr>
        <w:pStyle w:val="Heading3"/>
        <w:tabs>
          <w:tab w:pos="9357" w:val="right" w:leader="dot"/>
        </w:tabs>
        <w:spacing w:before="37"/>
        <w:ind w:left="103"/>
        <w:rPr>
          <w:b w:val="0"/>
        </w:rPr>
      </w:pPr>
      <w:r>
        <w:rPr/>
        <w:t>在某些情况下，我</w:t>
      </w:r>
      <w:r>
        <w:rPr>
          <w:spacing w:val="-3"/>
        </w:rPr>
        <w:t>们</w:t>
      </w:r>
      <w:r>
        <w:rPr/>
        <w:t>不</w:t>
      </w:r>
      <w:r>
        <w:rPr>
          <w:spacing w:val="-3"/>
        </w:rPr>
        <w:t>承</w:t>
      </w:r>
      <w:r>
        <w:rPr/>
        <w:t>担保险责任</w:t>
        <w:tab/>
      </w:r>
      <w:r>
        <w:rPr>
          <w:b w:val="0"/>
        </w:rPr>
        <w:t>2.3</w:t>
      </w:r>
    </w:p>
    <w:p>
      <w:pPr>
        <w:pStyle w:val="BodyText"/>
        <w:tabs>
          <w:tab w:pos="9345" w:val="right" w:leader="dot"/>
        </w:tabs>
        <w:spacing w:before="37"/>
        <w:ind w:left="103"/>
      </w:pPr>
      <w:r>
        <w:rPr/>
        <w:t>投保</w:t>
      </w:r>
      <w:r>
        <w:rPr>
          <w:spacing w:val="-3"/>
        </w:rPr>
        <w:t>人</w:t>
      </w:r>
      <w:r>
        <w:rPr/>
        <w:t>指</w:t>
      </w:r>
      <w:r>
        <w:rPr>
          <w:spacing w:val="-3"/>
        </w:rPr>
        <w:t>定</w:t>
      </w:r>
      <w:r>
        <w:rPr/>
        <w:t>或</w:t>
      </w:r>
      <w:r>
        <w:rPr>
          <w:spacing w:val="-3"/>
        </w:rPr>
        <w:t>变</w:t>
      </w:r>
      <w:r>
        <w:rPr/>
        <w:t>更</w:t>
      </w:r>
      <w:r>
        <w:rPr>
          <w:spacing w:val="-3"/>
        </w:rPr>
        <w:t>受</w:t>
      </w:r>
      <w:r>
        <w:rPr/>
        <w:t>益</w:t>
      </w:r>
      <w:r>
        <w:rPr>
          <w:spacing w:val="-3"/>
        </w:rPr>
        <w:t>人</w:t>
      </w:r>
      <w:r>
        <w:rPr/>
        <w:t>应征</w:t>
      </w:r>
      <w:r>
        <w:rPr>
          <w:spacing w:val="-3"/>
        </w:rPr>
        <w:t>得</w:t>
      </w:r>
      <w:r>
        <w:rPr/>
        <w:t>被</w:t>
      </w:r>
      <w:r>
        <w:rPr>
          <w:spacing w:val="-3"/>
        </w:rPr>
        <w:t>保</w:t>
      </w:r>
      <w:r>
        <w:rPr/>
        <w:t>险</w:t>
      </w:r>
      <w:r>
        <w:rPr>
          <w:spacing w:val="-3"/>
        </w:rPr>
        <w:t>人</w:t>
      </w:r>
      <w:r>
        <w:rPr/>
        <w:t>书</w:t>
      </w:r>
      <w:r>
        <w:rPr>
          <w:spacing w:val="-3"/>
        </w:rPr>
        <w:t>面</w:t>
      </w:r>
      <w:r>
        <w:rPr/>
        <w:t>同意</w:t>
        <w:tab/>
        <w:t>4.1</w:t>
      </w:r>
    </w:p>
    <w:p>
      <w:pPr>
        <w:pStyle w:val="BodyText"/>
        <w:tabs>
          <w:tab w:pos="9347" w:val="right" w:leader="dot"/>
        </w:tabs>
        <w:spacing w:before="36"/>
        <w:ind w:left="103"/>
      </w:pPr>
      <w:r>
        <w:rPr/>
        <w:t>被保</w:t>
      </w:r>
      <w:r>
        <w:rPr>
          <w:spacing w:val="-3"/>
        </w:rPr>
        <w:t>险</w:t>
      </w:r>
      <w:r>
        <w:rPr/>
        <w:t>人</w:t>
      </w:r>
      <w:r>
        <w:rPr>
          <w:spacing w:val="-3"/>
        </w:rPr>
        <w:t>、</w:t>
      </w:r>
      <w:r>
        <w:rPr/>
        <w:t>受</w:t>
      </w:r>
      <w:r>
        <w:rPr>
          <w:spacing w:val="-3"/>
        </w:rPr>
        <w:t>益</w:t>
      </w:r>
      <w:r>
        <w:rPr/>
        <w:t>人</w:t>
      </w:r>
      <w:r>
        <w:rPr>
          <w:spacing w:val="-3"/>
        </w:rPr>
        <w:t>有</w:t>
      </w:r>
      <w:r>
        <w:rPr/>
        <w:t>及</w:t>
      </w:r>
      <w:r>
        <w:rPr>
          <w:spacing w:val="-3"/>
        </w:rPr>
        <w:t>时</w:t>
      </w:r>
      <w:r>
        <w:rPr/>
        <w:t>向我</w:t>
      </w:r>
      <w:r>
        <w:rPr>
          <w:spacing w:val="-3"/>
        </w:rPr>
        <w:t>们</w:t>
      </w:r>
      <w:r>
        <w:rPr/>
        <w:t>通</w:t>
      </w:r>
      <w:r>
        <w:rPr>
          <w:spacing w:val="-3"/>
        </w:rPr>
        <w:t>知</w:t>
      </w:r>
      <w:r>
        <w:rPr/>
        <w:t>保</w:t>
      </w:r>
      <w:r>
        <w:rPr>
          <w:spacing w:val="-3"/>
        </w:rPr>
        <w:t>险</w:t>
      </w:r>
      <w:r>
        <w:rPr/>
        <w:t>事</w:t>
      </w:r>
      <w:r>
        <w:rPr>
          <w:spacing w:val="-3"/>
        </w:rPr>
        <w:t>故</w:t>
      </w:r>
      <w:r>
        <w:rPr/>
        <w:t>的</w:t>
      </w:r>
      <w:r>
        <w:rPr>
          <w:spacing w:val="-3"/>
        </w:rPr>
        <w:t>义</w:t>
      </w:r>
      <w:r>
        <w:rPr/>
        <w:t>务</w:t>
        <w:tab/>
        <w:t>4.2</w:t>
      </w:r>
    </w:p>
    <w:p>
      <w:pPr>
        <w:pStyle w:val="BodyText"/>
        <w:tabs>
          <w:tab w:pos="9345" w:val="right" w:leader="dot"/>
        </w:tabs>
        <w:spacing w:before="36"/>
        <w:ind w:left="103"/>
      </w:pPr>
      <w:r>
        <w:rPr/>
        <w:t>受益</w:t>
      </w:r>
      <w:r>
        <w:rPr>
          <w:spacing w:val="-3"/>
        </w:rPr>
        <w:t>人</w:t>
      </w:r>
      <w:r>
        <w:rPr/>
        <w:t>申</w:t>
      </w:r>
      <w:r>
        <w:rPr>
          <w:spacing w:val="-3"/>
        </w:rPr>
        <w:t>请</w:t>
      </w:r>
      <w:r>
        <w:rPr/>
        <w:t>保</w:t>
      </w:r>
      <w:r>
        <w:rPr>
          <w:spacing w:val="-3"/>
        </w:rPr>
        <w:t>险</w:t>
      </w:r>
      <w:r>
        <w:rPr/>
        <w:t>金</w:t>
      </w:r>
      <w:r>
        <w:rPr>
          <w:spacing w:val="-3"/>
        </w:rPr>
        <w:t>的</w:t>
      </w:r>
      <w:r>
        <w:rPr/>
        <w:t>权</w:t>
      </w:r>
      <w:r>
        <w:rPr>
          <w:spacing w:val="-3"/>
        </w:rPr>
        <w:t>利</w:t>
      </w:r>
      <w:r>
        <w:rPr/>
        <w:t>应当</w:t>
      </w:r>
      <w:r>
        <w:rPr>
          <w:spacing w:val="-3"/>
        </w:rPr>
        <w:t>在</w:t>
      </w:r>
      <w:r>
        <w:rPr/>
        <w:t>一</w:t>
      </w:r>
      <w:r>
        <w:rPr>
          <w:spacing w:val="-3"/>
        </w:rPr>
        <w:t>定</w:t>
      </w:r>
      <w:r>
        <w:rPr/>
        <w:t>期</w:t>
      </w:r>
      <w:r>
        <w:rPr>
          <w:spacing w:val="-3"/>
        </w:rPr>
        <w:t>间</w:t>
      </w:r>
      <w:r>
        <w:rPr/>
        <w:t>内</w:t>
      </w:r>
      <w:r>
        <w:rPr>
          <w:spacing w:val="-3"/>
        </w:rPr>
        <w:t>行</w:t>
      </w:r>
      <w:r>
        <w:rPr/>
        <w:t>使</w:t>
        <w:tab/>
        <w:t>4.3</w:t>
      </w:r>
    </w:p>
    <w:p>
      <w:pPr>
        <w:pStyle w:val="BodyText"/>
        <w:tabs>
          <w:tab w:pos="9345" w:val="right" w:leader="dot"/>
        </w:tabs>
        <w:spacing w:before="36"/>
        <w:ind w:left="103"/>
      </w:pPr>
      <w:r>
        <w:rPr/>
        <w:t>受益</w:t>
      </w:r>
      <w:r>
        <w:rPr>
          <w:spacing w:val="-3"/>
        </w:rPr>
        <w:t>人</w:t>
      </w:r>
      <w:r>
        <w:rPr/>
        <w:t>申</w:t>
      </w:r>
      <w:r>
        <w:rPr>
          <w:spacing w:val="-3"/>
        </w:rPr>
        <w:t>请</w:t>
      </w:r>
      <w:r>
        <w:rPr/>
        <w:t>保</w:t>
      </w:r>
      <w:r>
        <w:rPr>
          <w:spacing w:val="-3"/>
        </w:rPr>
        <w:t>险</w:t>
      </w:r>
      <w:r>
        <w:rPr/>
        <w:t>金</w:t>
      </w:r>
      <w:r>
        <w:rPr>
          <w:spacing w:val="-3"/>
        </w:rPr>
        <w:t>应</w:t>
      </w:r>
      <w:r>
        <w:rPr/>
        <w:t>提</w:t>
      </w:r>
      <w:r>
        <w:rPr>
          <w:spacing w:val="-3"/>
        </w:rPr>
        <w:t>供</w:t>
      </w:r>
      <w:r>
        <w:rPr/>
        <w:t>证明</w:t>
      </w:r>
      <w:r>
        <w:rPr>
          <w:spacing w:val="-3"/>
        </w:rPr>
        <w:t>文</w:t>
      </w:r>
      <w:r>
        <w:rPr/>
        <w:t>件</w:t>
      </w:r>
      <w:r>
        <w:rPr>
          <w:spacing w:val="-3"/>
        </w:rPr>
        <w:t>和</w:t>
      </w:r>
      <w:r>
        <w:rPr/>
        <w:t>资料</w:t>
        <w:tab/>
        <w:t>4.4</w:t>
      </w:r>
    </w:p>
    <w:p>
      <w:pPr>
        <w:pStyle w:val="BodyText"/>
        <w:tabs>
          <w:tab w:pos="9141" w:val="right" w:leader="dot"/>
        </w:tabs>
        <w:spacing w:before="36"/>
        <w:ind w:left="103"/>
      </w:pPr>
      <w:r>
        <w:rPr/>
        <w:t>我们</w:t>
      </w:r>
      <w:r>
        <w:rPr>
          <w:spacing w:val="-3"/>
        </w:rPr>
        <w:t>对</w:t>
      </w:r>
      <w:r>
        <w:rPr/>
        <w:t>一</w:t>
      </w:r>
      <w:r>
        <w:rPr>
          <w:spacing w:val="-3"/>
        </w:rPr>
        <w:t>些</w:t>
      </w:r>
      <w:r>
        <w:rPr/>
        <w:t>重</w:t>
      </w:r>
      <w:r>
        <w:rPr>
          <w:spacing w:val="-3"/>
        </w:rPr>
        <w:t>要</w:t>
      </w:r>
      <w:r>
        <w:rPr/>
        <w:t>术</w:t>
      </w:r>
      <w:r>
        <w:rPr>
          <w:spacing w:val="-3"/>
        </w:rPr>
        <w:t>语</w:t>
      </w:r>
      <w:r>
        <w:rPr/>
        <w:t>进</w:t>
      </w:r>
      <w:r>
        <w:rPr>
          <w:spacing w:val="-3"/>
        </w:rPr>
        <w:t>行</w:t>
      </w:r>
      <w:r>
        <w:rPr/>
        <w:t>了解</w:t>
      </w:r>
      <w:r>
        <w:rPr>
          <w:spacing w:val="-3"/>
        </w:rPr>
        <w:t>释</w:t>
      </w:r>
      <w:r>
        <w:rPr/>
        <w:t>，</w:t>
      </w:r>
      <w:r>
        <w:rPr>
          <w:spacing w:val="-3"/>
        </w:rPr>
        <w:t>并</w:t>
      </w:r>
      <w:r>
        <w:rPr/>
        <w:t>作</w:t>
      </w:r>
      <w:r>
        <w:rPr>
          <w:spacing w:val="-3"/>
        </w:rPr>
        <w:t>了</w:t>
      </w:r>
      <w:r>
        <w:rPr>
          <w:b/>
        </w:rPr>
        <w:t>显著标</w:t>
      </w:r>
      <w:r>
        <w:rPr>
          <w:b/>
          <w:spacing w:val="-3"/>
        </w:rPr>
        <w:t>识</w:t>
      </w:r>
      <w:r>
        <w:rPr/>
        <w:t>，请</w:t>
      </w:r>
      <w:r>
        <w:rPr>
          <w:spacing w:val="-3"/>
        </w:rPr>
        <w:t>被</w:t>
      </w:r>
      <w:r>
        <w:rPr/>
        <w:t>保</w:t>
      </w:r>
      <w:r>
        <w:rPr>
          <w:spacing w:val="-3"/>
        </w:rPr>
        <w:t>险</w:t>
      </w:r>
      <w:r>
        <w:rPr/>
        <w:t>人</w:t>
      </w:r>
      <w:r>
        <w:rPr>
          <w:spacing w:val="-3"/>
        </w:rPr>
        <w:t>、</w:t>
      </w:r>
      <w:r>
        <w:rPr/>
        <w:t>受</w:t>
      </w:r>
      <w:r>
        <w:rPr>
          <w:spacing w:val="-3"/>
        </w:rPr>
        <w:t>益</w:t>
      </w:r>
      <w:r>
        <w:rPr/>
        <w:t>人</w:t>
      </w:r>
      <w:r>
        <w:rPr>
          <w:spacing w:val="-3"/>
        </w:rPr>
        <w:t>注</w:t>
      </w:r>
      <w:r>
        <w:rPr/>
        <w:t>意</w:t>
        <w:tab/>
        <w:t>8</w:t>
      </w:r>
    </w:p>
    <w:p>
      <w:pPr>
        <w:spacing w:after="0"/>
        <w:sectPr>
          <w:type w:val="continuous"/>
          <w:pgSz w:w="11910" w:h="16840"/>
          <w:pgMar w:top="440" w:bottom="280" w:left="1200" w:right="200"/>
        </w:sectPr>
      </w:pPr>
    </w:p>
    <w:p>
      <w:pPr>
        <w:pStyle w:val="BodyText"/>
        <w:rPr>
          <w:sz w:val="20"/>
        </w:rPr>
      </w:pPr>
    </w:p>
    <w:p>
      <w:pPr>
        <w:pStyle w:val="BodyText"/>
        <w:spacing w:before="4" w:after="1"/>
        <w:rPr>
          <w:sz w:val="24"/>
        </w:rPr>
      </w:pPr>
    </w:p>
    <w:p>
      <w:pPr>
        <w:pStyle w:val="BodyText"/>
        <w:ind w:left="3839"/>
        <w:rPr>
          <w:sz w:val="20"/>
        </w:rPr>
      </w:pPr>
      <w:r>
        <w:rPr>
          <w:sz w:val="20"/>
        </w:rPr>
        <w:pict>
          <v:group style="width:123.75pt;height:42pt;mso-position-horizontal-relative:char;mso-position-vertical-relative:line" coordorigin="0,0" coordsize="2475,840">
            <v:shape style="position:absolute;left:0;top:0;width:2475;height:840" coordorigin="0,0" coordsize="2475,840" path="m2475,0l0,0,0,840,2475,840,2475,820,20,820,20,20,2475,20,2475,0xm2475,20l2455,20,2455,820,2475,820,2475,20xm40,40l40,800,2435,800,2435,780,60,780,60,60,40,40xm2435,40l40,40,60,60,2415,60,2415,780,2435,780,2435,40xe" filled="true" fillcolor="#000000" stroked="false">
              <v:path arrowok="t"/>
              <v:fill type="solid"/>
            </v:shape>
            <v:shape style="position:absolute;left:0;top:0;width:2475;height:840" type="#_x0000_t202" filled="false" stroked="false">
              <v:textbox inset="0,0,0,0">
                <w:txbxContent>
                  <w:p>
                    <w:pPr>
                      <w:spacing w:before="83"/>
                      <w:ind w:left="356" w:right="0" w:firstLine="0"/>
                      <w:jc w:val="left"/>
                      <w:rPr>
                        <w:rFonts w:ascii="微软雅黑" w:eastAsia="微软雅黑" w:hint="eastAsia"/>
                        <w:b/>
                        <w:sz w:val="32"/>
                      </w:rPr>
                    </w:pPr>
                    <w:r>
                      <w:rPr>
                        <w:rFonts w:ascii="微软雅黑" w:eastAsia="微软雅黑" w:hint="eastAsia"/>
                        <w:b/>
                        <w:sz w:val="32"/>
                      </w:rPr>
                      <w:t>条  款  目 录</w:t>
                    </w:r>
                  </w:p>
                </w:txbxContent>
              </v:textbox>
              <w10:wrap type="none"/>
            </v:shape>
          </v:group>
        </w:pict>
      </w:r>
      <w:r>
        <w:rPr>
          <w:sz w:val="20"/>
        </w:rPr>
      </w:r>
    </w:p>
    <w:p>
      <w:pPr>
        <w:pStyle w:val="BodyText"/>
        <w:spacing w:before="12"/>
        <w:rPr>
          <w:sz w:val="23"/>
        </w:rPr>
      </w:pPr>
    </w:p>
    <w:p>
      <w:pPr>
        <w:pStyle w:val="Heading3"/>
        <w:ind w:left="2090"/>
      </w:pPr>
      <w:r>
        <w:rPr/>
        <w:pict>
          <v:group style="position:absolute;margin-left:218.039993pt;margin-top:47.42363pt;width:.25pt;height:46.6pt;mso-position-horizontal-relative:page;mso-position-vertical-relative:paragraph;z-index:-91672" coordorigin="4361,948" coordsize="5,932">
            <v:shape style="position:absolute;left:4360;top:948;width:5;height:620" type="#_x0000_t75" stroked="false">
              <v:imagedata r:id="rId6" o:title=""/>
            </v:shape>
            <v:shape style="position:absolute;left:4360;top:1567;width:5;height:312" type="#_x0000_t75" stroked="false">
              <v:imagedata r:id="rId7" o:title=""/>
            </v:shape>
            <w10:wrap type="none"/>
          </v:group>
        </w:pict>
      </w:r>
      <w:r>
        <w:rPr/>
        <w:pict>
          <v:group style="position:absolute;margin-left:383.999969pt;margin-top:47.42363pt;width:.25pt;height:483.6pt;mso-position-horizontal-relative:page;mso-position-vertical-relative:paragraph;z-index:-91648" coordorigin="7680,948" coordsize="5,9672">
            <v:shape style="position:absolute;left:7680;top:948;width:5;height:620" type="#_x0000_t75" stroked="false">
              <v:imagedata r:id="rId6" o:title=""/>
            </v:shape>
            <v:shape style="position:absolute;left:7680;top:1567;width:5;height:312" type="#_x0000_t75" stroked="false">
              <v:imagedata r:id="rId7" o:title=""/>
            </v:shape>
            <v:shape style="position:absolute;left:7680;top:1879;width:5;height:312" type="#_x0000_t75" stroked="false">
              <v:imagedata r:id="rId8" o:title=""/>
            </v:shape>
            <v:shape style="position:absolute;left:7680;top:2191;width:5;height:932" type="#_x0000_t75" stroked="false">
              <v:imagedata r:id="rId9" o:title=""/>
            </v:shape>
            <v:shape style="position:absolute;left:7680;top:3122;width:5;height:317" type="#_x0000_t75" stroked="false">
              <v:imagedata r:id="rId10" o:title=""/>
            </v:shape>
            <v:shape style="position:absolute;left:7680;top:3439;width:5;height:624" type="#_x0000_t75" stroked="false">
              <v:imagedata r:id="rId11" o:title=""/>
            </v:shape>
            <v:shape style="position:absolute;left:7680;top:4063;width:5;height:312" type="#_x0000_t75" stroked="false">
              <v:imagedata r:id="rId7" o:title=""/>
            </v:shape>
            <v:shape style="position:absolute;left:7680;top:4375;width:5;height:312" type="#_x0000_t75" stroked="false">
              <v:imagedata r:id="rId12" o:title=""/>
            </v:shape>
            <v:shape style="position:absolute;left:7680;top:4687;width:5;height:312" type="#_x0000_t75" stroked="false">
              <v:imagedata r:id="rId13" o:title=""/>
            </v:shape>
            <v:shape style="position:absolute;left:7680;top:4999;width:5;height:624" type="#_x0000_t75" stroked="false">
              <v:imagedata r:id="rId14" o:title=""/>
            </v:shape>
            <v:shape style="position:absolute;left:7680;top:5623;width:5;height:312" type="#_x0000_t75" stroked="false">
              <v:imagedata r:id="rId15" o:title=""/>
            </v:shape>
            <v:shape style="position:absolute;left:7680;top:5935;width:5;height:312" type="#_x0000_t75" stroked="false">
              <v:imagedata r:id="rId16" o:title=""/>
            </v:shape>
            <v:shape style="position:absolute;left:7680;top:6247;width:5;height:312" type="#_x0000_t75" stroked="false">
              <v:imagedata r:id="rId17" o:title=""/>
            </v:shape>
            <v:shape style="position:absolute;left:7680;top:6559;width:5;height:624" type="#_x0000_t75" stroked="false">
              <v:imagedata r:id="rId18" o:title=""/>
            </v:shape>
            <v:shape style="position:absolute;left:7680;top:7183;width:5;height:624" type="#_x0000_t75" stroked="false">
              <v:imagedata r:id="rId19" o:title=""/>
            </v:shape>
            <v:shape style="position:absolute;left:7680;top:7807;width:5;height:312" type="#_x0000_t75" stroked="false">
              <v:imagedata r:id="rId20" o:title=""/>
            </v:shape>
            <v:shape style="position:absolute;left:7680;top:8119;width:5;height:2184" type="#_x0000_t75" stroked="false">
              <v:imagedata r:id="rId21" o:title=""/>
            </v:shape>
            <v:shape style="position:absolute;left:7680;top:10303;width:5;height:317" type="#_x0000_t75" stroked="false">
              <v:imagedata r:id="rId22" o:title=""/>
            </v:shape>
            <w10:wrap type="none"/>
          </v:group>
        </w:pict>
      </w:r>
      <w:r>
        <w:rPr/>
        <w:pict>
          <v:group style="position:absolute;margin-left:218.039993pt;margin-top:93.983643pt;width:.25pt;height:437.05pt;mso-position-horizontal-relative:page;mso-position-vertical-relative:paragraph;z-index:-91624" coordorigin="4361,1880" coordsize="5,8741">
            <v:shape style="position:absolute;left:4360;top:1879;width:5;height:312" type="#_x0000_t75" stroked="false">
              <v:imagedata r:id="rId8" o:title=""/>
            </v:shape>
            <v:shape style="position:absolute;left:4360;top:2191;width:5;height:932" type="#_x0000_t75" stroked="false">
              <v:imagedata r:id="rId9" o:title=""/>
            </v:shape>
            <v:shape style="position:absolute;left:4360;top:3122;width:5;height:317" type="#_x0000_t75" stroked="false">
              <v:imagedata r:id="rId10" o:title=""/>
            </v:shape>
            <v:shape style="position:absolute;left:4360;top:3439;width:5;height:624" type="#_x0000_t75" stroked="false">
              <v:imagedata r:id="rId11" o:title=""/>
            </v:shape>
            <v:shape style="position:absolute;left:4360;top:4063;width:5;height:312" type="#_x0000_t75" stroked="false">
              <v:imagedata r:id="rId7" o:title=""/>
            </v:shape>
            <v:shape style="position:absolute;left:4360;top:4375;width:5;height:312" type="#_x0000_t75" stroked="false">
              <v:imagedata r:id="rId12" o:title=""/>
            </v:shape>
            <v:shape style="position:absolute;left:4360;top:4687;width:5;height:312" type="#_x0000_t75" stroked="false">
              <v:imagedata r:id="rId13" o:title=""/>
            </v:shape>
            <v:shape style="position:absolute;left:4360;top:4999;width:5;height:624" type="#_x0000_t75" stroked="false">
              <v:imagedata r:id="rId14" o:title=""/>
            </v:shape>
            <v:shape style="position:absolute;left:4360;top:5623;width:5;height:312" type="#_x0000_t75" stroked="false">
              <v:imagedata r:id="rId15" o:title=""/>
            </v:shape>
            <v:shape style="position:absolute;left:4360;top:5935;width:5;height:312" type="#_x0000_t75" stroked="false">
              <v:imagedata r:id="rId16" o:title=""/>
            </v:shape>
            <v:shape style="position:absolute;left:4360;top:6247;width:5;height:312" type="#_x0000_t75" stroked="false">
              <v:imagedata r:id="rId17" o:title=""/>
            </v:shape>
            <v:shape style="position:absolute;left:4360;top:6559;width:5;height:624" type="#_x0000_t75" stroked="false">
              <v:imagedata r:id="rId18" o:title=""/>
            </v:shape>
            <v:shape style="position:absolute;left:4360;top:7183;width:5;height:624" type="#_x0000_t75" stroked="false">
              <v:imagedata r:id="rId19" o:title=""/>
            </v:shape>
            <v:shape style="position:absolute;left:4360;top:7807;width:5;height:312" type="#_x0000_t75" stroked="false">
              <v:imagedata r:id="rId20" o:title=""/>
            </v:shape>
            <v:shape style="position:absolute;left:4360;top:8119;width:5;height:2184" type="#_x0000_t75" stroked="false">
              <v:imagedata r:id="rId21" o:title=""/>
            </v:shape>
            <v:shape style="position:absolute;left:4360;top:10303;width:5;height:317" type="#_x0000_t75" stroked="false">
              <v:imagedata r:id="rId22" o:title=""/>
            </v:shape>
            <w10:wrap type="none"/>
          </v:group>
        </w:pict>
      </w:r>
      <w:r>
        <w:rPr/>
        <w:t>在阅读条款正文之前，浏览一下目录有助于对条款结构有一个大致了解。</w:t>
      </w:r>
    </w:p>
    <w:p>
      <w:pPr>
        <w:pStyle w:val="BodyText"/>
        <w:rPr>
          <w:b/>
          <w:sz w:val="20"/>
        </w:rPr>
      </w:pPr>
    </w:p>
    <w:p>
      <w:pPr>
        <w:pStyle w:val="BodyText"/>
        <w:rPr>
          <w:b/>
          <w:sz w:val="20"/>
        </w:rPr>
      </w:pPr>
    </w:p>
    <w:p>
      <w:pPr>
        <w:pStyle w:val="BodyText"/>
        <w:spacing w:before="5"/>
        <w:rPr>
          <w:b/>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3"/>
        <w:gridCol w:w="3295"/>
        <w:gridCol w:w="3486"/>
      </w:tblGrid>
      <w:tr>
        <w:trPr>
          <w:trHeight w:val="261" w:hRule="atLeast"/>
        </w:trPr>
        <w:tc>
          <w:tcPr>
            <w:tcW w:w="3303" w:type="dxa"/>
          </w:tcPr>
          <w:p>
            <w:pPr>
              <w:pStyle w:val="TableParagraph"/>
              <w:spacing w:line="211" w:lineRule="exact"/>
              <w:ind w:left="200"/>
              <w:rPr>
                <w:b/>
                <w:sz w:val="21"/>
              </w:rPr>
            </w:pPr>
            <w:r>
              <w:rPr>
                <w:b/>
                <w:sz w:val="21"/>
              </w:rPr>
              <w:t>1 投保人与我们的合同</w:t>
            </w:r>
          </w:p>
        </w:tc>
        <w:tc>
          <w:tcPr>
            <w:tcW w:w="3295" w:type="dxa"/>
          </w:tcPr>
          <w:p>
            <w:pPr>
              <w:pStyle w:val="TableParagraph"/>
              <w:spacing w:line="211" w:lineRule="exact"/>
              <w:ind w:left="158"/>
              <w:rPr>
                <w:b/>
                <w:sz w:val="21"/>
              </w:rPr>
            </w:pPr>
            <w:r>
              <w:rPr>
                <w:b/>
                <w:sz w:val="21"/>
              </w:rPr>
              <w:t>5 缴付保险费</w:t>
            </w:r>
          </w:p>
        </w:tc>
        <w:tc>
          <w:tcPr>
            <w:tcW w:w="3486" w:type="dxa"/>
          </w:tcPr>
          <w:p>
            <w:pPr>
              <w:pStyle w:val="TableParagraph"/>
              <w:spacing w:line="211" w:lineRule="exact"/>
              <w:ind w:left="182"/>
              <w:rPr>
                <w:b/>
                <w:sz w:val="21"/>
              </w:rPr>
            </w:pPr>
            <w:r>
              <w:rPr>
                <w:b/>
                <w:sz w:val="21"/>
              </w:rPr>
              <w:t>8 释义</w:t>
            </w:r>
          </w:p>
        </w:tc>
      </w:tr>
      <w:tr>
        <w:trPr>
          <w:trHeight w:val="312" w:hRule="atLeast"/>
        </w:trPr>
        <w:tc>
          <w:tcPr>
            <w:tcW w:w="3303" w:type="dxa"/>
          </w:tcPr>
          <w:p>
            <w:pPr>
              <w:pStyle w:val="TableParagraph"/>
              <w:spacing w:line="261" w:lineRule="exact"/>
              <w:ind w:left="411"/>
              <w:rPr>
                <w:sz w:val="21"/>
              </w:rPr>
            </w:pPr>
            <w:r>
              <w:rPr>
                <w:sz w:val="21"/>
              </w:rPr>
              <w:t>1.1 合同构成</w:t>
            </w:r>
          </w:p>
        </w:tc>
        <w:tc>
          <w:tcPr>
            <w:tcW w:w="3295" w:type="dxa"/>
          </w:tcPr>
          <w:p>
            <w:pPr>
              <w:pStyle w:val="TableParagraph"/>
              <w:spacing w:line="261" w:lineRule="exact"/>
              <w:ind w:left="369"/>
              <w:rPr>
                <w:sz w:val="21"/>
              </w:rPr>
            </w:pPr>
            <w:r>
              <w:rPr>
                <w:sz w:val="21"/>
              </w:rPr>
              <w:t>5.1 保险费的缴付</w:t>
            </w:r>
          </w:p>
        </w:tc>
        <w:tc>
          <w:tcPr>
            <w:tcW w:w="3486" w:type="dxa"/>
          </w:tcPr>
          <w:p>
            <w:pPr>
              <w:pStyle w:val="TableParagraph"/>
              <w:tabs>
                <w:tab w:pos="919" w:val="left" w:leader="none"/>
              </w:tabs>
              <w:spacing w:line="261" w:lineRule="exact"/>
              <w:ind w:left="393"/>
              <w:rPr>
                <w:sz w:val="21"/>
              </w:rPr>
            </w:pPr>
            <w:r>
              <w:rPr>
                <w:sz w:val="21"/>
              </w:rPr>
              <w:t>8.1</w:t>
              <w:tab/>
            </w:r>
            <w:r>
              <w:rPr>
                <w:spacing w:val="-3"/>
                <w:sz w:val="21"/>
              </w:rPr>
              <w:t>保单周年日</w:t>
            </w:r>
          </w:p>
        </w:tc>
      </w:tr>
      <w:tr>
        <w:trPr>
          <w:trHeight w:val="311" w:hRule="atLeast"/>
        </w:trPr>
        <w:tc>
          <w:tcPr>
            <w:tcW w:w="3303" w:type="dxa"/>
          </w:tcPr>
          <w:p>
            <w:pPr>
              <w:pStyle w:val="TableParagraph"/>
              <w:spacing w:line="261" w:lineRule="exact"/>
              <w:ind w:left="411"/>
              <w:rPr>
                <w:sz w:val="21"/>
              </w:rPr>
            </w:pPr>
            <w:r>
              <w:rPr>
                <w:sz w:val="21"/>
              </w:rPr>
              <w:t>1.2 如实告知</w:t>
            </w:r>
          </w:p>
        </w:tc>
        <w:tc>
          <w:tcPr>
            <w:tcW w:w="3295" w:type="dxa"/>
          </w:tcPr>
          <w:p>
            <w:pPr>
              <w:pStyle w:val="TableParagraph"/>
              <w:spacing w:line="261" w:lineRule="exact"/>
              <w:ind w:left="369"/>
              <w:rPr>
                <w:sz w:val="21"/>
              </w:rPr>
            </w:pPr>
            <w:r>
              <w:rPr>
                <w:sz w:val="21"/>
              </w:rPr>
              <w:t>5.2 宽限期</w:t>
            </w:r>
          </w:p>
        </w:tc>
        <w:tc>
          <w:tcPr>
            <w:tcW w:w="3486" w:type="dxa"/>
          </w:tcPr>
          <w:p>
            <w:pPr>
              <w:pStyle w:val="TableParagraph"/>
              <w:tabs>
                <w:tab w:pos="919" w:val="left" w:leader="none"/>
              </w:tabs>
              <w:spacing w:line="261" w:lineRule="exact"/>
              <w:ind w:left="393"/>
              <w:rPr>
                <w:sz w:val="21"/>
              </w:rPr>
            </w:pPr>
            <w:r>
              <w:rPr>
                <w:sz w:val="21"/>
              </w:rPr>
              <w:t>8.2</w:t>
              <w:tab/>
            </w:r>
            <w:r>
              <w:rPr>
                <w:spacing w:val="-2"/>
                <w:sz w:val="21"/>
              </w:rPr>
              <w:t>保单年度</w:t>
            </w:r>
          </w:p>
        </w:tc>
      </w:tr>
      <w:tr>
        <w:trPr>
          <w:trHeight w:val="311" w:hRule="atLeast"/>
        </w:trPr>
        <w:tc>
          <w:tcPr>
            <w:tcW w:w="3303" w:type="dxa"/>
          </w:tcPr>
          <w:p>
            <w:pPr>
              <w:pStyle w:val="TableParagraph"/>
              <w:spacing w:line="261" w:lineRule="exact"/>
              <w:ind w:right="155"/>
              <w:jc w:val="right"/>
              <w:rPr>
                <w:sz w:val="21"/>
              </w:rPr>
            </w:pPr>
            <w:r>
              <w:rPr>
                <w:sz w:val="21"/>
              </w:rPr>
              <w:t>1.3 合同成立及保险责任开始</w:t>
            </w:r>
          </w:p>
        </w:tc>
        <w:tc>
          <w:tcPr>
            <w:tcW w:w="3295" w:type="dxa"/>
          </w:tcPr>
          <w:p>
            <w:pPr>
              <w:pStyle w:val="TableParagraph"/>
              <w:rPr>
                <w:rFonts w:ascii="Times New Roman"/>
                <w:sz w:val="20"/>
              </w:rPr>
            </w:pPr>
          </w:p>
        </w:tc>
        <w:tc>
          <w:tcPr>
            <w:tcW w:w="3486" w:type="dxa"/>
          </w:tcPr>
          <w:p>
            <w:pPr>
              <w:pStyle w:val="TableParagraph"/>
              <w:tabs>
                <w:tab w:pos="919" w:val="left" w:leader="none"/>
              </w:tabs>
              <w:spacing w:line="261" w:lineRule="exact"/>
              <w:ind w:left="393"/>
              <w:rPr>
                <w:sz w:val="21"/>
              </w:rPr>
            </w:pPr>
            <w:r>
              <w:rPr>
                <w:sz w:val="21"/>
              </w:rPr>
              <w:t>8.3</w:t>
              <w:tab/>
              <w:t>周岁</w:t>
            </w:r>
          </w:p>
        </w:tc>
      </w:tr>
      <w:tr>
        <w:trPr>
          <w:trHeight w:val="312" w:hRule="atLeast"/>
        </w:trPr>
        <w:tc>
          <w:tcPr>
            <w:tcW w:w="3303" w:type="dxa"/>
          </w:tcPr>
          <w:p>
            <w:pPr>
              <w:pStyle w:val="TableParagraph"/>
              <w:spacing w:line="261" w:lineRule="exact"/>
              <w:ind w:left="411"/>
              <w:rPr>
                <w:sz w:val="21"/>
              </w:rPr>
            </w:pPr>
            <w:r>
              <w:rPr>
                <w:sz w:val="21"/>
              </w:rPr>
              <w:t>1.4 犹豫期</w:t>
            </w:r>
          </w:p>
        </w:tc>
        <w:tc>
          <w:tcPr>
            <w:tcW w:w="3295" w:type="dxa"/>
          </w:tcPr>
          <w:p>
            <w:pPr>
              <w:pStyle w:val="TableParagraph"/>
              <w:rPr>
                <w:rFonts w:ascii="Times New Roman"/>
                <w:sz w:val="20"/>
              </w:rPr>
            </w:pPr>
          </w:p>
        </w:tc>
        <w:tc>
          <w:tcPr>
            <w:tcW w:w="3486" w:type="dxa"/>
          </w:tcPr>
          <w:p>
            <w:pPr>
              <w:pStyle w:val="TableParagraph"/>
              <w:tabs>
                <w:tab w:pos="919" w:val="left" w:leader="none"/>
              </w:tabs>
              <w:spacing w:line="261" w:lineRule="exact"/>
              <w:ind w:left="394"/>
              <w:rPr>
                <w:sz w:val="21"/>
              </w:rPr>
            </w:pPr>
            <w:r>
              <w:rPr>
                <w:sz w:val="21"/>
              </w:rPr>
              <w:t>8.4</w:t>
              <w:tab/>
            </w:r>
            <w:r>
              <w:rPr>
                <w:spacing w:val="-3"/>
                <w:sz w:val="21"/>
              </w:rPr>
              <w:t>意外伤害事故</w:t>
            </w:r>
          </w:p>
        </w:tc>
      </w:tr>
      <w:tr>
        <w:trPr>
          <w:trHeight w:val="623" w:hRule="atLeast"/>
        </w:trPr>
        <w:tc>
          <w:tcPr>
            <w:tcW w:w="3303" w:type="dxa"/>
          </w:tcPr>
          <w:p>
            <w:pPr>
              <w:pStyle w:val="TableParagraph"/>
              <w:rPr>
                <w:rFonts w:ascii="Times New Roman"/>
                <w:sz w:val="20"/>
              </w:rPr>
            </w:pPr>
          </w:p>
        </w:tc>
        <w:tc>
          <w:tcPr>
            <w:tcW w:w="3295" w:type="dxa"/>
          </w:tcPr>
          <w:p>
            <w:pPr>
              <w:pStyle w:val="TableParagraph"/>
              <w:rPr>
                <w:rFonts w:ascii="Times New Roman"/>
                <w:sz w:val="20"/>
              </w:rPr>
            </w:pPr>
          </w:p>
        </w:tc>
        <w:tc>
          <w:tcPr>
            <w:tcW w:w="3486" w:type="dxa"/>
          </w:tcPr>
          <w:p>
            <w:pPr>
              <w:pStyle w:val="TableParagraph"/>
              <w:numPr>
                <w:ilvl w:val="1"/>
                <w:numId w:val="1"/>
              </w:numPr>
              <w:tabs>
                <w:tab w:pos="919" w:val="left" w:leader="none"/>
                <w:tab w:pos="920" w:val="left" w:leader="none"/>
              </w:tabs>
              <w:spacing w:line="261" w:lineRule="exact" w:before="0" w:after="0"/>
              <w:ind w:left="919" w:right="0" w:hanging="526"/>
              <w:jc w:val="left"/>
              <w:rPr>
                <w:sz w:val="21"/>
              </w:rPr>
            </w:pPr>
            <w:r>
              <w:rPr>
                <w:spacing w:val="-2"/>
                <w:sz w:val="21"/>
              </w:rPr>
              <w:t>意外伤害</w:t>
            </w:r>
          </w:p>
          <w:p>
            <w:pPr>
              <w:pStyle w:val="TableParagraph"/>
              <w:numPr>
                <w:ilvl w:val="1"/>
                <w:numId w:val="1"/>
              </w:numPr>
              <w:tabs>
                <w:tab w:pos="919" w:val="left" w:leader="none"/>
                <w:tab w:pos="920" w:val="left" w:leader="none"/>
              </w:tabs>
              <w:spacing w:line="240" w:lineRule="auto" w:before="37" w:after="0"/>
              <w:ind w:left="919" w:right="0" w:hanging="526"/>
              <w:jc w:val="left"/>
              <w:rPr>
                <w:sz w:val="21"/>
              </w:rPr>
            </w:pPr>
            <w:r>
              <w:rPr>
                <w:sz w:val="21"/>
              </w:rPr>
              <w:t>发病</w:t>
            </w:r>
          </w:p>
        </w:tc>
      </w:tr>
      <w:tr>
        <w:trPr>
          <w:trHeight w:val="312" w:hRule="atLeast"/>
        </w:trPr>
        <w:tc>
          <w:tcPr>
            <w:tcW w:w="3303" w:type="dxa"/>
          </w:tcPr>
          <w:p>
            <w:pPr>
              <w:pStyle w:val="TableParagraph"/>
              <w:rPr>
                <w:rFonts w:ascii="Times New Roman"/>
                <w:sz w:val="20"/>
              </w:rPr>
            </w:pPr>
          </w:p>
        </w:tc>
        <w:tc>
          <w:tcPr>
            <w:tcW w:w="3295" w:type="dxa"/>
          </w:tcPr>
          <w:p>
            <w:pPr>
              <w:pStyle w:val="TableParagraph"/>
              <w:rPr>
                <w:rFonts w:ascii="Times New Roman"/>
                <w:sz w:val="20"/>
              </w:rPr>
            </w:pPr>
          </w:p>
        </w:tc>
        <w:tc>
          <w:tcPr>
            <w:tcW w:w="3486" w:type="dxa"/>
          </w:tcPr>
          <w:p>
            <w:pPr>
              <w:pStyle w:val="TableParagraph"/>
              <w:tabs>
                <w:tab w:pos="919" w:val="left" w:leader="none"/>
              </w:tabs>
              <w:spacing w:line="261" w:lineRule="exact"/>
              <w:ind w:left="394"/>
              <w:rPr>
                <w:sz w:val="21"/>
              </w:rPr>
            </w:pPr>
            <w:r>
              <w:rPr>
                <w:sz w:val="21"/>
              </w:rPr>
              <w:t>8.7</w:t>
              <w:tab/>
              <w:t>殴斗</w:t>
            </w:r>
          </w:p>
        </w:tc>
      </w:tr>
      <w:tr>
        <w:trPr>
          <w:trHeight w:val="312" w:hRule="atLeast"/>
        </w:trPr>
        <w:tc>
          <w:tcPr>
            <w:tcW w:w="3303" w:type="dxa"/>
          </w:tcPr>
          <w:p>
            <w:pPr>
              <w:pStyle w:val="TableParagraph"/>
              <w:spacing w:line="261" w:lineRule="exact"/>
              <w:ind w:left="200"/>
              <w:rPr>
                <w:b/>
                <w:sz w:val="21"/>
              </w:rPr>
            </w:pPr>
            <w:r>
              <w:rPr>
                <w:b/>
                <w:sz w:val="21"/>
              </w:rPr>
              <w:t>2 我们提供的保障</w:t>
            </w:r>
          </w:p>
        </w:tc>
        <w:tc>
          <w:tcPr>
            <w:tcW w:w="3295" w:type="dxa"/>
          </w:tcPr>
          <w:p>
            <w:pPr>
              <w:pStyle w:val="TableParagraph"/>
              <w:spacing w:line="261" w:lineRule="exact"/>
              <w:ind w:left="158"/>
              <w:rPr>
                <w:b/>
                <w:sz w:val="21"/>
              </w:rPr>
            </w:pPr>
            <w:r>
              <w:rPr>
                <w:b/>
                <w:sz w:val="21"/>
              </w:rPr>
              <w:t>6 投保人的特别权利及相应义务</w:t>
            </w:r>
          </w:p>
        </w:tc>
        <w:tc>
          <w:tcPr>
            <w:tcW w:w="3486" w:type="dxa"/>
          </w:tcPr>
          <w:p>
            <w:pPr>
              <w:pStyle w:val="TableParagraph"/>
              <w:tabs>
                <w:tab w:pos="919" w:val="left" w:leader="none"/>
              </w:tabs>
              <w:spacing w:line="261" w:lineRule="exact"/>
              <w:ind w:left="394"/>
              <w:rPr>
                <w:sz w:val="21"/>
              </w:rPr>
            </w:pPr>
            <w:r>
              <w:rPr>
                <w:sz w:val="21"/>
              </w:rPr>
              <w:t>8.8</w:t>
              <w:tab/>
            </w:r>
            <w:r>
              <w:rPr>
                <w:spacing w:val="-3"/>
                <w:sz w:val="21"/>
              </w:rPr>
              <w:t>毒品</w:t>
            </w:r>
          </w:p>
        </w:tc>
      </w:tr>
      <w:tr>
        <w:trPr>
          <w:trHeight w:val="311" w:hRule="atLeast"/>
        </w:trPr>
        <w:tc>
          <w:tcPr>
            <w:tcW w:w="3303" w:type="dxa"/>
          </w:tcPr>
          <w:p>
            <w:pPr>
              <w:pStyle w:val="TableParagraph"/>
              <w:spacing w:line="261" w:lineRule="exact"/>
              <w:ind w:left="411"/>
              <w:rPr>
                <w:sz w:val="21"/>
              </w:rPr>
            </w:pPr>
            <w:r>
              <w:rPr>
                <w:sz w:val="21"/>
              </w:rPr>
              <w:t>2.1 保险金额</w:t>
            </w:r>
          </w:p>
        </w:tc>
        <w:tc>
          <w:tcPr>
            <w:tcW w:w="3295" w:type="dxa"/>
          </w:tcPr>
          <w:p>
            <w:pPr>
              <w:pStyle w:val="TableParagraph"/>
              <w:spacing w:line="261" w:lineRule="exact"/>
              <w:ind w:left="369"/>
              <w:rPr>
                <w:sz w:val="21"/>
              </w:rPr>
            </w:pPr>
            <w:r>
              <w:rPr>
                <w:sz w:val="21"/>
              </w:rPr>
              <w:t>6.1 保单借款</w:t>
            </w:r>
          </w:p>
        </w:tc>
        <w:tc>
          <w:tcPr>
            <w:tcW w:w="3486" w:type="dxa"/>
          </w:tcPr>
          <w:p>
            <w:pPr>
              <w:pStyle w:val="TableParagraph"/>
              <w:tabs>
                <w:tab w:pos="919" w:val="left" w:leader="none"/>
              </w:tabs>
              <w:spacing w:line="261" w:lineRule="exact"/>
              <w:ind w:left="393"/>
              <w:rPr>
                <w:sz w:val="21"/>
              </w:rPr>
            </w:pPr>
            <w:r>
              <w:rPr>
                <w:sz w:val="21"/>
              </w:rPr>
              <w:t>8.9</w:t>
              <w:tab/>
            </w:r>
            <w:r>
              <w:rPr>
                <w:spacing w:val="-2"/>
                <w:sz w:val="21"/>
              </w:rPr>
              <w:t>酒后驾驶</w:t>
            </w:r>
          </w:p>
        </w:tc>
      </w:tr>
      <w:tr>
        <w:trPr>
          <w:trHeight w:val="312" w:hRule="atLeast"/>
        </w:trPr>
        <w:tc>
          <w:tcPr>
            <w:tcW w:w="3303" w:type="dxa"/>
          </w:tcPr>
          <w:p>
            <w:pPr>
              <w:pStyle w:val="TableParagraph"/>
              <w:spacing w:line="261" w:lineRule="exact"/>
              <w:ind w:left="411"/>
              <w:rPr>
                <w:sz w:val="21"/>
              </w:rPr>
            </w:pPr>
            <w:r>
              <w:rPr>
                <w:sz w:val="21"/>
              </w:rPr>
              <w:t>2.2 保险责任</w:t>
            </w:r>
          </w:p>
        </w:tc>
        <w:tc>
          <w:tcPr>
            <w:tcW w:w="3295" w:type="dxa"/>
          </w:tcPr>
          <w:p>
            <w:pPr>
              <w:pStyle w:val="TableParagraph"/>
              <w:spacing w:line="261" w:lineRule="exact"/>
              <w:ind w:left="369"/>
              <w:rPr>
                <w:sz w:val="21"/>
              </w:rPr>
            </w:pPr>
            <w:r>
              <w:rPr>
                <w:sz w:val="21"/>
              </w:rPr>
              <w:t>6.2 恢复合同效力（复效）</w:t>
            </w:r>
          </w:p>
        </w:tc>
        <w:tc>
          <w:tcPr>
            <w:tcW w:w="3486" w:type="dxa"/>
          </w:tcPr>
          <w:p>
            <w:pPr>
              <w:pStyle w:val="TableParagraph"/>
              <w:spacing w:line="261" w:lineRule="exact"/>
              <w:ind w:left="393"/>
              <w:rPr>
                <w:sz w:val="21"/>
              </w:rPr>
            </w:pPr>
            <w:r>
              <w:rPr>
                <w:sz w:val="21"/>
              </w:rPr>
              <w:t>8.10 无合法有效驾驶证驾驶</w:t>
            </w:r>
          </w:p>
        </w:tc>
      </w:tr>
      <w:tr>
        <w:trPr>
          <w:trHeight w:val="311" w:hRule="atLeast"/>
        </w:trPr>
        <w:tc>
          <w:tcPr>
            <w:tcW w:w="3303" w:type="dxa"/>
          </w:tcPr>
          <w:p>
            <w:pPr>
              <w:pStyle w:val="TableParagraph"/>
              <w:spacing w:line="261" w:lineRule="exact"/>
              <w:ind w:left="411"/>
              <w:rPr>
                <w:sz w:val="21"/>
              </w:rPr>
            </w:pPr>
            <w:r>
              <w:rPr>
                <w:sz w:val="21"/>
              </w:rPr>
              <w:t>2.3 责任免除</w:t>
            </w:r>
          </w:p>
        </w:tc>
        <w:tc>
          <w:tcPr>
            <w:tcW w:w="3295" w:type="dxa"/>
          </w:tcPr>
          <w:p>
            <w:pPr>
              <w:pStyle w:val="TableParagraph"/>
              <w:spacing w:line="261" w:lineRule="exact"/>
              <w:ind w:left="369"/>
              <w:rPr>
                <w:sz w:val="21"/>
              </w:rPr>
            </w:pPr>
            <w:r>
              <w:rPr>
                <w:sz w:val="21"/>
              </w:rPr>
              <w:t>6.3 解除合同（退保）</w:t>
            </w:r>
          </w:p>
        </w:tc>
        <w:tc>
          <w:tcPr>
            <w:tcW w:w="3486" w:type="dxa"/>
          </w:tcPr>
          <w:p>
            <w:pPr>
              <w:pStyle w:val="TableParagraph"/>
              <w:spacing w:line="261" w:lineRule="exact"/>
              <w:ind w:left="394"/>
              <w:rPr>
                <w:sz w:val="21"/>
              </w:rPr>
            </w:pPr>
            <w:r>
              <w:rPr>
                <w:sz w:val="21"/>
              </w:rPr>
              <w:t>8.11 无有效行驶证</w:t>
            </w:r>
          </w:p>
        </w:tc>
      </w:tr>
      <w:tr>
        <w:trPr>
          <w:trHeight w:val="312" w:hRule="atLeast"/>
        </w:trPr>
        <w:tc>
          <w:tcPr>
            <w:tcW w:w="3303" w:type="dxa"/>
          </w:tcPr>
          <w:p>
            <w:pPr>
              <w:pStyle w:val="TableParagraph"/>
              <w:rPr>
                <w:rFonts w:ascii="Times New Roman"/>
                <w:sz w:val="20"/>
              </w:rPr>
            </w:pPr>
          </w:p>
        </w:tc>
        <w:tc>
          <w:tcPr>
            <w:tcW w:w="3295" w:type="dxa"/>
          </w:tcPr>
          <w:p>
            <w:pPr>
              <w:pStyle w:val="TableParagraph"/>
              <w:rPr>
                <w:rFonts w:ascii="Times New Roman"/>
                <w:sz w:val="20"/>
              </w:rPr>
            </w:pPr>
          </w:p>
        </w:tc>
        <w:tc>
          <w:tcPr>
            <w:tcW w:w="3486" w:type="dxa"/>
          </w:tcPr>
          <w:p>
            <w:pPr>
              <w:pStyle w:val="TableParagraph"/>
              <w:spacing w:line="261" w:lineRule="exact"/>
              <w:ind w:left="394"/>
              <w:rPr>
                <w:sz w:val="21"/>
              </w:rPr>
            </w:pPr>
            <w:r>
              <w:rPr>
                <w:sz w:val="21"/>
              </w:rPr>
              <w:t>8.12 恐怖活动</w:t>
            </w:r>
          </w:p>
        </w:tc>
      </w:tr>
      <w:tr>
        <w:trPr>
          <w:trHeight w:val="312" w:hRule="atLeast"/>
        </w:trPr>
        <w:tc>
          <w:tcPr>
            <w:tcW w:w="3303" w:type="dxa"/>
          </w:tcPr>
          <w:p>
            <w:pPr>
              <w:pStyle w:val="TableParagraph"/>
              <w:rPr>
                <w:rFonts w:ascii="Times New Roman"/>
                <w:sz w:val="20"/>
              </w:rPr>
            </w:pPr>
          </w:p>
        </w:tc>
        <w:tc>
          <w:tcPr>
            <w:tcW w:w="3295" w:type="dxa"/>
          </w:tcPr>
          <w:p>
            <w:pPr>
              <w:pStyle w:val="TableParagraph"/>
              <w:rPr>
                <w:rFonts w:ascii="Times New Roman"/>
                <w:sz w:val="20"/>
              </w:rPr>
            </w:pPr>
          </w:p>
        </w:tc>
        <w:tc>
          <w:tcPr>
            <w:tcW w:w="3486" w:type="dxa"/>
          </w:tcPr>
          <w:p>
            <w:pPr>
              <w:pStyle w:val="TableParagraph"/>
              <w:spacing w:line="261" w:lineRule="exact"/>
              <w:ind w:left="394"/>
              <w:rPr>
                <w:sz w:val="21"/>
              </w:rPr>
            </w:pPr>
            <w:r>
              <w:rPr>
                <w:sz w:val="21"/>
              </w:rPr>
              <w:t>8.13 感染艾滋病病毒(HIV 呈阳</w:t>
            </w:r>
          </w:p>
        </w:tc>
      </w:tr>
      <w:tr>
        <w:trPr>
          <w:trHeight w:val="311" w:hRule="atLeast"/>
        </w:trPr>
        <w:tc>
          <w:tcPr>
            <w:tcW w:w="3303" w:type="dxa"/>
          </w:tcPr>
          <w:p>
            <w:pPr>
              <w:pStyle w:val="TableParagraph"/>
              <w:rPr>
                <w:rFonts w:ascii="Times New Roman"/>
                <w:sz w:val="20"/>
              </w:rPr>
            </w:pPr>
          </w:p>
        </w:tc>
        <w:tc>
          <w:tcPr>
            <w:tcW w:w="3295" w:type="dxa"/>
          </w:tcPr>
          <w:p>
            <w:pPr>
              <w:pStyle w:val="TableParagraph"/>
              <w:rPr>
                <w:rFonts w:ascii="Times New Roman"/>
                <w:sz w:val="20"/>
              </w:rPr>
            </w:pPr>
          </w:p>
        </w:tc>
        <w:tc>
          <w:tcPr>
            <w:tcW w:w="3486" w:type="dxa"/>
          </w:tcPr>
          <w:p>
            <w:pPr>
              <w:pStyle w:val="TableParagraph"/>
              <w:spacing w:line="261" w:lineRule="exact"/>
              <w:ind w:left="917"/>
              <w:rPr>
                <w:sz w:val="21"/>
              </w:rPr>
            </w:pPr>
            <w:r>
              <w:rPr>
                <w:sz w:val="21"/>
              </w:rPr>
              <w:t>性)或患艾滋病 (AIDS)</w:t>
            </w:r>
          </w:p>
        </w:tc>
      </w:tr>
      <w:tr>
        <w:trPr>
          <w:trHeight w:val="312" w:hRule="atLeast"/>
        </w:trPr>
        <w:tc>
          <w:tcPr>
            <w:tcW w:w="3303" w:type="dxa"/>
          </w:tcPr>
          <w:p>
            <w:pPr>
              <w:pStyle w:val="TableParagraph"/>
              <w:spacing w:line="261" w:lineRule="exact"/>
              <w:ind w:left="200"/>
              <w:rPr>
                <w:b/>
                <w:sz w:val="21"/>
              </w:rPr>
            </w:pPr>
            <w:r>
              <w:rPr>
                <w:b/>
                <w:sz w:val="21"/>
              </w:rPr>
              <w:t>3 重大疾病</w:t>
            </w:r>
          </w:p>
        </w:tc>
        <w:tc>
          <w:tcPr>
            <w:tcW w:w="3295" w:type="dxa"/>
          </w:tcPr>
          <w:p>
            <w:pPr>
              <w:pStyle w:val="TableParagraph"/>
              <w:spacing w:line="261" w:lineRule="exact"/>
              <w:ind w:left="158"/>
              <w:rPr>
                <w:b/>
                <w:sz w:val="21"/>
              </w:rPr>
            </w:pPr>
            <w:r>
              <w:rPr>
                <w:b/>
                <w:sz w:val="21"/>
              </w:rPr>
              <w:t>7 投保人需要关注的其他事项</w:t>
            </w:r>
          </w:p>
        </w:tc>
        <w:tc>
          <w:tcPr>
            <w:tcW w:w="3486" w:type="dxa"/>
          </w:tcPr>
          <w:p>
            <w:pPr>
              <w:pStyle w:val="TableParagraph"/>
              <w:spacing w:line="261" w:lineRule="exact"/>
              <w:ind w:left="394"/>
              <w:rPr>
                <w:sz w:val="21"/>
              </w:rPr>
            </w:pPr>
            <w:r>
              <w:rPr>
                <w:sz w:val="21"/>
              </w:rPr>
              <w:t>8.14 遗传性疾病</w:t>
            </w:r>
          </w:p>
        </w:tc>
      </w:tr>
      <w:tr>
        <w:trPr>
          <w:trHeight w:val="311" w:hRule="atLeast"/>
        </w:trPr>
        <w:tc>
          <w:tcPr>
            <w:tcW w:w="3303" w:type="dxa"/>
          </w:tcPr>
          <w:p>
            <w:pPr>
              <w:pStyle w:val="TableParagraph"/>
              <w:spacing w:line="261" w:lineRule="exact"/>
              <w:ind w:left="411"/>
              <w:rPr>
                <w:sz w:val="21"/>
              </w:rPr>
            </w:pPr>
            <w:r>
              <w:rPr>
                <w:sz w:val="21"/>
              </w:rPr>
              <w:t>3.1 重大疾病的范围</w:t>
            </w:r>
          </w:p>
        </w:tc>
        <w:tc>
          <w:tcPr>
            <w:tcW w:w="3295" w:type="dxa"/>
          </w:tcPr>
          <w:p>
            <w:pPr>
              <w:pStyle w:val="TableParagraph"/>
              <w:spacing w:line="261" w:lineRule="exact"/>
              <w:ind w:left="369"/>
              <w:rPr>
                <w:sz w:val="21"/>
              </w:rPr>
            </w:pPr>
            <w:r>
              <w:rPr>
                <w:sz w:val="21"/>
              </w:rPr>
              <w:t>7.1 欠款扣除</w:t>
            </w:r>
          </w:p>
        </w:tc>
        <w:tc>
          <w:tcPr>
            <w:tcW w:w="3486" w:type="dxa"/>
          </w:tcPr>
          <w:p>
            <w:pPr>
              <w:pStyle w:val="TableParagraph"/>
              <w:spacing w:line="261" w:lineRule="exact"/>
              <w:ind w:left="393"/>
              <w:rPr>
                <w:sz w:val="21"/>
              </w:rPr>
            </w:pPr>
            <w:r>
              <w:rPr>
                <w:sz w:val="21"/>
              </w:rPr>
              <w:t>8.15 先天性畸形、疾病，先天</w:t>
            </w:r>
          </w:p>
        </w:tc>
      </w:tr>
      <w:tr>
        <w:trPr>
          <w:trHeight w:val="312" w:hRule="atLeast"/>
        </w:trPr>
        <w:tc>
          <w:tcPr>
            <w:tcW w:w="3303" w:type="dxa"/>
          </w:tcPr>
          <w:p>
            <w:pPr>
              <w:pStyle w:val="TableParagraph"/>
              <w:spacing w:line="261" w:lineRule="exact"/>
              <w:ind w:left="411"/>
              <w:rPr>
                <w:sz w:val="21"/>
              </w:rPr>
            </w:pPr>
            <w:r>
              <w:rPr>
                <w:sz w:val="21"/>
              </w:rPr>
              <w:t>3.2 重大疾病的定义</w:t>
            </w:r>
          </w:p>
        </w:tc>
        <w:tc>
          <w:tcPr>
            <w:tcW w:w="3295" w:type="dxa"/>
          </w:tcPr>
          <w:p>
            <w:pPr>
              <w:pStyle w:val="TableParagraph"/>
              <w:spacing w:line="261" w:lineRule="exact"/>
              <w:ind w:left="369"/>
              <w:rPr>
                <w:sz w:val="21"/>
              </w:rPr>
            </w:pPr>
            <w:r>
              <w:rPr>
                <w:sz w:val="21"/>
              </w:rPr>
              <w:t>7.2 合同效力的终止</w:t>
            </w:r>
          </w:p>
        </w:tc>
        <w:tc>
          <w:tcPr>
            <w:tcW w:w="3486" w:type="dxa"/>
          </w:tcPr>
          <w:p>
            <w:pPr>
              <w:pStyle w:val="TableParagraph"/>
              <w:spacing w:line="261" w:lineRule="exact"/>
              <w:ind w:left="919"/>
              <w:rPr>
                <w:sz w:val="21"/>
              </w:rPr>
            </w:pPr>
            <w:r>
              <w:rPr>
                <w:sz w:val="21"/>
              </w:rPr>
              <w:t>性变形或染色体异常</w:t>
            </w:r>
          </w:p>
        </w:tc>
      </w:tr>
      <w:tr>
        <w:trPr>
          <w:trHeight w:val="312" w:hRule="atLeast"/>
        </w:trPr>
        <w:tc>
          <w:tcPr>
            <w:tcW w:w="3303" w:type="dxa"/>
          </w:tcPr>
          <w:p>
            <w:pPr>
              <w:pStyle w:val="TableParagraph"/>
              <w:spacing w:line="261" w:lineRule="exact"/>
              <w:ind w:left="411"/>
              <w:rPr>
                <w:sz w:val="21"/>
              </w:rPr>
            </w:pPr>
            <w:r>
              <w:rPr>
                <w:sz w:val="21"/>
              </w:rPr>
              <w:t>3.3 轻症重疾的定义</w:t>
            </w:r>
          </w:p>
        </w:tc>
        <w:tc>
          <w:tcPr>
            <w:tcW w:w="3295" w:type="dxa"/>
          </w:tcPr>
          <w:p>
            <w:pPr>
              <w:pStyle w:val="TableParagraph"/>
              <w:spacing w:line="261" w:lineRule="exact"/>
              <w:ind w:right="189"/>
              <w:jc w:val="right"/>
              <w:rPr>
                <w:sz w:val="21"/>
              </w:rPr>
            </w:pPr>
            <w:r>
              <w:rPr>
                <w:sz w:val="21"/>
              </w:rPr>
              <w:t>7.3 年龄的计算与错误的处理</w:t>
            </w:r>
          </w:p>
        </w:tc>
        <w:tc>
          <w:tcPr>
            <w:tcW w:w="3486" w:type="dxa"/>
          </w:tcPr>
          <w:p>
            <w:pPr>
              <w:pStyle w:val="TableParagraph"/>
              <w:spacing w:line="261" w:lineRule="exact"/>
              <w:ind w:left="393"/>
              <w:rPr>
                <w:sz w:val="21"/>
              </w:rPr>
            </w:pPr>
            <w:r>
              <w:rPr>
                <w:sz w:val="21"/>
              </w:rPr>
              <w:t>8.16 现金价值</w:t>
            </w:r>
          </w:p>
        </w:tc>
      </w:tr>
      <w:tr>
        <w:trPr>
          <w:trHeight w:val="311" w:hRule="atLeast"/>
        </w:trPr>
        <w:tc>
          <w:tcPr>
            <w:tcW w:w="3303" w:type="dxa"/>
          </w:tcPr>
          <w:p>
            <w:pPr>
              <w:pStyle w:val="TableParagraph"/>
              <w:rPr>
                <w:rFonts w:ascii="Times New Roman"/>
                <w:sz w:val="20"/>
              </w:rPr>
            </w:pPr>
          </w:p>
        </w:tc>
        <w:tc>
          <w:tcPr>
            <w:tcW w:w="3295" w:type="dxa"/>
          </w:tcPr>
          <w:p>
            <w:pPr>
              <w:pStyle w:val="TableParagraph"/>
              <w:spacing w:line="261" w:lineRule="exact"/>
              <w:ind w:left="369"/>
              <w:rPr>
                <w:sz w:val="21"/>
              </w:rPr>
            </w:pPr>
            <w:r>
              <w:rPr>
                <w:sz w:val="21"/>
              </w:rPr>
              <w:t>7.4 通知</w:t>
            </w:r>
          </w:p>
        </w:tc>
        <w:tc>
          <w:tcPr>
            <w:tcW w:w="3486" w:type="dxa"/>
          </w:tcPr>
          <w:p>
            <w:pPr>
              <w:pStyle w:val="TableParagraph"/>
              <w:spacing w:line="261" w:lineRule="exact"/>
              <w:ind w:left="393"/>
              <w:rPr>
                <w:sz w:val="21"/>
              </w:rPr>
            </w:pPr>
            <w:r>
              <w:rPr>
                <w:sz w:val="21"/>
              </w:rPr>
              <w:t>8.17 医院</w:t>
            </w:r>
          </w:p>
        </w:tc>
      </w:tr>
      <w:tr>
        <w:trPr>
          <w:trHeight w:val="312" w:hRule="atLeast"/>
        </w:trPr>
        <w:tc>
          <w:tcPr>
            <w:tcW w:w="3303" w:type="dxa"/>
          </w:tcPr>
          <w:p>
            <w:pPr>
              <w:pStyle w:val="TableParagraph"/>
              <w:rPr>
                <w:rFonts w:ascii="Times New Roman"/>
                <w:sz w:val="20"/>
              </w:rPr>
            </w:pPr>
          </w:p>
        </w:tc>
        <w:tc>
          <w:tcPr>
            <w:tcW w:w="3295" w:type="dxa"/>
          </w:tcPr>
          <w:p>
            <w:pPr>
              <w:pStyle w:val="TableParagraph"/>
              <w:spacing w:line="261" w:lineRule="exact"/>
              <w:ind w:left="369"/>
              <w:rPr>
                <w:sz w:val="21"/>
              </w:rPr>
            </w:pPr>
            <w:r>
              <w:rPr>
                <w:sz w:val="21"/>
              </w:rPr>
              <w:t>7.5 争议处理</w:t>
            </w:r>
          </w:p>
        </w:tc>
        <w:tc>
          <w:tcPr>
            <w:tcW w:w="3486" w:type="dxa"/>
          </w:tcPr>
          <w:p>
            <w:pPr>
              <w:pStyle w:val="TableParagraph"/>
              <w:spacing w:line="261" w:lineRule="exact"/>
              <w:ind w:left="393"/>
              <w:rPr>
                <w:sz w:val="21"/>
              </w:rPr>
            </w:pPr>
            <w:r>
              <w:rPr>
                <w:sz w:val="21"/>
              </w:rPr>
              <w:t>8.18 专科医生</w:t>
            </w:r>
          </w:p>
        </w:tc>
      </w:tr>
      <w:tr>
        <w:trPr>
          <w:trHeight w:val="311" w:hRule="atLeast"/>
        </w:trPr>
        <w:tc>
          <w:tcPr>
            <w:tcW w:w="3303" w:type="dxa"/>
          </w:tcPr>
          <w:p>
            <w:pPr>
              <w:pStyle w:val="TableParagraph"/>
              <w:spacing w:line="261" w:lineRule="exact"/>
              <w:ind w:left="200"/>
              <w:rPr>
                <w:b/>
                <w:sz w:val="21"/>
              </w:rPr>
            </w:pPr>
            <w:r>
              <w:rPr>
                <w:b/>
                <w:sz w:val="21"/>
              </w:rPr>
              <w:t>4 申请与给付保险金</w:t>
            </w:r>
          </w:p>
        </w:tc>
        <w:tc>
          <w:tcPr>
            <w:tcW w:w="3295" w:type="dxa"/>
          </w:tcPr>
          <w:p>
            <w:pPr>
              <w:pStyle w:val="TableParagraph"/>
              <w:spacing w:line="261" w:lineRule="exact"/>
              <w:ind w:right="189"/>
              <w:jc w:val="right"/>
              <w:rPr>
                <w:sz w:val="21"/>
              </w:rPr>
            </w:pPr>
            <w:r>
              <w:rPr>
                <w:sz w:val="21"/>
              </w:rPr>
              <w:t>7.6 未成年人身故保险金限制</w:t>
            </w:r>
          </w:p>
        </w:tc>
        <w:tc>
          <w:tcPr>
            <w:tcW w:w="3486" w:type="dxa"/>
          </w:tcPr>
          <w:p>
            <w:pPr>
              <w:pStyle w:val="TableParagraph"/>
              <w:spacing w:line="261" w:lineRule="exact"/>
              <w:ind w:left="394"/>
              <w:rPr>
                <w:sz w:val="21"/>
              </w:rPr>
            </w:pPr>
            <w:r>
              <w:rPr>
                <w:sz w:val="21"/>
              </w:rPr>
              <w:t>8.19 利率</w:t>
            </w:r>
          </w:p>
        </w:tc>
      </w:tr>
      <w:tr>
        <w:trPr>
          <w:trHeight w:val="312" w:hRule="atLeast"/>
        </w:trPr>
        <w:tc>
          <w:tcPr>
            <w:tcW w:w="3303" w:type="dxa"/>
          </w:tcPr>
          <w:p>
            <w:pPr>
              <w:pStyle w:val="TableParagraph"/>
              <w:spacing w:line="261" w:lineRule="exact"/>
              <w:ind w:left="411"/>
              <w:rPr>
                <w:sz w:val="21"/>
              </w:rPr>
            </w:pPr>
            <w:r>
              <w:rPr>
                <w:sz w:val="21"/>
              </w:rPr>
              <w:t>4.1 受益人的指定与变更</w:t>
            </w:r>
          </w:p>
        </w:tc>
        <w:tc>
          <w:tcPr>
            <w:tcW w:w="3295" w:type="dxa"/>
          </w:tcPr>
          <w:p>
            <w:pPr>
              <w:pStyle w:val="TableParagraph"/>
              <w:rPr>
                <w:rFonts w:ascii="Times New Roman"/>
                <w:sz w:val="20"/>
              </w:rPr>
            </w:pPr>
          </w:p>
        </w:tc>
        <w:tc>
          <w:tcPr>
            <w:tcW w:w="3486" w:type="dxa"/>
          </w:tcPr>
          <w:p>
            <w:pPr>
              <w:pStyle w:val="TableParagraph"/>
              <w:spacing w:line="261" w:lineRule="exact"/>
              <w:ind w:left="393"/>
              <w:rPr>
                <w:sz w:val="21"/>
              </w:rPr>
            </w:pPr>
            <w:r>
              <w:rPr>
                <w:sz w:val="21"/>
              </w:rPr>
              <w:t>8.20 危险保费</w:t>
            </w:r>
          </w:p>
        </w:tc>
      </w:tr>
      <w:tr>
        <w:trPr>
          <w:trHeight w:val="312" w:hRule="atLeast"/>
        </w:trPr>
        <w:tc>
          <w:tcPr>
            <w:tcW w:w="3303" w:type="dxa"/>
          </w:tcPr>
          <w:p>
            <w:pPr>
              <w:pStyle w:val="TableParagraph"/>
              <w:spacing w:line="261" w:lineRule="exact"/>
              <w:ind w:left="411"/>
              <w:rPr>
                <w:sz w:val="21"/>
              </w:rPr>
            </w:pPr>
            <w:r>
              <w:rPr>
                <w:sz w:val="21"/>
              </w:rPr>
              <w:t>4.2 保险事故的通知</w:t>
            </w:r>
          </w:p>
        </w:tc>
        <w:tc>
          <w:tcPr>
            <w:tcW w:w="3295" w:type="dxa"/>
          </w:tcPr>
          <w:p>
            <w:pPr>
              <w:pStyle w:val="TableParagraph"/>
              <w:rPr>
                <w:rFonts w:ascii="Times New Roman"/>
                <w:sz w:val="20"/>
              </w:rPr>
            </w:pPr>
          </w:p>
        </w:tc>
        <w:tc>
          <w:tcPr>
            <w:tcW w:w="3486" w:type="dxa"/>
          </w:tcPr>
          <w:p>
            <w:pPr>
              <w:pStyle w:val="TableParagraph"/>
              <w:rPr>
                <w:rFonts w:ascii="Times New Roman"/>
                <w:sz w:val="20"/>
              </w:rPr>
            </w:pPr>
          </w:p>
        </w:tc>
      </w:tr>
      <w:tr>
        <w:trPr>
          <w:trHeight w:val="311" w:hRule="atLeast"/>
        </w:trPr>
        <w:tc>
          <w:tcPr>
            <w:tcW w:w="3303" w:type="dxa"/>
          </w:tcPr>
          <w:p>
            <w:pPr>
              <w:pStyle w:val="TableParagraph"/>
              <w:spacing w:line="261" w:lineRule="exact"/>
              <w:ind w:left="411"/>
              <w:rPr>
                <w:sz w:val="21"/>
              </w:rPr>
            </w:pPr>
            <w:r>
              <w:rPr>
                <w:sz w:val="21"/>
              </w:rPr>
              <w:t>4.3 诉讼时效</w:t>
            </w:r>
          </w:p>
        </w:tc>
        <w:tc>
          <w:tcPr>
            <w:tcW w:w="3295" w:type="dxa"/>
          </w:tcPr>
          <w:p>
            <w:pPr>
              <w:pStyle w:val="TableParagraph"/>
              <w:rPr>
                <w:rFonts w:ascii="Times New Roman"/>
                <w:sz w:val="20"/>
              </w:rPr>
            </w:pPr>
          </w:p>
        </w:tc>
        <w:tc>
          <w:tcPr>
            <w:tcW w:w="3486" w:type="dxa"/>
          </w:tcPr>
          <w:p>
            <w:pPr>
              <w:pStyle w:val="TableParagraph"/>
              <w:rPr>
                <w:rFonts w:ascii="Times New Roman"/>
                <w:sz w:val="20"/>
              </w:rPr>
            </w:pPr>
          </w:p>
        </w:tc>
      </w:tr>
      <w:tr>
        <w:trPr>
          <w:trHeight w:val="312" w:hRule="atLeast"/>
        </w:trPr>
        <w:tc>
          <w:tcPr>
            <w:tcW w:w="3303" w:type="dxa"/>
          </w:tcPr>
          <w:p>
            <w:pPr>
              <w:pStyle w:val="TableParagraph"/>
              <w:spacing w:line="261" w:lineRule="exact"/>
              <w:ind w:right="155"/>
              <w:jc w:val="right"/>
              <w:rPr>
                <w:sz w:val="21"/>
              </w:rPr>
            </w:pPr>
            <w:r>
              <w:rPr>
                <w:sz w:val="21"/>
              </w:rPr>
              <w:t>4.4 申请保险金应提供的材料</w:t>
            </w:r>
          </w:p>
        </w:tc>
        <w:tc>
          <w:tcPr>
            <w:tcW w:w="3295" w:type="dxa"/>
          </w:tcPr>
          <w:p>
            <w:pPr>
              <w:pStyle w:val="TableParagraph"/>
              <w:rPr>
                <w:rFonts w:ascii="Times New Roman"/>
                <w:sz w:val="20"/>
              </w:rPr>
            </w:pPr>
          </w:p>
        </w:tc>
        <w:tc>
          <w:tcPr>
            <w:tcW w:w="3486" w:type="dxa"/>
          </w:tcPr>
          <w:p>
            <w:pPr>
              <w:pStyle w:val="TableParagraph"/>
              <w:rPr>
                <w:rFonts w:ascii="Times New Roman"/>
                <w:sz w:val="20"/>
              </w:rPr>
            </w:pPr>
          </w:p>
        </w:tc>
      </w:tr>
      <w:tr>
        <w:trPr>
          <w:trHeight w:val="311" w:hRule="atLeast"/>
        </w:trPr>
        <w:tc>
          <w:tcPr>
            <w:tcW w:w="3303" w:type="dxa"/>
          </w:tcPr>
          <w:p>
            <w:pPr>
              <w:pStyle w:val="TableParagraph"/>
              <w:spacing w:line="261" w:lineRule="exact"/>
              <w:ind w:left="411"/>
              <w:rPr>
                <w:sz w:val="21"/>
              </w:rPr>
            </w:pPr>
            <w:r>
              <w:rPr>
                <w:sz w:val="21"/>
              </w:rPr>
              <w:t>4.5 保险金的给付</w:t>
            </w:r>
          </w:p>
        </w:tc>
        <w:tc>
          <w:tcPr>
            <w:tcW w:w="3295" w:type="dxa"/>
          </w:tcPr>
          <w:p>
            <w:pPr>
              <w:pStyle w:val="TableParagraph"/>
              <w:rPr>
                <w:rFonts w:ascii="Times New Roman"/>
                <w:sz w:val="20"/>
              </w:rPr>
            </w:pPr>
          </w:p>
        </w:tc>
        <w:tc>
          <w:tcPr>
            <w:tcW w:w="3486" w:type="dxa"/>
          </w:tcPr>
          <w:p>
            <w:pPr>
              <w:pStyle w:val="TableParagraph"/>
              <w:rPr>
                <w:rFonts w:ascii="Times New Roman"/>
                <w:sz w:val="20"/>
              </w:rPr>
            </w:pPr>
          </w:p>
        </w:tc>
      </w:tr>
      <w:tr>
        <w:trPr>
          <w:trHeight w:val="312" w:hRule="atLeast"/>
        </w:trPr>
        <w:tc>
          <w:tcPr>
            <w:tcW w:w="3303" w:type="dxa"/>
          </w:tcPr>
          <w:p>
            <w:pPr>
              <w:pStyle w:val="TableParagraph"/>
              <w:spacing w:line="261" w:lineRule="exact"/>
              <w:ind w:left="411"/>
              <w:rPr>
                <w:sz w:val="21"/>
              </w:rPr>
            </w:pPr>
            <w:r>
              <w:rPr>
                <w:sz w:val="21"/>
              </w:rPr>
              <w:t>4.6 被保险人失踪的处理</w:t>
            </w:r>
          </w:p>
        </w:tc>
        <w:tc>
          <w:tcPr>
            <w:tcW w:w="3295" w:type="dxa"/>
          </w:tcPr>
          <w:p>
            <w:pPr>
              <w:pStyle w:val="TableParagraph"/>
              <w:rPr>
                <w:rFonts w:ascii="Times New Roman"/>
                <w:sz w:val="20"/>
              </w:rPr>
            </w:pPr>
          </w:p>
        </w:tc>
        <w:tc>
          <w:tcPr>
            <w:tcW w:w="3486" w:type="dxa"/>
          </w:tcPr>
          <w:p>
            <w:pPr>
              <w:pStyle w:val="TableParagraph"/>
              <w:rPr>
                <w:rFonts w:ascii="Times New Roman"/>
                <w:sz w:val="20"/>
              </w:rPr>
            </w:pPr>
          </w:p>
        </w:tc>
      </w:tr>
      <w:tr>
        <w:trPr>
          <w:trHeight w:val="261" w:hRule="atLeast"/>
        </w:trPr>
        <w:tc>
          <w:tcPr>
            <w:tcW w:w="3303" w:type="dxa"/>
          </w:tcPr>
          <w:p>
            <w:pPr>
              <w:pStyle w:val="TableParagraph"/>
              <w:spacing w:line="242" w:lineRule="exact"/>
              <w:ind w:left="411"/>
              <w:rPr>
                <w:sz w:val="21"/>
              </w:rPr>
            </w:pPr>
            <w:r>
              <w:rPr>
                <w:sz w:val="21"/>
              </w:rPr>
              <w:t>4.7 身体检查</w:t>
            </w:r>
          </w:p>
        </w:tc>
        <w:tc>
          <w:tcPr>
            <w:tcW w:w="3295" w:type="dxa"/>
          </w:tcPr>
          <w:p>
            <w:pPr>
              <w:pStyle w:val="TableParagraph"/>
              <w:rPr>
                <w:rFonts w:ascii="Times New Roman"/>
                <w:sz w:val="18"/>
              </w:rPr>
            </w:pPr>
          </w:p>
        </w:tc>
        <w:tc>
          <w:tcPr>
            <w:tcW w:w="3486" w:type="dxa"/>
          </w:tcPr>
          <w:p>
            <w:pPr>
              <w:pStyle w:val="TableParagraph"/>
              <w:rPr>
                <w:rFonts w:ascii="Times New Roman"/>
                <w:sz w:val="18"/>
              </w:rPr>
            </w:pPr>
          </w:p>
        </w:tc>
      </w:tr>
    </w:tbl>
    <w:p>
      <w:pPr>
        <w:spacing w:after="0"/>
        <w:rPr>
          <w:rFonts w:ascii="Times New Roman"/>
          <w:sz w:val="18"/>
        </w:rPr>
        <w:sectPr>
          <w:pgSz w:w="11910" w:h="16840"/>
          <w:pgMar w:top="1580" w:bottom="280" w:left="900" w:right="700"/>
        </w:sectPr>
      </w:pPr>
    </w:p>
    <w:p>
      <w:pPr>
        <w:pStyle w:val="BodyText"/>
        <w:spacing w:before="8"/>
        <w:rPr>
          <w:b/>
          <w:sz w:val="28"/>
        </w:rPr>
      </w:pPr>
    </w:p>
    <w:p>
      <w:pPr>
        <w:pStyle w:val="BodyText"/>
        <w:ind w:left="3924"/>
        <w:rPr>
          <w:sz w:val="20"/>
        </w:rPr>
      </w:pPr>
      <w:r>
        <w:rPr>
          <w:sz w:val="20"/>
        </w:rPr>
        <w:pict>
          <v:group style="width:134.25pt;height:42pt;mso-position-horizontal-relative:char;mso-position-vertical-relative:line" coordorigin="0,0" coordsize="2685,840">
            <v:shape style="position:absolute;left:0;top:0;width:2685;height:840" coordorigin="0,0" coordsize="2685,840" path="m2685,0l0,0,0,840,2685,840,2685,820,20,820,20,20,2685,20,2685,0xm2685,20l2665,20,2665,820,2685,820,2685,20xm40,40l40,800,2645,800,2645,780,60,780,60,60,40,40xm2645,40l40,40,60,60,2625,60,2625,780,2645,780,2645,40xe" filled="true" fillcolor="#000000" stroked="false">
              <v:path arrowok="t"/>
              <v:fill type="solid"/>
            </v:shape>
            <v:shape style="position:absolute;left:0;top:0;width:2685;height:840" type="#_x0000_t202" filled="false" stroked="false">
              <v:textbox inset="0,0,0,0">
                <w:txbxContent>
                  <w:p>
                    <w:pPr>
                      <w:spacing w:before="82"/>
                      <w:ind w:left="460" w:right="0" w:firstLine="0"/>
                      <w:jc w:val="left"/>
                      <w:rPr>
                        <w:rFonts w:ascii="微软雅黑" w:eastAsia="微软雅黑" w:hint="eastAsia"/>
                        <w:b/>
                        <w:sz w:val="32"/>
                      </w:rPr>
                    </w:pPr>
                    <w:r>
                      <w:rPr>
                        <w:rFonts w:ascii="微软雅黑" w:eastAsia="微软雅黑" w:hint="eastAsia"/>
                        <w:b/>
                        <w:sz w:val="32"/>
                      </w:rPr>
                      <w:t>条  款  正 文</w:t>
                    </w:r>
                  </w:p>
                </w:txbxContent>
              </v:textbox>
              <w10:wrap type="none"/>
            </v:shape>
          </v:group>
        </w:pict>
      </w:r>
      <w:r>
        <w:rPr>
          <w:sz w:val="20"/>
        </w:rPr>
      </w:r>
    </w:p>
    <w:p>
      <w:pPr>
        <w:pStyle w:val="BodyText"/>
        <w:spacing w:before="11"/>
        <w:rPr>
          <w:b/>
          <w:sz w:val="27"/>
        </w:rPr>
      </w:pPr>
    </w:p>
    <w:p>
      <w:pPr>
        <w:pStyle w:val="Heading3"/>
        <w:spacing w:before="37"/>
        <w:ind w:left="1772"/>
      </w:pPr>
      <w:r>
        <w:rPr/>
        <w:t>条款是保险合同的重要组成部分，请投保人、被保险人、受益人仔细阅读。</w:t>
      </w:r>
    </w:p>
    <w:p>
      <w:pPr>
        <w:pStyle w:val="BodyText"/>
        <w:rPr>
          <w:b/>
          <w:sz w:val="20"/>
        </w:rPr>
      </w:pPr>
    </w:p>
    <w:p>
      <w:pPr>
        <w:pStyle w:val="BodyText"/>
        <w:spacing w:before="7"/>
        <w:rPr>
          <w:b/>
          <w:sz w:val="11"/>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0"/>
        <w:gridCol w:w="1780"/>
        <w:gridCol w:w="7633"/>
      </w:tblGrid>
      <w:tr>
        <w:trPr>
          <w:trHeight w:val="321" w:hRule="atLeast"/>
        </w:trPr>
        <w:tc>
          <w:tcPr>
            <w:tcW w:w="10193" w:type="dxa"/>
            <w:gridSpan w:val="3"/>
          </w:tcPr>
          <w:p>
            <w:pPr>
              <w:pStyle w:val="TableParagraph"/>
              <w:spacing w:line="211" w:lineRule="exact"/>
              <w:ind w:left="108"/>
              <w:rPr>
                <w:sz w:val="21"/>
              </w:rPr>
            </w:pPr>
            <w:r>
              <w:rPr>
                <w:sz w:val="21"/>
              </w:rPr>
              <w:t>在本条款中，“我们”、“本公司”均指中荷人寿保险有限公司。</w:t>
            </w:r>
          </w:p>
        </w:tc>
      </w:tr>
      <w:tr>
        <w:trPr>
          <w:trHeight w:val="562" w:hRule="atLeast"/>
        </w:trPr>
        <w:tc>
          <w:tcPr>
            <w:tcW w:w="780" w:type="dxa"/>
            <w:tcBorders>
              <w:bottom w:val="double" w:sz="1" w:space="0" w:color="000000"/>
            </w:tcBorders>
          </w:tcPr>
          <w:p>
            <w:pPr>
              <w:pStyle w:val="TableParagraph"/>
              <w:spacing w:before="25"/>
              <w:ind w:left="107"/>
              <w:rPr>
                <w:b/>
                <w:sz w:val="28"/>
              </w:rPr>
            </w:pPr>
            <w:r>
              <w:rPr>
                <w:b/>
                <w:w w:val="99"/>
                <w:sz w:val="28"/>
              </w:rPr>
              <w:t>1</w:t>
            </w:r>
          </w:p>
        </w:tc>
        <w:tc>
          <w:tcPr>
            <w:tcW w:w="9413" w:type="dxa"/>
            <w:gridSpan w:val="2"/>
            <w:tcBorders>
              <w:bottom w:val="double" w:sz="1" w:space="0" w:color="000000"/>
            </w:tcBorders>
          </w:tcPr>
          <w:p>
            <w:pPr>
              <w:pStyle w:val="TableParagraph"/>
              <w:spacing w:before="25"/>
              <w:ind w:left="376"/>
              <w:rPr>
                <w:b/>
                <w:sz w:val="28"/>
              </w:rPr>
            </w:pPr>
            <w:r>
              <w:rPr>
                <w:b/>
                <w:w w:val="95"/>
                <w:sz w:val="28"/>
              </w:rPr>
              <w:t>投保人与我们的合同</w:t>
            </w:r>
          </w:p>
        </w:tc>
      </w:tr>
      <w:tr>
        <w:trPr>
          <w:trHeight w:val="2929" w:hRule="atLeast"/>
        </w:trPr>
        <w:tc>
          <w:tcPr>
            <w:tcW w:w="780" w:type="dxa"/>
            <w:tcBorders>
              <w:top w:val="double" w:sz="1" w:space="0" w:color="000000"/>
            </w:tcBorders>
          </w:tcPr>
          <w:p>
            <w:pPr>
              <w:pStyle w:val="TableParagraph"/>
              <w:spacing w:before="11"/>
              <w:rPr>
                <w:b/>
                <w:sz w:val="22"/>
              </w:rPr>
            </w:pPr>
          </w:p>
          <w:p>
            <w:pPr>
              <w:pStyle w:val="TableParagraph"/>
              <w:ind w:left="107"/>
              <w:rPr>
                <w:b/>
                <w:sz w:val="21"/>
              </w:rPr>
            </w:pPr>
            <w:r>
              <w:rPr>
                <w:b/>
                <w:sz w:val="21"/>
              </w:rPr>
              <w:t>1.1</w:t>
            </w:r>
          </w:p>
        </w:tc>
        <w:tc>
          <w:tcPr>
            <w:tcW w:w="1780" w:type="dxa"/>
            <w:tcBorders>
              <w:top w:val="double" w:sz="1" w:space="0" w:color="000000"/>
            </w:tcBorders>
          </w:tcPr>
          <w:p>
            <w:pPr>
              <w:pStyle w:val="TableParagraph"/>
              <w:spacing w:before="11"/>
              <w:rPr>
                <w:b/>
                <w:sz w:val="22"/>
              </w:rPr>
            </w:pPr>
          </w:p>
          <w:p>
            <w:pPr>
              <w:pStyle w:val="TableParagraph"/>
              <w:ind w:left="376"/>
              <w:rPr>
                <w:b/>
                <w:sz w:val="21"/>
              </w:rPr>
            </w:pPr>
            <w:r>
              <w:rPr>
                <w:b/>
                <w:sz w:val="21"/>
              </w:rPr>
              <w:t>合同构成</w:t>
            </w:r>
          </w:p>
        </w:tc>
        <w:tc>
          <w:tcPr>
            <w:tcW w:w="7633" w:type="dxa"/>
            <w:tcBorders>
              <w:top w:val="double" w:sz="1" w:space="0" w:color="000000"/>
            </w:tcBorders>
          </w:tcPr>
          <w:p>
            <w:pPr>
              <w:pStyle w:val="TableParagraph"/>
              <w:spacing w:before="6"/>
              <w:rPr>
                <w:b/>
                <w:sz w:val="22"/>
              </w:rPr>
            </w:pPr>
          </w:p>
          <w:p>
            <w:pPr>
              <w:pStyle w:val="TableParagraph"/>
              <w:spacing w:line="225" w:lineRule="auto" w:before="1"/>
              <w:ind w:left="157" w:right="84" w:hanging="1"/>
              <w:rPr>
                <w:sz w:val="21"/>
              </w:rPr>
            </w:pPr>
            <w:r>
              <w:rPr>
                <w:sz w:val="21"/>
              </w:rPr>
              <w:t>中荷一生呵护</w:t>
            </w:r>
            <w:r>
              <w:rPr>
                <w:rFonts w:ascii="Times New Roman" w:eastAsia="Times New Roman"/>
                <w:sz w:val="21"/>
              </w:rPr>
              <w:t>C </w:t>
            </w:r>
            <w:r>
              <w:rPr>
                <w:sz w:val="21"/>
              </w:rPr>
              <w:t>款终身重大疾病保险合同（以下简称本合同）依投保人的申请， 经本公司同意而订立。</w:t>
            </w:r>
          </w:p>
          <w:p>
            <w:pPr>
              <w:pStyle w:val="TableParagraph"/>
              <w:spacing w:line="237" w:lineRule="auto"/>
              <w:ind w:left="156" w:right="1"/>
              <w:rPr>
                <w:sz w:val="21"/>
              </w:rPr>
            </w:pPr>
            <w:r>
              <w:rPr>
                <w:spacing w:val="-10"/>
                <w:sz w:val="21"/>
              </w:rPr>
              <w:t>本合同由所载的条款、保险单、投保单以及有关的声明、批注、其它约定书构成。</w:t>
            </w:r>
            <w:r>
              <w:rPr>
                <w:spacing w:val="-6"/>
                <w:sz w:val="21"/>
              </w:rPr>
              <w:t>若上述构成本合同的文件正本需留本公司存档，则其复印件或电子影像印刷件亦</w:t>
            </w:r>
            <w:r>
              <w:rPr>
                <w:spacing w:val="-5"/>
                <w:sz w:val="21"/>
              </w:rPr>
              <w:t>视为本合同的构成部分，其效力与正本相同；若复印件或电子影像印刷件的内容</w:t>
            </w:r>
            <w:r>
              <w:rPr>
                <w:spacing w:val="-4"/>
                <w:sz w:val="21"/>
              </w:rPr>
              <w:t>与正本不同时，则以正本为准。</w:t>
            </w:r>
          </w:p>
          <w:p>
            <w:pPr>
              <w:pStyle w:val="TableParagraph"/>
              <w:ind w:left="156" w:right="103"/>
              <w:rPr>
                <w:sz w:val="21"/>
              </w:rPr>
            </w:pPr>
            <w:r>
              <w:rPr>
                <w:sz w:val="21"/>
              </w:rPr>
              <w:t>本合同条款依法按照通常理解予以解释，如合同条款有两种以上解释的，作有利于被保险人或受益人的解释。</w:t>
            </w:r>
          </w:p>
          <w:p>
            <w:pPr>
              <w:pStyle w:val="TableParagraph"/>
              <w:spacing w:line="271" w:lineRule="exact" w:before="3"/>
              <w:ind w:left="156"/>
              <w:rPr>
                <w:sz w:val="21"/>
              </w:rPr>
            </w:pPr>
            <w:r>
              <w:rPr>
                <w:sz w:val="21"/>
              </w:rPr>
              <w:t>本合同的代码为 DDLC。</w:t>
            </w:r>
          </w:p>
        </w:tc>
      </w:tr>
      <w:tr>
        <w:trPr>
          <w:trHeight w:val="5702" w:hRule="atLeast"/>
        </w:trPr>
        <w:tc>
          <w:tcPr>
            <w:tcW w:w="780" w:type="dxa"/>
          </w:tcPr>
          <w:p>
            <w:pPr>
              <w:pStyle w:val="TableParagraph"/>
              <w:spacing w:before="134"/>
              <w:ind w:left="107"/>
              <w:rPr>
                <w:b/>
                <w:sz w:val="21"/>
              </w:rPr>
            </w:pPr>
            <w:r>
              <w:rPr>
                <w:b/>
                <w:sz w:val="21"/>
              </w:rPr>
              <w:t>1.2</w:t>
            </w:r>
          </w:p>
        </w:tc>
        <w:tc>
          <w:tcPr>
            <w:tcW w:w="1780" w:type="dxa"/>
          </w:tcPr>
          <w:p>
            <w:pPr>
              <w:pStyle w:val="TableParagraph"/>
              <w:spacing w:before="141"/>
              <w:ind w:left="376"/>
              <w:rPr>
                <w:b/>
                <w:sz w:val="21"/>
              </w:rPr>
            </w:pPr>
            <w:r>
              <w:rPr>
                <w:b/>
                <w:sz w:val="21"/>
              </w:rPr>
              <w:t>如实告知</w:t>
            </w:r>
          </w:p>
        </w:tc>
        <w:tc>
          <w:tcPr>
            <w:tcW w:w="7633" w:type="dxa"/>
          </w:tcPr>
          <w:p>
            <w:pPr>
              <w:pStyle w:val="TableParagraph"/>
              <w:spacing w:line="261" w:lineRule="auto" w:before="141"/>
              <w:ind w:left="156" w:right="117"/>
              <w:jc w:val="both"/>
              <w:rPr>
                <w:sz w:val="21"/>
              </w:rPr>
            </w:pPr>
            <w:r>
              <w:rPr>
                <w:sz w:val="21"/>
              </w:rPr>
              <w:t>订立本合同，我们应当向投保人说明本合同的内容。对本合同中免除我们责任的条款，在订立合同时我们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line="261" w:lineRule="auto" w:before="5"/>
              <w:ind w:left="156" w:right="117"/>
              <w:jc w:val="both"/>
              <w:rPr>
                <w:sz w:val="21"/>
              </w:rPr>
            </w:pPr>
            <w:r>
              <w:rPr>
                <w:sz w:val="21"/>
              </w:rPr>
              <w:t>订立本合同，我们可以就投保人和被保险人的有关情况提出书面询问，投保人应当如实告知。</w:t>
            </w:r>
          </w:p>
          <w:p>
            <w:pPr>
              <w:pStyle w:val="TableParagraph"/>
              <w:spacing w:line="261" w:lineRule="auto" w:before="6"/>
              <w:ind w:left="156" w:right="103"/>
              <w:jc w:val="both"/>
              <w:rPr>
                <w:sz w:val="21"/>
              </w:rPr>
            </w:pPr>
            <w:r>
              <w:rPr>
                <w:b/>
                <w:spacing w:val="-4"/>
                <w:sz w:val="21"/>
              </w:rPr>
              <w:t>如果投保人故意隐瞒事实，不履行如实告知义务，或者因重大过失未履行如实告</w:t>
            </w:r>
            <w:r>
              <w:rPr>
                <w:b/>
                <w:spacing w:val="-5"/>
                <w:sz w:val="21"/>
              </w:rPr>
              <w:t>知义务，足以影响我们决定是否同意承保或者提高保险费率的，我们有权解除本合同。</w:t>
            </w:r>
            <w:r>
              <w:rPr>
                <w:spacing w:val="-3"/>
                <w:sz w:val="21"/>
              </w:rPr>
              <w:t>但若被保险人自本合同成立日</w:t>
            </w:r>
            <w:r>
              <w:rPr>
                <w:sz w:val="21"/>
              </w:rPr>
              <w:t>（</w:t>
            </w:r>
            <w:r>
              <w:rPr>
                <w:spacing w:val="-3"/>
                <w:sz w:val="21"/>
              </w:rPr>
              <w:t>若本合同中止后复效，则以最后复效日为准）起持续有效两年后才发生保险事故的，我们将不再依据本条规定行使对本合同的解除权。</w:t>
            </w:r>
          </w:p>
          <w:p>
            <w:pPr>
              <w:pStyle w:val="TableParagraph"/>
              <w:spacing w:line="261" w:lineRule="auto" w:before="6"/>
              <w:ind w:left="156" w:right="96"/>
              <w:rPr>
                <w:b/>
                <w:sz w:val="21"/>
              </w:rPr>
            </w:pPr>
            <w:r>
              <w:rPr>
                <w:b/>
                <w:spacing w:val="2"/>
                <w:sz w:val="21"/>
              </w:rPr>
              <w:t>如果我们在本合同订立时已经知道投保人未如实告知的或自我们知道有解除事</w:t>
            </w:r>
            <w:r>
              <w:rPr>
                <w:b/>
                <w:spacing w:val="-3"/>
                <w:sz w:val="21"/>
              </w:rPr>
              <w:t>由之日起超过三十日没有解除本合同，则我们不再依据前款约定行使解除权。 如果投保人故意不履行如实告知义务，我们对于本合同解除前发生的保险事故， 不承担给付保险金的责任，并不退还保险费。</w:t>
            </w:r>
          </w:p>
          <w:p>
            <w:pPr>
              <w:pStyle w:val="TableParagraph"/>
              <w:spacing w:line="261" w:lineRule="auto" w:before="6"/>
              <w:ind w:left="156" w:right="96"/>
              <w:jc w:val="both"/>
              <w:rPr>
                <w:b/>
                <w:sz w:val="21"/>
              </w:rPr>
            </w:pPr>
            <w:r>
              <w:rPr>
                <w:b/>
                <w:sz w:val="21"/>
              </w:rPr>
              <w:t>如果投保人因重大过失未履行如实告知义务，对保险事故的发生有严重影响的， 我们对于本合同解除前发生的保险事故，不承担给付保险金的责任，但退还本合同的保险费。</w:t>
            </w:r>
          </w:p>
        </w:tc>
      </w:tr>
      <w:tr>
        <w:trPr>
          <w:trHeight w:val="1399" w:hRule="atLeast"/>
        </w:trPr>
        <w:tc>
          <w:tcPr>
            <w:tcW w:w="780" w:type="dxa"/>
          </w:tcPr>
          <w:p>
            <w:pPr>
              <w:pStyle w:val="TableParagraph"/>
              <w:spacing w:before="144"/>
              <w:ind w:left="107"/>
              <w:rPr>
                <w:b/>
                <w:sz w:val="21"/>
              </w:rPr>
            </w:pPr>
            <w:r>
              <w:rPr>
                <w:b/>
                <w:sz w:val="21"/>
              </w:rPr>
              <w:t>1.3</w:t>
            </w:r>
          </w:p>
        </w:tc>
        <w:tc>
          <w:tcPr>
            <w:tcW w:w="1780" w:type="dxa"/>
          </w:tcPr>
          <w:p>
            <w:pPr>
              <w:pStyle w:val="TableParagraph"/>
              <w:spacing w:line="273" w:lineRule="auto" w:before="144"/>
              <w:ind w:left="355" w:right="155"/>
              <w:rPr>
                <w:b/>
                <w:sz w:val="21"/>
              </w:rPr>
            </w:pPr>
            <w:r>
              <w:rPr>
                <w:b/>
                <w:sz w:val="21"/>
              </w:rPr>
              <w:t>合同成立及保险责任的开始</w:t>
            </w:r>
          </w:p>
        </w:tc>
        <w:tc>
          <w:tcPr>
            <w:tcW w:w="7633" w:type="dxa"/>
          </w:tcPr>
          <w:p>
            <w:pPr>
              <w:pStyle w:val="TableParagraph"/>
              <w:spacing w:line="237" w:lineRule="auto" w:before="125"/>
              <w:ind w:left="163" w:right="102"/>
              <w:jc w:val="both"/>
              <w:rPr>
                <w:sz w:val="21"/>
              </w:rPr>
            </w:pPr>
            <w:r>
              <w:rPr>
                <w:spacing w:val="-3"/>
                <w:sz w:val="21"/>
              </w:rPr>
              <w:t>投保人提出保险申请、本公司同意承保，本合同成立。若本合同成立，我们对本</w:t>
            </w:r>
            <w:r>
              <w:rPr>
                <w:spacing w:val="-5"/>
                <w:sz w:val="21"/>
              </w:rPr>
              <w:t>合同承担的保险责任自投保人缴付保险费当日 </w:t>
            </w:r>
            <w:r>
              <w:rPr>
                <w:sz w:val="21"/>
              </w:rPr>
              <w:t>24</w:t>
            </w:r>
            <w:r>
              <w:rPr>
                <w:spacing w:val="-15"/>
                <w:sz w:val="21"/>
              </w:rPr>
              <w:t> 时起生效。我们将签发保险单作</w:t>
            </w:r>
            <w:r>
              <w:rPr>
                <w:spacing w:val="-3"/>
                <w:sz w:val="21"/>
              </w:rPr>
              <w:t>为承保的凭证。具体生效日以保险单上载明的日期为准。</w:t>
            </w:r>
          </w:p>
          <w:p>
            <w:pPr>
              <w:pStyle w:val="TableParagraph"/>
              <w:spacing w:line="274" w:lineRule="exact"/>
              <w:ind w:left="163"/>
              <w:jc w:val="both"/>
              <w:rPr>
                <w:sz w:val="21"/>
              </w:rPr>
            </w:pPr>
            <w:r>
              <w:rPr>
                <w:spacing w:val="-2"/>
                <w:sz w:val="21"/>
              </w:rPr>
              <w:t>本合同的</w:t>
            </w:r>
            <w:r>
              <w:rPr>
                <w:b/>
                <w:sz w:val="21"/>
              </w:rPr>
              <w:t>保单周年日</w:t>
            </w:r>
            <w:r>
              <w:rPr>
                <w:spacing w:val="-29"/>
                <w:sz w:val="21"/>
              </w:rPr>
              <w:t>、</w:t>
            </w:r>
            <w:r>
              <w:rPr>
                <w:b/>
                <w:sz w:val="21"/>
              </w:rPr>
              <w:t>保单年度</w:t>
            </w:r>
            <w:r>
              <w:rPr>
                <w:spacing w:val="-10"/>
                <w:sz w:val="21"/>
              </w:rPr>
              <w:t>、缴费期、有效期、合同期满日均以生效日起算。</w:t>
            </w:r>
          </w:p>
        </w:tc>
      </w:tr>
      <w:tr>
        <w:trPr>
          <w:trHeight w:val="941" w:hRule="atLeast"/>
        </w:trPr>
        <w:tc>
          <w:tcPr>
            <w:tcW w:w="780" w:type="dxa"/>
          </w:tcPr>
          <w:p>
            <w:pPr>
              <w:pStyle w:val="TableParagraph"/>
              <w:spacing w:before="144"/>
              <w:ind w:left="107"/>
              <w:rPr>
                <w:b/>
                <w:sz w:val="21"/>
              </w:rPr>
            </w:pPr>
            <w:r>
              <w:rPr>
                <w:b/>
                <w:sz w:val="21"/>
              </w:rPr>
              <w:t>1.4</w:t>
            </w:r>
          </w:p>
        </w:tc>
        <w:tc>
          <w:tcPr>
            <w:tcW w:w="1780" w:type="dxa"/>
          </w:tcPr>
          <w:p>
            <w:pPr>
              <w:pStyle w:val="TableParagraph"/>
              <w:spacing w:before="144"/>
              <w:ind w:left="355"/>
              <w:rPr>
                <w:b/>
                <w:sz w:val="21"/>
              </w:rPr>
            </w:pPr>
            <w:r>
              <w:rPr>
                <w:b/>
                <w:sz w:val="21"/>
              </w:rPr>
              <w:t>犹豫期</w:t>
            </w:r>
          </w:p>
        </w:tc>
        <w:tc>
          <w:tcPr>
            <w:tcW w:w="7633" w:type="dxa"/>
          </w:tcPr>
          <w:p>
            <w:pPr>
              <w:pStyle w:val="TableParagraph"/>
              <w:spacing w:line="274" w:lineRule="exact" w:before="122"/>
              <w:ind w:left="163"/>
              <w:rPr>
                <w:sz w:val="21"/>
              </w:rPr>
            </w:pPr>
            <w:r>
              <w:rPr>
                <w:sz w:val="21"/>
              </w:rPr>
              <w:t>投保人自收到本合同之日起有十日的犹豫期，以便阅读本合同。</w:t>
            </w:r>
          </w:p>
          <w:p>
            <w:pPr>
              <w:pStyle w:val="TableParagraph"/>
              <w:spacing w:line="272" w:lineRule="exact" w:before="26"/>
              <w:ind w:left="163" w:right="102"/>
              <w:rPr>
                <w:sz w:val="21"/>
              </w:rPr>
            </w:pPr>
            <w:r>
              <w:rPr>
                <w:sz w:val="21"/>
              </w:rPr>
              <w:t>投保人在犹豫期内可向我们书面提出撤销合同的申请，并亲自或挂号邮寄将本合同退还。</w:t>
            </w:r>
          </w:p>
        </w:tc>
      </w:tr>
    </w:tbl>
    <w:p>
      <w:pPr>
        <w:spacing w:after="0" w:line="272" w:lineRule="exact"/>
        <w:rPr>
          <w:sz w:val="21"/>
        </w:rPr>
        <w:sectPr>
          <w:headerReference w:type="default" r:id="rId23"/>
          <w:footerReference w:type="default" r:id="rId24"/>
          <w:pgSz w:w="11910" w:h="16840"/>
          <w:pgMar w:header="892" w:footer="917" w:top="1080" w:bottom="1100" w:left="920" w:right="580"/>
          <w:pgNumType w:start="1"/>
        </w:sectPr>
      </w:pPr>
    </w:p>
    <w:p>
      <w:pPr>
        <w:pStyle w:val="BodyText"/>
        <w:rPr>
          <w:rFonts w:ascii="Times New Roman"/>
          <w:sz w:val="20"/>
        </w:rPr>
      </w:pPr>
    </w:p>
    <w:p>
      <w:pPr>
        <w:pStyle w:val="BodyText"/>
        <w:spacing w:before="9" w:after="1"/>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
        <w:gridCol w:w="1671"/>
        <w:gridCol w:w="7622"/>
      </w:tblGrid>
      <w:tr>
        <w:trPr>
          <w:trHeight w:val="1939" w:hRule="atLeast"/>
        </w:trPr>
        <w:tc>
          <w:tcPr>
            <w:tcW w:w="896" w:type="dxa"/>
          </w:tcPr>
          <w:p>
            <w:pPr>
              <w:pStyle w:val="TableParagraph"/>
              <w:rPr>
                <w:rFonts w:ascii="Times New Roman"/>
                <w:sz w:val="20"/>
              </w:rPr>
            </w:pPr>
          </w:p>
        </w:tc>
        <w:tc>
          <w:tcPr>
            <w:tcW w:w="1671" w:type="dxa"/>
          </w:tcPr>
          <w:p>
            <w:pPr>
              <w:pStyle w:val="TableParagraph"/>
              <w:rPr>
                <w:rFonts w:ascii="Times New Roman"/>
                <w:sz w:val="20"/>
              </w:rPr>
            </w:pPr>
          </w:p>
        </w:tc>
        <w:tc>
          <w:tcPr>
            <w:tcW w:w="7622" w:type="dxa"/>
          </w:tcPr>
          <w:p>
            <w:pPr>
              <w:pStyle w:val="TableParagraph"/>
              <w:spacing w:line="209" w:lineRule="exact"/>
              <w:ind w:left="156"/>
              <w:rPr>
                <w:sz w:val="21"/>
              </w:rPr>
            </w:pPr>
            <w:r>
              <w:rPr>
                <w:spacing w:val="-12"/>
                <w:sz w:val="21"/>
              </w:rPr>
              <w:t>投保人依前项规定行使合同撤销权时，撤销的效力自我们收到书面申请及合同</w:t>
            </w:r>
            <w:r>
              <w:rPr>
                <w:spacing w:val="-3"/>
                <w:sz w:val="21"/>
              </w:rPr>
              <w:t>（</w:t>
            </w:r>
            <w:r>
              <w:rPr>
                <w:sz w:val="21"/>
              </w:rPr>
              <w:t>若</w:t>
            </w:r>
          </w:p>
          <w:p>
            <w:pPr>
              <w:pStyle w:val="TableParagraph"/>
              <w:ind w:left="157" w:right="99" w:hanging="1"/>
              <w:rPr>
                <w:sz w:val="21"/>
              </w:rPr>
            </w:pPr>
            <w:r>
              <w:rPr>
                <w:spacing w:val="-6"/>
                <w:sz w:val="21"/>
              </w:rPr>
              <w:t>为邮寄，则以寄出邮戳为准</w:t>
            </w:r>
            <w:r>
              <w:rPr>
                <w:spacing w:val="-25"/>
                <w:sz w:val="21"/>
              </w:rPr>
              <w:t>）</w:t>
            </w:r>
            <w:r>
              <w:rPr>
                <w:spacing w:val="-11"/>
                <w:sz w:val="21"/>
              </w:rPr>
              <w:t>的当日 </w:t>
            </w:r>
            <w:r>
              <w:rPr>
                <w:sz w:val="21"/>
              </w:rPr>
              <w:t>24</w:t>
            </w:r>
            <w:r>
              <w:rPr>
                <w:spacing w:val="-12"/>
                <w:sz w:val="21"/>
              </w:rPr>
              <w:t> 时起生效，本合同自始无效，我们将向投</w:t>
            </w:r>
            <w:r>
              <w:rPr>
                <w:spacing w:val="-6"/>
                <w:sz w:val="21"/>
              </w:rPr>
              <w:t>保人退还所有已缴的保险费。</w:t>
            </w:r>
          </w:p>
          <w:p>
            <w:pPr>
              <w:pStyle w:val="TableParagraph"/>
              <w:spacing w:line="273" w:lineRule="auto" w:before="20"/>
              <w:ind w:left="156" w:right="55"/>
              <w:rPr>
                <w:b/>
                <w:sz w:val="21"/>
              </w:rPr>
            </w:pPr>
            <w:r>
              <w:rPr>
                <w:b/>
                <w:sz w:val="21"/>
              </w:rPr>
              <w:t>若投保人、被保险人或受益人在犹豫期内向我们提出理赔申请或本合同是由其它险种变更而来的，则不得再行使本条规定的合同撤销权。</w:t>
            </w:r>
          </w:p>
          <w:p>
            <w:pPr>
              <w:pStyle w:val="TableParagraph"/>
              <w:spacing w:before="8"/>
              <w:ind w:left="156"/>
              <w:rPr>
                <w:b/>
                <w:sz w:val="21"/>
              </w:rPr>
            </w:pPr>
            <w:r>
              <w:rPr>
                <w:b/>
                <w:sz w:val="21"/>
              </w:rPr>
              <w:t>投保人犹豫期后解除合同会承担一定的损失。</w:t>
            </w:r>
          </w:p>
        </w:tc>
      </w:tr>
      <w:tr>
        <w:trPr>
          <w:trHeight w:val="718" w:hRule="atLeast"/>
        </w:trPr>
        <w:tc>
          <w:tcPr>
            <w:tcW w:w="896" w:type="dxa"/>
            <w:tcBorders>
              <w:bottom w:val="double" w:sz="1" w:space="0" w:color="000000"/>
            </w:tcBorders>
          </w:tcPr>
          <w:p>
            <w:pPr>
              <w:pStyle w:val="TableParagraph"/>
              <w:spacing w:before="180"/>
              <w:ind w:left="107"/>
              <w:rPr>
                <w:b/>
                <w:sz w:val="28"/>
              </w:rPr>
            </w:pPr>
            <w:r>
              <w:rPr>
                <w:b/>
                <w:w w:val="99"/>
                <w:sz w:val="28"/>
              </w:rPr>
              <w:t>2</w:t>
            </w:r>
          </w:p>
        </w:tc>
        <w:tc>
          <w:tcPr>
            <w:tcW w:w="9293" w:type="dxa"/>
            <w:gridSpan w:val="2"/>
            <w:tcBorders>
              <w:bottom w:val="double" w:sz="1" w:space="0" w:color="000000"/>
            </w:tcBorders>
          </w:tcPr>
          <w:p>
            <w:pPr>
              <w:pStyle w:val="TableParagraph"/>
              <w:spacing w:before="180"/>
              <w:ind w:left="260"/>
              <w:rPr>
                <w:b/>
                <w:sz w:val="28"/>
              </w:rPr>
            </w:pPr>
            <w:r>
              <w:rPr>
                <w:b/>
                <w:w w:val="95"/>
                <w:sz w:val="28"/>
              </w:rPr>
              <w:t>我们提供的保障</w:t>
            </w:r>
          </w:p>
        </w:tc>
      </w:tr>
      <w:tr>
        <w:trPr>
          <w:trHeight w:val="1406" w:hRule="atLeast"/>
        </w:trPr>
        <w:tc>
          <w:tcPr>
            <w:tcW w:w="896"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2.1</w:t>
            </w:r>
          </w:p>
        </w:tc>
        <w:tc>
          <w:tcPr>
            <w:tcW w:w="1671" w:type="dxa"/>
            <w:tcBorders>
              <w:top w:val="double" w:sz="1" w:space="0" w:color="000000"/>
            </w:tcBorders>
          </w:tcPr>
          <w:p>
            <w:pPr>
              <w:pStyle w:val="TableParagraph"/>
              <w:spacing w:before="2"/>
              <w:rPr>
                <w:rFonts w:ascii="Times New Roman"/>
                <w:sz w:val="26"/>
              </w:rPr>
            </w:pPr>
          </w:p>
          <w:p>
            <w:pPr>
              <w:pStyle w:val="TableParagraph"/>
              <w:ind w:left="260"/>
              <w:rPr>
                <w:b/>
                <w:sz w:val="21"/>
              </w:rPr>
            </w:pPr>
            <w:r>
              <w:rPr>
                <w:b/>
                <w:sz w:val="21"/>
              </w:rPr>
              <w:t>保险金额</w:t>
            </w:r>
          </w:p>
        </w:tc>
        <w:tc>
          <w:tcPr>
            <w:tcW w:w="7622" w:type="dxa"/>
            <w:tcBorders>
              <w:top w:val="double" w:sz="1" w:space="0" w:color="000000"/>
            </w:tcBorders>
          </w:tcPr>
          <w:p>
            <w:pPr>
              <w:pStyle w:val="TableParagraph"/>
              <w:spacing w:before="2"/>
              <w:rPr>
                <w:rFonts w:ascii="Times New Roman"/>
                <w:sz w:val="26"/>
              </w:rPr>
            </w:pPr>
          </w:p>
          <w:p>
            <w:pPr>
              <w:pStyle w:val="TableParagraph"/>
              <w:spacing w:line="273" w:lineRule="auto"/>
              <w:ind w:left="149" w:right="113"/>
              <w:jc w:val="both"/>
              <w:rPr>
                <w:sz w:val="21"/>
              </w:rPr>
            </w:pPr>
            <w:r>
              <w:rPr>
                <w:sz w:val="21"/>
              </w:rPr>
              <w:t>本合同所称的基本保险金额是指由投保人在投保时与我们约定，并在保险单上载明的金额。若该金额按本合同其它条款的约定而发生变更，则以变更后的金额为基本保险金额。</w:t>
            </w:r>
          </w:p>
        </w:tc>
      </w:tr>
      <w:tr>
        <w:trPr>
          <w:trHeight w:val="638" w:hRule="atLeast"/>
        </w:trPr>
        <w:tc>
          <w:tcPr>
            <w:tcW w:w="896" w:type="dxa"/>
          </w:tcPr>
          <w:p>
            <w:pPr>
              <w:pStyle w:val="TableParagraph"/>
              <w:spacing w:before="142"/>
              <w:ind w:left="107"/>
              <w:rPr>
                <w:b/>
                <w:sz w:val="21"/>
              </w:rPr>
            </w:pPr>
            <w:r>
              <w:rPr>
                <w:b/>
                <w:sz w:val="21"/>
              </w:rPr>
              <w:t>2.2</w:t>
            </w:r>
          </w:p>
        </w:tc>
        <w:tc>
          <w:tcPr>
            <w:tcW w:w="1671" w:type="dxa"/>
          </w:tcPr>
          <w:p>
            <w:pPr>
              <w:pStyle w:val="TableParagraph"/>
              <w:spacing w:before="142"/>
              <w:ind w:left="260"/>
              <w:rPr>
                <w:b/>
                <w:sz w:val="21"/>
              </w:rPr>
            </w:pPr>
            <w:r>
              <w:rPr>
                <w:b/>
                <w:sz w:val="21"/>
              </w:rPr>
              <w:t>保险责任</w:t>
            </w:r>
          </w:p>
        </w:tc>
        <w:tc>
          <w:tcPr>
            <w:tcW w:w="7622" w:type="dxa"/>
          </w:tcPr>
          <w:p>
            <w:pPr>
              <w:pStyle w:val="TableParagraph"/>
              <w:spacing w:before="166"/>
              <w:ind w:left="149"/>
              <w:rPr>
                <w:sz w:val="21"/>
              </w:rPr>
            </w:pPr>
            <w:r>
              <w:rPr>
                <w:sz w:val="21"/>
              </w:rPr>
              <w:t>在本合同有效期内，我们承担以下保险责任：</w:t>
            </w:r>
          </w:p>
        </w:tc>
      </w:tr>
      <w:tr>
        <w:trPr>
          <w:trHeight w:val="1280" w:hRule="atLeast"/>
        </w:trPr>
        <w:tc>
          <w:tcPr>
            <w:tcW w:w="896" w:type="dxa"/>
          </w:tcPr>
          <w:p>
            <w:pPr>
              <w:pStyle w:val="TableParagraph"/>
              <w:spacing w:before="131"/>
              <w:ind w:left="108"/>
              <w:rPr>
                <w:i/>
                <w:sz w:val="22"/>
              </w:rPr>
            </w:pPr>
            <w:r>
              <w:rPr>
                <w:i/>
                <w:sz w:val="22"/>
              </w:rPr>
              <w:t>2.2.1</w:t>
            </w:r>
          </w:p>
        </w:tc>
        <w:tc>
          <w:tcPr>
            <w:tcW w:w="1671" w:type="dxa"/>
          </w:tcPr>
          <w:p>
            <w:pPr>
              <w:pStyle w:val="TableParagraph"/>
              <w:spacing w:before="131"/>
              <w:ind w:left="260"/>
              <w:rPr>
                <w:i/>
                <w:sz w:val="22"/>
              </w:rPr>
            </w:pPr>
            <w:r>
              <w:rPr>
                <w:i/>
                <w:w w:val="95"/>
                <w:sz w:val="22"/>
              </w:rPr>
              <w:t>身故保险金</w:t>
            </w:r>
          </w:p>
        </w:tc>
        <w:tc>
          <w:tcPr>
            <w:tcW w:w="7622" w:type="dxa"/>
          </w:tcPr>
          <w:p>
            <w:pPr>
              <w:pStyle w:val="TableParagraph"/>
              <w:spacing w:before="166"/>
              <w:ind w:left="149"/>
              <w:rPr>
                <w:sz w:val="21"/>
              </w:rPr>
            </w:pPr>
            <w:r>
              <w:rPr>
                <w:sz w:val="21"/>
              </w:rPr>
              <w:t>在本合同有效期内，若被保险人在 </w:t>
            </w:r>
            <w:r>
              <w:rPr>
                <w:rFonts w:ascii="Arial" w:eastAsia="Arial"/>
                <w:sz w:val="21"/>
              </w:rPr>
              <w:t>18 </w:t>
            </w:r>
            <w:r>
              <w:rPr>
                <w:b/>
                <w:sz w:val="21"/>
              </w:rPr>
              <w:t>周岁</w:t>
            </w:r>
            <w:r>
              <w:rPr>
                <w:sz w:val="21"/>
              </w:rPr>
              <w:t>（含）后身故，则我们给付等值于基</w:t>
            </w:r>
          </w:p>
          <w:p>
            <w:pPr>
              <w:pStyle w:val="TableParagraph"/>
              <w:spacing w:line="264" w:lineRule="auto" w:before="31"/>
              <w:ind w:left="149" w:right="132"/>
              <w:rPr>
                <w:sz w:val="21"/>
              </w:rPr>
            </w:pPr>
            <w:r>
              <w:rPr>
                <w:sz w:val="21"/>
              </w:rPr>
              <w:t>本保险金额的身故保险金，本合同效力终止。若被保险人在 </w:t>
            </w:r>
            <w:r>
              <w:rPr>
                <w:rFonts w:ascii="Arial" w:eastAsia="Arial"/>
                <w:sz w:val="21"/>
              </w:rPr>
              <w:t>18 </w:t>
            </w:r>
            <w:r>
              <w:rPr>
                <w:sz w:val="21"/>
              </w:rPr>
              <w:t>周岁前身故，我们按本合同已缴保费给付身故保险金，本合同效力终止。</w:t>
            </w:r>
          </w:p>
        </w:tc>
      </w:tr>
      <w:tr>
        <w:trPr>
          <w:trHeight w:val="3151" w:hRule="atLeast"/>
        </w:trPr>
        <w:tc>
          <w:tcPr>
            <w:tcW w:w="896" w:type="dxa"/>
          </w:tcPr>
          <w:p>
            <w:pPr>
              <w:pStyle w:val="TableParagraph"/>
              <w:spacing w:before="132"/>
              <w:ind w:left="108"/>
              <w:rPr>
                <w:i/>
                <w:sz w:val="22"/>
              </w:rPr>
            </w:pPr>
            <w:r>
              <w:rPr>
                <w:i/>
                <w:sz w:val="22"/>
              </w:rPr>
              <w:t>2.2.2</w:t>
            </w:r>
          </w:p>
        </w:tc>
        <w:tc>
          <w:tcPr>
            <w:tcW w:w="1671" w:type="dxa"/>
          </w:tcPr>
          <w:p>
            <w:pPr>
              <w:pStyle w:val="TableParagraph"/>
              <w:spacing w:line="259" w:lineRule="auto" w:before="132"/>
              <w:ind w:left="260" w:right="145"/>
              <w:rPr>
                <w:i/>
                <w:sz w:val="22"/>
              </w:rPr>
            </w:pPr>
            <w:r>
              <w:rPr>
                <w:i/>
                <w:w w:val="95"/>
                <w:sz w:val="22"/>
              </w:rPr>
              <w:t>重大疾病保险</w:t>
            </w:r>
            <w:r>
              <w:rPr>
                <w:i/>
                <w:sz w:val="22"/>
              </w:rPr>
              <w:t>金</w:t>
            </w:r>
          </w:p>
        </w:tc>
        <w:tc>
          <w:tcPr>
            <w:tcW w:w="7622" w:type="dxa"/>
          </w:tcPr>
          <w:p>
            <w:pPr>
              <w:pStyle w:val="TableParagraph"/>
              <w:spacing w:before="144"/>
              <w:ind w:left="149"/>
              <w:rPr>
                <w:b/>
                <w:sz w:val="21"/>
              </w:rPr>
            </w:pPr>
            <w:r>
              <w:rPr>
                <w:sz w:val="21"/>
              </w:rPr>
              <w:t>在本合同有效期内，若被保险人因</w:t>
            </w:r>
            <w:r>
              <w:rPr>
                <w:b/>
                <w:sz w:val="21"/>
              </w:rPr>
              <w:t>意外伤害事故</w:t>
            </w:r>
            <w:r>
              <w:rPr>
                <w:sz w:val="21"/>
              </w:rPr>
              <w:t>或于本合同</w:t>
            </w:r>
            <w:r>
              <w:rPr>
                <w:b/>
                <w:sz w:val="21"/>
              </w:rPr>
              <w:t>持续有效一百八十日</w:t>
            </w:r>
          </w:p>
          <w:p>
            <w:pPr>
              <w:pStyle w:val="TableParagraph"/>
              <w:spacing w:line="268" w:lineRule="auto" w:before="37"/>
              <w:ind w:left="149" w:right="106"/>
              <w:rPr>
                <w:b/>
                <w:sz w:val="21"/>
              </w:rPr>
            </w:pPr>
            <w:r>
              <w:rPr>
                <w:b/>
                <w:sz w:val="21"/>
              </w:rPr>
              <w:t>（</w:t>
            </w:r>
            <w:r>
              <w:rPr>
                <w:b/>
                <w:spacing w:val="-3"/>
                <w:sz w:val="21"/>
              </w:rPr>
              <w:t>若本合同中止后复效，则以最后复效日起持续有效一百八十日为准</w:t>
            </w:r>
            <w:r>
              <w:rPr>
                <w:b/>
                <w:spacing w:val="-5"/>
                <w:sz w:val="21"/>
              </w:rPr>
              <w:t>）</w:t>
            </w:r>
            <w:r>
              <w:rPr>
                <w:b/>
                <w:spacing w:val="-6"/>
                <w:sz w:val="21"/>
              </w:rPr>
              <w:t>以后</w:t>
            </w:r>
            <w:r>
              <w:rPr>
                <w:b/>
                <w:sz w:val="21"/>
              </w:rPr>
              <w:t>（不</w:t>
            </w:r>
            <w:r>
              <w:rPr>
                <w:b/>
                <w:w w:val="100"/>
                <w:sz w:val="21"/>
              </w:rPr>
              <w:t>含当日</w:t>
            </w:r>
            <w:r>
              <w:rPr>
                <w:b/>
                <w:spacing w:val="-106"/>
                <w:w w:val="100"/>
                <w:sz w:val="21"/>
              </w:rPr>
              <w:t>）</w:t>
            </w:r>
            <w:r>
              <w:rPr>
                <w:b/>
                <w:w w:val="100"/>
                <w:sz w:val="21"/>
              </w:rPr>
              <w:t>，首次</w:t>
            </w:r>
            <w:r>
              <w:rPr>
                <w:b/>
                <w:i/>
                <w:w w:val="95"/>
                <w:sz w:val="22"/>
              </w:rPr>
              <w:t>发病</w:t>
            </w:r>
            <w:r>
              <w:rPr>
                <w:b/>
                <w:spacing w:val="-3"/>
                <w:w w:val="100"/>
                <w:sz w:val="21"/>
              </w:rPr>
              <w:t>并经我们指定的医院确诊初次患符合本合同重大疾病定义的</w:t>
            </w:r>
            <w:r>
              <w:rPr>
                <w:b/>
                <w:sz w:val="21"/>
              </w:rPr>
              <w:t>疾病</w:t>
            </w:r>
            <w:r>
              <w:rPr>
                <w:spacing w:val="-3"/>
                <w:sz w:val="21"/>
              </w:rPr>
              <w:t>，则我们按本合同的基本保险金额给付重大疾病保险金，本合同效力终止。若被保险人同时患多种重大疾病，</w:t>
            </w:r>
            <w:r>
              <w:rPr>
                <w:b/>
                <w:spacing w:val="-1"/>
                <w:sz w:val="21"/>
              </w:rPr>
              <w:t>本项责任我们以给付一次为限。</w:t>
            </w:r>
          </w:p>
          <w:p>
            <w:pPr>
              <w:pStyle w:val="TableParagraph"/>
              <w:rPr>
                <w:rFonts w:ascii="Times New Roman"/>
                <w:sz w:val="20"/>
              </w:rPr>
            </w:pPr>
          </w:p>
          <w:p>
            <w:pPr>
              <w:pStyle w:val="TableParagraph"/>
              <w:spacing w:line="278" w:lineRule="auto" w:before="118"/>
              <w:ind w:left="149" w:right="104"/>
              <w:jc w:val="both"/>
              <w:rPr>
                <w:b/>
                <w:sz w:val="21"/>
              </w:rPr>
            </w:pPr>
            <w:r>
              <w:rPr>
                <w:b/>
                <w:spacing w:val="-4"/>
                <w:sz w:val="21"/>
              </w:rPr>
              <w:t>我们根据疾病诊断时的疾病状态或疾病阶段给付保险金，任何在诊断时已经超越</w:t>
            </w:r>
            <w:r>
              <w:rPr>
                <w:b/>
                <w:spacing w:val="-8"/>
                <w:sz w:val="21"/>
              </w:rPr>
              <w:t>轻症重疾的疾病状态或阶段，我们不给付 </w:t>
            </w:r>
            <w:r>
              <w:rPr>
                <w:b/>
                <w:sz w:val="21"/>
              </w:rPr>
              <w:t>2.2.4</w:t>
            </w:r>
            <w:r>
              <w:rPr>
                <w:b/>
                <w:spacing w:val="-8"/>
                <w:sz w:val="21"/>
              </w:rPr>
              <w:t> 轻症重疾保险金。涉及介入手术的轻症重疾不受此限制。</w:t>
            </w:r>
          </w:p>
        </w:tc>
      </w:tr>
      <w:tr>
        <w:trPr>
          <w:trHeight w:val="4601" w:hRule="atLeast"/>
        </w:trPr>
        <w:tc>
          <w:tcPr>
            <w:tcW w:w="896" w:type="dxa"/>
          </w:tcPr>
          <w:p>
            <w:pPr>
              <w:pStyle w:val="TableParagraph"/>
              <w:spacing w:before="132"/>
              <w:ind w:left="108"/>
              <w:rPr>
                <w:i/>
                <w:sz w:val="22"/>
              </w:rPr>
            </w:pPr>
            <w:r>
              <w:rPr>
                <w:i/>
                <w:sz w:val="22"/>
              </w:rPr>
              <w:t>2.2.3</w:t>
            </w:r>
          </w:p>
        </w:tc>
        <w:tc>
          <w:tcPr>
            <w:tcW w:w="1671" w:type="dxa"/>
          </w:tcPr>
          <w:p>
            <w:pPr>
              <w:pStyle w:val="TableParagraph"/>
              <w:spacing w:line="259" w:lineRule="auto" w:before="132"/>
              <w:ind w:left="260" w:right="145"/>
              <w:jc w:val="both"/>
              <w:rPr>
                <w:i/>
                <w:sz w:val="22"/>
              </w:rPr>
            </w:pPr>
            <w:r>
              <w:rPr>
                <w:i/>
                <w:w w:val="95"/>
                <w:sz w:val="22"/>
              </w:rPr>
              <w:t>特定重大疾病额外给付保险</w:t>
            </w:r>
            <w:r>
              <w:rPr>
                <w:i/>
                <w:sz w:val="22"/>
              </w:rPr>
              <w:t>金</w:t>
            </w:r>
          </w:p>
        </w:tc>
        <w:tc>
          <w:tcPr>
            <w:tcW w:w="7622" w:type="dxa"/>
          </w:tcPr>
          <w:p>
            <w:pPr>
              <w:pStyle w:val="TableParagraph"/>
              <w:spacing w:line="280" w:lineRule="auto" w:before="168"/>
              <w:ind w:left="149" w:right="102"/>
              <w:jc w:val="both"/>
              <w:rPr>
                <w:sz w:val="21"/>
              </w:rPr>
            </w:pPr>
            <w:r>
              <w:rPr>
                <w:spacing w:val="-3"/>
                <w:sz w:val="21"/>
              </w:rPr>
              <w:t>若被保险人因意外伤害事故或于本合同</w:t>
            </w:r>
            <w:r>
              <w:rPr>
                <w:b/>
                <w:spacing w:val="-1"/>
                <w:sz w:val="21"/>
              </w:rPr>
              <w:t>持续有效一百八十日</w:t>
            </w:r>
            <w:r>
              <w:rPr>
                <w:b/>
                <w:sz w:val="21"/>
              </w:rPr>
              <w:t>（</w:t>
            </w:r>
            <w:r>
              <w:rPr>
                <w:b/>
                <w:spacing w:val="-2"/>
                <w:sz w:val="21"/>
              </w:rPr>
              <w:t>若本合同中止后复</w:t>
            </w:r>
            <w:r>
              <w:rPr>
                <w:b/>
                <w:spacing w:val="-3"/>
                <w:sz w:val="21"/>
              </w:rPr>
              <w:t>效，则以最后复效日起持续有效一百八十日为准</w:t>
            </w:r>
            <w:r>
              <w:rPr>
                <w:b/>
                <w:spacing w:val="-5"/>
                <w:sz w:val="21"/>
              </w:rPr>
              <w:t>）</w:t>
            </w:r>
            <w:r>
              <w:rPr>
                <w:b/>
                <w:spacing w:val="-2"/>
                <w:sz w:val="21"/>
              </w:rPr>
              <w:t>以后</w:t>
            </w:r>
            <w:r>
              <w:rPr>
                <w:b/>
                <w:sz w:val="21"/>
              </w:rPr>
              <w:t>（</w:t>
            </w:r>
            <w:r>
              <w:rPr>
                <w:b/>
                <w:spacing w:val="-1"/>
                <w:sz w:val="21"/>
              </w:rPr>
              <w:t>不含当日</w:t>
            </w:r>
            <w:r>
              <w:rPr>
                <w:b/>
                <w:spacing w:val="-3"/>
                <w:sz w:val="21"/>
              </w:rPr>
              <w:t>）首次发病并经我们指定的医院确诊初次</w:t>
            </w:r>
            <w:r>
              <w:rPr>
                <w:spacing w:val="-9"/>
                <w:sz w:val="21"/>
              </w:rPr>
              <w:t>患以下特定重大疾病</w:t>
            </w:r>
            <w:r>
              <w:rPr>
                <w:spacing w:val="-3"/>
                <w:sz w:val="21"/>
              </w:rPr>
              <w:t>（无论一种或多种</w:t>
            </w:r>
            <w:r>
              <w:rPr>
                <w:spacing w:val="-79"/>
                <w:sz w:val="21"/>
              </w:rPr>
              <w:t>）</w:t>
            </w:r>
            <w:r>
              <w:rPr>
                <w:spacing w:val="-15"/>
                <w:sz w:val="21"/>
              </w:rPr>
              <w:t>，则我们除按</w:t>
            </w:r>
          </w:p>
          <w:p>
            <w:pPr>
              <w:pStyle w:val="TableParagraph"/>
              <w:spacing w:before="8"/>
              <w:ind w:left="149"/>
              <w:rPr>
                <w:sz w:val="21"/>
              </w:rPr>
            </w:pPr>
            <w:r>
              <w:rPr>
                <w:sz w:val="21"/>
              </w:rPr>
              <w:t>2.2.2</w:t>
            </w:r>
            <w:r>
              <w:rPr>
                <w:spacing w:val="-15"/>
                <w:sz w:val="21"/>
              </w:rPr>
              <w:t> 约定给付重大疾病保险金外，一并额外给付等值于本合同基本保险金额 </w:t>
            </w:r>
            <w:r>
              <w:rPr>
                <w:sz w:val="21"/>
              </w:rPr>
              <w:t>50%</w:t>
            </w:r>
          </w:p>
          <w:p>
            <w:pPr>
              <w:pStyle w:val="TableParagraph"/>
              <w:spacing w:before="43"/>
              <w:ind w:left="149"/>
              <w:rPr>
                <w:sz w:val="21"/>
              </w:rPr>
            </w:pPr>
            <w:r>
              <w:rPr>
                <w:sz w:val="21"/>
              </w:rPr>
              <w:t>的特定重大疾病保险金，本合同效力终止。</w:t>
            </w:r>
          </w:p>
          <w:p>
            <w:pPr>
              <w:pStyle w:val="TableParagraph"/>
              <w:spacing w:line="278" w:lineRule="auto" w:before="46"/>
              <w:ind w:left="149" w:right="99"/>
              <w:jc w:val="both"/>
              <w:rPr>
                <w:sz w:val="21"/>
              </w:rPr>
            </w:pPr>
            <w:r>
              <w:rPr>
                <w:b/>
                <w:sz w:val="21"/>
              </w:rPr>
              <w:t>（1）</w:t>
            </w:r>
            <w:r>
              <w:rPr>
                <w:b/>
                <w:spacing w:val="-7"/>
                <w:sz w:val="21"/>
              </w:rPr>
              <w:t>若被保险人在 </w:t>
            </w:r>
            <w:r>
              <w:rPr>
                <w:b/>
                <w:sz w:val="21"/>
              </w:rPr>
              <w:t>18</w:t>
            </w:r>
            <w:r>
              <w:rPr>
                <w:b/>
                <w:spacing w:val="-7"/>
                <w:sz w:val="21"/>
              </w:rPr>
              <w:t> 周岁前确诊初次患</w:t>
            </w:r>
            <w:r>
              <w:rPr>
                <w:spacing w:val="-3"/>
                <w:sz w:val="21"/>
              </w:rPr>
              <w:t>终末期肾病，重大器官移植术，良性脑肿瘤，脑炎后遗症或脑膜炎后遗症，符合恶性肿瘤定义的白血病，脑恶性肿瘤， 我们按照上述规则给付特定重大疾病保险金。</w:t>
            </w:r>
          </w:p>
          <w:p>
            <w:pPr>
              <w:pStyle w:val="TableParagraph"/>
              <w:spacing w:line="278" w:lineRule="auto" w:before="13"/>
              <w:ind w:left="149" w:right="-15"/>
              <w:jc w:val="both"/>
              <w:rPr>
                <w:sz w:val="21"/>
              </w:rPr>
            </w:pPr>
            <w:r>
              <w:rPr>
                <w:b/>
                <w:spacing w:val="-5"/>
                <w:sz w:val="21"/>
              </w:rPr>
              <w:t>（2）</w:t>
            </w:r>
            <w:r>
              <w:rPr>
                <w:b/>
                <w:spacing w:val="-8"/>
                <w:sz w:val="21"/>
              </w:rPr>
              <w:t>若被保险人在 </w:t>
            </w:r>
            <w:r>
              <w:rPr>
                <w:b/>
                <w:sz w:val="21"/>
              </w:rPr>
              <w:t>18</w:t>
            </w:r>
            <w:r>
              <w:rPr>
                <w:b/>
                <w:spacing w:val="-24"/>
                <w:sz w:val="21"/>
              </w:rPr>
              <w:t> 周岁</w:t>
            </w:r>
            <w:r>
              <w:rPr>
                <w:b/>
                <w:sz w:val="21"/>
              </w:rPr>
              <w:t>（含</w:t>
            </w:r>
            <w:r>
              <w:rPr>
                <w:b/>
                <w:spacing w:val="-15"/>
                <w:sz w:val="21"/>
              </w:rPr>
              <w:t>）</w:t>
            </w:r>
            <w:r>
              <w:rPr>
                <w:b/>
                <w:spacing w:val="-2"/>
                <w:sz w:val="21"/>
              </w:rPr>
              <w:t>后，</w:t>
            </w:r>
            <w:r>
              <w:rPr>
                <w:b/>
                <w:spacing w:val="-4"/>
                <w:sz w:val="21"/>
              </w:rPr>
              <w:t>70</w:t>
            </w:r>
            <w:r>
              <w:rPr>
                <w:b/>
                <w:spacing w:val="-9"/>
                <w:sz w:val="21"/>
              </w:rPr>
              <w:t> 周岁后的首个保单周年日之前，</w:t>
            </w:r>
            <w:r>
              <w:rPr>
                <w:spacing w:val="-2"/>
                <w:sz w:val="21"/>
              </w:rPr>
              <w:t>确诊初</w:t>
            </w:r>
            <w:r>
              <w:rPr>
                <w:spacing w:val="-3"/>
                <w:sz w:val="21"/>
              </w:rPr>
              <w:t>次患终末期肾病，脑中风后遗症，重大器官移植术，符合恶性肿瘤定义的骨恶性</w:t>
            </w:r>
            <w:r>
              <w:rPr>
                <w:spacing w:val="-11"/>
                <w:sz w:val="21"/>
              </w:rPr>
              <w:t>肿瘤、脑恶性肿瘤、胰腺恶性肿瘤，我们按照上述规则给付特定重大疾病保险金。</w:t>
            </w:r>
          </w:p>
          <w:p>
            <w:pPr>
              <w:pStyle w:val="TableParagraph"/>
              <w:spacing w:before="11"/>
              <w:rPr>
                <w:rFonts w:ascii="Times New Roman"/>
                <w:sz w:val="24"/>
              </w:rPr>
            </w:pPr>
          </w:p>
          <w:p>
            <w:pPr>
              <w:pStyle w:val="TableParagraph"/>
              <w:spacing w:line="320" w:lineRule="atLeast"/>
              <w:ind w:left="149" w:right="99"/>
              <w:jc w:val="both"/>
              <w:rPr>
                <w:sz w:val="21"/>
              </w:rPr>
            </w:pPr>
            <w:r>
              <w:rPr>
                <w:sz w:val="21"/>
              </w:rPr>
              <w:t>特定重大疾病的确诊须经我们指定或认可的医院专科医生明确诊断，符合以下定义，未尽定义请参见 3.2 重大疾病定义。</w:t>
            </w:r>
          </w:p>
        </w:tc>
      </w:tr>
    </w:tbl>
    <w:p>
      <w:pPr>
        <w:spacing w:after="0" w:line="320" w:lineRule="atLeast"/>
        <w:jc w:val="both"/>
        <w:rPr>
          <w:sz w:val="21"/>
        </w:rPr>
        <w:sectPr>
          <w:pgSz w:w="11910" w:h="16840"/>
          <w:pgMar w:header="892" w:footer="917" w:top="1080" w:bottom="1100" w:left="920" w:right="58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8"/>
        </w:rPr>
      </w:pPr>
    </w:p>
    <w:p>
      <w:pPr>
        <w:pStyle w:val="BodyText"/>
        <w:spacing w:before="36"/>
        <w:ind w:left="2716"/>
      </w:pPr>
      <w:r>
        <w:rPr/>
        <w:t>1、白血病</w:t>
      </w:r>
    </w:p>
    <w:p>
      <w:pPr>
        <w:pStyle w:val="BodyText"/>
        <w:spacing w:line="278" w:lineRule="auto" w:before="60"/>
        <w:ind w:left="2716" w:right="214"/>
        <w:jc w:val="both"/>
      </w:pPr>
      <w:r>
        <w:rPr/>
        <w:t>白血病指血液及造血组织的恶性肿瘤，其特征为白细胞不受控制的进行性增长和扩散，可经血管转移到身体其它部位。白血病必须经组织病理学明确诊断，临床诊断属于世界卫生组织《疾病和有关健康问题的国际统计分类》（ICD-10）中C90-C95 范围内。</w:t>
      </w:r>
    </w:p>
    <w:p>
      <w:pPr>
        <w:pStyle w:val="Heading3"/>
        <w:spacing w:line="262" w:lineRule="exact"/>
        <w:ind w:left="2716"/>
      </w:pPr>
      <w:r>
        <w:rPr/>
        <w:t>继发性白血病，相当于 Binet 分期方案 A 期程度的慢性淋巴细胞白血病不在本</w:t>
      </w:r>
    </w:p>
    <w:p>
      <w:pPr>
        <w:spacing w:before="38"/>
        <w:ind w:left="2716" w:right="0" w:firstLine="0"/>
        <w:jc w:val="left"/>
        <w:rPr>
          <w:b/>
          <w:sz w:val="21"/>
        </w:rPr>
      </w:pPr>
      <w:r>
        <w:rPr>
          <w:b/>
          <w:sz w:val="21"/>
        </w:rPr>
        <w:t>保障范围内。</w:t>
      </w:r>
    </w:p>
    <w:p>
      <w:pPr>
        <w:pStyle w:val="BodyText"/>
        <w:spacing w:before="61"/>
        <w:ind w:left="2716"/>
      </w:pPr>
      <w:r>
        <w:rPr/>
        <w:t>2、骨恶性肿瘤</w:t>
      </w:r>
    </w:p>
    <w:p>
      <w:pPr>
        <w:pStyle w:val="BodyText"/>
        <w:spacing w:line="273" w:lineRule="auto" w:before="22"/>
        <w:ind w:left="2716" w:right="110"/>
      </w:pPr>
      <w:r>
        <w:rPr>
          <w:spacing w:val="-8"/>
        </w:rPr>
        <w:t>骨恶性肿瘤指原发于骨与软骨组织的恶性肿瘤，经组织病理学检查结果明确诊断， 临床诊断属于世界卫生组织《疾病和有关健康问题的国际统计分类</w:t>
      </w:r>
      <w:r>
        <w:rPr>
          <w:spacing w:val="-137"/>
        </w:rPr>
        <w:t>》</w:t>
      </w:r>
      <w:r>
        <w:rPr>
          <w:spacing w:val="-5"/>
        </w:rPr>
        <w:t>（ICD-10）</w:t>
      </w:r>
      <w:r>
        <w:rPr>
          <w:spacing w:val="-32"/>
        </w:rPr>
        <w:t>中</w:t>
      </w:r>
      <w:r>
        <w:rPr>
          <w:spacing w:val="-1"/>
        </w:rPr>
        <w:t>C40-C41</w:t>
      </w:r>
      <w:r>
        <w:rPr>
          <w:spacing w:val="-3"/>
        </w:rPr>
        <w:t>范围内。</w:t>
      </w:r>
    </w:p>
    <w:p>
      <w:pPr>
        <w:pStyle w:val="Heading3"/>
        <w:spacing w:line="273" w:lineRule="auto" w:before="7"/>
        <w:ind w:left="2716" w:right="180"/>
      </w:pPr>
      <w:r>
        <w:rPr/>
        <w:t>交界性肿瘤，原位癌，任何转移、侵袭至骨骼或软骨组织的其他组织来源的恶性肿瘤或恶性病变不在本保障范围内。</w:t>
      </w:r>
    </w:p>
    <w:p>
      <w:pPr>
        <w:pStyle w:val="BodyText"/>
        <w:spacing w:before="7"/>
        <w:ind w:left="2716"/>
      </w:pPr>
      <w:r>
        <w:rPr/>
        <w:t>3、脑恶性肿瘤</w:t>
      </w:r>
    </w:p>
    <w:p>
      <w:pPr>
        <w:pStyle w:val="BodyText"/>
        <w:spacing w:line="273" w:lineRule="auto" w:before="36"/>
        <w:ind w:left="2716" w:right="219"/>
        <w:jc w:val="both"/>
      </w:pPr>
      <w:r>
        <w:rPr>
          <w:spacing w:val="-3"/>
        </w:rPr>
        <w:t>脑恶性肿瘤指原发于脑组织的恶性肿瘤，经组织病理学检查结果明确诊断，临床</w:t>
      </w:r>
      <w:r>
        <w:rPr>
          <w:spacing w:val="-6"/>
        </w:rPr>
        <w:t>诊断属于世界卫生组织《疾病和有关健康问题的国际统计分类</w:t>
      </w:r>
      <w:r>
        <w:rPr>
          <w:spacing w:val="-137"/>
        </w:rPr>
        <w:t>》</w:t>
      </w:r>
      <w:r>
        <w:rPr>
          <w:spacing w:val="-5"/>
        </w:rPr>
        <w:t>（ICD-10）</w:t>
      </w:r>
      <w:r>
        <w:rPr>
          <w:spacing w:val="-2"/>
        </w:rPr>
        <w:t>的脑组</w:t>
      </w:r>
      <w:r>
        <w:rPr>
          <w:spacing w:val="-3"/>
        </w:rPr>
        <w:t>织恶性肿瘤范畴。</w:t>
      </w:r>
    </w:p>
    <w:p>
      <w:pPr>
        <w:spacing w:line="273" w:lineRule="auto" w:before="7"/>
        <w:ind w:left="2716" w:right="112" w:firstLine="0"/>
        <w:jc w:val="left"/>
        <w:rPr>
          <w:sz w:val="21"/>
        </w:rPr>
      </w:pPr>
      <w:r>
        <w:rPr>
          <w:b/>
          <w:spacing w:val="-12"/>
          <w:sz w:val="21"/>
        </w:rPr>
        <w:t>原位癌，任何转移、侵袭至脑组织的其他恶性肿瘤或恶性病变不在本保障范围内。</w:t>
      </w:r>
      <w:r>
        <w:rPr>
          <w:spacing w:val="-11"/>
          <w:sz w:val="21"/>
        </w:rPr>
        <w:t>本保障所说的脑组织是指位于颅腔内的大脑、小脑、脑干及脑膜及其中的脑血管。</w:t>
      </w:r>
    </w:p>
    <w:p>
      <w:pPr>
        <w:pStyle w:val="BodyText"/>
        <w:spacing w:before="31"/>
        <w:ind w:left="2716"/>
      </w:pPr>
      <w:r>
        <w:rPr/>
        <w:t>4、胰腺恶性肿瘤</w:t>
      </w:r>
    </w:p>
    <w:p>
      <w:pPr>
        <w:pStyle w:val="BodyText"/>
        <w:spacing w:line="273" w:lineRule="auto" w:before="20"/>
        <w:ind w:left="2716" w:right="219"/>
        <w:jc w:val="both"/>
      </w:pPr>
      <w:r>
        <w:rPr>
          <w:spacing w:val="-3"/>
        </w:rPr>
        <w:t>胰腺恶性肿瘤指原发于胰腺的恶性肿瘤，经组织病理学检查结果明确诊断，临床</w:t>
      </w:r>
      <w:r>
        <w:rPr>
          <w:spacing w:val="-6"/>
        </w:rPr>
        <w:t>诊断属于世界卫生组织《疾病和有关健康问题的国际统计分类</w:t>
      </w:r>
      <w:r>
        <w:rPr>
          <w:spacing w:val="-137"/>
        </w:rPr>
        <w:t>》</w:t>
      </w:r>
      <w:r>
        <w:rPr>
          <w:spacing w:val="-5"/>
        </w:rPr>
        <w:t>（ICD-10）</w:t>
      </w:r>
      <w:r>
        <w:rPr>
          <w:spacing w:val="-2"/>
        </w:rPr>
        <w:t>的胰腺</w:t>
      </w:r>
      <w:r>
        <w:rPr>
          <w:spacing w:val="-3"/>
        </w:rPr>
        <w:t>组织恶性肿瘤范畴。</w:t>
      </w:r>
    </w:p>
    <w:p>
      <w:pPr>
        <w:pStyle w:val="Heading3"/>
        <w:spacing w:line="273" w:lineRule="auto" w:before="8"/>
        <w:ind w:left="2716" w:right="177"/>
      </w:pPr>
      <w:r>
        <w:rPr/>
        <w:t>原位癌，任何转移、侵袭至胰腺组织的其他恶性肿瘤或恶性病变不在本保障范围内。</w:t>
      </w:r>
    </w:p>
    <w:p>
      <w:pPr>
        <w:pStyle w:val="BodyText"/>
        <w:spacing w:before="3"/>
        <w:rPr>
          <w:b/>
          <w:sz w:val="19"/>
        </w:rPr>
      </w:pPr>
    </w:p>
    <w:p>
      <w:pPr>
        <w:spacing w:after="0"/>
        <w:rPr>
          <w:sz w:val="19"/>
        </w:rPr>
        <w:sectPr>
          <w:pgSz w:w="11910" w:h="16840"/>
          <w:pgMar w:header="892" w:footer="917" w:top="1080" w:bottom="1180" w:left="1020" w:right="580"/>
        </w:sectPr>
      </w:pPr>
    </w:p>
    <w:p>
      <w:pPr>
        <w:pStyle w:val="ListParagraph"/>
        <w:numPr>
          <w:ilvl w:val="2"/>
          <w:numId w:val="2"/>
        </w:numPr>
        <w:tabs>
          <w:tab w:pos="1156" w:val="left" w:leader="none"/>
          <w:tab w:pos="1157" w:val="left" w:leader="none"/>
        </w:tabs>
        <w:spacing w:line="213" w:lineRule="auto" w:before="64" w:after="0"/>
        <w:ind w:left="1156" w:right="0" w:hanging="1048"/>
        <w:jc w:val="left"/>
        <w:rPr>
          <w:i/>
          <w:sz w:val="22"/>
        </w:rPr>
      </w:pPr>
      <w:r>
        <w:rPr>
          <w:i/>
          <w:spacing w:val="10"/>
          <w:w w:val="95"/>
          <w:sz w:val="22"/>
        </w:rPr>
        <w:t>轻症重疾额外</w:t>
      </w:r>
      <w:r>
        <w:rPr>
          <w:i/>
          <w:spacing w:val="1"/>
          <w:w w:val="95"/>
          <w:sz w:val="22"/>
        </w:rPr>
        <w:t>给付保险金</w:t>
      </w:r>
    </w:p>
    <w:p>
      <w:pPr>
        <w:spacing w:line="276" w:lineRule="auto" w:before="94"/>
        <w:ind w:left="108" w:right="216" w:firstLine="0"/>
        <w:jc w:val="both"/>
        <w:rPr>
          <w:sz w:val="21"/>
        </w:rPr>
      </w:pPr>
      <w:r>
        <w:rPr/>
        <w:br w:type="column"/>
      </w:r>
      <w:r>
        <w:rPr>
          <w:spacing w:val="-10"/>
          <w:sz w:val="21"/>
        </w:rPr>
        <w:t>自本合同生效之日起，至被保险人年满 </w:t>
      </w:r>
      <w:r>
        <w:rPr>
          <w:sz w:val="21"/>
        </w:rPr>
        <w:t>70</w:t>
      </w:r>
      <w:r>
        <w:rPr>
          <w:spacing w:val="-11"/>
          <w:sz w:val="21"/>
        </w:rPr>
        <w:t> 周岁后的首个保单周年日，若被保险人</w:t>
      </w:r>
      <w:r>
        <w:rPr>
          <w:spacing w:val="-6"/>
          <w:sz w:val="21"/>
        </w:rPr>
        <w:t>因意外伤害事故或于本合同</w:t>
      </w:r>
      <w:r>
        <w:rPr>
          <w:b/>
          <w:spacing w:val="-1"/>
          <w:sz w:val="21"/>
        </w:rPr>
        <w:t>持续有效一百八十日</w:t>
      </w:r>
      <w:r>
        <w:rPr>
          <w:b/>
          <w:spacing w:val="-3"/>
          <w:sz w:val="21"/>
        </w:rPr>
        <w:t>（</w:t>
      </w:r>
      <w:r>
        <w:rPr>
          <w:b/>
          <w:spacing w:val="-2"/>
          <w:sz w:val="21"/>
        </w:rPr>
        <w:t>若本合同中止后复效，则以最</w:t>
      </w:r>
      <w:r>
        <w:rPr>
          <w:b/>
          <w:spacing w:val="-3"/>
          <w:sz w:val="21"/>
        </w:rPr>
        <w:t>后复效日起持续有效一百八十日为准</w:t>
      </w:r>
      <w:r>
        <w:rPr>
          <w:b/>
          <w:spacing w:val="-5"/>
          <w:sz w:val="21"/>
        </w:rPr>
        <w:t>）</w:t>
      </w:r>
      <w:r>
        <w:rPr>
          <w:b/>
          <w:spacing w:val="-3"/>
          <w:sz w:val="21"/>
        </w:rPr>
        <w:t>以后</w:t>
      </w:r>
      <w:r>
        <w:rPr>
          <w:b/>
          <w:sz w:val="21"/>
        </w:rPr>
        <w:t>（</w:t>
      </w:r>
      <w:r>
        <w:rPr>
          <w:b/>
          <w:spacing w:val="-2"/>
          <w:sz w:val="21"/>
        </w:rPr>
        <w:t>不含当日</w:t>
      </w:r>
      <w:r>
        <w:rPr>
          <w:b/>
          <w:spacing w:val="-5"/>
          <w:sz w:val="21"/>
        </w:rPr>
        <w:t>）</w:t>
      </w:r>
      <w:r>
        <w:rPr>
          <w:b/>
          <w:spacing w:val="-2"/>
          <w:sz w:val="21"/>
        </w:rPr>
        <w:t>首次发病并经我们指定</w:t>
      </w:r>
      <w:r>
        <w:rPr>
          <w:b/>
          <w:spacing w:val="-7"/>
          <w:sz w:val="21"/>
        </w:rPr>
        <w:t>的医院确诊初次患以下 </w:t>
      </w:r>
      <w:r>
        <w:rPr>
          <w:rFonts w:ascii="Arial" w:eastAsia="Arial"/>
          <w:b/>
          <w:sz w:val="21"/>
        </w:rPr>
        <w:t>25 </w:t>
      </w:r>
      <w:r>
        <w:rPr>
          <w:b/>
          <w:sz w:val="21"/>
        </w:rPr>
        <w:t>项轻症重疾，</w:t>
      </w:r>
      <w:r>
        <w:rPr>
          <w:spacing w:val="-7"/>
          <w:sz w:val="21"/>
        </w:rPr>
        <w:t>我们按本合同基本保险金额的 </w:t>
      </w:r>
      <w:r>
        <w:rPr>
          <w:rFonts w:ascii="Arial" w:eastAsia="Arial"/>
          <w:sz w:val="21"/>
        </w:rPr>
        <w:t>20</w:t>
      </w:r>
      <w:r>
        <w:rPr>
          <w:spacing w:val="-3"/>
          <w:sz w:val="21"/>
        </w:rPr>
        <w:t>％给付轻症重疾保险金，并豁免本合同缴费期间内的自轻症重疾首次确诊日以后本合同的各期保险费，本合同继续有效。</w:t>
      </w:r>
    </w:p>
    <w:p>
      <w:pPr>
        <w:pStyle w:val="Heading3"/>
        <w:spacing w:line="264" w:lineRule="exact"/>
        <w:ind w:left="108"/>
        <w:jc w:val="both"/>
      </w:pPr>
      <w:r>
        <w:rPr/>
        <w:t>每种轻症重疾只给付1次，本项轻症重疾保险金给付以三次为限。</w:t>
      </w:r>
    </w:p>
    <w:p>
      <w:pPr>
        <w:pStyle w:val="BodyText"/>
        <w:spacing w:before="3"/>
        <w:rPr>
          <w:b/>
          <w:sz w:val="27"/>
        </w:rPr>
      </w:pPr>
    </w:p>
    <w:p>
      <w:pPr>
        <w:spacing w:before="0"/>
        <w:ind w:left="108" w:right="0" w:firstLine="0"/>
        <w:jc w:val="both"/>
        <w:rPr>
          <w:b/>
          <w:sz w:val="21"/>
        </w:rPr>
      </w:pPr>
      <w:r>
        <w:rPr>
          <w:b/>
          <w:sz w:val="21"/>
        </w:rPr>
        <w:t>轻症重疾种类：</w:t>
      </w:r>
    </w:p>
    <w:p>
      <w:pPr>
        <w:pStyle w:val="ListParagraph"/>
        <w:numPr>
          <w:ilvl w:val="3"/>
          <w:numId w:val="2"/>
        </w:numPr>
        <w:tabs>
          <w:tab w:pos="521" w:val="left" w:leader="none"/>
          <w:tab w:pos="4216" w:val="left" w:leader="none"/>
        </w:tabs>
        <w:spacing w:line="240" w:lineRule="auto" w:before="57" w:after="0"/>
        <w:ind w:left="520" w:right="0" w:hanging="182"/>
        <w:jc w:val="left"/>
        <w:rPr>
          <w:sz w:val="18"/>
        </w:rPr>
      </w:pPr>
      <w:r>
        <w:rPr>
          <w:sz w:val="18"/>
        </w:rPr>
        <w:t>非危及生命的（极早期的</w:t>
      </w:r>
      <w:r>
        <w:rPr>
          <w:spacing w:val="-3"/>
          <w:sz w:val="18"/>
        </w:rPr>
        <w:t>）</w:t>
      </w:r>
      <w:r>
        <w:rPr>
          <w:sz w:val="18"/>
        </w:rPr>
        <w:t>恶性病变</w:t>
        <w:tab/>
        <w:t>14</w:t>
      </w:r>
      <w:r>
        <w:rPr>
          <w:spacing w:val="1"/>
          <w:sz w:val="18"/>
        </w:rPr>
        <w:t> </w:t>
      </w:r>
      <w:r>
        <w:rPr>
          <w:sz w:val="18"/>
        </w:rPr>
        <w:t>轻度脑炎或脑膜炎后遗症</w:t>
      </w:r>
    </w:p>
    <w:p>
      <w:pPr>
        <w:pStyle w:val="ListParagraph"/>
        <w:numPr>
          <w:ilvl w:val="3"/>
          <w:numId w:val="2"/>
        </w:numPr>
        <w:tabs>
          <w:tab w:pos="521" w:val="left" w:leader="none"/>
          <w:tab w:pos="4216" w:val="left" w:leader="none"/>
        </w:tabs>
        <w:spacing w:line="240" w:lineRule="auto" w:before="76" w:after="0"/>
        <w:ind w:left="520" w:right="0" w:hanging="182"/>
        <w:jc w:val="left"/>
        <w:rPr>
          <w:sz w:val="18"/>
        </w:rPr>
      </w:pPr>
      <w:r>
        <w:rPr>
          <w:sz w:val="18"/>
        </w:rPr>
        <w:t>冠状动脉介入手术</w:t>
        <w:tab/>
        <w:t>15</w:t>
      </w:r>
      <w:r>
        <w:rPr>
          <w:spacing w:val="1"/>
          <w:sz w:val="18"/>
        </w:rPr>
        <w:t> </w:t>
      </w:r>
      <w:r>
        <w:rPr>
          <w:sz w:val="18"/>
        </w:rPr>
        <w:t>肺泡蛋白质沉积症</w:t>
      </w:r>
    </w:p>
    <w:p>
      <w:pPr>
        <w:pStyle w:val="ListParagraph"/>
        <w:numPr>
          <w:ilvl w:val="3"/>
          <w:numId w:val="2"/>
        </w:numPr>
        <w:tabs>
          <w:tab w:pos="521" w:val="left" w:leader="none"/>
          <w:tab w:pos="4216" w:val="left" w:leader="none"/>
        </w:tabs>
        <w:spacing w:line="240" w:lineRule="auto" w:before="76" w:after="0"/>
        <w:ind w:left="520" w:right="0" w:hanging="182"/>
        <w:jc w:val="left"/>
        <w:rPr>
          <w:b/>
          <w:sz w:val="18"/>
        </w:rPr>
      </w:pPr>
      <w:r>
        <w:rPr>
          <w:sz w:val="18"/>
        </w:rPr>
        <w:t>轻微脑中风</w:t>
        <w:tab/>
        <w:t>16 中度听力受</w:t>
      </w:r>
      <w:r>
        <w:rPr>
          <w:spacing w:val="-3"/>
          <w:sz w:val="18"/>
        </w:rPr>
        <w:t>损</w:t>
      </w:r>
      <w:r>
        <w:rPr>
          <w:b/>
          <w:sz w:val="18"/>
        </w:rPr>
        <w:t>（三周岁以上理赔）</w:t>
      </w:r>
    </w:p>
    <w:p>
      <w:pPr>
        <w:pStyle w:val="ListParagraph"/>
        <w:numPr>
          <w:ilvl w:val="3"/>
          <w:numId w:val="2"/>
        </w:numPr>
        <w:tabs>
          <w:tab w:pos="521" w:val="left" w:leader="none"/>
          <w:tab w:pos="4216" w:val="left" w:leader="none"/>
        </w:tabs>
        <w:spacing w:line="240" w:lineRule="auto" w:before="76" w:after="0"/>
        <w:ind w:left="520" w:right="0" w:hanging="182"/>
        <w:jc w:val="left"/>
        <w:rPr>
          <w:sz w:val="18"/>
        </w:rPr>
      </w:pPr>
      <w:r>
        <w:rPr>
          <w:sz w:val="18"/>
        </w:rPr>
        <w:t>心脏瓣膜介入手术</w:t>
        <w:tab/>
        <w:t>17</w:t>
      </w:r>
      <w:r>
        <w:rPr>
          <w:spacing w:val="1"/>
          <w:sz w:val="18"/>
        </w:rPr>
        <w:t> </w:t>
      </w:r>
      <w:r>
        <w:rPr>
          <w:sz w:val="18"/>
        </w:rPr>
        <w:t>多根肋骨骨折</w:t>
      </w:r>
    </w:p>
    <w:p>
      <w:pPr>
        <w:pStyle w:val="ListParagraph"/>
        <w:numPr>
          <w:ilvl w:val="3"/>
          <w:numId w:val="2"/>
        </w:numPr>
        <w:tabs>
          <w:tab w:pos="521" w:val="left" w:leader="none"/>
          <w:tab w:pos="4216" w:val="left" w:leader="none"/>
        </w:tabs>
        <w:spacing w:line="240" w:lineRule="auto" w:before="76" w:after="0"/>
        <w:ind w:left="520" w:right="0" w:hanging="182"/>
        <w:jc w:val="left"/>
        <w:rPr>
          <w:sz w:val="18"/>
        </w:rPr>
      </w:pPr>
      <w:r>
        <w:rPr>
          <w:sz w:val="18"/>
        </w:rPr>
        <w:t>脑垂体瘤、脑囊肿、脑动</w:t>
      </w:r>
      <w:r>
        <w:rPr>
          <w:spacing w:val="-3"/>
          <w:sz w:val="18"/>
        </w:rPr>
        <w:t>脉</w:t>
      </w:r>
      <w:r>
        <w:rPr>
          <w:sz w:val="18"/>
        </w:rPr>
        <w:t>瘤及脑血管瘤</w:t>
        <w:tab/>
        <w:t>18</w:t>
      </w:r>
      <w:r>
        <w:rPr>
          <w:spacing w:val="-43"/>
          <w:sz w:val="18"/>
        </w:rPr>
        <w:t> </w:t>
      </w:r>
      <w:r>
        <w:rPr>
          <w:sz w:val="18"/>
        </w:rPr>
        <w:t>肾脏切除</w:t>
      </w:r>
    </w:p>
    <w:p>
      <w:pPr>
        <w:pStyle w:val="ListParagraph"/>
        <w:numPr>
          <w:ilvl w:val="3"/>
          <w:numId w:val="2"/>
        </w:numPr>
        <w:tabs>
          <w:tab w:pos="521" w:val="left" w:leader="none"/>
          <w:tab w:pos="4216" w:val="left" w:leader="none"/>
        </w:tabs>
        <w:spacing w:line="240" w:lineRule="auto" w:before="76" w:after="0"/>
        <w:ind w:left="520" w:right="0" w:hanging="182"/>
        <w:jc w:val="left"/>
        <w:rPr>
          <w:sz w:val="18"/>
        </w:rPr>
      </w:pPr>
      <w:r>
        <w:rPr>
          <w:sz w:val="18"/>
        </w:rPr>
        <w:t>视力严重受</w:t>
      </w:r>
      <w:r>
        <w:rPr>
          <w:spacing w:val="-3"/>
          <w:sz w:val="18"/>
        </w:rPr>
        <w:t>损</w:t>
      </w:r>
      <w:r>
        <w:rPr>
          <w:b/>
          <w:sz w:val="18"/>
        </w:rPr>
        <w:t>（三周岁以上理赔）</w:t>
        <w:tab/>
      </w:r>
      <w:r>
        <w:rPr>
          <w:sz w:val="18"/>
        </w:rPr>
        <w:t>19</w:t>
      </w:r>
      <w:r>
        <w:rPr>
          <w:spacing w:val="-43"/>
          <w:sz w:val="18"/>
        </w:rPr>
        <w:t> </w:t>
      </w:r>
      <w:r>
        <w:rPr>
          <w:sz w:val="18"/>
        </w:rPr>
        <w:t>早期运动神经性疾病</w:t>
      </w:r>
    </w:p>
    <w:p>
      <w:pPr>
        <w:pStyle w:val="ListParagraph"/>
        <w:numPr>
          <w:ilvl w:val="3"/>
          <w:numId w:val="2"/>
        </w:numPr>
        <w:tabs>
          <w:tab w:pos="521" w:val="left" w:leader="none"/>
          <w:tab w:pos="4216" w:val="left" w:leader="none"/>
        </w:tabs>
        <w:spacing w:line="240" w:lineRule="auto" w:before="75" w:after="0"/>
        <w:ind w:left="520" w:right="0" w:hanging="182"/>
        <w:jc w:val="left"/>
        <w:rPr>
          <w:sz w:val="18"/>
        </w:rPr>
      </w:pPr>
      <w:r>
        <w:rPr>
          <w:sz w:val="18"/>
        </w:rPr>
        <w:t>主动脉内介入手术</w:t>
        <w:tab/>
        <w:t>20</w:t>
      </w:r>
      <w:r>
        <w:rPr>
          <w:spacing w:val="-43"/>
          <w:sz w:val="18"/>
        </w:rPr>
        <w:t> </w:t>
      </w:r>
      <w:r>
        <w:rPr>
          <w:sz w:val="18"/>
        </w:rPr>
        <w:t>可逆性再生障碍性贫血</w:t>
      </w:r>
    </w:p>
    <w:p>
      <w:pPr>
        <w:pStyle w:val="ListParagraph"/>
        <w:numPr>
          <w:ilvl w:val="3"/>
          <w:numId w:val="2"/>
        </w:numPr>
        <w:tabs>
          <w:tab w:pos="522" w:val="left" w:leader="none"/>
          <w:tab w:pos="4217" w:val="left" w:leader="none"/>
        </w:tabs>
        <w:spacing w:line="240" w:lineRule="auto" w:before="75" w:after="0"/>
        <w:ind w:left="521" w:right="0" w:hanging="183"/>
        <w:jc w:val="left"/>
        <w:rPr>
          <w:sz w:val="18"/>
        </w:rPr>
      </w:pPr>
      <w:r>
        <w:rPr>
          <w:sz w:val="18"/>
        </w:rPr>
        <w:t>较小面</w:t>
      </w:r>
      <w:r>
        <w:rPr>
          <w:spacing w:val="41"/>
          <w:sz w:val="18"/>
        </w:rPr>
        <w:t>积</w:t>
      </w:r>
      <w:r>
        <w:rPr>
          <w:sz w:val="18"/>
        </w:rPr>
        <w:t>III</w:t>
      </w:r>
      <w:r>
        <w:rPr>
          <w:spacing w:val="-44"/>
          <w:sz w:val="18"/>
        </w:rPr>
        <w:t> </w:t>
      </w:r>
      <w:r>
        <w:rPr>
          <w:sz w:val="18"/>
        </w:rPr>
        <w:t>度烧伤（10%）</w:t>
        <w:tab/>
        <w:t>21</w:t>
      </w:r>
      <w:r>
        <w:rPr>
          <w:spacing w:val="25"/>
          <w:sz w:val="18"/>
        </w:rPr>
        <w:t> </w:t>
      </w:r>
      <w:r>
        <w:rPr>
          <w:sz w:val="18"/>
        </w:rPr>
        <w:t>因</w:t>
      </w:r>
      <w:r>
        <w:rPr>
          <w:spacing w:val="2"/>
          <w:sz w:val="18"/>
        </w:rPr>
        <w:t>肾</w:t>
      </w:r>
      <w:r>
        <w:rPr>
          <w:sz w:val="18"/>
        </w:rPr>
        <w:t>上</w:t>
      </w:r>
      <w:r>
        <w:rPr>
          <w:spacing w:val="2"/>
          <w:sz w:val="18"/>
        </w:rPr>
        <w:t>腺</w:t>
      </w:r>
      <w:r>
        <w:rPr>
          <w:sz w:val="18"/>
        </w:rPr>
        <w:t>良</w:t>
      </w:r>
      <w:r>
        <w:rPr>
          <w:spacing w:val="2"/>
          <w:sz w:val="18"/>
        </w:rPr>
        <w:t>性肿</w:t>
      </w:r>
      <w:r>
        <w:rPr>
          <w:sz w:val="18"/>
        </w:rPr>
        <w:t>瘤</w:t>
      </w:r>
      <w:r>
        <w:rPr>
          <w:spacing w:val="2"/>
          <w:sz w:val="18"/>
        </w:rPr>
        <w:t>所</w:t>
      </w:r>
      <w:r>
        <w:rPr>
          <w:sz w:val="18"/>
        </w:rPr>
        <w:t>致的</w:t>
      </w:r>
      <w:r>
        <w:rPr>
          <w:spacing w:val="2"/>
          <w:sz w:val="18"/>
        </w:rPr>
        <w:t>肾上腺切</w:t>
      </w:r>
    </w:p>
    <w:p>
      <w:pPr>
        <w:spacing w:after="0" w:line="240" w:lineRule="auto"/>
        <w:jc w:val="left"/>
        <w:rPr>
          <w:sz w:val="18"/>
        </w:rPr>
        <w:sectPr>
          <w:type w:val="continuous"/>
          <w:pgSz w:w="11910" w:h="16840"/>
          <w:pgMar w:top="440" w:bottom="280" w:left="1020" w:right="580"/>
          <w:cols w:num="2" w:equalWidth="0">
            <w:col w:w="2504" w:space="105"/>
            <w:col w:w="7701"/>
          </w:cols>
        </w:sectPr>
      </w:pPr>
    </w:p>
    <w:p>
      <w:pPr>
        <w:pStyle w:val="BodyText"/>
        <w:spacing w:before="2"/>
        <w:rPr>
          <w:sz w:val="28"/>
        </w:rPr>
      </w:pPr>
    </w:p>
    <w:p>
      <w:pPr>
        <w:spacing w:before="45"/>
        <w:ind w:left="6925" w:right="0" w:firstLine="0"/>
        <w:jc w:val="left"/>
        <w:rPr>
          <w:sz w:val="18"/>
        </w:rPr>
      </w:pPr>
      <w:r>
        <w:rPr>
          <w:sz w:val="18"/>
        </w:rPr>
        <w:t>除术</w:t>
      </w:r>
    </w:p>
    <w:p>
      <w:pPr>
        <w:pStyle w:val="ListParagraph"/>
        <w:numPr>
          <w:ilvl w:val="3"/>
          <w:numId w:val="2"/>
        </w:numPr>
        <w:tabs>
          <w:tab w:pos="3230" w:val="left" w:leader="none"/>
          <w:tab w:pos="6925" w:val="left" w:leader="none"/>
        </w:tabs>
        <w:spacing w:line="240" w:lineRule="auto" w:before="76" w:after="0"/>
        <w:ind w:left="3229" w:right="0" w:hanging="183"/>
        <w:jc w:val="left"/>
        <w:rPr>
          <w:sz w:val="18"/>
        </w:rPr>
      </w:pPr>
      <w:r>
        <w:rPr>
          <w:sz w:val="18"/>
        </w:rPr>
        <w:t>慢性肾功能损害</w:t>
      </w:r>
      <w:r>
        <w:rPr>
          <w:spacing w:val="0"/>
          <w:sz w:val="18"/>
        </w:rPr>
        <w:t> </w:t>
      </w:r>
      <w:r>
        <w:rPr>
          <w:sz w:val="18"/>
        </w:rPr>
        <w:t>–</w:t>
      </w:r>
      <w:r>
        <w:rPr>
          <w:spacing w:val="-2"/>
          <w:sz w:val="18"/>
        </w:rPr>
        <w:t> </w:t>
      </w:r>
      <w:r>
        <w:rPr>
          <w:sz w:val="18"/>
        </w:rPr>
        <w:t>肾功</w:t>
      </w:r>
      <w:r>
        <w:rPr>
          <w:spacing w:val="-3"/>
          <w:sz w:val="18"/>
        </w:rPr>
        <w:t>能</w:t>
      </w:r>
      <w:r>
        <w:rPr>
          <w:sz w:val="18"/>
        </w:rPr>
        <w:t>衰竭期</w:t>
        <w:tab/>
        <w:t>22</w:t>
      </w:r>
      <w:r>
        <w:rPr>
          <w:spacing w:val="1"/>
          <w:sz w:val="18"/>
        </w:rPr>
        <w:t> </w:t>
      </w:r>
      <w:r>
        <w:rPr>
          <w:sz w:val="18"/>
        </w:rPr>
        <w:t>心脏起搏器或除颤器植入</w:t>
      </w:r>
    </w:p>
    <w:p>
      <w:pPr>
        <w:pStyle w:val="ListParagraph"/>
        <w:numPr>
          <w:ilvl w:val="3"/>
          <w:numId w:val="2"/>
        </w:numPr>
        <w:tabs>
          <w:tab w:pos="3321" w:val="left" w:leader="none"/>
          <w:tab w:pos="6925" w:val="left" w:leader="none"/>
        </w:tabs>
        <w:spacing w:line="240" w:lineRule="auto" w:before="76" w:after="0"/>
        <w:ind w:left="3320" w:right="0" w:hanging="273"/>
        <w:jc w:val="left"/>
        <w:rPr>
          <w:sz w:val="18"/>
        </w:rPr>
      </w:pPr>
      <w:r>
        <w:rPr>
          <w:sz w:val="18"/>
        </w:rPr>
        <w:t>重症头部外伤</w:t>
        <w:tab/>
        <w:t>23</w:t>
      </w:r>
      <w:r>
        <w:rPr>
          <w:spacing w:val="1"/>
          <w:sz w:val="18"/>
        </w:rPr>
        <w:t> </w:t>
      </w:r>
      <w:r>
        <w:rPr>
          <w:sz w:val="18"/>
        </w:rPr>
        <w:t>严重系统性红斑狼疮</w:t>
      </w:r>
    </w:p>
    <w:p>
      <w:pPr>
        <w:pStyle w:val="ListParagraph"/>
        <w:numPr>
          <w:ilvl w:val="3"/>
          <w:numId w:val="2"/>
        </w:numPr>
        <w:tabs>
          <w:tab w:pos="3322" w:val="left" w:leader="none"/>
          <w:tab w:pos="6926" w:val="left" w:leader="none"/>
        </w:tabs>
        <w:spacing w:line="240" w:lineRule="auto" w:before="76" w:after="0"/>
        <w:ind w:left="3321" w:right="0" w:hanging="274"/>
        <w:jc w:val="left"/>
        <w:rPr>
          <w:sz w:val="18"/>
        </w:rPr>
      </w:pPr>
      <w:r>
        <w:rPr>
          <w:sz w:val="18"/>
        </w:rPr>
        <w:t>单个肢体缺失</w:t>
        <w:tab/>
        <w:t>24</w:t>
      </w:r>
      <w:r>
        <w:rPr>
          <w:spacing w:val="-43"/>
          <w:sz w:val="18"/>
        </w:rPr>
        <w:t> </w:t>
      </w:r>
      <w:r>
        <w:rPr>
          <w:sz w:val="18"/>
        </w:rPr>
        <w:t>胆道系统重建手术</w:t>
      </w:r>
    </w:p>
    <w:p>
      <w:pPr>
        <w:pStyle w:val="ListParagraph"/>
        <w:numPr>
          <w:ilvl w:val="3"/>
          <w:numId w:val="2"/>
        </w:numPr>
        <w:tabs>
          <w:tab w:pos="3322" w:val="left" w:leader="none"/>
          <w:tab w:pos="6926" w:val="left" w:leader="none"/>
        </w:tabs>
        <w:spacing w:line="240" w:lineRule="auto" w:before="76" w:after="0"/>
        <w:ind w:left="3321" w:right="0" w:hanging="274"/>
        <w:jc w:val="left"/>
        <w:rPr>
          <w:sz w:val="18"/>
        </w:rPr>
      </w:pPr>
      <w:r>
        <w:rPr>
          <w:sz w:val="18"/>
        </w:rPr>
        <w:t>单侧肺脏切除</w:t>
        <w:tab/>
        <w:t>25</w:t>
      </w:r>
      <w:r>
        <w:rPr>
          <w:spacing w:val="1"/>
          <w:sz w:val="18"/>
        </w:rPr>
        <w:t> </w:t>
      </w:r>
      <w:r>
        <w:rPr>
          <w:sz w:val="18"/>
        </w:rPr>
        <w:t>角膜移植</w:t>
      </w:r>
    </w:p>
    <w:p>
      <w:pPr>
        <w:pStyle w:val="ListParagraph"/>
        <w:numPr>
          <w:ilvl w:val="3"/>
          <w:numId w:val="2"/>
        </w:numPr>
        <w:tabs>
          <w:tab w:pos="3322" w:val="left" w:leader="none"/>
        </w:tabs>
        <w:spacing w:line="240" w:lineRule="auto" w:before="76" w:after="0"/>
        <w:ind w:left="3321" w:right="0" w:hanging="273"/>
        <w:jc w:val="left"/>
        <w:rPr>
          <w:sz w:val="18"/>
        </w:rPr>
      </w:pPr>
      <w:r>
        <w:rPr>
          <w:sz w:val="18"/>
        </w:rPr>
        <w:t>肝脏整叶切除</w:t>
      </w:r>
    </w:p>
    <w:p>
      <w:pPr>
        <w:pStyle w:val="BodyText"/>
        <w:spacing w:before="7"/>
        <w:rPr>
          <w:sz w:val="24"/>
        </w:rPr>
      </w:pPr>
    </w:p>
    <w:p>
      <w:pPr>
        <w:spacing w:after="0"/>
        <w:rPr>
          <w:sz w:val="24"/>
        </w:rPr>
        <w:sectPr>
          <w:pgSz w:w="11910" w:h="16840"/>
          <w:pgMar w:header="892" w:footer="917" w:top="1080" w:bottom="1180" w:left="920" w:right="580"/>
        </w:sectPr>
      </w:pPr>
    </w:p>
    <w:p>
      <w:pPr>
        <w:pStyle w:val="Heading1"/>
        <w:numPr>
          <w:ilvl w:val="2"/>
          <w:numId w:val="2"/>
        </w:numPr>
        <w:tabs>
          <w:tab w:pos="1256" w:val="left" w:leader="none"/>
          <w:tab w:pos="1257" w:val="left" w:leader="none"/>
        </w:tabs>
        <w:spacing w:line="259" w:lineRule="auto" w:before="35" w:after="0"/>
        <w:ind w:left="1256" w:right="0" w:hanging="1048"/>
        <w:jc w:val="left"/>
      </w:pPr>
      <w:r>
        <w:rPr>
          <w:w w:val="95"/>
        </w:rPr>
        <w:t>保险金给付限</w:t>
      </w:r>
      <w:r>
        <w:rPr/>
        <w:t>制</w:t>
      </w:r>
    </w:p>
    <w:p>
      <w:pPr>
        <w:pStyle w:val="Heading3"/>
        <w:spacing w:line="276" w:lineRule="auto" w:before="71"/>
        <w:ind w:left="208" w:right="209"/>
        <w:jc w:val="both"/>
      </w:pPr>
      <w:r>
        <w:rPr>
          <w:b w:val="0"/>
        </w:rPr>
        <w:br w:type="column"/>
      </w:r>
      <w:r>
        <w:rPr/>
        <w:t>在本合同有效期内，若被保险人于本合同生效之日起持续有效一百八十日（若本合同中止后复效，则以最后复效日起持续有效一百八十日为准）以内</w:t>
      </w:r>
      <w:r>
        <w:rPr>
          <w:rFonts w:ascii="Times New Roman" w:eastAsia="Times New Roman"/>
        </w:rPr>
        <w:t>(</w:t>
      </w:r>
      <w:r>
        <w:rPr/>
        <w:t>含当日</w:t>
      </w:r>
      <w:r>
        <w:rPr>
          <w:rFonts w:ascii="Times New Roman" w:eastAsia="Times New Roman"/>
        </w:rPr>
        <w:t>)</w:t>
      </w:r>
      <w:r>
        <w:rPr/>
        <w:t>， 出现了本合同定义的重大疾病、特定重大疾病、轻症重疾的症状或体征，或经医学检查发现患本合同定义的重大疾病、特定重大疾病、轻症重疾，我们不承担给付保险金的责任，本合同效力终止，我们将无息全额退还本合同已缴的保险费。若被保险人于本合同生效之日起持续有效一百八十日（若本合同中止后复效，则以最后复效日起持续有效一百八十日为准）以内</w:t>
      </w:r>
      <w:r>
        <w:rPr>
          <w:rFonts w:ascii="Times New Roman" w:eastAsia="Times New Roman"/>
        </w:rPr>
        <w:t>(</w:t>
      </w:r>
      <w:r>
        <w:rPr/>
        <w:t>含当日</w:t>
      </w:r>
      <w:r>
        <w:rPr>
          <w:rFonts w:ascii="Times New Roman" w:eastAsia="Times New Roman"/>
        </w:rPr>
        <w:t>)</w:t>
      </w:r>
      <w:r>
        <w:rPr/>
        <w:t>因疾病身故，我们不承担身故保险金的责任，本合同效力终止，我们将无息全额退还本合同已缴的保险费。</w:t>
      </w:r>
    </w:p>
    <w:p>
      <w:pPr>
        <w:spacing w:after="0" w:line="276" w:lineRule="auto"/>
        <w:jc w:val="both"/>
        <w:sectPr>
          <w:type w:val="continuous"/>
          <w:pgSz w:w="11910" w:h="16840"/>
          <w:pgMar w:top="440" w:bottom="280" w:left="920" w:right="580"/>
          <w:cols w:num="2" w:equalWidth="0">
            <w:col w:w="2525" w:space="84"/>
            <w:col w:w="7801"/>
          </w:cols>
        </w:sectPr>
      </w:pPr>
    </w:p>
    <w:p>
      <w:pPr>
        <w:pStyle w:val="BodyText"/>
        <w:spacing w:before="8"/>
        <w:rPr>
          <w:b/>
          <w:sz w:val="19"/>
        </w:rPr>
      </w:pPr>
    </w:p>
    <w:p>
      <w:pPr>
        <w:tabs>
          <w:tab w:pos="1362" w:val="left" w:leader="none"/>
          <w:tab w:pos="2816" w:val="left" w:leader="none"/>
        </w:tabs>
        <w:spacing w:line="235" w:lineRule="auto" w:before="42"/>
        <w:ind w:left="2816" w:right="221" w:hanging="2609"/>
        <w:jc w:val="left"/>
        <w:rPr>
          <w:b/>
          <w:sz w:val="21"/>
        </w:rPr>
      </w:pPr>
      <w:r>
        <w:rPr>
          <w:b/>
          <w:sz w:val="21"/>
        </w:rPr>
        <w:t>2.3</w:t>
        <w:tab/>
        <w:t>责任免除</w:t>
        <w:tab/>
      </w:r>
      <w:r>
        <w:rPr>
          <w:b/>
          <w:spacing w:val="-1"/>
          <w:position w:val="1"/>
          <w:sz w:val="21"/>
        </w:rPr>
        <w:t>一</w:t>
      </w:r>
      <w:r>
        <w:rPr>
          <w:b/>
          <w:spacing w:val="-3"/>
          <w:position w:val="1"/>
          <w:sz w:val="21"/>
        </w:rPr>
        <w:t>、</w:t>
      </w:r>
      <w:r>
        <w:rPr>
          <w:b/>
          <w:spacing w:val="-1"/>
          <w:position w:val="1"/>
          <w:sz w:val="21"/>
        </w:rPr>
        <w:t>因下</w:t>
      </w:r>
      <w:r>
        <w:rPr>
          <w:b/>
          <w:position w:val="1"/>
          <w:sz w:val="21"/>
        </w:rPr>
        <w:t>列情</w:t>
      </w:r>
      <w:r>
        <w:rPr>
          <w:b/>
          <w:spacing w:val="-3"/>
          <w:position w:val="1"/>
          <w:sz w:val="21"/>
        </w:rPr>
        <w:t>形</w:t>
      </w:r>
      <w:r>
        <w:rPr>
          <w:b/>
          <w:position w:val="1"/>
          <w:sz w:val="21"/>
        </w:rPr>
        <w:t>之一</w:t>
      </w:r>
      <w:r>
        <w:rPr>
          <w:b/>
          <w:spacing w:val="-5"/>
          <w:position w:val="1"/>
          <w:sz w:val="21"/>
        </w:rPr>
        <w:t>，</w:t>
      </w:r>
      <w:r>
        <w:rPr>
          <w:b/>
          <w:spacing w:val="-3"/>
          <w:position w:val="1"/>
          <w:sz w:val="21"/>
        </w:rPr>
        <w:t>导</w:t>
      </w:r>
      <w:r>
        <w:rPr>
          <w:b/>
          <w:position w:val="1"/>
          <w:sz w:val="21"/>
        </w:rPr>
        <w:t>致被保险人身</w:t>
      </w:r>
      <w:r>
        <w:rPr>
          <w:b/>
          <w:spacing w:val="-3"/>
          <w:position w:val="1"/>
          <w:sz w:val="21"/>
        </w:rPr>
        <w:t>故、</w:t>
      </w:r>
      <w:r>
        <w:rPr>
          <w:b/>
          <w:position w:val="1"/>
          <w:sz w:val="21"/>
        </w:rPr>
        <w:t>发生</w:t>
      </w:r>
      <w:r>
        <w:rPr>
          <w:b/>
          <w:spacing w:val="-3"/>
          <w:position w:val="1"/>
          <w:sz w:val="21"/>
        </w:rPr>
        <w:t>疾</w:t>
      </w:r>
      <w:r>
        <w:rPr>
          <w:b/>
          <w:position w:val="1"/>
          <w:sz w:val="21"/>
        </w:rPr>
        <w:t>病</w:t>
      </w:r>
      <w:r>
        <w:rPr>
          <w:b/>
          <w:spacing w:val="-3"/>
          <w:position w:val="1"/>
          <w:sz w:val="21"/>
        </w:rPr>
        <w:t>、</w:t>
      </w:r>
      <w:r>
        <w:rPr>
          <w:b/>
          <w:position w:val="1"/>
          <w:sz w:val="21"/>
        </w:rPr>
        <w:t>达到疾病</w:t>
      </w:r>
      <w:r>
        <w:rPr>
          <w:b/>
          <w:spacing w:val="-3"/>
          <w:position w:val="1"/>
          <w:sz w:val="21"/>
        </w:rPr>
        <w:t>状</w:t>
      </w:r>
      <w:r>
        <w:rPr>
          <w:b/>
          <w:position w:val="1"/>
          <w:sz w:val="21"/>
        </w:rPr>
        <w:t>态或进</w:t>
      </w:r>
      <w:r>
        <w:rPr>
          <w:b/>
          <w:spacing w:val="-3"/>
          <w:position w:val="1"/>
          <w:sz w:val="21"/>
        </w:rPr>
        <w:t>行</w:t>
      </w:r>
      <w:r>
        <w:rPr>
          <w:b/>
          <w:position w:val="1"/>
          <w:sz w:val="21"/>
        </w:rPr>
        <w:t>手术 </w:t>
      </w:r>
      <w:r>
        <w:rPr>
          <w:b/>
          <w:sz w:val="21"/>
        </w:rPr>
        <w:t>的，我们不承担给</w:t>
      </w:r>
      <w:r>
        <w:rPr>
          <w:b/>
          <w:spacing w:val="-3"/>
          <w:sz w:val="21"/>
        </w:rPr>
        <w:t>付</w:t>
      </w:r>
      <w:r>
        <w:rPr>
          <w:b/>
          <w:sz w:val="21"/>
        </w:rPr>
        <w:t>保</w:t>
      </w:r>
      <w:r>
        <w:rPr>
          <w:b/>
          <w:spacing w:val="-3"/>
          <w:sz w:val="21"/>
        </w:rPr>
        <w:t>险</w:t>
      </w:r>
      <w:r>
        <w:rPr>
          <w:b/>
          <w:sz w:val="21"/>
        </w:rPr>
        <w:t>金的责任：</w:t>
      </w:r>
    </w:p>
    <w:p>
      <w:pPr>
        <w:spacing w:line="272" w:lineRule="exact" w:before="6"/>
        <w:ind w:left="2816" w:right="0" w:firstLine="0"/>
        <w:jc w:val="left"/>
        <w:rPr>
          <w:b/>
          <w:sz w:val="21"/>
        </w:rPr>
      </w:pPr>
      <w:r>
        <w:rPr>
          <w:b/>
          <w:sz w:val="21"/>
        </w:rPr>
        <w:t>1、投保人对被保险人的故意杀害、故意伤害；</w:t>
      </w:r>
    </w:p>
    <w:p>
      <w:pPr>
        <w:spacing w:line="280" w:lineRule="exact" w:before="0"/>
        <w:ind w:left="2816" w:right="0" w:firstLine="0"/>
        <w:jc w:val="left"/>
        <w:rPr>
          <w:b/>
          <w:sz w:val="21"/>
        </w:rPr>
      </w:pPr>
      <w:r>
        <w:rPr>
          <w:b/>
          <w:w w:val="95"/>
          <w:sz w:val="21"/>
        </w:rPr>
        <w:t>2、被保险人故意自致的伤害、参与</w:t>
      </w:r>
      <w:r>
        <w:rPr>
          <w:b/>
          <w:i/>
          <w:w w:val="95"/>
          <w:sz w:val="22"/>
        </w:rPr>
        <w:t>殴斗</w:t>
      </w:r>
      <w:r>
        <w:rPr>
          <w:b/>
          <w:w w:val="95"/>
          <w:sz w:val="21"/>
        </w:rPr>
        <w:t>、犯罪、抗拒依法采取的刑事强制措施；</w:t>
      </w:r>
    </w:p>
    <w:p>
      <w:pPr>
        <w:spacing w:line="280" w:lineRule="exact" w:before="0"/>
        <w:ind w:left="2816" w:right="0" w:firstLine="0"/>
        <w:jc w:val="left"/>
        <w:rPr>
          <w:b/>
          <w:sz w:val="21"/>
        </w:rPr>
      </w:pPr>
      <w:r>
        <w:rPr>
          <w:b/>
          <w:w w:val="95"/>
          <w:sz w:val="21"/>
        </w:rPr>
        <w:t>3、被保险人主动服用、吸食或注射</w:t>
      </w:r>
      <w:r>
        <w:rPr>
          <w:b/>
          <w:i/>
          <w:w w:val="95"/>
          <w:sz w:val="22"/>
        </w:rPr>
        <w:t>毒品</w:t>
      </w:r>
      <w:r>
        <w:rPr>
          <w:b/>
          <w:w w:val="95"/>
          <w:sz w:val="21"/>
        </w:rPr>
        <w:t>；</w:t>
      </w:r>
    </w:p>
    <w:p>
      <w:pPr>
        <w:spacing w:line="281" w:lineRule="exact" w:before="0"/>
        <w:ind w:left="2816" w:right="0" w:firstLine="0"/>
        <w:jc w:val="left"/>
        <w:rPr>
          <w:b/>
          <w:sz w:val="21"/>
        </w:rPr>
      </w:pPr>
      <w:r>
        <w:rPr>
          <w:b/>
          <w:w w:val="95"/>
          <w:sz w:val="21"/>
        </w:rPr>
        <w:t>4、被保险人</w:t>
      </w:r>
      <w:r>
        <w:rPr>
          <w:b/>
          <w:i/>
          <w:w w:val="95"/>
          <w:sz w:val="22"/>
        </w:rPr>
        <w:t>酒后驾驶，无合法有效驾驶证驾驶</w:t>
      </w:r>
      <w:r>
        <w:rPr>
          <w:b/>
          <w:w w:val="95"/>
          <w:sz w:val="21"/>
        </w:rPr>
        <w:t>，或驾驶</w:t>
      </w:r>
      <w:r>
        <w:rPr>
          <w:b/>
          <w:i/>
          <w:w w:val="95"/>
          <w:sz w:val="22"/>
        </w:rPr>
        <w:t>无有效行驶证</w:t>
      </w:r>
      <w:r>
        <w:rPr>
          <w:b/>
          <w:w w:val="95"/>
          <w:sz w:val="21"/>
        </w:rPr>
        <w:t>的机动车；</w:t>
      </w:r>
    </w:p>
    <w:p>
      <w:pPr>
        <w:pStyle w:val="Heading3"/>
        <w:spacing w:line="284" w:lineRule="exact"/>
      </w:pPr>
      <w:r>
        <w:rPr>
          <w:w w:val="95"/>
        </w:rPr>
        <w:t>5、战争、军事行为、暴乱、武装叛乱或</w:t>
      </w:r>
      <w:r>
        <w:rPr>
          <w:i/>
          <w:w w:val="95"/>
          <w:sz w:val="22"/>
        </w:rPr>
        <w:t>恐怖活动</w:t>
      </w:r>
      <w:r>
        <w:rPr>
          <w:w w:val="95"/>
        </w:rPr>
        <w:t>；</w:t>
      </w:r>
    </w:p>
    <w:p>
      <w:pPr>
        <w:spacing w:before="2"/>
        <w:ind w:left="2816" w:right="0" w:firstLine="0"/>
        <w:jc w:val="left"/>
        <w:rPr>
          <w:b/>
          <w:sz w:val="21"/>
        </w:rPr>
      </w:pPr>
      <w:r>
        <w:rPr>
          <w:b/>
          <w:sz w:val="21"/>
        </w:rPr>
        <w:t>6、核爆炸、核辐射、核污染、原子或生化武器。</w:t>
      </w:r>
    </w:p>
    <w:p>
      <w:pPr>
        <w:pStyle w:val="BodyText"/>
        <w:spacing w:before="11"/>
        <w:rPr>
          <w:b/>
        </w:rPr>
      </w:pPr>
    </w:p>
    <w:p>
      <w:pPr>
        <w:spacing w:line="242" w:lineRule="auto" w:before="0"/>
        <w:ind w:left="2816" w:right="180" w:firstLine="0"/>
        <w:jc w:val="left"/>
        <w:rPr>
          <w:b/>
          <w:sz w:val="21"/>
        </w:rPr>
      </w:pPr>
      <w:r>
        <w:rPr>
          <w:b/>
          <w:sz w:val="21"/>
        </w:rPr>
        <w:t>二、因下列情形之一，导致被保险人发生疾病、达到疾病状态或进行手术的，我们不承担给付保险金的责任：</w:t>
      </w:r>
    </w:p>
    <w:p>
      <w:pPr>
        <w:spacing w:line="244" w:lineRule="auto" w:before="0"/>
        <w:ind w:left="2816" w:right="226" w:firstLine="0"/>
        <w:jc w:val="left"/>
        <w:rPr>
          <w:b/>
          <w:sz w:val="21"/>
        </w:rPr>
      </w:pPr>
      <w:r>
        <w:rPr>
          <w:b/>
          <w:w w:val="95"/>
          <w:sz w:val="21"/>
        </w:rPr>
        <w:t>7、被保险人</w:t>
      </w:r>
      <w:r>
        <w:rPr>
          <w:b/>
          <w:i/>
          <w:spacing w:val="-2"/>
          <w:w w:val="95"/>
          <w:sz w:val="22"/>
        </w:rPr>
        <w:t>感染艾滋病病毒</w:t>
      </w:r>
      <w:r>
        <w:rPr>
          <w:b/>
          <w:i/>
          <w:w w:val="95"/>
          <w:sz w:val="22"/>
        </w:rPr>
        <w:t>(HIV</w:t>
      </w:r>
      <w:r>
        <w:rPr>
          <w:b/>
          <w:i/>
          <w:spacing w:val="8"/>
          <w:w w:val="95"/>
          <w:sz w:val="22"/>
        </w:rPr>
        <w:t> 呈阳性)或患艾滋病 </w:t>
      </w:r>
      <w:r>
        <w:rPr>
          <w:b/>
          <w:i/>
          <w:w w:val="95"/>
          <w:sz w:val="22"/>
        </w:rPr>
        <w:t>(AIDS)</w:t>
      </w:r>
      <w:r>
        <w:rPr>
          <w:b/>
          <w:w w:val="95"/>
          <w:sz w:val="21"/>
        </w:rPr>
        <w:t>（</w:t>
      </w:r>
      <w:r>
        <w:rPr>
          <w:b/>
          <w:spacing w:val="-2"/>
          <w:w w:val="95"/>
          <w:sz w:val="21"/>
        </w:rPr>
        <w:t>但本合同另有约</w:t>
      </w:r>
      <w:r>
        <w:rPr>
          <w:b/>
          <w:w w:val="100"/>
          <w:sz w:val="21"/>
        </w:rPr>
        <w:t>定的除外</w:t>
      </w:r>
      <w:r>
        <w:rPr>
          <w:b/>
          <w:spacing w:val="-106"/>
          <w:w w:val="100"/>
          <w:sz w:val="21"/>
        </w:rPr>
        <w:t>）</w:t>
      </w:r>
      <w:r>
        <w:rPr>
          <w:b/>
          <w:w w:val="100"/>
          <w:sz w:val="21"/>
        </w:rPr>
        <w:t>；</w:t>
      </w:r>
    </w:p>
    <w:p>
      <w:pPr>
        <w:pStyle w:val="Heading1"/>
        <w:spacing w:line="276" w:lineRule="exact"/>
        <w:ind w:left="2816" w:firstLine="0"/>
      </w:pPr>
      <w:r>
        <w:rPr>
          <w:i w:val="0"/>
          <w:w w:val="95"/>
          <w:sz w:val="21"/>
        </w:rPr>
        <w:t>8、</w:t>
      </w:r>
      <w:r>
        <w:rPr>
          <w:w w:val="95"/>
        </w:rPr>
        <w:t>遗传性疾病，先天性畸形、疾病，先天性变形或染色体异常。</w:t>
      </w:r>
    </w:p>
    <w:p>
      <w:pPr>
        <w:pStyle w:val="BodyText"/>
        <w:spacing w:before="10"/>
        <w:rPr>
          <w:b/>
          <w:i/>
        </w:rPr>
      </w:pPr>
    </w:p>
    <w:p>
      <w:pPr>
        <w:pStyle w:val="Heading3"/>
      </w:pPr>
      <w:r>
        <w:rPr/>
        <w:t>三、若被保险人的身故由下列原因所致，我们不承担给付身故保险金的责任：</w:t>
      </w:r>
    </w:p>
    <w:p>
      <w:pPr>
        <w:spacing w:line="244" w:lineRule="auto" w:before="3"/>
        <w:ind w:left="2816" w:right="315" w:firstLine="0"/>
        <w:jc w:val="left"/>
        <w:rPr>
          <w:b/>
          <w:sz w:val="21"/>
        </w:rPr>
      </w:pPr>
      <w:r>
        <w:rPr>
          <w:b/>
          <w:sz w:val="21"/>
        </w:rPr>
        <w:t>9、被保险人自本合同成立（或复效）之日起两年内自杀，但被保险人自杀时为无民事行为能力人的除外。</w:t>
      </w:r>
    </w:p>
    <w:p>
      <w:pPr>
        <w:pStyle w:val="BodyText"/>
        <w:rPr>
          <w:b/>
          <w:sz w:val="22"/>
        </w:rPr>
      </w:pPr>
    </w:p>
    <w:p>
      <w:pPr>
        <w:pStyle w:val="BodyText"/>
        <w:spacing w:line="232" w:lineRule="auto"/>
        <w:ind w:left="2816" w:right="156"/>
      </w:pPr>
      <w:r>
        <w:rPr/>
        <w:t>本合同因上述第１项情形而终止，投保人已交足 </w:t>
      </w:r>
      <w:r>
        <w:rPr>
          <w:rFonts w:ascii="Arial" w:eastAsia="Arial"/>
        </w:rPr>
        <w:t>2 </w:t>
      </w:r>
      <w:r>
        <w:rPr/>
        <w:t>年以上保险费的，本公司按合同约定向其他权利人退还本合同当时的</w:t>
      </w:r>
      <w:r>
        <w:rPr>
          <w:b/>
        </w:rPr>
        <w:t>现金价值</w:t>
      </w:r>
      <w:r>
        <w:rPr/>
        <w:t>。</w:t>
      </w:r>
    </w:p>
    <w:p>
      <w:pPr>
        <w:pStyle w:val="BodyText"/>
        <w:spacing w:line="242" w:lineRule="auto" w:before="5"/>
        <w:ind w:left="2816" w:right="230"/>
      </w:pPr>
      <w:r>
        <w:rPr>
          <w:spacing w:val="-8"/>
        </w:rPr>
        <w:t>本合同因上述第 </w:t>
      </w:r>
      <w:r>
        <w:rPr/>
        <w:t>1</w:t>
      </w:r>
      <w:r>
        <w:rPr>
          <w:spacing w:val="-8"/>
        </w:rPr>
        <w:t> 项情形外的其他情形而终止，本公司向投保人退还本合同当时</w:t>
      </w:r>
      <w:r>
        <w:rPr>
          <w:spacing w:val="-5"/>
        </w:rPr>
        <w:t>的现金价值。</w:t>
      </w:r>
    </w:p>
    <w:p>
      <w:pPr>
        <w:pStyle w:val="BodyText"/>
        <w:rPr>
          <w:sz w:val="20"/>
        </w:rPr>
      </w:pPr>
    </w:p>
    <w:p>
      <w:pPr>
        <w:tabs>
          <w:tab w:pos="1235" w:val="left" w:leader="none"/>
        </w:tabs>
        <w:spacing w:before="161"/>
        <w:ind w:left="207" w:right="0" w:firstLine="0"/>
        <w:jc w:val="left"/>
        <w:rPr>
          <w:b/>
          <w:sz w:val="28"/>
        </w:rPr>
      </w:pPr>
      <w:r>
        <w:rPr>
          <w:b/>
          <w:sz w:val="28"/>
        </w:rPr>
        <w:t>3</w:t>
        <w:tab/>
        <w:t>重大疾病</w:t>
      </w:r>
    </w:p>
    <w:p>
      <w:pPr>
        <w:pStyle w:val="BodyText"/>
        <w:spacing w:before="1"/>
        <w:rPr>
          <w:b/>
          <w:sz w:val="10"/>
        </w:rPr>
      </w:pPr>
      <w:r>
        <w:rPr/>
        <w:pict>
          <v:group style="position:absolute;margin-left:51pt;margin-top:8.555101pt;width:509.55pt;height:1.45pt;mso-position-horizontal-relative:page;mso-position-vertical-relative:paragraph;z-index:1264;mso-wrap-distance-left:0;mso-wrap-distance-right:0" coordorigin="1020,171" coordsize="10191,29">
            <v:line style="position:absolute" from="1020,176" to="2047,176" stroked="true" strokeweight=".481pt" strokecolor="#000000">
              <v:stroke dashstyle="solid"/>
            </v:line>
            <v:line style="position:absolute" from="1020,195" to="2047,195" stroked="true" strokeweight=".48pt" strokecolor="#000000">
              <v:stroke dashstyle="solid"/>
            </v:line>
            <v:rect style="position:absolute;left:2047;top:171;width:29;height:10" filled="true" fillcolor="#000000" stroked="false">
              <v:fill type="solid"/>
            </v:rect>
            <v:rect style="position:absolute;left:2047;top:190;width:29;height:10" filled="true" fillcolor="#000000" stroked="false">
              <v:fill type="solid"/>
            </v:rect>
            <v:line style="position:absolute" from="2076,176" to="3571,176" stroked="true" strokeweight=".481pt" strokecolor="#000000">
              <v:stroke dashstyle="solid"/>
            </v:line>
            <v:line style="position:absolute" from="2076,195" to="3571,195" stroked="true" strokeweight=".48pt" strokecolor="#000000">
              <v:stroke dashstyle="solid"/>
            </v:line>
            <v:rect style="position:absolute;left:3571;top:171;width:29;height:10" filled="true" fillcolor="#000000" stroked="false">
              <v:fill type="solid"/>
            </v:rect>
            <v:rect style="position:absolute;left:3571;top:190;width:29;height:10" filled="true" fillcolor="#000000" stroked="false">
              <v:fill type="solid"/>
            </v:rect>
            <v:line style="position:absolute" from="3600,176" to="11210,176" stroked="true" strokeweight=".481pt" strokecolor="#000000">
              <v:stroke dashstyle="solid"/>
            </v:line>
            <v:line style="position:absolute" from="3600,195" to="11210,195" stroked="true" strokeweight=".48pt" strokecolor="#000000">
              <v:stroke dashstyle="solid"/>
            </v:line>
            <w10:wrap type="topAndBottom"/>
          </v:group>
        </w:pict>
      </w:r>
    </w:p>
    <w:p>
      <w:pPr>
        <w:spacing w:after="0"/>
        <w:rPr>
          <w:sz w:val="10"/>
        </w:rPr>
        <w:sectPr>
          <w:type w:val="continuous"/>
          <w:pgSz w:w="11910" w:h="16840"/>
          <w:pgMar w:top="440" w:bottom="280" w:left="920" w:right="580"/>
        </w:sectPr>
      </w:pPr>
    </w:p>
    <w:p>
      <w:pPr>
        <w:pStyle w:val="BodyText"/>
        <w:spacing w:before="3"/>
        <w:rPr>
          <w:b/>
          <w:sz w:val="27"/>
        </w:rPr>
      </w:pPr>
    </w:p>
    <w:p>
      <w:pPr>
        <w:spacing w:after="0"/>
        <w:rPr>
          <w:sz w:val="27"/>
        </w:rPr>
        <w:sectPr>
          <w:pgSz w:w="11910" w:h="16840"/>
          <w:pgMar w:header="892" w:footer="917" w:top="1080" w:bottom="1180" w:left="1020" w:right="700"/>
        </w:sectPr>
      </w:pPr>
    </w:p>
    <w:p>
      <w:pPr>
        <w:pStyle w:val="Heading3"/>
        <w:numPr>
          <w:ilvl w:val="1"/>
          <w:numId w:val="3"/>
        </w:numPr>
        <w:tabs>
          <w:tab w:pos="1135" w:val="left" w:leader="none"/>
          <w:tab w:pos="1136" w:val="left" w:leader="none"/>
        </w:tabs>
        <w:spacing w:line="273" w:lineRule="auto" w:before="37" w:after="0"/>
        <w:ind w:left="1135" w:right="0" w:hanging="1027"/>
        <w:jc w:val="left"/>
      </w:pPr>
      <w:r>
        <w:rPr/>
        <w:t>重大疾病的范围</w:t>
      </w:r>
    </w:p>
    <w:p>
      <w:pPr>
        <w:spacing w:line="278" w:lineRule="auto" w:before="61"/>
        <w:ind w:left="108" w:right="104" w:firstLine="0"/>
        <w:jc w:val="both"/>
        <w:rPr>
          <w:b/>
          <w:sz w:val="21"/>
        </w:rPr>
      </w:pPr>
      <w:r>
        <w:rPr/>
        <w:br w:type="column"/>
      </w:r>
      <w:r>
        <w:rPr>
          <w:sz w:val="21"/>
        </w:rPr>
        <w:t>本合同所指的重大疾病在本合同中有确定的含义，不仅包括部分一般意义上的重大疾病，还包括某些重大手术。本合同所指的重大疾病可能与临床医学所指的重大疾病在概念和范围上有所不同，我们将在本合同重大疾病定义中详细列明，</w:t>
      </w:r>
      <w:r>
        <w:rPr>
          <w:b/>
          <w:sz w:val="21"/>
        </w:rPr>
        <w:t>投保人投保本合同即表明其认可并遵从本合同中对重大疾病的定义。</w:t>
      </w:r>
    </w:p>
    <w:p>
      <w:pPr>
        <w:pStyle w:val="Heading3"/>
        <w:spacing w:line="264" w:lineRule="exact"/>
        <w:ind w:left="108"/>
        <w:jc w:val="both"/>
      </w:pPr>
      <w:r>
        <w:rPr/>
        <w:t>重大疾病种类：</w:t>
      </w:r>
    </w:p>
    <w:p>
      <w:pPr>
        <w:spacing w:after="0" w:line="264" w:lineRule="exact"/>
        <w:jc w:val="both"/>
        <w:sectPr>
          <w:type w:val="continuous"/>
          <w:pgSz w:w="11910" w:h="16840"/>
          <w:pgMar w:top="440" w:bottom="280" w:left="1020" w:right="700"/>
          <w:cols w:num="2" w:equalWidth="0">
            <w:col w:w="2403" w:space="148"/>
            <w:col w:w="7639"/>
          </w:cols>
        </w:sectPr>
      </w:pPr>
    </w:p>
    <w:p>
      <w:pPr>
        <w:pStyle w:val="BodyText"/>
        <w:spacing w:before="8"/>
        <w:rPr>
          <w:b/>
          <w:sz w:val="8"/>
        </w:rPr>
      </w:pPr>
    </w:p>
    <w:tbl>
      <w:tblPr>
        <w:tblW w:w="0" w:type="auto"/>
        <w:jc w:val="left"/>
        <w:tblInd w:w="3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
        <w:gridCol w:w="2825"/>
        <w:gridCol w:w="486"/>
        <w:gridCol w:w="2677"/>
      </w:tblGrid>
      <w:tr>
        <w:trPr>
          <w:trHeight w:val="245" w:hRule="atLeast"/>
        </w:trPr>
        <w:tc>
          <w:tcPr>
            <w:tcW w:w="339" w:type="dxa"/>
          </w:tcPr>
          <w:p>
            <w:pPr>
              <w:pStyle w:val="TableParagraph"/>
              <w:spacing w:line="180" w:lineRule="exact"/>
              <w:ind w:left="50"/>
              <w:rPr>
                <w:sz w:val="18"/>
              </w:rPr>
            </w:pPr>
            <w:r>
              <w:rPr>
                <w:sz w:val="18"/>
              </w:rPr>
              <w:t>1</w:t>
            </w:r>
          </w:p>
        </w:tc>
        <w:tc>
          <w:tcPr>
            <w:tcW w:w="2825" w:type="dxa"/>
          </w:tcPr>
          <w:p>
            <w:pPr>
              <w:pStyle w:val="TableParagraph"/>
              <w:spacing w:line="180" w:lineRule="exact"/>
              <w:ind w:left="107"/>
              <w:rPr>
                <w:sz w:val="18"/>
              </w:rPr>
            </w:pPr>
            <w:r>
              <w:rPr>
                <w:sz w:val="18"/>
              </w:rPr>
              <w:t>恶性肿瘤</w:t>
            </w:r>
          </w:p>
        </w:tc>
        <w:tc>
          <w:tcPr>
            <w:tcW w:w="486" w:type="dxa"/>
          </w:tcPr>
          <w:p>
            <w:pPr>
              <w:pStyle w:val="TableParagraph"/>
              <w:spacing w:line="180" w:lineRule="exact"/>
              <w:ind w:right="103"/>
              <w:jc w:val="right"/>
              <w:rPr>
                <w:sz w:val="18"/>
              </w:rPr>
            </w:pPr>
            <w:r>
              <w:rPr>
                <w:sz w:val="18"/>
              </w:rPr>
              <w:t>48</w:t>
            </w:r>
          </w:p>
        </w:tc>
        <w:tc>
          <w:tcPr>
            <w:tcW w:w="2677" w:type="dxa"/>
          </w:tcPr>
          <w:p>
            <w:pPr>
              <w:pStyle w:val="TableParagraph"/>
              <w:spacing w:line="180" w:lineRule="exact"/>
              <w:ind w:left="108"/>
              <w:rPr>
                <w:sz w:val="18"/>
              </w:rPr>
            </w:pPr>
            <w:r>
              <w:rPr>
                <w:sz w:val="18"/>
              </w:rPr>
              <w:t>急性坏死性胰腺炎开腹手术</w:t>
            </w:r>
          </w:p>
        </w:tc>
      </w:tr>
      <w:tr>
        <w:trPr>
          <w:trHeight w:val="311" w:hRule="atLeast"/>
        </w:trPr>
        <w:tc>
          <w:tcPr>
            <w:tcW w:w="339" w:type="dxa"/>
          </w:tcPr>
          <w:p>
            <w:pPr>
              <w:pStyle w:val="TableParagraph"/>
              <w:spacing w:before="10"/>
              <w:ind w:left="50"/>
              <w:rPr>
                <w:sz w:val="18"/>
              </w:rPr>
            </w:pPr>
            <w:r>
              <w:rPr>
                <w:sz w:val="18"/>
              </w:rPr>
              <w:t>2</w:t>
            </w:r>
          </w:p>
        </w:tc>
        <w:tc>
          <w:tcPr>
            <w:tcW w:w="2825" w:type="dxa"/>
          </w:tcPr>
          <w:p>
            <w:pPr>
              <w:pStyle w:val="TableParagraph"/>
              <w:spacing w:before="10"/>
              <w:ind w:left="107"/>
              <w:rPr>
                <w:sz w:val="18"/>
              </w:rPr>
            </w:pPr>
            <w:r>
              <w:rPr>
                <w:sz w:val="18"/>
              </w:rPr>
              <w:t>急性心肌梗塞</w:t>
            </w:r>
          </w:p>
        </w:tc>
        <w:tc>
          <w:tcPr>
            <w:tcW w:w="486" w:type="dxa"/>
          </w:tcPr>
          <w:p>
            <w:pPr>
              <w:pStyle w:val="TableParagraph"/>
              <w:spacing w:before="10"/>
              <w:ind w:right="103"/>
              <w:jc w:val="right"/>
              <w:rPr>
                <w:sz w:val="18"/>
              </w:rPr>
            </w:pPr>
            <w:r>
              <w:rPr>
                <w:sz w:val="18"/>
              </w:rPr>
              <w:t>49</w:t>
            </w:r>
          </w:p>
        </w:tc>
        <w:tc>
          <w:tcPr>
            <w:tcW w:w="2677" w:type="dxa"/>
          </w:tcPr>
          <w:p>
            <w:pPr>
              <w:pStyle w:val="TableParagraph"/>
              <w:spacing w:before="10"/>
              <w:ind w:left="108"/>
              <w:rPr>
                <w:sz w:val="18"/>
              </w:rPr>
            </w:pPr>
            <w:r>
              <w:rPr>
                <w:sz w:val="18"/>
              </w:rPr>
              <w:t>慢性复发性胰腺炎</w:t>
            </w:r>
          </w:p>
        </w:tc>
      </w:tr>
      <w:tr>
        <w:trPr>
          <w:trHeight w:val="311" w:hRule="atLeast"/>
        </w:trPr>
        <w:tc>
          <w:tcPr>
            <w:tcW w:w="339" w:type="dxa"/>
          </w:tcPr>
          <w:p>
            <w:pPr>
              <w:pStyle w:val="TableParagraph"/>
              <w:spacing w:before="10"/>
              <w:ind w:left="50"/>
              <w:rPr>
                <w:sz w:val="18"/>
              </w:rPr>
            </w:pPr>
            <w:r>
              <w:rPr>
                <w:sz w:val="18"/>
              </w:rPr>
              <w:t>3</w:t>
            </w:r>
          </w:p>
        </w:tc>
        <w:tc>
          <w:tcPr>
            <w:tcW w:w="2825" w:type="dxa"/>
          </w:tcPr>
          <w:p>
            <w:pPr>
              <w:pStyle w:val="TableParagraph"/>
              <w:spacing w:before="10"/>
              <w:ind w:left="107"/>
              <w:rPr>
                <w:sz w:val="18"/>
              </w:rPr>
            </w:pPr>
            <w:r>
              <w:rPr>
                <w:sz w:val="18"/>
              </w:rPr>
              <w:t>脑中风后遗症</w:t>
            </w:r>
          </w:p>
        </w:tc>
        <w:tc>
          <w:tcPr>
            <w:tcW w:w="486" w:type="dxa"/>
          </w:tcPr>
          <w:p>
            <w:pPr>
              <w:pStyle w:val="TableParagraph"/>
              <w:spacing w:before="10"/>
              <w:ind w:right="103"/>
              <w:jc w:val="right"/>
              <w:rPr>
                <w:sz w:val="18"/>
              </w:rPr>
            </w:pPr>
            <w:r>
              <w:rPr>
                <w:sz w:val="18"/>
              </w:rPr>
              <w:t>50</w:t>
            </w:r>
          </w:p>
        </w:tc>
        <w:tc>
          <w:tcPr>
            <w:tcW w:w="2677" w:type="dxa"/>
          </w:tcPr>
          <w:p>
            <w:pPr>
              <w:pStyle w:val="TableParagraph"/>
              <w:spacing w:before="10"/>
              <w:ind w:left="108"/>
              <w:rPr>
                <w:sz w:val="18"/>
              </w:rPr>
            </w:pPr>
            <w:r>
              <w:rPr>
                <w:sz w:val="18"/>
              </w:rPr>
              <w:t>疯牛病</w:t>
            </w:r>
          </w:p>
        </w:tc>
      </w:tr>
      <w:tr>
        <w:trPr>
          <w:trHeight w:val="311" w:hRule="atLeast"/>
        </w:trPr>
        <w:tc>
          <w:tcPr>
            <w:tcW w:w="339" w:type="dxa"/>
          </w:tcPr>
          <w:p>
            <w:pPr>
              <w:pStyle w:val="TableParagraph"/>
              <w:spacing w:before="10"/>
              <w:ind w:left="50"/>
              <w:rPr>
                <w:sz w:val="18"/>
              </w:rPr>
            </w:pPr>
            <w:r>
              <w:rPr>
                <w:sz w:val="18"/>
              </w:rPr>
              <w:t>4</w:t>
            </w:r>
          </w:p>
        </w:tc>
        <w:tc>
          <w:tcPr>
            <w:tcW w:w="2825" w:type="dxa"/>
          </w:tcPr>
          <w:p>
            <w:pPr>
              <w:pStyle w:val="TableParagraph"/>
              <w:spacing w:before="10"/>
              <w:ind w:left="107"/>
              <w:rPr>
                <w:sz w:val="18"/>
              </w:rPr>
            </w:pPr>
            <w:r>
              <w:rPr>
                <w:sz w:val="18"/>
              </w:rPr>
              <w:t>重大器官移植术</w:t>
            </w:r>
          </w:p>
        </w:tc>
        <w:tc>
          <w:tcPr>
            <w:tcW w:w="486" w:type="dxa"/>
          </w:tcPr>
          <w:p>
            <w:pPr>
              <w:pStyle w:val="TableParagraph"/>
              <w:spacing w:before="10"/>
              <w:ind w:right="103"/>
              <w:jc w:val="right"/>
              <w:rPr>
                <w:sz w:val="18"/>
              </w:rPr>
            </w:pPr>
            <w:r>
              <w:rPr>
                <w:sz w:val="18"/>
              </w:rPr>
              <w:t>51</w:t>
            </w:r>
          </w:p>
        </w:tc>
        <w:tc>
          <w:tcPr>
            <w:tcW w:w="2677" w:type="dxa"/>
          </w:tcPr>
          <w:p>
            <w:pPr>
              <w:pStyle w:val="TableParagraph"/>
              <w:spacing w:before="10"/>
              <w:ind w:left="108"/>
              <w:rPr>
                <w:sz w:val="18"/>
              </w:rPr>
            </w:pPr>
            <w:r>
              <w:rPr>
                <w:sz w:val="18"/>
              </w:rPr>
              <w:t>肾髓质囊性病</w:t>
            </w:r>
          </w:p>
        </w:tc>
      </w:tr>
      <w:tr>
        <w:trPr>
          <w:trHeight w:val="312"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或造血干细胞移植术</w:t>
            </w:r>
          </w:p>
        </w:tc>
        <w:tc>
          <w:tcPr>
            <w:tcW w:w="486" w:type="dxa"/>
          </w:tcPr>
          <w:p>
            <w:pPr>
              <w:pStyle w:val="TableParagraph"/>
              <w:rPr>
                <w:rFonts w:ascii="Times New Roman"/>
                <w:sz w:val="18"/>
              </w:rPr>
            </w:pPr>
          </w:p>
        </w:tc>
        <w:tc>
          <w:tcPr>
            <w:tcW w:w="2677" w:type="dxa"/>
          </w:tcPr>
          <w:p>
            <w:pPr>
              <w:pStyle w:val="TableParagraph"/>
              <w:rPr>
                <w:rFonts w:ascii="Times New Roman"/>
                <w:sz w:val="18"/>
              </w:rPr>
            </w:pPr>
          </w:p>
        </w:tc>
      </w:tr>
      <w:tr>
        <w:trPr>
          <w:trHeight w:val="312" w:hRule="atLeast"/>
        </w:trPr>
        <w:tc>
          <w:tcPr>
            <w:tcW w:w="339" w:type="dxa"/>
          </w:tcPr>
          <w:p>
            <w:pPr>
              <w:pStyle w:val="TableParagraph"/>
              <w:spacing w:before="10"/>
              <w:ind w:left="50"/>
              <w:rPr>
                <w:sz w:val="18"/>
              </w:rPr>
            </w:pPr>
            <w:r>
              <w:rPr>
                <w:sz w:val="18"/>
              </w:rPr>
              <w:t>5</w:t>
            </w:r>
          </w:p>
        </w:tc>
        <w:tc>
          <w:tcPr>
            <w:tcW w:w="2825" w:type="dxa"/>
          </w:tcPr>
          <w:p>
            <w:pPr>
              <w:pStyle w:val="TableParagraph"/>
              <w:spacing w:before="10"/>
              <w:ind w:left="107"/>
              <w:rPr>
                <w:sz w:val="18"/>
              </w:rPr>
            </w:pPr>
            <w:r>
              <w:rPr>
                <w:sz w:val="18"/>
              </w:rPr>
              <w:t>冠状动脉搭桥术</w:t>
            </w:r>
          </w:p>
        </w:tc>
        <w:tc>
          <w:tcPr>
            <w:tcW w:w="486" w:type="dxa"/>
          </w:tcPr>
          <w:p>
            <w:pPr>
              <w:pStyle w:val="TableParagraph"/>
              <w:spacing w:before="10"/>
              <w:ind w:right="103"/>
              <w:jc w:val="right"/>
              <w:rPr>
                <w:sz w:val="18"/>
              </w:rPr>
            </w:pPr>
            <w:r>
              <w:rPr>
                <w:sz w:val="18"/>
              </w:rPr>
              <w:t>52</w:t>
            </w:r>
          </w:p>
        </w:tc>
        <w:tc>
          <w:tcPr>
            <w:tcW w:w="2677" w:type="dxa"/>
          </w:tcPr>
          <w:p>
            <w:pPr>
              <w:pStyle w:val="TableParagraph"/>
              <w:spacing w:before="10"/>
              <w:ind w:left="108"/>
              <w:rPr>
                <w:sz w:val="18"/>
              </w:rPr>
            </w:pPr>
            <w:r>
              <w:rPr>
                <w:sz w:val="18"/>
              </w:rPr>
              <w:t>严重的原发性硬化性胆管炎</w:t>
            </w:r>
          </w:p>
        </w:tc>
      </w:tr>
      <w:tr>
        <w:trPr>
          <w:trHeight w:val="311"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(或称冠状动脉旁路移植术）</w:t>
            </w:r>
          </w:p>
        </w:tc>
        <w:tc>
          <w:tcPr>
            <w:tcW w:w="486" w:type="dxa"/>
          </w:tcPr>
          <w:p>
            <w:pPr>
              <w:pStyle w:val="TableParagraph"/>
              <w:spacing w:before="10"/>
              <w:ind w:right="103"/>
              <w:jc w:val="right"/>
              <w:rPr>
                <w:sz w:val="18"/>
              </w:rPr>
            </w:pPr>
            <w:r>
              <w:rPr>
                <w:sz w:val="18"/>
              </w:rPr>
              <w:t>53</w:t>
            </w:r>
          </w:p>
        </w:tc>
        <w:tc>
          <w:tcPr>
            <w:tcW w:w="2677" w:type="dxa"/>
          </w:tcPr>
          <w:p>
            <w:pPr>
              <w:pStyle w:val="TableParagraph"/>
              <w:spacing w:before="10"/>
              <w:ind w:left="108"/>
              <w:rPr>
                <w:sz w:val="18"/>
              </w:rPr>
            </w:pPr>
            <w:r>
              <w:rPr>
                <w:sz w:val="18"/>
              </w:rPr>
              <w:t>特发性慢性肾上腺皮质功能减退</w:t>
            </w:r>
          </w:p>
        </w:tc>
      </w:tr>
      <w:tr>
        <w:trPr>
          <w:trHeight w:val="311" w:hRule="atLeast"/>
        </w:trPr>
        <w:tc>
          <w:tcPr>
            <w:tcW w:w="339" w:type="dxa"/>
          </w:tcPr>
          <w:p>
            <w:pPr>
              <w:pStyle w:val="TableParagraph"/>
              <w:spacing w:before="10"/>
              <w:ind w:left="50"/>
              <w:rPr>
                <w:sz w:val="18"/>
              </w:rPr>
            </w:pPr>
            <w:r>
              <w:rPr>
                <w:sz w:val="18"/>
              </w:rPr>
              <w:t>6</w:t>
            </w:r>
          </w:p>
        </w:tc>
        <w:tc>
          <w:tcPr>
            <w:tcW w:w="2825" w:type="dxa"/>
          </w:tcPr>
          <w:p>
            <w:pPr>
              <w:pStyle w:val="TableParagraph"/>
              <w:spacing w:before="10"/>
              <w:ind w:left="107"/>
              <w:rPr>
                <w:sz w:val="18"/>
              </w:rPr>
            </w:pPr>
            <w:r>
              <w:rPr>
                <w:sz w:val="18"/>
              </w:rPr>
              <w:t>终末期肾病</w:t>
            </w:r>
          </w:p>
        </w:tc>
        <w:tc>
          <w:tcPr>
            <w:tcW w:w="486" w:type="dxa"/>
          </w:tcPr>
          <w:p>
            <w:pPr>
              <w:pStyle w:val="TableParagraph"/>
              <w:spacing w:before="10"/>
              <w:ind w:right="103"/>
              <w:jc w:val="right"/>
              <w:rPr>
                <w:sz w:val="18"/>
              </w:rPr>
            </w:pPr>
            <w:r>
              <w:rPr>
                <w:sz w:val="18"/>
              </w:rPr>
              <w:t>54</w:t>
            </w:r>
          </w:p>
        </w:tc>
        <w:tc>
          <w:tcPr>
            <w:tcW w:w="2677" w:type="dxa"/>
          </w:tcPr>
          <w:p>
            <w:pPr>
              <w:pStyle w:val="TableParagraph"/>
              <w:spacing w:before="10"/>
              <w:ind w:left="108"/>
              <w:rPr>
                <w:sz w:val="18"/>
              </w:rPr>
            </w:pPr>
            <w:r>
              <w:rPr>
                <w:sz w:val="18"/>
              </w:rPr>
              <w:t>溶血性链球菌引起的坏疽</w:t>
            </w:r>
          </w:p>
        </w:tc>
      </w:tr>
      <w:tr>
        <w:trPr>
          <w:trHeight w:val="311"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(或称慢性肾功能衰竭尿毒症期)</w:t>
            </w:r>
          </w:p>
        </w:tc>
        <w:tc>
          <w:tcPr>
            <w:tcW w:w="486" w:type="dxa"/>
          </w:tcPr>
          <w:p>
            <w:pPr>
              <w:pStyle w:val="TableParagraph"/>
              <w:spacing w:before="10"/>
              <w:ind w:right="103"/>
              <w:jc w:val="right"/>
              <w:rPr>
                <w:sz w:val="18"/>
              </w:rPr>
            </w:pPr>
            <w:r>
              <w:rPr>
                <w:sz w:val="18"/>
              </w:rPr>
              <w:t>55</w:t>
            </w:r>
          </w:p>
        </w:tc>
        <w:tc>
          <w:tcPr>
            <w:tcW w:w="2677" w:type="dxa"/>
          </w:tcPr>
          <w:p>
            <w:pPr>
              <w:pStyle w:val="TableParagraph"/>
              <w:spacing w:before="10"/>
              <w:ind w:left="108"/>
              <w:rPr>
                <w:sz w:val="18"/>
              </w:rPr>
            </w:pPr>
            <w:r>
              <w:rPr>
                <w:sz w:val="18"/>
              </w:rPr>
              <w:t>颅脑手术</w:t>
            </w:r>
          </w:p>
        </w:tc>
      </w:tr>
      <w:tr>
        <w:trPr>
          <w:trHeight w:val="311" w:hRule="atLeast"/>
        </w:trPr>
        <w:tc>
          <w:tcPr>
            <w:tcW w:w="339" w:type="dxa"/>
          </w:tcPr>
          <w:p>
            <w:pPr>
              <w:pStyle w:val="TableParagraph"/>
              <w:spacing w:before="10"/>
              <w:ind w:left="50"/>
              <w:rPr>
                <w:sz w:val="18"/>
              </w:rPr>
            </w:pPr>
            <w:r>
              <w:rPr>
                <w:sz w:val="18"/>
              </w:rPr>
              <w:t>7</w:t>
            </w:r>
          </w:p>
        </w:tc>
        <w:tc>
          <w:tcPr>
            <w:tcW w:w="2825" w:type="dxa"/>
          </w:tcPr>
          <w:p>
            <w:pPr>
              <w:pStyle w:val="TableParagraph"/>
              <w:spacing w:before="10"/>
              <w:ind w:left="107"/>
              <w:rPr>
                <w:sz w:val="18"/>
              </w:rPr>
            </w:pPr>
            <w:r>
              <w:rPr>
                <w:sz w:val="18"/>
              </w:rPr>
              <w:t>多个肢体缺失</w:t>
            </w:r>
          </w:p>
        </w:tc>
        <w:tc>
          <w:tcPr>
            <w:tcW w:w="486" w:type="dxa"/>
          </w:tcPr>
          <w:p>
            <w:pPr>
              <w:pStyle w:val="TableParagraph"/>
              <w:spacing w:before="10"/>
              <w:ind w:right="103"/>
              <w:jc w:val="right"/>
              <w:rPr>
                <w:sz w:val="18"/>
              </w:rPr>
            </w:pPr>
            <w:r>
              <w:rPr>
                <w:sz w:val="18"/>
              </w:rPr>
              <w:t>56</w:t>
            </w:r>
          </w:p>
        </w:tc>
        <w:tc>
          <w:tcPr>
            <w:tcW w:w="2677" w:type="dxa"/>
          </w:tcPr>
          <w:p>
            <w:pPr>
              <w:pStyle w:val="TableParagraph"/>
              <w:spacing w:before="10"/>
              <w:ind w:left="108"/>
              <w:rPr>
                <w:sz w:val="18"/>
              </w:rPr>
            </w:pPr>
            <w:r>
              <w:rPr>
                <w:sz w:val="18"/>
              </w:rPr>
              <w:t>严重肌营养不良症</w:t>
            </w:r>
          </w:p>
        </w:tc>
      </w:tr>
      <w:tr>
        <w:trPr>
          <w:trHeight w:val="311" w:hRule="atLeast"/>
        </w:trPr>
        <w:tc>
          <w:tcPr>
            <w:tcW w:w="339" w:type="dxa"/>
          </w:tcPr>
          <w:p>
            <w:pPr>
              <w:pStyle w:val="TableParagraph"/>
              <w:spacing w:before="10"/>
              <w:ind w:left="50"/>
              <w:rPr>
                <w:sz w:val="18"/>
              </w:rPr>
            </w:pPr>
            <w:r>
              <w:rPr>
                <w:sz w:val="18"/>
              </w:rPr>
              <w:t>8</w:t>
            </w:r>
          </w:p>
        </w:tc>
        <w:tc>
          <w:tcPr>
            <w:tcW w:w="2825" w:type="dxa"/>
          </w:tcPr>
          <w:p>
            <w:pPr>
              <w:pStyle w:val="TableParagraph"/>
              <w:spacing w:before="10"/>
              <w:ind w:left="107"/>
              <w:rPr>
                <w:sz w:val="18"/>
              </w:rPr>
            </w:pPr>
            <w:r>
              <w:rPr>
                <w:sz w:val="18"/>
              </w:rPr>
              <w:t>急性或亚急性重症肝炎</w:t>
            </w:r>
          </w:p>
        </w:tc>
        <w:tc>
          <w:tcPr>
            <w:tcW w:w="486" w:type="dxa"/>
          </w:tcPr>
          <w:p>
            <w:pPr>
              <w:pStyle w:val="TableParagraph"/>
              <w:spacing w:before="10"/>
              <w:ind w:right="103"/>
              <w:jc w:val="right"/>
              <w:rPr>
                <w:sz w:val="18"/>
              </w:rPr>
            </w:pPr>
            <w:r>
              <w:rPr>
                <w:sz w:val="18"/>
              </w:rPr>
              <w:t>57</w:t>
            </w:r>
          </w:p>
        </w:tc>
        <w:tc>
          <w:tcPr>
            <w:tcW w:w="2677" w:type="dxa"/>
          </w:tcPr>
          <w:p>
            <w:pPr>
              <w:pStyle w:val="TableParagraph"/>
              <w:spacing w:before="10"/>
              <w:ind w:left="108"/>
              <w:rPr>
                <w:sz w:val="18"/>
              </w:rPr>
            </w:pPr>
            <w:r>
              <w:rPr>
                <w:sz w:val="18"/>
              </w:rPr>
              <w:t>严重心肌炎</w:t>
            </w:r>
          </w:p>
        </w:tc>
      </w:tr>
      <w:tr>
        <w:trPr>
          <w:trHeight w:val="311" w:hRule="atLeast"/>
        </w:trPr>
        <w:tc>
          <w:tcPr>
            <w:tcW w:w="339" w:type="dxa"/>
          </w:tcPr>
          <w:p>
            <w:pPr>
              <w:pStyle w:val="TableParagraph"/>
              <w:spacing w:before="10"/>
              <w:ind w:left="50"/>
              <w:rPr>
                <w:sz w:val="18"/>
              </w:rPr>
            </w:pPr>
            <w:r>
              <w:rPr>
                <w:sz w:val="18"/>
              </w:rPr>
              <w:t>9</w:t>
            </w:r>
          </w:p>
        </w:tc>
        <w:tc>
          <w:tcPr>
            <w:tcW w:w="2825" w:type="dxa"/>
          </w:tcPr>
          <w:p>
            <w:pPr>
              <w:pStyle w:val="TableParagraph"/>
              <w:spacing w:before="10"/>
              <w:ind w:left="107"/>
              <w:rPr>
                <w:sz w:val="18"/>
              </w:rPr>
            </w:pPr>
            <w:r>
              <w:rPr>
                <w:sz w:val="18"/>
              </w:rPr>
              <w:t>良性脑肿瘤</w:t>
            </w:r>
          </w:p>
        </w:tc>
        <w:tc>
          <w:tcPr>
            <w:tcW w:w="486" w:type="dxa"/>
          </w:tcPr>
          <w:p>
            <w:pPr>
              <w:pStyle w:val="TableParagraph"/>
              <w:spacing w:before="10"/>
              <w:ind w:right="103"/>
              <w:jc w:val="right"/>
              <w:rPr>
                <w:sz w:val="18"/>
              </w:rPr>
            </w:pPr>
            <w:r>
              <w:rPr>
                <w:sz w:val="18"/>
              </w:rPr>
              <w:t>58</w:t>
            </w:r>
          </w:p>
        </w:tc>
        <w:tc>
          <w:tcPr>
            <w:tcW w:w="2677" w:type="dxa"/>
          </w:tcPr>
          <w:p>
            <w:pPr>
              <w:pStyle w:val="TableParagraph"/>
              <w:spacing w:before="10"/>
              <w:ind w:left="108"/>
              <w:rPr>
                <w:sz w:val="18"/>
              </w:rPr>
            </w:pPr>
            <w:r>
              <w:rPr>
                <w:sz w:val="18"/>
              </w:rPr>
              <w:t>肝豆状核变性(或称 Wilson 病)</w:t>
            </w:r>
          </w:p>
        </w:tc>
      </w:tr>
      <w:tr>
        <w:trPr>
          <w:trHeight w:val="311" w:hRule="atLeast"/>
        </w:trPr>
        <w:tc>
          <w:tcPr>
            <w:tcW w:w="339" w:type="dxa"/>
          </w:tcPr>
          <w:p>
            <w:pPr>
              <w:pStyle w:val="TableParagraph"/>
              <w:spacing w:before="10"/>
              <w:ind w:left="50"/>
              <w:rPr>
                <w:sz w:val="18"/>
              </w:rPr>
            </w:pPr>
            <w:r>
              <w:rPr>
                <w:sz w:val="18"/>
              </w:rPr>
              <w:t>10</w:t>
            </w:r>
          </w:p>
        </w:tc>
        <w:tc>
          <w:tcPr>
            <w:tcW w:w="2825" w:type="dxa"/>
          </w:tcPr>
          <w:p>
            <w:pPr>
              <w:pStyle w:val="TableParagraph"/>
              <w:spacing w:before="10"/>
              <w:ind w:left="107"/>
              <w:rPr>
                <w:sz w:val="18"/>
              </w:rPr>
            </w:pPr>
            <w:r>
              <w:rPr>
                <w:sz w:val="18"/>
              </w:rPr>
              <w:t>慢性肝功能衰竭失代偿期</w:t>
            </w:r>
          </w:p>
        </w:tc>
        <w:tc>
          <w:tcPr>
            <w:tcW w:w="486" w:type="dxa"/>
          </w:tcPr>
          <w:p>
            <w:pPr>
              <w:pStyle w:val="TableParagraph"/>
              <w:spacing w:before="10"/>
              <w:ind w:right="103"/>
              <w:jc w:val="right"/>
              <w:rPr>
                <w:sz w:val="18"/>
              </w:rPr>
            </w:pPr>
            <w:r>
              <w:rPr>
                <w:sz w:val="18"/>
              </w:rPr>
              <w:t>59</w:t>
            </w:r>
          </w:p>
        </w:tc>
        <w:tc>
          <w:tcPr>
            <w:tcW w:w="2677" w:type="dxa"/>
          </w:tcPr>
          <w:p>
            <w:pPr>
              <w:pStyle w:val="TableParagraph"/>
              <w:spacing w:before="10"/>
              <w:ind w:left="108"/>
              <w:rPr>
                <w:sz w:val="18"/>
              </w:rPr>
            </w:pPr>
            <w:r>
              <w:rPr>
                <w:sz w:val="18"/>
              </w:rPr>
              <w:t>侵蚀性葡萄胎(或称恶性葡萄胎)</w:t>
            </w:r>
          </w:p>
        </w:tc>
      </w:tr>
      <w:tr>
        <w:trPr>
          <w:trHeight w:val="311" w:hRule="atLeast"/>
        </w:trPr>
        <w:tc>
          <w:tcPr>
            <w:tcW w:w="339" w:type="dxa"/>
          </w:tcPr>
          <w:p>
            <w:pPr>
              <w:pStyle w:val="TableParagraph"/>
              <w:spacing w:before="10"/>
              <w:ind w:left="50"/>
              <w:rPr>
                <w:sz w:val="18"/>
              </w:rPr>
            </w:pPr>
            <w:r>
              <w:rPr>
                <w:sz w:val="18"/>
              </w:rPr>
              <w:t>11</w:t>
            </w:r>
          </w:p>
        </w:tc>
        <w:tc>
          <w:tcPr>
            <w:tcW w:w="2825" w:type="dxa"/>
          </w:tcPr>
          <w:p>
            <w:pPr>
              <w:pStyle w:val="TableParagraph"/>
              <w:spacing w:before="10"/>
              <w:ind w:left="107"/>
              <w:rPr>
                <w:sz w:val="18"/>
              </w:rPr>
            </w:pPr>
            <w:r>
              <w:rPr>
                <w:sz w:val="18"/>
              </w:rPr>
              <w:t>脑炎后遗症或脑膜炎后遗症</w:t>
            </w:r>
          </w:p>
        </w:tc>
        <w:tc>
          <w:tcPr>
            <w:tcW w:w="486" w:type="dxa"/>
          </w:tcPr>
          <w:p>
            <w:pPr>
              <w:pStyle w:val="TableParagraph"/>
              <w:spacing w:before="10"/>
              <w:ind w:right="103"/>
              <w:jc w:val="right"/>
              <w:rPr>
                <w:sz w:val="18"/>
              </w:rPr>
            </w:pPr>
            <w:r>
              <w:rPr>
                <w:sz w:val="18"/>
              </w:rPr>
              <w:t>60</w:t>
            </w:r>
          </w:p>
        </w:tc>
        <w:tc>
          <w:tcPr>
            <w:tcW w:w="2677" w:type="dxa"/>
          </w:tcPr>
          <w:p>
            <w:pPr>
              <w:pStyle w:val="TableParagraph"/>
              <w:spacing w:before="10"/>
              <w:ind w:left="108"/>
              <w:rPr>
                <w:sz w:val="18"/>
              </w:rPr>
            </w:pPr>
            <w:r>
              <w:rPr>
                <w:sz w:val="18"/>
              </w:rPr>
              <w:t>破裂脑动脉瘤夹闭手术</w:t>
            </w:r>
          </w:p>
        </w:tc>
      </w:tr>
      <w:tr>
        <w:trPr>
          <w:trHeight w:val="311" w:hRule="atLeast"/>
        </w:trPr>
        <w:tc>
          <w:tcPr>
            <w:tcW w:w="339" w:type="dxa"/>
          </w:tcPr>
          <w:p>
            <w:pPr>
              <w:pStyle w:val="TableParagraph"/>
              <w:spacing w:before="10"/>
              <w:ind w:left="50"/>
              <w:rPr>
                <w:sz w:val="18"/>
              </w:rPr>
            </w:pPr>
            <w:r>
              <w:rPr>
                <w:sz w:val="18"/>
              </w:rPr>
              <w:t>12</w:t>
            </w:r>
          </w:p>
        </w:tc>
        <w:tc>
          <w:tcPr>
            <w:tcW w:w="2825" w:type="dxa"/>
          </w:tcPr>
          <w:p>
            <w:pPr>
              <w:pStyle w:val="TableParagraph"/>
              <w:spacing w:before="10"/>
              <w:ind w:left="107"/>
              <w:rPr>
                <w:sz w:val="18"/>
              </w:rPr>
            </w:pPr>
            <w:r>
              <w:rPr>
                <w:sz w:val="18"/>
              </w:rPr>
              <w:t>深度昏迷</w:t>
            </w:r>
          </w:p>
        </w:tc>
        <w:tc>
          <w:tcPr>
            <w:tcW w:w="486" w:type="dxa"/>
          </w:tcPr>
          <w:p>
            <w:pPr>
              <w:pStyle w:val="TableParagraph"/>
              <w:spacing w:before="10"/>
              <w:ind w:right="103"/>
              <w:jc w:val="right"/>
              <w:rPr>
                <w:sz w:val="18"/>
              </w:rPr>
            </w:pPr>
            <w:r>
              <w:rPr>
                <w:sz w:val="18"/>
              </w:rPr>
              <w:t>61</w:t>
            </w:r>
          </w:p>
        </w:tc>
        <w:tc>
          <w:tcPr>
            <w:tcW w:w="2677" w:type="dxa"/>
          </w:tcPr>
          <w:p>
            <w:pPr>
              <w:pStyle w:val="TableParagraph"/>
              <w:spacing w:before="10"/>
              <w:ind w:left="108"/>
              <w:rPr>
                <w:sz w:val="18"/>
              </w:rPr>
            </w:pPr>
            <w:r>
              <w:rPr>
                <w:sz w:val="18"/>
              </w:rPr>
              <w:t>需手术切除的肾上腺嗜铬细胞瘤</w:t>
            </w:r>
          </w:p>
        </w:tc>
      </w:tr>
      <w:tr>
        <w:trPr>
          <w:trHeight w:val="311" w:hRule="atLeast"/>
        </w:trPr>
        <w:tc>
          <w:tcPr>
            <w:tcW w:w="339" w:type="dxa"/>
          </w:tcPr>
          <w:p>
            <w:pPr>
              <w:pStyle w:val="TableParagraph"/>
              <w:spacing w:before="10"/>
              <w:ind w:left="50"/>
              <w:rPr>
                <w:sz w:val="18"/>
              </w:rPr>
            </w:pPr>
            <w:r>
              <w:rPr>
                <w:sz w:val="18"/>
              </w:rPr>
              <w:t>13</w:t>
            </w:r>
          </w:p>
        </w:tc>
        <w:tc>
          <w:tcPr>
            <w:tcW w:w="2825" w:type="dxa"/>
          </w:tcPr>
          <w:p>
            <w:pPr>
              <w:pStyle w:val="TableParagraph"/>
              <w:spacing w:before="10"/>
              <w:ind w:left="107"/>
              <w:rPr>
                <w:sz w:val="18"/>
              </w:rPr>
            </w:pPr>
            <w:r>
              <w:rPr>
                <w:sz w:val="18"/>
              </w:rPr>
              <w:t>双耳失聪</w:t>
            </w:r>
          </w:p>
        </w:tc>
        <w:tc>
          <w:tcPr>
            <w:tcW w:w="486" w:type="dxa"/>
          </w:tcPr>
          <w:p>
            <w:pPr>
              <w:pStyle w:val="TableParagraph"/>
              <w:spacing w:before="10"/>
              <w:ind w:right="103"/>
              <w:jc w:val="right"/>
              <w:rPr>
                <w:sz w:val="18"/>
              </w:rPr>
            </w:pPr>
            <w:r>
              <w:rPr>
                <w:sz w:val="18"/>
              </w:rPr>
              <w:t>62</w:t>
            </w:r>
          </w:p>
        </w:tc>
        <w:tc>
          <w:tcPr>
            <w:tcW w:w="2677" w:type="dxa"/>
          </w:tcPr>
          <w:p>
            <w:pPr>
              <w:pStyle w:val="TableParagraph"/>
              <w:spacing w:before="10"/>
              <w:ind w:left="108"/>
              <w:rPr>
                <w:sz w:val="18"/>
              </w:rPr>
            </w:pPr>
            <w:r>
              <w:rPr>
                <w:sz w:val="18"/>
              </w:rPr>
              <w:t>进行性核上性麻痹(Steele-</w:t>
            </w:r>
          </w:p>
        </w:tc>
      </w:tr>
      <w:tr>
        <w:trPr>
          <w:trHeight w:val="311" w:hRule="atLeast"/>
        </w:trPr>
        <w:tc>
          <w:tcPr>
            <w:tcW w:w="339" w:type="dxa"/>
          </w:tcPr>
          <w:p>
            <w:pPr>
              <w:pStyle w:val="TableParagraph"/>
              <w:spacing w:before="10"/>
              <w:ind w:left="50"/>
              <w:rPr>
                <w:sz w:val="18"/>
              </w:rPr>
            </w:pPr>
            <w:r>
              <w:rPr>
                <w:sz w:val="18"/>
              </w:rPr>
              <w:t>14</w:t>
            </w:r>
          </w:p>
        </w:tc>
        <w:tc>
          <w:tcPr>
            <w:tcW w:w="2825" w:type="dxa"/>
          </w:tcPr>
          <w:p>
            <w:pPr>
              <w:pStyle w:val="TableParagraph"/>
              <w:spacing w:before="10"/>
              <w:ind w:left="107"/>
              <w:rPr>
                <w:sz w:val="18"/>
              </w:rPr>
            </w:pPr>
            <w:r>
              <w:rPr>
                <w:sz w:val="18"/>
              </w:rPr>
              <w:t>双目失明</w:t>
            </w:r>
          </w:p>
        </w:tc>
        <w:tc>
          <w:tcPr>
            <w:tcW w:w="486" w:type="dxa"/>
          </w:tcPr>
          <w:p>
            <w:pPr>
              <w:pStyle w:val="TableParagraph"/>
              <w:rPr>
                <w:rFonts w:ascii="Times New Roman"/>
                <w:sz w:val="18"/>
              </w:rPr>
            </w:pPr>
          </w:p>
        </w:tc>
        <w:tc>
          <w:tcPr>
            <w:tcW w:w="2677" w:type="dxa"/>
          </w:tcPr>
          <w:p>
            <w:pPr>
              <w:pStyle w:val="TableParagraph"/>
              <w:spacing w:before="10"/>
              <w:ind w:left="108"/>
              <w:rPr>
                <w:sz w:val="18"/>
              </w:rPr>
            </w:pPr>
            <w:r>
              <w:rPr>
                <w:sz w:val="18"/>
              </w:rPr>
              <w:t>Rchardson—Olszewski 综合征)</w:t>
            </w:r>
          </w:p>
        </w:tc>
      </w:tr>
      <w:tr>
        <w:trPr>
          <w:trHeight w:val="311" w:hRule="atLeast"/>
        </w:trPr>
        <w:tc>
          <w:tcPr>
            <w:tcW w:w="339" w:type="dxa"/>
          </w:tcPr>
          <w:p>
            <w:pPr>
              <w:pStyle w:val="TableParagraph"/>
              <w:spacing w:before="10"/>
              <w:ind w:left="50"/>
              <w:rPr>
                <w:sz w:val="18"/>
              </w:rPr>
            </w:pPr>
            <w:r>
              <w:rPr>
                <w:sz w:val="18"/>
              </w:rPr>
              <w:t>15</w:t>
            </w:r>
          </w:p>
        </w:tc>
        <w:tc>
          <w:tcPr>
            <w:tcW w:w="2825" w:type="dxa"/>
          </w:tcPr>
          <w:p>
            <w:pPr>
              <w:pStyle w:val="TableParagraph"/>
              <w:spacing w:before="10"/>
              <w:ind w:left="107"/>
              <w:rPr>
                <w:sz w:val="18"/>
              </w:rPr>
            </w:pPr>
            <w:r>
              <w:rPr>
                <w:sz w:val="18"/>
              </w:rPr>
              <w:t>瘫痪</w:t>
            </w:r>
          </w:p>
        </w:tc>
        <w:tc>
          <w:tcPr>
            <w:tcW w:w="486" w:type="dxa"/>
          </w:tcPr>
          <w:p>
            <w:pPr>
              <w:pStyle w:val="TableParagraph"/>
              <w:spacing w:before="10"/>
              <w:ind w:right="103"/>
              <w:jc w:val="right"/>
              <w:rPr>
                <w:sz w:val="18"/>
              </w:rPr>
            </w:pPr>
            <w:r>
              <w:rPr>
                <w:sz w:val="18"/>
              </w:rPr>
              <w:t>63</w:t>
            </w:r>
          </w:p>
        </w:tc>
        <w:tc>
          <w:tcPr>
            <w:tcW w:w="2677" w:type="dxa"/>
          </w:tcPr>
          <w:p>
            <w:pPr>
              <w:pStyle w:val="TableParagraph"/>
              <w:spacing w:before="10"/>
              <w:ind w:left="108"/>
              <w:rPr>
                <w:sz w:val="18"/>
              </w:rPr>
            </w:pPr>
            <w:r>
              <w:rPr>
                <w:sz w:val="18"/>
              </w:rPr>
              <w:t>严重幼年型类风湿性关节炎</w:t>
            </w:r>
          </w:p>
        </w:tc>
      </w:tr>
      <w:tr>
        <w:trPr>
          <w:trHeight w:val="311" w:hRule="atLeast"/>
        </w:trPr>
        <w:tc>
          <w:tcPr>
            <w:tcW w:w="339" w:type="dxa"/>
          </w:tcPr>
          <w:p>
            <w:pPr>
              <w:pStyle w:val="TableParagraph"/>
              <w:spacing w:before="10"/>
              <w:ind w:left="50"/>
              <w:rPr>
                <w:sz w:val="18"/>
              </w:rPr>
            </w:pPr>
            <w:r>
              <w:rPr>
                <w:sz w:val="18"/>
              </w:rPr>
              <w:t>16</w:t>
            </w:r>
          </w:p>
        </w:tc>
        <w:tc>
          <w:tcPr>
            <w:tcW w:w="2825" w:type="dxa"/>
          </w:tcPr>
          <w:p>
            <w:pPr>
              <w:pStyle w:val="TableParagraph"/>
              <w:spacing w:before="10"/>
              <w:ind w:left="107"/>
              <w:rPr>
                <w:sz w:val="18"/>
              </w:rPr>
            </w:pPr>
            <w:r>
              <w:rPr>
                <w:sz w:val="18"/>
              </w:rPr>
              <w:t>心脏瓣膜手术</w:t>
            </w:r>
          </w:p>
        </w:tc>
        <w:tc>
          <w:tcPr>
            <w:tcW w:w="486" w:type="dxa"/>
          </w:tcPr>
          <w:p>
            <w:pPr>
              <w:pStyle w:val="TableParagraph"/>
              <w:spacing w:before="10"/>
              <w:ind w:right="103"/>
              <w:jc w:val="right"/>
              <w:rPr>
                <w:sz w:val="18"/>
              </w:rPr>
            </w:pPr>
            <w:r>
              <w:rPr>
                <w:sz w:val="18"/>
              </w:rPr>
              <w:t>64</w:t>
            </w:r>
          </w:p>
        </w:tc>
        <w:tc>
          <w:tcPr>
            <w:tcW w:w="2677" w:type="dxa"/>
          </w:tcPr>
          <w:p>
            <w:pPr>
              <w:pStyle w:val="TableParagraph"/>
              <w:spacing w:before="10"/>
              <w:ind w:left="108"/>
              <w:rPr>
                <w:sz w:val="18"/>
              </w:rPr>
            </w:pPr>
            <w:r>
              <w:rPr>
                <w:sz w:val="18"/>
              </w:rPr>
              <w:t>严重肠道疾病并发症</w:t>
            </w:r>
          </w:p>
        </w:tc>
      </w:tr>
      <w:tr>
        <w:trPr>
          <w:trHeight w:val="312" w:hRule="atLeast"/>
        </w:trPr>
        <w:tc>
          <w:tcPr>
            <w:tcW w:w="339" w:type="dxa"/>
          </w:tcPr>
          <w:p>
            <w:pPr>
              <w:pStyle w:val="TableParagraph"/>
              <w:spacing w:before="10"/>
              <w:ind w:left="50"/>
              <w:rPr>
                <w:sz w:val="18"/>
              </w:rPr>
            </w:pPr>
            <w:r>
              <w:rPr>
                <w:sz w:val="18"/>
              </w:rPr>
              <w:t>17</w:t>
            </w:r>
          </w:p>
        </w:tc>
        <w:tc>
          <w:tcPr>
            <w:tcW w:w="2825" w:type="dxa"/>
          </w:tcPr>
          <w:p>
            <w:pPr>
              <w:pStyle w:val="TableParagraph"/>
              <w:spacing w:before="10"/>
              <w:ind w:left="107"/>
              <w:rPr>
                <w:sz w:val="18"/>
              </w:rPr>
            </w:pPr>
            <w:r>
              <w:rPr>
                <w:sz w:val="18"/>
              </w:rPr>
              <w:t>严重阿尔茨海默病</w:t>
            </w:r>
          </w:p>
        </w:tc>
        <w:tc>
          <w:tcPr>
            <w:tcW w:w="486" w:type="dxa"/>
          </w:tcPr>
          <w:p>
            <w:pPr>
              <w:pStyle w:val="TableParagraph"/>
              <w:rPr>
                <w:rFonts w:ascii="Times New Roman"/>
                <w:sz w:val="18"/>
              </w:rPr>
            </w:pPr>
          </w:p>
        </w:tc>
        <w:tc>
          <w:tcPr>
            <w:tcW w:w="2677" w:type="dxa"/>
          </w:tcPr>
          <w:p>
            <w:pPr>
              <w:pStyle w:val="TableParagraph"/>
              <w:spacing w:before="11"/>
              <w:ind w:left="108"/>
              <w:rPr>
                <w:b/>
                <w:sz w:val="18"/>
              </w:rPr>
            </w:pPr>
            <w:r>
              <w:rPr>
                <w:b/>
                <w:sz w:val="18"/>
              </w:rPr>
              <w:t>(本项保险责任仅在被保险人 18</w:t>
            </w:r>
          </w:p>
        </w:tc>
      </w:tr>
      <w:tr>
        <w:trPr>
          <w:trHeight w:val="312" w:hRule="atLeast"/>
        </w:trPr>
        <w:tc>
          <w:tcPr>
            <w:tcW w:w="339" w:type="dxa"/>
          </w:tcPr>
          <w:p>
            <w:pPr>
              <w:pStyle w:val="TableParagraph"/>
              <w:rPr>
                <w:rFonts w:ascii="Times New Roman"/>
                <w:sz w:val="18"/>
              </w:rPr>
            </w:pPr>
          </w:p>
        </w:tc>
        <w:tc>
          <w:tcPr>
            <w:tcW w:w="2825" w:type="dxa"/>
          </w:tcPr>
          <w:p>
            <w:pPr>
              <w:pStyle w:val="TableParagraph"/>
              <w:rPr>
                <w:rFonts w:ascii="Times New Roman"/>
                <w:sz w:val="18"/>
              </w:rPr>
            </w:pPr>
          </w:p>
        </w:tc>
        <w:tc>
          <w:tcPr>
            <w:tcW w:w="486" w:type="dxa"/>
          </w:tcPr>
          <w:p>
            <w:pPr>
              <w:pStyle w:val="TableParagraph"/>
              <w:rPr>
                <w:rFonts w:ascii="Times New Roman"/>
                <w:sz w:val="18"/>
              </w:rPr>
            </w:pPr>
          </w:p>
        </w:tc>
        <w:tc>
          <w:tcPr>
            <w:tcW w:w="2677" w:type="dxa"/>
          </w:tcPr>
          <w:p>
            <w:pPr>
              <w:pStyle w:val="TableParagraph"/>
              <w:spacing w:before="10"/>
              <w:ind w:left="108"/>
              <w:rPr>
                <w:b/>
                <w:sz w:val="18"/>
              </w:rPr>
            </w:pPr>
            <w:r>
              <w:rPr>
                <w:b/>
                <w:w w:val="95"/>
                <w:sz w:val="18"/>
              </w:rPr>
              <w:t>周岁以前提供保障)</w:t>
            </w:r>
          </w:p>
        </w:tc>
      </w:tr>
      <w:tr>
        <w:trPr>
          <w:trHeight w:val="311" w:hRule="atLeast"/>
        </w:trPr>
        <w:tc>
          <w:tcPr>
            <w:tcW w:w="339" w:type="dxa"/>
          </w:tcPr>
          <w:p>
            <w:pPr>
              <w:pStyle w:val="TableParagraph"/>
              <w:spacing w:before="10"/>
              <w:ind w:left="50"/>
              <w:rPr>
                <w:sz w:val="18"/>
              </w:rPr>
            </w:pPr>
            <w:r>
              <w:rPr>
                <w:sz w:val="18"/>
              </w:rPr>
              <w:t>18</w:t>
            </w:r>
          </w:p>
        </w:tc>
        <w:tc>
          <w:tcPr>
            <w:tcW w:w="2825" w:type="dxa"/>
          </w:tcPr>
          <w:p>
            <w:pPr>
              <w:pStyle w:val="TableParagraph"/>
              <w:spacing w:before="10"/>
              <w:ind w:left="107"/>
              <w:rPr>
                <w:sz w:val="18"/>
              </w:rPr>
            </w:pPr>
            <w:r>
              <w:rPr>
                <w:sz w:val="18"/>
              </w:rPr>
              <w:t>严重脑损伤</w:t>
            </w:r>
          </w:p>
        </w:tc>
        <w:tc>
          <w:tcPr>
            <w:tcW w:w="486" w:type="dxa"/>
          </w:tcPr>
          <w:p>
            <w:pPr>
              <w:pStyle w:val="TableParagraph"/>
              <w:spacing w:before="10"/>
              <w:ind w:right="103"/>
              <w:jc w:val="right"/>
              <w:rPr>
                <w:sz w:val="18"/>
              </w:rPr>
            </w:pPr>
            <w:r>
              <w:rPr>
                <w:sz w:val="18"/>
              </w:rPr>
              <w:t>65</w:t>
            </w:r>
          </w:p>
        </w:tc>
        <w:tc>
          <w:tcPr>
            <w:tcW w:w="2677" w:type="dxa"/>
          </w:tcPr>
          <w:p>
            <w:pPr>
              <w:pStyle w:val="TableParagraph"/>
              <w:spacing w:before="10"/>
              <w:ind w:left="108"/>
              <w:rPr>
                <w:sz w:val="18"/>
              </w:rPr>
            </w:pPr>
            <w:r>
              <w:rPr>
                <w:sz w:val="18"/>
              </w:rPr>
              <w:t>严重瑞氏综合症</w:t>
            </w:r>
          </w:p>
        </w:tc>
      </w:tr>
      <w:tr>
        <w:trPr>
          <w:trHeight w:val="311" w:hRule="atLeast"/>
        </w:trPr>
        <w:tc>
          <w:tcPr>
            <w:tcW w:w="339" w:type="dxa"/>
          </w:tcPr>
          <w:p>
            <w:pPr>
              <w:pStyle w:val="TableParagraph"/>
              <w:spacing w:before="10"/>
              <w:ind w:left="50"/>
              <w:rPr>
                <w:sz w:val="18"/>
              </w:rPr>
            </w:pPr>
            <w:r>
              <w:rPr>
                <w:sz w:val="18"/>
              </w:rPr>
              <w:t>19</w:t>
            </w:r>
          </w:p>
        </w:tc>
        <w:tc>
          <w:tcPr>
            <w:tcW w:w="2825" w:type="dxa"/>
          </w:tcPr>
          <w:p>
            <w:pPr>
              <w:pStyle w:val="TableParagraph"/>
              <w:spacing w:before="10"/>
              <w:ind w:left="107"/>
              <w:rPr>
                <w:sz w:val="18"/>
              </w:rPr>
            </w:pPr>
            <w:r>
              <w:rPr>
                <w:sz w:val="18"/>
              </w:rPr>
              <w:t>严重帕金森病</w:t>
            </w:r>
          </w:p>
        </w:tc>
        <w:tc>
          <w:tcPr>
            <w:tcW w:w="486" w:type="dxa"/>
          </w:tcPr>
          <w:p>
            <w:pPr>
              <w:pStyle w:val="TableParagraph"/>
              <w:rPr>
                <w:rFonts w:ascii="Times New Roman"/>
                <w:sz w:val="18"/>
              </w:rPr>
            </w:pPr>
          </w:p>
        </w:tc>
        <w:tc>
          <w:tcPr>
            <w:tcW w:w="2677" w:type="dxa"/>
          </w:tcPr>
          <w:p>
            <w:pPr>
              <w:pStyle w:val="TableParagraph"/>
              <w:spacing w:before="10"/>
              <w:ind w:left="108"/>
              <w:rPr>
                <w:sz w:val="18"/>
              </w:rPr>
            </w:pPr>
            <w:r>
              <w:rPr>
                <w:sz w:val="18"/>
              </w:rPr>
              <w:t>（Reye 综合征，也称赖氏综合</w:t>
            </w:r>
          </w:p>
        </w:tc>
      </w:tr>
      <w:tr>
        <w:trPr>
          <w:trHeight w:val="311" w:hRule="atLeast"/>
        </w:trPr>
        <w:tc>
          <w:tcPr>
            <w:tcW w:w="339" w:type="dxa"/>
          </w:tcPr>
          <w:p>
            <w:pPr>
              <w:pStyle w:val="TableParagraph"/>
              <w:rPr>
                <w:rFonts w:ascii="Times New Roman"/>
                <w:sz w:val="18"/>
              </w:rPr>
            </w:pPr>
          </w:p>
        </w:tc>
        <w:tc>
          <w:tcPr>
            <w:tcW w:w="2825" w:type="dxa"/>
          </w:tcPr>
          <w:p>
            <w:pPr>
              <w:pStyle w:val="TableParagraph"/>
              <w:rPr>
                <w:rFonts w:ascii="Times New Roman"/>
                <w:sz w:val="18"/>
              </w:rPr>
            </w:pPr>
          </w:p>
        </w:tc>
        <w:tc>
          <w:tcPr>
            <w:tcW w:w="486" w:type="dxa"/>
          </w:tcPr>
          <w:p>
            <w:pPr>
              <w:pStyle w:val="TableParagraph"/>
              <w:rPr>
                <w:rFonts w:ascii="Times New Roman"/>
                <w:sz w:val="18"/>
              </w:rPr>
            </w:pPr>
          </w:p>
        </w:tc>
        <w:tc>
          <w:tcPr>
            <w:tcW w:w="2677" w:type="dxa"/>
          </w:tcPr>
          <w:p>
            <w:pPr>
              <w:pStyle w:val="TableParagraph"/>
              <w:spacing w:before="10"/>
              <w:ind w:left="108"/>
              <w:rPr>
                <w:sz w:val="18"/>
              </w:rPr>
            </w:pPr>
            <w:r>
              <w:rPr>
                <w:sz w:val="18"/>
              </w:rPr>
              <w:t>征、雷氏综合征）</w:t>
            </w:r>
          </w:p>
        </w:tc>
      </w:tr>
      <w:tr>
        <w:trPr>
          <w:trHeight w:val="311" w:hRule="atLeast"/>
        </w:trPr>
        <w:tc>
          <w:tcPr>
            <w:tcW w:w="339" w:type="dxa"/>
          </w:tcPr>
          <w:p>
            <w:pPr>
              <w:pStyle w:val="TableParagraph"/>
              <w:spacing w:before="10"/>
              <w:ind w:left="50"/>
              <w:rPr>
                <w:sz w:val="18"/>
              </w:rPr>
            </w:pPr>
            <w:r>
              <w:rPr>
                <w:sz w:val="18"/>
              </w:rPr>
              <w:t>20</w:t>
            </w:r>
          </w:p>
        </w:tc>
        <w:tc>
          <w:tcPr>
            <w:tcW w:w="2825" w:type="dxa"/>
          </w:tcPr>
          <w:p>
            <w:pPr>
              <w:pStyle w:val="TableParagraph"/>
              <w:spacing w:before="10"/>
              <w:ind w:left="107"/>
              <w:rPr>
                <w:sz w:val="18"/>
              </w:rPr>
            </w:pPr>
            <w:r>
              <w:rPr>
                <w:sz w:val="18"/>
              </w:rPr>
              <w:t>严重Ⅲ度烧伤</w:t>
            </w:r>
          </w:p>
        </w:tc>
        <w:tc>
          <w:tcPr>
            <w:tcW w:w="486" w:type="dxa"/>
          </w:tcPr>
          <w:p>
            <w:pPr>
              <w:pStyle w:val="TableParagraph"/>
              <w:spacing w:before="10"/>
              <w:ind w:right="103"/>
              <w:jc w:val="right"/>
              <w:rPr>
                <w:sz w:val="18"/>
              </w:rPr>
            </w:pPr>
            <w:r>
              <w:rPr>
                <w:sz w:val="18"/>
              </w:rPr>
              <w:t>66</w:t>
            </w:r>
          </w:p>
        </w:tc>
        <w:tc>
          <w:tcPr>
            <w:tcW w:w="2677" w:type="dxa"/>
          </w:tcPr>
          <w:p>
            <w:pPr>
              <w:pStyle w:val="TableParagraph"/>
              <w:spacing w:before="10"/>
              <w:ind w:left="108"/>
              <w:rPr>
                <w:sz w:val="18"/>
              </w:rPr>
            </w:pPr>
            <w:r>
              <w:rPr>
                <w:sz w:val="18"/>
              </w:rPr>
              <w:t>严重自身免疫性肝炎</w:t>
            </w:r>
          </w:p>
        </w:tc>
      </w:tr>
      <w:tr>
        <w:trPr>
          <w:trHeight w:val="311" w:hRule="atLeast"/>
        </w:trPr>
        <w:tc>
          <w:tcPr>
            <w:tcW w:w="339" w:type="dxa"/>
          </w:tcPr>
          <w:p>
            <w:pPr>
              <w:pStyle w:val="TableParagraph"/>
              <w:spacing w:before="10"/>
              <w:ind w:left="50"/>
              <w:rPr>
                <w:sz w:val="18"/>
              </w:rPr>
            </w:pPr>
            <w:r>
              <w:rPr>
                <w:sz w:val="18"/>
              </w:rPr>
              <w:t>21</w:t>
            </w:r>
          </w:p>
        </w:tc>
        <w:tc>
          <w:tcPr>
            <w:tcW w:w="2825" w:type="dxa"/>
          </w:tcPr>
          <w:p>
            <w:pPr>
              <w:pStyle w:val="TableParagraph"/>
              <w:spacing w:before="10"/>
              <w:ind w:left="107"/>
              <w:rPr>
                <w:sz w:val="18"/>
              </w:rPr>
            </w:pPr>
            <w:r>
              <w:rPr>
                <w:sz w:val="18"/>
              </w:rPr>
              <w:t>严重运动神经元病</w:t>
            </w:r>
          </w:p>
        </w:tc>
        <w:tc>
          <w:tcPr>
            <w:tcW w:w="486" w:type="dxa"/>
          </w:tcPr>
          <w:p>
            <w:pPr>
              <w:pStyle w:val="TableParagraph"/>
              <w:spacing w:before="10"/>
              <w:ind w:right="103"/>
              <w:jc w:val="right"/>
              <w:rPr>
                <w:sz w:val="18"/>
              </w:rPr>
            </w:pPr>
            <w:r>
              <w:rPr>
                <w:sz w:val="18"/>
              </w:rPr>
              <w:t>67</w:t>
            </w:r>
          </w:p>
        </w:tc>
        <w:tc>
          <w:tcPr>
            <w:tcW w:w="2677" w:type="dxa"/>
          </w:tcPr>
          <w:p>
            <w:pPr>
              <w:pStyle w:val="TableParagraph"/>
              <w:spacing w:before="10"/>
              <w:ind w:left="108"/>
              <w:rPr>
                <w:sz w:val="18"/>
              </w:rPr>
            </w:pPr>
            <w:r>
              <w:rPr>
                <w:sz w:val="18"/>
              </w:rPr>
              <w:t>严重的 III 度房室传导阻滞</w:t>
            </w:r>
          </w:p>
        </w:tc>
      </w:tr>
      <w:tr>
        <w:trPr>
          <w:trHeight w:val="311" w:hRule="atLeast"/>
        </w:trPr>
        <w:tc>
          <w:tcPr>
            <w:tcW w:w="339" w:type="dxa"/>
          </w:tcPr>
          <w:p>
            <w:pPr>
              <w:pStyle w:val="TableParagraph"/>
              <w:spacing w:before="10"/>
              <w:ind w:left="50"/>
              <w:rPr>
                <w:sz w:val="18"/>
              </w:rPr>
            </w:pPr>
            <w:r>
              <w:rPr>
                <w:sz w:val="18"/>
              </w:rPr>
              <w:t>22</w:t>
            </w:r>
          </w:p>
        </w:tc>
        <w:tc>
          <w:tcPr>
            <w:tcW w:w="2825" w:type="dxa"/>
          </w:tcPr>
          <w:p>
            <w:pPr>
              <w:pStyle w:val="TableParagraph"/>
              <w:spacing w:before="10"/>
              <w:ind w:left="107"/>
              <w:rPr>
                <w:sz w:val="18"/>
              </w:rPr>
            </w:pPr>
            <w:r>
              <w:rPr>
                <w:sz w:val="18"/>
              </w:rPr>
              <w:t>严重原发性肺动脉高压</w:t>
            </w:r>
          </w:p>
        </w:tc>
        <w:tc>
          <w:tcPr>
            <w:tcW w:w="486" w:type="dxa"/>
          </w:tcPr>
          <w:p>
            <w:pPr>
              <w:pStyle w:val="TableParagraph"/>
              <w:spacing w:before="10"/>
              <w:ind w:right="103"/>
              <w:jc w:val="right"/>
              <w:rPr>
                <w:sz w:val="18"/>
              </w:rPr>
            </w:pPr>
            <w:r>
              <w:rPr>
                <w:sz w:val="18"/>
              </w:rPr>
              <w:t>68</w:t>
            </w:r>
          </w:p>
        </w:tc>
        <w:tc>
          <w:tcPr>
            <w:tcW w:w="2677" w:type="dxa"/>
          </w:tcPr>
          <w:p>
            <w:pPr>
              <w:pStyle w:val="TableParagraph"/>
              <w:spacing w:before="10"/>
              <w:ind w:left="108"/>
              <w:rPr>
                <w:sz w:val="18"/>
              </w:rPr>
            </w:pPr>
            <w:r>
              <w:rPr>
                <w:sz w:val="18"/>
              </w:rPr>
              <w:t>细菌性脑脊髓膜炎</w:t>
            </w:r>
          </w:p>
        </w:tc>
      </w:tr>
      <w:tr>
        <w:trPr>
          <w:trHeight w:val="311" w:hRule="atLeast"/>
        </w:trPr>
        <w:tc>
          <w:tcPr>
            <w:tcW w:w="339" w:type="dxa"/>
          </w:tcPr>
          <w:p>
            <w:pPr>
              <w:pStyle w:val="TableParagraph"/>
              <w:spacing w:before="10"/>
              <w:ind w:left="50"/>
              <w:rPr>
                <w:sz w:val="18"/>
              </w:rPr>
            </w:pPr>
            <w:r>
              <w:rPr>
                <w:sz w:val="18"/>
              </w:rPr>
              <w:t>23</w:t>
            </w:r>
          </w:p>
        </w:tc>
        <w:tc>
          <w:tcPr>
            <w:tcW w:w="2825" w:type="dxa"/>
          </w:tcPr>
          <w:p>
            <w:pPr>
              <w:pStyle w:val="TableParagraph"/>
              <w:spacing w:before="10"/>
              <w:ind w:left="107"/>
              <w:rPr>
                <w:sz w:val="18"/>
              </w:rPr>
            </w:pPr>
            <w:r>
              <w:rPr>
                <w:sz w:val="18"/>
              </w:rPr>
              <w:t>语言能力丧失</w:t>
            </w:r>
          </w:p>
        </w:tc>
        <w:tc>
          <w:tcPr>
            <w:tcW w:w="486" w:type="dxa"/>
          </w:tcPr>
          <w:p>
            <w:pPr>
              <w:pStyle w:val="TableParagraph"/>
              <w:spacing w:before="10"/>
              <w:ind w:right="103"/>
              <w:jc w:val="right"/>
              <w:rPr>
                <w:sz w:val="18"/>
              </w:rPr>
            </w:pPr>
            <w:r>
              <w:rPr>
                <w:sz w:val="18"/>
              </w:rPr>
              <w:t>69</w:t>
            </w:r>
          </w:p>
        </w:tc>
        <w:tc>
          <w:tcPr>
            <w:tcW w:w="2677" w:type="dxa"/>
          </w:tcPr>
          <w:p>
            <w:pPr>
              <w:pStyle w:val="TableParagraph"/>
              <w:spacing w:before="10"/>
              <w:ind w:left="108"/>
              <w:rPr>
                <w:sz w:val="18"/>
              </w:rPr>
            </w:pPr>
            <w:r>
              <w:rPr>
                <w:sz w:val="18"/>
              </w:rPr>
              <w:t>严重感染性心内膜炎</w:t>
            </w:r>
          </w:p>
        </w:tc>
      </w:tr>
      <w:tr>
        <w:trPr>
          <w:trHeight w:val="311" w:hRule="atLeast"/>
        </w:trPr>
        <w:tc>
          <w:tcPr>
            <w:tcW w:w="339" w:type="dxa"/>
          </w:tcPr>
          <w:p>
            <w:pPr>
              <w:pStyle w:val="TableParagraph"/>
              <w:spacing w:before="10"/>
              <w:ind w:left="50"/>
              <w:rPr>
                <w:sz w:val="18"/>
              </w:rPr>
            </w:pPr>
            <w:r>
              <w:rPr>
                <w:sz w:val="18"/>
              </w:rPr>
              <w:t>24</w:t>
            </w:r>
          </w:p>
        </w:tc>
        <w:tc>
          <w:tcPr>
            <w:tcW w:w="2825" w:type="dxa"/>
          </w:tcPr>
          <w:p>
            <w:pPr>
              <w:pStyle w:val="TableParagraph"/>
              <w:spacing w:before="10"/>
              <w:ind w:left="107"/>
              <w:rPr>
                <w:sz w:val="18"/>
              </w:rPr>
            </w:pPr>
            <w:r>
              <w:rPr>
                <w:sz w:val="18"/>
              </w:rPr>
              <w:t>重型再生障碍性贫血</w:t>
            </w:r>
          </w:p>
        </w:tc>
        <w:tc>
          <w:tcPr>
            <w:tcW w:w="486" w:type="dxa"/>
          </w:tcPr>
          <w:p>
            <w:pPr>
              <w:pStyle w:val="TableParagraph"/>
              <w:spacing w:before="10"/>
              <w:ind w:right="103"/>
              <w:jc w:val="right"/>
              <w:rPr>
                <w:sz w:val="18"/>
              </w:rPr>
            </w:pPr>
            <w:r>
              <w:rPr>
                <w:sz w:val="18"/>
              </w:rPr>
              <w:t>70</w:t>
            </w:r>
          </w:p>
        </w:tc>
        <w:tc>
          <w:tcPr>
            <w:tcW w:w="2677" w:type="dxa"/>
          </w:tcPr>
          <w:p>
            <w:pPr>
              <w:pStyle w:val="TableParagraph"/>
              <w:spacing w:before="10"/>
              <w:ind w:left="108"/>
              <w:rPr>
                <w:sz w:val="18"/>
              </w:rPr>
            </w:pPr>
            <w:r>
              <w:rPr>
                <w:sz w:val="18"/>
              </w:rPr>
              <w:t>严重的骨髓增生异常综合征</w:t>
            </w:r>
          </w:p>
        </w:tc>
      </w:tr>
      <w:tr>
        <w:trPr>
          <w:trHeight w:val="311" w:hRule="atLeast"/>
        </w:trPr>
        <w:tc>
          <w:tcPr>
            <w:tcW w:w="339" w:type="dxa"/>
          </w:tcPr>
          <w:p>
            <w:pPr>
              <w:pStyle w:val="TableParagraph"/>
              <w:spacing w:before="10"/>
              <w:ind w:left="50"/>
              <w:rPr>
                <w:sz w:val="18"/>
              </w:rPr>
            </w:pPr>
            <w:r>
              <w:rPr>
                <w:sz w:val="18"/>
              </w:rPr>
              <w:t>25</w:t>
            </w:r>
          </w:p>
        </w:tc>
        <w:tc>
          <w:tcPr>
            <w:tcW w:w="2825" w:type="dxa"/>
          </w:tcPr>
          <w:p>
            <w:pPr>
              <w:pStyle w:val="TableParagraph"/>
              <w:spacing w:before="10"/>
              <w:ind w:left="107"/>
              <w:rPr>
                <w:sz w:val="18"/>
              </w:rPr>
            </w:pPr>
            <w:r>
              <w:rPr>
                <w:sz w:val="18"/>
              </w:rPr>
              <w:t>主动脉手术</w:t>
            </w:r>
          </w:p>
        </w:tc>
        <w:tc>
          <w:tcPr>
            <w:tcW w:w="486" w:type="dxa"/>
          </w:tcPr>
          <w:p>
            <w:pPr>
              <w:pStyle w:val="TableParagraph"/>
              <w:spacing w:before="10"/>
              <w:ind w:right="103"/>
              <w:jc w:val="right"/>
              <w:rPr>
                <w:sz w:val="18"/>
              </w:rPr>
            </w:pPr>
            <w:r>
              <w:rPr>
                <w:sz w:val="18"/>
              </w:rPr>
              <w:t>71</w:t>
            </w:r>
          </w:p>
        </w:tc>
        <w:tc>
          <w:tcPr>
            <w:tcW w:w="2677" w:type="dxa"/>
          </w:tcPr>
          <w:p>
            <w:pPr>
              <w:pStyle w:val="TableParagraph"/>
              <w:spacing w:before="10"/>
              <w:ind w:left="108"/>
              <w:rPr>
                <w:sz w:val="18"/>
              </w:rPr>
            </w:pPr>
            <w:r>
              <w:rPr>
                <w:sz w:val="18"/>
              </w:rPr>
              <w:t>埃博拉病毒感染</w:t>
            </w:r>
          </w:p>
        </w:tc>
      </w:tr>
      <w:tr>
        <w:trPr>
          <w:trHeight w:val="311" w:hRule="atLeast"/>
        </w:trPr>
        <w:tc>
          <w:tcPr>
            <w:tcW w:w="339" w:type="dxa"/>
          </w:tcPr>
          <w:p>
            <w:pPr>
              <w:pStyle w:val="TableParagraph"/>
              <w:spacing w:before="10"/>
              <w:ind w:left="50"/>
              <w:rPr>
                <w:sz w:val="18"/>
              </w:rPr>
            </w:pPr>
            <w:r>
              <w:rPr>
                <w:sz w:val="18"/>
              </w:rPr>
              <w:t>26</w:t>
            </w:r>
          </w:p>
        </w:tc>
        <w:tc>
          <w:tcPr>
            <w:tcW w:w="2825" w:type="dxa"/>
          </w:tcPr>
          <w:p>
            <w:pPr>
              <w:pStyle w:val="TableParagraph"/>
              <w:spacing w:before="10"/>
              <w:ind w:left="107"/>
              <w:rPr>
                <w:sz w:val="18"/>
              </w:rPr>
            </w:pPr>
            <w:r>
              <w:rPr>
                <w:sz w:val="18"/>
              </w:rPr>
              <w:t>慢性呼吸功能衰竭</w:t>
            </w:r>
          </w:p>
        </w:tc>
        <w:tc>
          <w:tcPr>
            <w:tcW w:w="486" w:type="dxa"/>
          </w:tcPr>
          <w:p>
            <w:pPr>
              <w:pStyle w:val="TableParagraph"/>
              <w:spacing w:before="10"/>
              <w:ind w:right="103"/>
              <w:jc w:val="right"/>
              <w:rPr>
                <w:sz w:val="18"/>
              </w:rPr>
            </w:pPr>
            <w:r>
              <w:rPr>
                <w:sz w:val="18"/>
              </w:rPr>
              <w:t>72</w:t>
            </w:r>
          </w:p>
        </w:tc>
        <w:tc>
          <w:tcPr>
            <w:tcW w:w="2677" w:type="dxa"/>
          </w:tcPr>
          <w:p>
            <w:pPr>
              <w:pStyle w:val="TableParagraph"/>
              <w:spacing w:before="10"/>
              <w:ind w:left="108"/>
              <w:rPr>
                <w:sz w:val="18"/>
              </w:rPr>
            </w:pPr>
            <w:r>
              <w:rPr>
                <w:sz w:val="18"/>
              </w:rPr>
              <w:t>夹层主动脉瘤</w:t>
            </w:r>
          </w:p>
        </w:tc>
      </w:tr>
      <w:tr>
        <w:trPr>
          <w:trHeight w:val="311" w:hRule="atLeast"/>
        </w:trPr>
        <w:tc>
          <w:tcPr>
            <w:tcW w:w="339" w:type="dxa"/>
          </w:tcPr>
          <w:p>
            <w:pPr>
              <w:pStyle w:val="TableParagraph"/>
              <w:spacing w:before="10"/>
              <w:ind w:left="50"/>
              <w:rPr>
                <w:sz w:val="18"/>
              </w:rPr>
            </w:pPr>
            <w:r>
              <w:rPr>
                <w:sz w:val="18"/>
              </w:rPr>
              <w:t>27</w:t>
            </w:r>
          </w:p>
        </w:tc>
        <w:tc>
          <w:tcPr>
            <w:tcW w:w="2825" w:type="dxa"/>
          </w:tcPr>
          <w:p>
            <w:pPr>
              <w:pStyle w:val="TableParagraph"/>
              <w:spacing w:before="10"/>
              <w:ind w:left="107"/>
              <w:rPr>
                <w:sz w:val="18"/>
              </w:rPr>
            </w:pPr>
            <w:r>
              <w:rPr>
                <w:sz w:val="18"/>
              </w:rPr>
              <w:t>严重多发性硬化</w:t>
            </w:r>
          </w:p>
        </w:tc>
        <w:tc>
          <w:tcPr>
            <w:tcW w:w="486" w:type="dxa"/>
          </w:tcPr>
          <w:p>
            <w:pPr>
              <w:pStyle w:val="TableParagraph"/>
              <w:spacing w:before="10"/>
              <w:ind w:right="103"/>
              <w:jc w:val="right"/>
              <w:rPr>
                <w:sz w:val="18"/>
              </w:rPr>
            </w:pPr>
            <w:r>
              <w:rPr>
                <w:sz w:val="18"/>
              </w:rPr>
              <w:t>73</w:t>
            </w:r>
          </w:p>
        </w:tc>
        <w:tc>
          <w:tcPr>
            <w:tcW w:w="2677" w:type="dxa"/>
          </w:tcPr>
          <w:p>
            <w:pPr>
              <w:pStyle w:val="TableParagraph"/>
              <w:spacing w:before="10"/>
              <w:ind w:left="108"/>
              <w:rPr>
                <w:sz w:val="18"/>
              </w:rPr>
            </w:pPr>
            <w:r>
              <w:rPr>
                <w:sz w:val="18"/>
              </w:rPr>
              <w:t>小肠移植</w:t>
            </w:r>
          </w:p>
        </w:tc>
      </w:tr>
      <w:tr>
        <w:trPr>
          <w:trHeight w:val="311" w:hRule="atLeast"/>
        </w:trPr>
        <w:tc>
          <w:tcPr>
            <w:tcW w:w="339" w:type="dxa"/>
          </w:tcPr>
          <w:p>
            <w:pPr>
              <w:pStyle w:val="TableParagraph"/>
              <w:spacing w:before="10"/>
              <w:ind w:left="50"/>
              <w:rPr>
                <w:sz w:val="18"/>
              </w:rPr>
            </w:pPr>
            <w:r>
              <w:rPr>
                <w:sz w:val="18"/>
              </w:rPr>
              <w:t>28</w:t>
            </w:r>
          </w:p>
        </w:tc>
        <w:tc>
          <w:tcPr>
            <w:tcW w:w="2825" w:type="dxa"/>
          </w:tcPr>
          <w:p>
            <w:pPr>
              <w:pStyle w:val="TableParagraph"/>
              <w:spacing w:before="10"/>
              <w:ind w:left="107"/>
              <w:rPr>
                <w:sz w:val="18"/>
              </w:rPr>
            </w:pPr>
            <w:r>
              <w:rPr>
                <w:sz w:val="18"/>
              </w:rPr>
              <w:t>脊髓灰质炎</w:t>
            </w:r>
          </w:p>
        </w:tc>
        <w:tc>
          <w:tcPr>
            <w:tcW w:w="486" w:type="dxa"/>
          </w:tcPr>
          <w:p>
            <w:pPr>
              <w:pStyle w:val="TableParagraph"/>
              <w:spacing w:before="10"/>
              <w:ind w:right="103"/>
              <w:jc w:val="right"/>
              <w:rPr>
                <w:sz w:val="18"/>
              </w:rPr>
            </w:pPr>
            <w:r>
              <w:rPr>
                <w:sz w:val="18"/>
              </w:rPr>
              <w:t>74</w:t>
            </w:r>
          </w:p>
        </w:tc>
        <w:tc>
          <w:tcPr>
            <w:tcW w:w="2677" w:type="dxa"/>
          </w:tcPr>
          <w:p>
            <w:pPr>
              <w:pStyle w:val="TableParagraph"/>
              <w:spacing w:before="10"/>
              <w:ind w:left="108"/>
              <w:rPr>
                <w:sz w:val="18"/>
              </w:rPr>
            </w:pPr>
            <w:r>
              <w:rPr>
                <w:sz w:val="18"/>
              </w:rPr>
              <w:t>失去一肢及一眼</w:t>
            </w:r>
          </w:p>
        </w:tc>
      </w:tr>
      <w:tr>
        <w:trPr>
          <w:trHeight w:val="311" w:hRule="atLeast"/>
        </w:trPr>
        <w:tc>
          <w:tcPr>
            <w:tcW w:w="339" w:type="dxa"/>
          </w:tcPr>
          <w:p>
            <w:pPr>
              <w:pStyle w:val="TableParagraph"/>
              <w:spacing w:before="10"/>
              <w:ind w:left="50"/>
              <w:rPr>
                <w:sz w:val="18"/>
              </w:rPr>
            </w:pPr>
            <w:r>
              <w:rPr>
                <w:sz w:val="18"/>
              </w:rPr>
              <w:t>29</w:t>
            </w:r>
          </w:p>
        </w:tc>
        <w:tc>
          <w:tcPr>
            <w:tcW w:w="2825" w:type="dxa"/>
          </w:tcPr>
          <w:p>
            <w:pPr>
              <w:pStyle w:val="TableParagraph"/>
              <w:spacing w:before="10"/>
              <w:ind w:left="107"/>
              <w:rPr>
                <w:sz w:val="18"/>
              </w:rPr>
            </w:pPr>
            <w:r>
              <w:rPr>
                <w:sz w:val="18"/>
              </w:rPr>
              <w:t>全身性重症肌无力</w:t>
            </w:r>
          </w:p>
        </w:tc>
        <w:tc>
          <w:tcPr>
            <w:tcW w:w="486" w:type="dxa"/>
          </w:tcPr>
          <w:p>
            <w:pPr>
              <w:pStyle w:val="TableParagraph"/>
              <w:spacing w:before="10"/>
              <w:ind w:right="103"/>
              <w:jc w:val="right"/>
              <w:rPr>
                <w:sz w:val="18"/>
              </w:rPr>
            </w:pPr>
            <w:r>
              <w:rPr>
                <w:sz w:val="18"/>
              </w:rPr>
              <w:t>75</w:t>
            </w:r>
          </w:p>
        </w:tc>
        <w:tc>
          <w:tcPr>
            <w:tcW w:w="2677" w:type="dxa"/>
          </w:tcPr>
          <w:p>
            <w:pPr>
              <w:pStyle w:val="TableParagraph"/>
              <w:spacing w:before="10"/>
              <w:ind w:left="108"/>
              <w:rPr>
                <w:sz w:val="18"/>
              </w:rPr>
            </w:pPr>
            <w:r>
              <w:rPr>
                <w:sz w:val="18"/>
              </w:rPr>
              <w:t>自体造血干细胞移植</w:t>
            </w:r>
          </w:p>
        </w:tc>
      </w:tr>
      <w:tr>
        <w:trPr>
          <w:trHeight w:val="311" w:hRule="atLeast"/>
        </w:trPr>
        <w:tc>
          <w:tcPr>
            <w:tcW w:w="339" w:type="dxa"/>
          </w:tcPr>
          <w:p>
            <w:pPr>
              <w:pStyle w:val="TableParagraph"/>
              <w:spacing w:before="10"/>
              <w:ind w:left="50"/>
              <w:rPr>
                <w:sz w:val="18"/>
              </w:rPr>
            </w:pPr>
            <w:r>
              <w:rPr>
                <w:sz w:val="18"/>
              </w:rPr>
              <w:t>30</w:t>
            </w:r>
          </w:p>
        </w:tc>
        <w:tc>
          <w:tcPr>
            <w:tcW w:w="2825" w:type="dxa"/>
          </w:tcPr>
          <w:p>
            <w:pPr>
              <w:pStyle w:val="TableParagraph"/>
              <w:spacing w:before="10"/>
              <w:ind w:left="107"/>
              <w:rPr>
                <w:sz w:val="18"/>
              </w:rPr>
            </w:pPr>
            <w:r>
              <w:rPr>
                <w:sz w:val="18"/>
              </w:rPr>
              <w:t>严重冠心病</w:t>
            </w:r>
          </w:p>
        </w:tc>
        <w:tc>
          <w:tcPr>
            <w:tcW w:w="486" w:type="dxa"/>
          </w:tcPr>
          <w:p>
            <w:pPr>
              <w:pStyle w:val="TableParagraph"/>
              <w:spacing w:before="10"/>
              <w:ind w:right="103"/>
              <w:jc w:val="right"/>
              <w:rPr>
                <w:sz w:val="18"/>
              </w:rPr>
            </w:pPr>
            <w:r>
              <w:rPr>
                <w:sz w:val="18"/>
              </w:rPr>
              <w:t>76</w:t>
            </w:r>
          </w:p>
        </w:tc>
        <w:tc>
          <w:tcPr>
            <w:tcW w:w="2677" w:type="dxa"/>
          </w:tcPr>
          <w:p>
            <w:pPr>
              <w:pStyle w:val="TableParagraph"/>
              <w:spacing w:before="10"/>
              <w:ind w:left="108"/>
              <w:rPr>
                <w:sz w:val="18"/>
              </w:rPr>
            </w:pPr>
            <w:r>
              <w:rPr>
                <w:sz w:val="18"/>
              </w:rPr>
              <w:t>骨生长不全症</w:t>
            </w:r>
          </w:p>
        </w:tc>
      </w:tr>
      <w:tr>
        <w:trPr>
          <w:trHeight w:val="311" w:hRule="atLeast"/>
        </w:trPr>
        <w:tc>
          <w:tcPr>
            <w:tcW w:w="339" w:type="dxa"/>
          </w:tcPr>
          <w:p>
            <w:pPr>
              <w:pStyle w:val="TableParagraph"/>
              <w:spacing w:before="10"/>
              <w:ind w:left="50"/>
              <w:rPr>
                <w:sz w:val="18"/>
              </w:rPr>
            </w:pPr>
            <w:r>
              <w:rPr>
                <w:sz w:val="18"/>
              </w:rPr>
              <w:t>31</w:t>
            </w:r>
          </w:p>
        </w:tc>
        <w:tc>
          <w:tcPr>
            <w:tcW w:w="2825" w:type="dxa"/>
          </w:tcPr>
          <w:p>
            <w:pPr>
              <w:pStyle w:val="TableParagraph"/>
              <w:spacing w:before="10"/>
              <w:ind w:left="107"/>
              <w:rPr>
                <w:sz w:val="18"/>
              </w:rPr>
            </w:pPr>
            <w:r>
              <w:rPr>
                <w:sz w:val="18"/>
              </w:rPr>
              <w:t>严重心肌病</w:t>
            </w:r>
          </w:p>
        </w:tc>
        <w:tc>
          <w:tcPr>
            <w:tcW w:w="486" w:type="dxa"/>
          </w:tcPr>
          <w:p>
            <w:pPr>
              <w:pStyle w:val="TableParagraph"/>
              <w:spacing w:before="10"/>
              <w:ind w:right="103"/>
              <w:jc w:val="right"/>
              <w:rPr>
                <w:sz w:val="18"/>
              </w:rPr>
            </w:pPr>
            <w:r>
              <w:rPr>
                <w:sz w:val="18"/>
              </w:rPr>
              <w:t>77</w:t>
            </w:r>
          </w:p>
        </w:tc>
        <w:tc>
          <w:tcPr>
            <w:tcW w:w="2677" w:type="dxa"/>
          </w:tcPr>
          <w:p>
            <w:pPr>
              <w:pStyle w:val="TableParagraph"/>
              <w:spacing w:before="10"/>
              <w:ind w:left="108"/>
              <w:rPr>
                <w:sz w:val="18"/>
              </w:rPr>
            </w:pPr>
            <w:r>
              <w:rPr>
                <w:sz w:val="18"/>
              </w:rPr>
              <w:t>婴儿进行性脊肌萎缩症</w:t>
            </w:r>
          </w:p>
        </w:tc>
      </w:tr>
      <w:tr>
        <w:trPr>
          <w:trHeight w:val="311" w:hRule="atLeast"/>
        </w:trPr>
        <w:tc>
          <w:tcPr>
            <w:tcW w:w="339" w:type="dxa"/>
          </w:tcPr>
          <w:p>
            <w:pPr>
              <w:pStyle w:val="TableParagraph"/>
              <w:spacing w:before="10"/>
              <w:ind w:left="50"/>
              <w:rPr>
                <w:sz w:val="18"/>
              </w:rPr>
            </w:pPr>
            <w:r>
              <w:rPr>
                <w:sz w:val="18"/>
              </w:rPr>
              <w:t>32</w:t>
            </w:r>
          </w:p>
        </w:tc>
        <w:tc>
          <w:tcPr>
            <w:tcW w:w="2825" w:type="dxa"/>
          </w:tcPr>
          <w:p>
            <w:pPr>
              <w:pStyle w:val="TableParagraph"/>
              <w:spacing w:before="10"/>
              <w:ind w:left="107"/>
              <w:rPr>
                <w:sz w:val="18"/>
              </w:rPr>
            </w:pPr>
            <w:r>
              <w:rPr>
                <w:sz w:val="18"/>
              </w:rPr>
              <w:t>系统性红斑狼疮 －</w:t>
            </w:r>
          </w:p>
        </w:tc>
        <w:tc>
          <w:tcPr>
            <w:tcW w:w="486" w:type="dxa"/>
          </w:tcPr>
          <w:p>
            <w:pPr>
              <w:pStyle w:val="TableParagraph"/>
              <w:spacing w:before="10"/>
              <w:ind w:right="103"/>
              <w:jc w:val="right"/>
              <w:rPr>
                <w:sz w:val="18"/>
              </w:rPr>
            </w:pPr>
            <w:r>
              <w:rPr>
                <w:sz w:val="18"/>
              </w:rPr>
              <w:t>78</w:t>
            </w:r>
          </w:p>
        </w:tc>
        <w:tc>
          <w:tcPr>
            <w:tcW w:w="2677" w:type="dxa"/>
          </w:tcPr>
          <w:p>
            <w:pPr>
              <w:pStyle w:val="TableParagraph"/>
              <w:spacing w:before="10"/>
              <w:ind w:left="108"/>
              <w:rPr>
                <w:sz w:val="18"/>
              </w:rPr>
            </w:pPr>
            <w:r>
              <w:rPr>
                <w:sz w:val="18"/>
              </w:rPr>
              <w:t>严重慢性缩窄型心包炎</w:t>
            </w:r>
          </w:p>
        </w:tc>
      </w:tr>
      <w:tr>
        <w:trPr>
          <w:trHeight w:val="311" w:hRule="atLeast"/>
        </w:trPr>
        <w:tc>
          <w:tcPr>
            <w:tcW w:w="339" w:type="dxa"/>
          </w:tcPr>
          <w:p>
            <w:pPr>
              <w:pStyle w:val="TableParagraph"/>
              <w:rPr>
                <w:rFonts w:ascii="Times New Roman"/>
                <w:sz w:val="18"/>
              </w:rPr>
            </w:pPr>
          </w:p>
        </w:tc>
        <w:tc>
          <w:tcPr>
            <w:tcW w:w="2825" w:type="dxa"/>
          </w:tcPr>
          <w:p>
            <w:pPr>
              <w:pStyle w:val="TableParagraph"/>
              <w:spacing w:before="10"/>
              <w:ind w:left="107"/>
              <w:rPr>
                <w:sz w:val="18"/>
              </w:rPr>
            </w:pPr>
            <w:r>
              <w:rPr>
                <w:sz w:val="18"/>
              </w:rPr>
              <w:t>III 型或以上狼疮性肾炎</w:t>
            </w:r>
          </w:p>
        </w:tc>
        <w:tc>
          <w:tcPr>
            <w:tcW w:w="486" w:type="dxa"/>
          </w:tcPr>
          <w:p>
            <w:pPr>
              <w:pStyle w:val="TableParagraph"/>
              <w:spacing w:before="10"/>
              <w:ind w:right="103"/>
              <w:jc w:val="right"/>
              <w:rPr>
                <w:sz w:val="18"/>
              </w:rPr>
            </w:pPr>
            <w:r>
              <w:rPr>
                <w:sz w:val="18"/>
              </w:rPr>
              <w:t>79</w:t>
            </w:r>
          </w:p>
        </w:tc>
        <w:tc>
          <w:tcPr>
            <w:tcW w:w="2677" w:type="dxa"/>
          </w:tcPr>
          <w:p>
            <w:pPr>
              <w:pStyle w:val="TableParagraph"/>
              <w:spacing w:before="10"/>
              <w:ind w:left="108"/>
              <w:rPr>
                <w:sz w:val="18"/>
              </w:rPr>
            </w:pPr>
            <w:r>
              <w:rPr>
                <w:sz w:val="18"/>
              </w:rPr>
              <w:t>进行性多灶性白质脑病</w:t>
            </w:r>
          </w:p>
        </w:tc>
      </w:tr>
      <w:tr>
        <w:trPr>
          <w:trHeight w:val="245" w:hRule="atLeast"/>
        </w:trPr>
        <w:tc>
          <w:tcPr>
            <w:tcW w:w="339" w:type="dxa"/>
          </w:tcPr>
          <w:p>
            <w:pPr>
              <w:pStyle w:val="TableParagraph"/>
              <w:spacing w:line="216" w:lineRule="exact" w:before="10"/>
              <w:ind w:left="50"/>
              <w:rPr>
                <w:sz w:val="18"/>
              </w:rPr>
            </w:pPr>
            <w:r>
              <w:rPr>
                <w:sz w:val="18"/>
              </w:rPr>
              <w:t>33</w:t>
            </w:r>
          </w:p>
        </w:tc>
        <w:tc>
          <w:tcPr>
            <w:tcW w:w="2825" w:type="dxa"/>
          </w:tcPr>
          <w:p>
            <w:pPr>
              <w:pStyle w:val="TableParagraph"/>
              <w:spacing w:line="216" w:lineRule="exact" w:before="10"/>
              <w:ind w:left="107"/>
              <w:rPr>
                <w:sz w:val="18"/>
              </w:rPr>
            </w:pPr>
            <w:r>
              <w:rPr>
                <w:sz w:val="18"/>
              </w:rPr>
              <w:t>因职业关系导致的</w:t>
            </w:r>
          </w:p>
        </w:tc>
        <w:tc>
          <w:tcPr>
            <w:tcW w:w="486" w:type="dxa"/>
          </w:tcPr>
          <w:p>
            <w:pPr>
              <w:pStyle w:val="TableParagraph"/>
              <w:spacing w:line="216" w:lineRule="exact" w:before="10"/>
              <w:ind w:right="103"/>
              <w:jc w:val="right"/>
              <w:rPr>
                <w:sz w:val="18"/>
              </w:rPr>
            </w:pPr>
            <w:r>
              <w:rPr>
                <w:sz w:val="18"/>
              </w:rPr>
              <w:t>80</w:t>
            </w:r>
          </w:p>
        </w:tc>
        <w:tc>
          <w:tcPr>
            <w:tcW w:w="2677" w:type="dxa"/>
          </w:tcPr>
          <w:p>
            <w:pPr>
              <w:pStyle w:val="TableParagraph"/>
              <w:spacing w:line="216" w:lineRule="exact" w:before="10"/>
              <w:ind w:left="108"/>
              <w:rPr>
                <w:sz w:val="18"/>
              </w:rPr>
            </w:pPr>
            <w:r>
              <w:rPr>
                <w:sz w:val="18"/>
              </w:rPr>
              <w:t>艾森门格综合征</w:t>
            </w:r>
          </w:p>
        </w:tc>
      </w:tr>
    </w:tbl>
    <w:p>
      <w:pPr>
        <w:spacing w:after="0" w:line="216" w:lineRule="exact"/>
        <w:rPr>
          <w:sz w:val="18"/>
        </w:rPr>
        <w:sectPr>
          <w:type w:val="continuous"/>
          <w:pgSz w:w="11910" w:h="16840"/>
          <w:pgMar w:top="440" w:bottom="280" w:left="1020" w:right="700"/>
        </w:sectPr>
      </w:pPr>
    </w:p>
    <w:p>
      <w:pPr>
        <w:pStyle w:val="BodyText"/>
        <w:rPr>
          <w:rFonts w:ascii="Times New Roman"/>
          <w:sz w:val="20"/>
        </w:rPr>
      </w:pPr>
    </w:p>
    <w:p>
      <w:pPr>
        <w:pStyle w:val="BodyText"/>
        <w:spacing w:before="9"/>
        <w:rPr>
          <w:rFonts w:ascii="Times New Roman"/>
          <w:sz w:val="20"/>
        </w:rPr>
      </w:pPr>
    </w:p>
    <w:tbl>
      <w:tblPr>
        <w:tblW w:w="0" w:type="auto"/>
        <w:jc w:val="left"/>
        <w:tblInd w:w="3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9"/>
        <w:gridCol w:w="2781"/>
        <w:gridCol w:w="530"/>
        <w:gridCol w:w="2496"/>
      </w:tblGrid>
      <w:tr>
        <w:trPr>
          <w:trHeight w:val="245" w:hRule="atLeast"/>
        </w:trPr>
        <w:tc>
          <w:tcPr>
            <w:tcW w:w="339" w:type="dxa"/>
          </w:tcPr>
          <w:p>
            <w:pPr>
              <w:pStyle w:val="TableParagraph"/>
              <w:rPr>
                <w:rFonts w:ascii="Times New Roman"/>
                <w:sz w:val="16"/>
              </w:rPr>
            </w:pPr>
          </w:p>
        </w:tc>
        <w:tc>
          <w:tcPr>
            <w:tcW w:w="2781" w:type="dxa"/>
          </w:tcPr>
          <w:p>
            <w:pPr>
              <w:pStyle w:val="TableParagraph"/>
              <w:spacing w:line="180" w:lineRule="exact"/>
              <w:ind w:left="106"/>
              <w:rPr>
                <w:sz w:val="18"/>
              </w:rPr>
            </w:pPr>
            <w:r>
              <w:rPr>
                <w:sz w:val="18"/>
              </w:rPr>
              <w:t>人类免疫缺陷病毒（HIV）感染</w:t>
            </w:r>
          </w:p>
        </w:tc>
        <w:tc>
          <w:tcPr>
            <w:tcW w:w="530" w:type="dxa"/>
          </w:tcPr>
          <w:p>
            <w:pPr>
              <w:pStyle w:val="TableParagraph"/>
              <w:spacing w:line="180" w:lineRule="exact"/>
              <w:ind w:right="103"/>
              <w:jc w:val="right"/>
              <w:rPr>
                <w:sz w:val="18"/>
              </w:rPr>
            </w:pPr>
            <w:r>
              <w:rPr>
                <w:sz w:val="18"/>
              </w:rPr>
              <w:t>81</w:t>
            </w:r>
          </w:p>
        </w:tc>
        <w:tc>
          <w:tcPr>
            <w:tcW w:w="2496" w:type="dxa"/>
          </w:tcPr>
          <w:p>
            <w:pPr>
              <w:pStyle w:val="TableParagraph"/>
              <w:spacing w:line="180" w:lineRule="exact"/>
              <w:ind w:left="107"/>
              <w:rPr>
                <w:sz w:val="18"/>
              </w:rPr>
            </w:pPr>
            <w:r>
              <w:rPr>
                <w:sz w:val="18"/>
              </w:rPr>
              <w:t>多发性骨髓瘤</w:t>
            </w:r>
          </w:p>
        </w:tc>
      </w:tr>
      <w:tr>
        <w:trPr>
          <w:trHeight w:val="311" w:hRule="atLeast"/>
        </w:trPr>
        <w:tc>
          <w:tcPr>
            <w:tcW w:w="339" w:type="dxa"/>
          </w:tcPr>
          <w:p>
            <w:pPr>
              <w:pStyle w:val="TableParagraph"/>
              <w:spacing w:before="10"/>
              <w:ind w:left="50"/>
              <w:rPr>
                <w:sz w:val="18"/>
              </w:rPr>
            </w:pPr>
            <w:r>
              <w:rPr>
                <w:sz w:val="18"/>
              </w:rPr>
              <w:t>34</w:t>
            </w:r>
          </w:p>
        </w:tc>
        <w:tc>
          <w:tcPr>
            <w:tcW w:w="2781" w:type="dxa"/>
          </w:tcPr>
          <w:p>
            <w:pPr>
              <w:pStyle w:val="TableParagraph"/>
              <w:spacing w:before="10"/>
              <w:ind w:left="107"/>
              <w:rPr>
                <w:sz w:val="18"/>
              </w:rPr>
            </w:pPr>
            <w:r>
              <w:rPr>
                <w:sz w:val="18"/>
              </w:rPr>
              <w:t>经输血导致的</w:t>
            </w:r>
          </w:p>
        </w:tc>
        <w:tc>
          <w:tcPr>
            <w:tcW w:w="530" w:type="dxa"/>
          </w:tcPr>
          <w:p>
            <w:pPr>
              <w:pStyle w:val="TableParagraph"/>
              <w:spacing w:before="10"/>
              <w:ind w:right="103"/>
              <w:jc w:val="right"/>
              <w:rPr>
                <w:sz w:val="18"/>
              </w:rPr>
            </w:pPr>
            <w:r>
              <w:rPr>
                <w:sz w:val="18"/>
              </w:rPr>
              <w:t>82</w:t>
            </w:r>
          </w:p>
        </w:tc>
        <w:tc>
          <w:tcPr>
            <w:tcW w:w="2496" w:type="dxa"/>
          </w:tcPr>
          <w:p>
            <w:pPr>
              <w:pStyle w:val="TableParagraph"/>
              <w:spacing w:before="10"/>
              <w:ind w:left="107"/>
              <w:rPr>
                <w:sz w:val="18"/>
              </w:rPr>
            </w:pPr>
            <w:r>
              <w:rPr>
                <w:sz w:val="18"/>
              </w:rPr>
              <w:t>出血性登革热</w:t>
            </w:r>
          </w:p>
        </w:tc>
      </w:tr>
      <w:tr>
        <w:trPr>
          <w:trHeight w:val="311" w:hRule="atLeast"/>
        </w:trPr>
        <w:tc>
          <w:tcPr>
            <w:tcW w:w="339" w:type="dxa"/>
          </w:tcPr>
          <w:p>
            <w:pPr>
              <w:pStyle w:val="TableParagraph"/>
              <w:rPr>
                <w:rFonts w:ascii="Times New Roman"/>
                <w:sz w:val="20"/>
              </w:rPr>
            </w:pPr>
          </w:p>
        </w:tc>
        <w:tc>
          <w:tcPr>
            <w:tcW w:w="2781" w:type="dxa"/>
          </w:tcPr>
          <w:p>
            <w:pPr>
              <w:pStyle w:val="TableParagraph"/>
              <w:spacing w:before="10"/>
              <w:ind w:left="107"/>
              <w:rPr>
                <w:sz w:val="18"/>
              </w:rPr>
            </w:pPr>
            <w:r>
              <w:rPr>
                <w:sz w:val="18"/>
              </w:rPr>
              <w:t>人类免疫缺陷病毒（HIV）感染</w:t>
            </w:r>
          </w:p>
        </w:tc>
        <w:tc>
          <w:tcPr>
            <w:tcW w:w="530" w:type="dxa"/>
          </w:tcPr>
          <w:p>
            <w:pPr>
              <w:pStyle w:val="TableParagraph"/>
              <w:spacing w:before="10"/>
              <w:ind w:right="103"/>
              <w:jc w:val="right"/>
              <w:rPr>
                <w:sz w:val="18"/>
              </w:rPr>
            </w:pPr>
            <w:r>
              <w:rPr>
                <w:sz w:val="18"/>
              </w:rPr>
              <w:t>83</w:t>
            </w:r>
          </w:p>
        </w:tc>
        <w:tc>
          <w:tcPr>
            <w:tcW w:w="2496" w:type="dxa"/>
          </w:tcPr>
          <w:p>
            <w:pPr>
              <w:pStyle w:val="TableParagraph"/>
              <w:spacing w:before="10"/>
              <w:ind w:left="108"/>
              <w:rPr>
                <w:sz w:val="18"/>
              </w:rPr>
            </w:pPr>
            <w:r>
              <w:rPr>
                <w:sz w:val="18"/>
              </w:rPr>
              <w:t>多处臂丛神经根性撕脱</w:t>
            </w:r>
          </w:p>
        </w:tc>
      </w:tr>
      <w:tr>
        <w:trPr>
          <w:trHeight w:val="311" w:hRule="atLeast"/>
        </w:trPr>
        <w:tc>
          <w:tcPr>
            <w:tcW w:w="339" w:type="dxa"/>
          </w:tcPr>
          <w:p>
            <w:pPr>
              <w:pStyle w:val="TableParagraph"/>
              <w:spacing w:before="10"/>
              <w:ind w:left="50"/>
              <w:rPr>
                <w:sz w:val="18"/>
              </w:rPr>
            </w:pPr>
            <w:r>
              <w:rPr>
                <w:sz w:val="18"/>
              </w:rPr>
              <w:t>35</w:t>
            </w:r>
          </w:p>
        </w:tc>
        <w:tc>
          <w:tcPr>
            <w:tcW w:w="2781" w:type="dxa"/>
          </w:tcPr>
          <w:p>
            <w:pPr>
              <w:pStyle w:val="TableParagraph"/>
              <w:spacing w:before="10"/>
              <w:ind w:left="107"/>
              <w:rPr>
                <w:sz w:val="18"/>
              </w:rPr>
            </w:pPr>
            <w:r>
              <w:rPr>
                <w:sz w:val="18"/>
              </w:rPr>
              <w:t>严重克隆病</w:t>
            </w:r>
          </w:p>
        </w:tc>
        <w:tc>
          <w:tcPr>
            <w:tcW w:w="530" w:type="dxa"/>
          </w:tcPr>
          <w:p>
            <w:pPr>
              <w:pStyle w:val="TableParagraph"/>
              <w:spacing w:before="10"/>
              <w:ind w:right="103"/>
              <w:jc w:val="right"/>
              <w:rPr>
                <w:sz w:val="18"/>
              </w:rPr>
            </w:pPr>
            <w:r>
              <w:rPr>
                <w:sz w:val="18"/>
              </w:rPr>
              <w:t>84</w:t>
            </w:r>
          </w:p>
        </w:tc>
        <w:tc>
          <w:tcPr>
            <w:tcW w:w="2496" w:type="dxa"/>
          </w:tcPr>
          <w:p>
            <w:pPr>
              <w:pStyle w:val="TableParagraph"/>
              <w:spacing w:before="10"/>
              <w:ind w:left="108"/>
              <w:rPr>
                <w:sz w:val="18"/>
              </w:rPr>
            </w:pPr>
            <w:r>
              <w:rPr>
                <w:sz w:val="18"/>
              </w:rPr>
              <w:t>严重面部烧伤</w:t>
            </w:r>
          </w:p>
        </w:tc>
      </w:tr>
      <w:tr>
        <w:trPr>
          <w:trHeight w:val="311" w:hRule="atLeast"/>
        </w:trPr>
        <w:tc>
          <w:tcPr>
            <w:tcW w:w="339" w:type="dxa"/>
          </w:tcPr>
          <w:p>
            <w:pPr>
              <w:pStyle w:val="TableParagraph"/>
              <w:spacing w:before="10"/>
              <w:ind w:left="50"/>
              <w:rPr>
                <w:sz w:val="18"/>
              </w:rPr>
            </w:pPr>
            <w:r>
              <w:rPr>
                <w:sz w:val="18"/>
              </w:rPr>
              <w:t>36</w:t>
            </w:r>
          </w:p>
        </w:tc>
        <w:tc>
          <w:tcPr>
            <w:tcW w:w="2781" w:type="dxa"/>
          </w:tcPr>
          <w:p>
            <w:pPr>
              <w:pStyle w:val="TableParagraph"/>
              <w:spacing w:before="10"/>
              <w:ind w:left="107"/>
              <w:rPr>
                <w:sz w:val="18"/>
              </w:rPr>
            </w:pPr>
            <w:r>
              <w:rPr>
                <w:sz w:val="18"/>
              </w:rPr>
              <w:t>严重溃疡性结肠炎</w:t>
            </w:r>
          </w:p>
        </w:tc>
        <w:tc>
          <w:tcPr>
            <w:tcW w:w="530" w:type="dxa"/>
          </w:tcPr>
          <w:p>
            <w:pPr>
              <w:pStyle w:val="TableParagraph"/>
              <w:spacing w:before="10"/>
              <w:ind w:right="103"/>
              <w:jc w:val="right"/>
              <w:rPr>
                <w:sz w:val="18"/>
              </w:rPr>
            </w:pPr>
            <w:r>
              <w:rPr>
                <w:sz w:val="18"/>
              </w:rPr>
              <w:t>85</w:t>
            </w:r>
          </w:p>
        </w:tc>
        <w:tc>
          <w:tcPr>
            <w:tcW w:w="2496" w:type="dxa"/>
          </w:tcPr>
          <w:p>
            <w:pPr>
              <w:pStyle w:val="TableParagraph"/>
              <w:spacing w:before="10"/>
              <w:ind w:left="108"/>
              <w:rPr>
                <w:sz w:val="18"/>
              </w:rPr>
            </w:pPr>
            <w:r>
              <w:rPr>
                <w:sz w:val="18"/>
              </w:rPr>
              <w:t>骨髓纤维化</w:t>
            </w:r>
          </w:p>
        </w:tc>
      </w:tr>
      <w:tr>
        <w:trPr>
          <w:trHeight w:val="311" w:hRule="atLeast"/>
        </w:trPr>
        <w:tc>
          <w:tcPr>
            <w:tcW w:w="339" w:type="dxa"/>
          </w:tcPr>
          <w:p>
            <w:pPr>
              <w:pStyle w:val="TableParagraph"/>
              <w:spacing w:before="10"/>
              <w:ind w:left="50"/>
              <w:rPr>
                <w:sz w:val="18"/>
              </w:rPr>
            </w:pPr>
            <w:r>
              <w:rPr>
                <w:sz w:val="18"/>
              </w:rPr>
              <w:t>37</w:t>
            </w:r>
          </w:p>
        </w:tc>
        <w:tc>
          <w:tcPr>
            <w:tcW w:w="2781" w:type="dxa"/>
          </w:tcPr>
          <w:p>
            <w:pPr>
              <w:pStyle w:val="TableParagraph"/>
              <w:spacing w:before="10"/>
              <w:ind w:left="107"/>
              <w:rPr>
                <w:sz w:val="18"/>
              </w:rPr>
            </w:pPr>
            <w:r>
              <w:rPr>
                <w:sz w:val="18"/>
              </w:rPr>
              <w:t>1 型糖尿病</w:t>
            </w:r>
          </w:p>
        </w:tc>
        <w:tc>
          <w:tcPr>
            <w:tcW w:w="530" w:type="dxa"/>
          </w:tcPr>
          <w:p>
            <w:pPr>
              <w:pStyle w:val="TableParagraph"/>
              <w:spacing w:before="10"/>
              <w:ind w:right="103"/>
              <w:jc w:val="right"/>
              <w:rPr>
                <w:sz w:val="18"/>
              </w:rPr>
            </w:pPr>
            <w:r>
              <w:rPr>
                <w:sz w:val="18"/>
              </w:rPr>
              <w:t>86</w:t>
            </w:r>
          </w:p>
        </w:tc>
        <w:tc>
          <w:tcPr>
            <w:tcW w:w="2496" w:type="dxa"/>
          </w:tcPr>
          <w:p>
            <w:pPr>
              <w:pStyle w:val="TableParagraph"/>
              <w:spacing w:before="10"/>
              <w:ind w:left="108"/>
              <w:rPr>
                <w:sz w:val="18"/>
              </w:rPr>
            </w:pPr>
            <w:r>
              <w:rPr>
                <w:sz w:val="18"/>
              </w:rPr>
              <w:t>严重结核性脑膜炎</w:t>
            </w:r>
          </w:p>
        </w:tc>
      </w:tr>
      <w:tr>
        <w:trPr>
          <w:trHeight w:val="311" w:hRule="atLeast"/>
        </w:trPr>
        <w:tc>
          <w:tcPr>
            <w:tcW w:w="339" w:type="dxa"/>
          </w:tcPr>
          <w:p>
            <w:pPr>
              <w:pStyle w:val="TableParagraph"/>
              <w:spacing w:before="10"/>
              <w:ind w:left="50"/>
              <w:rPr>
                <w:sz w:val="18"/>
              </w:rPr>
            </w:pPr>
            <w:r>
              <w:rPr>
                <w:sz w:val="18"/>
              </w:rPr>
              <w:t>38</w:t>
            </w:r>
          </w:p>
        </w:tc>
        <w:tc>
          <w:tcPr>
            <w:tcW w:w="2781" w:type="dxa"/>
          </w:tcPr>
          <w:p>
            <w:pPr>
              <w:pStyle w:val="TableParagraph"/>
              <w:spacing w:before="10"/>
              <w:ind w:left="107"/>
              <w:rPr>
                <w:sz w:val="18"/>
              </w:rPr>
            </w:pPr>
            <w:r>
              <w:rPr>
                <w:sz w:val="18"/>
              </w:rPr>
              <w:t>肺源性心脏病</w:t>
            </w:r>
          </w:p>
        </w:tc>
        <w:tc>
          <w:tcPr>
            <w:tcW w:w="530" w:type="dxa"/>
          </w:tcPr>
          <w:p>
            <w:pPr>
              <w:pStyle w:val="TableParagraph"/>
              <w:spacing w:before="10"/>
              <w:ind w:right="103"/>
              <w:jc w:val="right"/>
              <w:rPr>
                <w:sz w:val="18"/>
              </w:rPr>
            </w:pPr>
            <w:r>
              <w:rPr>
                <w:sz w:val="18"/>
              </w:rPr>
              <w:t>87</w:t>
            </w:r>
          </w:p>
        </w:tc>
        <w:tc>
          <w:tcPr>
            <w:tcW w:w="2496" w:type="dxa"/>
          </w:tcPr>
          <w:p>
            <w:pPr>
              <w:pStyle w:val="TableParagraph"/>
              <w:spacing w:before="10"/>
              <w:ind w:left="108"/>
              <w:rPr>
                <w:sz w:val="18"/>
              </w:rPr>
            </w:pPr>
            <w:r>
              <w:rPr>
                <w:sz w:val="18"/>
              </w:rPr>
              <w:t>湿性年龄相关性黄斑变性</w:t>
            </w:r>
          </w:p>
        </w:tc>
      </w:tr>
      <w:tr>
        <w:trPr>
          <w:trHeight w:val="311" w:hRule="atLeast"/>
        </w:trPr>
        <w:tc>
          <w:tcPr>
            <w:tcW w:w="339" w:type="dxa"/>
          </w:tcPr>
          <w:p>
            <w:pPr>
              <w:pStyle w:val="TableParagraph"/>
              <w:spacing w:before="10"/>
              <w:ind w:left="50"/>
              <w:rPr>
                <w:sz w:val="18"/>
              </w:rPr>
            </w:pPr>
            <w:r>
              <w:rPr>
                <w:sz w:val="18"/>
              </w:rPr>
              <w:t>39</w:t>
            </w:r>
          </w:p>
        </w:tc>
        <w:tc>
          <w:tcPr>
            <w:tcW w:w="2781" w:type="dxa"/>
          </w:tcPr>
          <w:p>
            <w:pPr>
              <w:pStyle w:val="TableParagraph"/>
              <w:spacing w:before="10"/>
              <w:ind w:left="107"/>
              <w:rPr>
                <w:sz w:val="18"/>
              </w:rPr>
            </w:pPr>
            <w:r>
              <w:rPr>
                <w:sz w:val="18"/>
              </w:rPr>
              <w:t>植物人状态</w:t>
            </w:r>
          </w:p>
        </w:tc>
        <w:tc>
          <w:tcPr>
            <w:tcW w:w="530" w:type="dxa"/>
          </w:tcPr>
          <w:p>
            <w:pPr>
              <w:pStyle w:val="TableParagraph"/>
              <w:spacing w:before="10"/>
              <w:ind w:right="103"/>
              <w:jc w:val="right"/>
              <w:rPr>
                <w:sz w:val="18"/>
              </w:rPr>
            </w:pPr>
            <w:r>
              <w:rPr>
                <w:sz w:val="18"/>
              </w:rPr>
              <w:t>88</w:t>
            </w:r>
          </w:p>
        </w:tc>
        <w:tc>
          <w:tcPr>
            <w:tcW w:w="2496" w:type="dxa"/>
          </w:tcPr>
          <w:p>
            <w:pPr>
              <w:pStyle w:val="TableParagraph"/>
              <w:spacing w:before="10"/>
              <w:ind w:left="108"/>
              <w:rPr>
                <w:sz w:val="18"/>
              </w:rPr>
            </w:pPr>
            <w:r>
              <w:rPr>
                <w:sz w:val="18"/>
              </w:rPr>
              <w:t>脊柱裂</w:t>
            </w:r>
          </w:p>
        </w:tc>
      </w:tr>
      <w:tr>
        <w:trPr>
          <w:trHeight w:val="311" w:hRule="atLeast"/>
        </w:trPr>
        <w:tc>
          <w:tcPr>
            <w:tcW w:w="339" w:type="dxa"/>
          </w:tcPr>
          <w:p>
            <w:pPr>
              <w:pStyle w:val="TableParagraph"/>
              <w:spacing w:before="10"/>
              <w:ind w:left="50"/>
              <w:rPr>
                <w:sz w:val="18"/>
              </w:rPr>
            </w:pPr>
            <w:r>
              <w:rPr>
                <w:sz w:val="18"/>
              </w:rPr>
              <w:t>40</w:t>
            </w:r>
          </w:p>
        </w:tc>
        <w:tc>
          <w:tcPr>
            <w:tcW w:w="2781" w:type="dxa"/>
          </w:tcPr>
          <w:p>
            <w:pPr>
              <w:pStyle w:val="TableParagraph"/>
              <w:spacing w:before="10"/>
              <w:ind w:left="107"/>
              <w:rPr>
                <w:sz w:val="18"/>
              </w:rPr>
            </w:pPr>
            <w:r>
              <w:rPr>
                <w:sz w:val="18"/>
              </w:rPr>
              <w:t>严重类风湿性关节炎</w:t>
            </w:r>
          </w:p>
        </w:tc>
        <w:tc>
          <w:tcPr>
            <w:tcW w:w="530" w:type="dxa"/>
          </w:tcPr>
          <w:p>
            <w:pPr>
              <w:pStyle w:val="TableParagraph"/>
              <w:spacing w:before="10"/>
              <w:ind w:right="103"/>
              <w:jc w:val="right"/>
              <w:rPr>
                <w:sz w:val="18"/>
              </w:rPr>
            </w:pPr>
            <w:r>
              <w:rPr>
                <w:sz w:val="18"/>
              </w:rPr>
              <w:t>89</w:t>
            </w:r>
          </w:p>
        </w:tc>
        <w:tc>
          <w:tcPr>
            <w:tcW w:w="2496" w:type="dxa"/>
          </w:tcPr>
          <w:p>
            <w:pPr>
              <w:pStyle w:val="TableParagraph"/>
              <w:spacing w:before="10"/>
              <w:ind w:left="108"/>
              <w:rPr>
                <w:sz w:val="18"/>
              </w:rPr>
            </w:pPr>
            <w:r>
              <w:rPr>
                <w:sz w:val="18"/>
              </w:rPr>
              <w:t>坏死性筋膜炎</w:t>
            </w:r>
          </w:p>
        </w:tc>
      </w:tr>
      <w:tr>
        <w:trPr>
          <w:trHeight w:val="311" w:hRule="atLeast"/>
        </w:trPr>
        <w:tc>
          <w:tcPr>
            <w:tcW w:w="339" w:type="dxa"/>
          </w:tcPr>
          <w:p>
            <w:pPr>
              <w:pStyle w:val="TableParagraph"/>
              <w:spacing w:before="10"/>
              <w:ind w:left="50"/>
              <w:rPr>
                <w:sz w:val="18"/>
              </w:rPr>
            </w:pPr>
            <w:r>
              <w:rPr>
                <w:sz w:val="18"/>
              </w:rPr>
              <w:t>41</w:t>
            </w:r>
          </w:p>
        </w:tc>
        <w:tc>
          <w:tcPr>
            <w:tcW w:w="2781" w:type="dxa"/>
          </w:tcPr>
          <w:p>
            <w:pPr>
              <w:pStyle w:val="TableParagraph"/>
              <w:spacing w:before="10"/>
              <w:ind w:left="107"/>
              <w:rPr>
                <w:sz w:val="18"/>
              </w:rPr>
            </w:pPr>
            <w:r>
              <w:rPr>
                <w:sz w:val="18"/>
              </w:rPr>
              <w:t>非阿尔茨海默病所致严重痴呆</w:t>
            </w:r>
          </w:p>
        </w:tc>
        <w:tc>
          <w:tcPr>
            <w:tcW w:w="530" w:type="dxa"/>
          </w:tcPr>
          <w:p>
            <w:pPr>
              <w:pStyle w:val="TableParagraph"/>
              <w:spacing w:before="10"/>
              <w:ind w:right="103"/>
              <w:jc w:val="right"/>
              <w:rPr>
                <w:sz w:val="18"/>
              </w:rPr>
            </w:pPr>
            <w:r>
              <w:rPr>
                <w:sz w:val="18"/>
              </w:rPr>
              <w:t>90</w:t>
            </w:r>
          </w:p>
        </w:tc>
        <w:tc>
          <w:tcPr>
            <w:tcW w:w="2496" w:type="dxa"/>
          </w:tcPr>
          <w:p>
            <w:pPr>
              <w:pStyle w:val="TableParagraph"/>
              <w:spacing w:before="10"/>
              <w:ind w:left="108"/>
              <w:rPr>
                <w:sz w:val="18"/>
              </w:rPr>
            </w:pPr>
            <w:r>
              <w:rPr>
                <w:sz w:val="18"/>
              </w:rPr>
              <w:t>亚急性硬化性全脑炎</w:t>
            </w:r>
          </w:p>
        </w:tc>
      </w:tr>
      <w:tr>
        <w:trPr>
          <w:trHeight w:val="311" w:hRule="atLeast"/>
        </w:trPr>
        <w:tc>
          <w:tcPr>
            <w:tcW w:w="339" w:type="dxa"/>
          </w:tcPr>
          <w:p>
            <w:pPr>
              <w:pStyle w:val="TableParagraph"/>
              <w:spacing w:before="10"/>
              <w:ind w:left="50"/>
              <w:rPr>
                <w:sz w:val="18"/>
              </w:rPr>
            </w:pPr>
            <w:r>
              <w:rPr>
                <w:sz w:val="18"/>
              </w:rPr>
              <w:t>42</w:t>
            </w:r>
          </w:p>
        </w:tc>
        <w:tc>
          <w:tcPr>
            <w:tcW w:w="2781" w:type="dxa"/>
          </w:tcPr>
          <w:p>
            <w:pPr>
              <w:pStyle w:val="TableParagraph"/>
              <w:spacing w:before="10"/>
              <w:ind w:left="107"/>
              <w:rPr>
                <w:sz w:val="18"/>
              </w:rPr>
            </w:pPr>
            <w:r>
              <w:rPr>
                <w:sz w:val="18"/>
              </w:rPr>
              <w:t>终末期疾病</w:t>
            </w:r>
          </w:p>
        </w:tc>
        <w:tc>
          <w:tcPr>
            <w:tcW w:w="530" w:type="dxa"/>
          </w:tcPr>
          <w:p>
            <w:pPr>
              <w:pStyle w:val="TableParagraph"/>
              <w:spacing w:before="10"/>
              <w:ind w:right="103"/>
              <w:jc w:val="right"/>
              <w:rPr>
                <w:sz w:val="18"/>
              </w:rPr>
            </w:pPr>
            <w:r>
              <w:rPr>
                <w:sz w:val="18"/>
              </w:rPr>
              <w:t>91</w:t>
            </w:r>
          </w:p>
        </w:tc>
        <w:tc>
          <w:tcPr>
            <w:tcW w:w="2496" w:type="dxa"/>
          </w:tcPr>
          <w:p>
            <w:pPr>
              <w:pStyle w:val="TableParagraph"/>
              <w:spacing w:before="10"/>
              <w:ind w:left="108"/>
              <w:rPr>
                <w:sz w:val="18"/>
              </w:rPr>
            </w:pPr>
            <w:r>
              <w:rPr>
                <w:sz w:val="18"/>
              </w:rPr>
              <w:t>肺淋巴管肌瘤病</w:t>
            </w:r>
          </w:p>
        </w:tc>
      </w:tr>
      <w:tr>
        <w:trPr>
          <w:trHeight w:val="312" w:hRule="atLeast"/>
        </w:trPr>
        <w:tc>
          <w:tcPr>
            <w:tcW w:w="339" w:type="dxa"/>
          </w:tcPr>
          <w:p>
            <w:pPr>
              <w:pStyle w:val="TableParagraph"/>
              <w:spacing w:before="10"/>
              <w:ind w:left="50"/>
              <w:rPr>
                <w:sz w:val="18"/>
              </w:rPr>
            </w:pPr>
            <w:r>
              <w:rPr>
                <w:sz w:val="18"/>
              </w:rPr>
              <w:t>43</w:t>
            </w:r>
          </w:p>
        </w:tc>
        <w:tc>
          <w:tcPr>
            <w:tcW w:w="2781" w:type="dxa"/>
          </w:tcPr>
          <w:p>
            <w:pPr>
              <w:pStyle w:val="TableParagraph"/>
              <w:spacing w:before="11"/>
              <w:ind w:left="107"/>
              <w:rPr>
                <w:b/>
                <w:sz w:val="18"/>
              </w:rPr>
            </w:pPr>
            <w:r>
              <w:rPr>
                <w:sz w:val="18"/>
              </w:rPr>
              <w:t>严重哮喘</w:t>
            </w:r>
            <w:r>
              <w:rPr>
                <w:b/>
                <w:sz w:val="18"/>
              </w:rPr>
              <w:t>（25 周岁前理赔）</w:t>
            </w:r>
          </w:p>
        </w:tc>
        <w:tc>
          <w:tcPr>
            <w:tcW w:w="530" w:type="dxa"/>
          </w:tcPr>
          <w:p>
            <w:pPr>
              <w:pStyle w:val="TableParagraph"/>
              <w:spacing w:before="11"/>
              <w:ind w:right="103"/>
              <w:jc w:val="right"/>
              <w:rPr>
                <w:sz w:val="18"/>
              </w:rPr>
            </w:pPr>
            <w:r>
              <w:rPr>
                <w:sz w:val="18"/>
              </w:rPr>
              <w:t>92</w:t>
            </w:r>
          </w:p>
        </w:tc>
        <w:tc>
          <w:tcPr>
            <w:tcW w:w="2496" w:type="dxa"/>
          </w:tcPr>
          <w:p>
            <w:pPr>
              <w:pStyle w:val="TableParagraph"/>
              <w:spacing w:before="11"/>
              <w:ind w:left="108"/>
              <w:rPr>
                <w:sz w:val="18"/>
              </w:rPr>
            </w:pPr>
            <w:r>
              <w:rPr>
                <w:sz w:val="18"/>
              </w:rPr>
              <w:t>独立能力丧失</w:t>
            </w:r>
          </w:p>
        </w:tc>
      </w:tr>
      <w:tr>
        <w:trPr>
          <w:trHeight w:val="311" w:hRule="atLeast"/>
        </w:trPr>
        <w:tc>
          <w:tcPr>
            <w:tcW w:w="339" w:type="dxa"/>
          </w:tcPr>
          <w:p>
            <w:pPr>
              <w:pStyle w:val="TableParagraph"/>
              <w:spacing w:before="10"/>
              <w:ind w:left="50"/>
              <w:rPr>
                <w:sz w:val="18"/>
              </w:rPr>
            </w:pPr>
            <w:r>
              <w:rPr>
                <w:sz w:val="18"/>
              </w:rPr>
              <w:t>44</w:t>
            </w:r>
          </w:p>
        </w:tc>
        <w:tc>
          <w:tcPr>
            <w:tcW w:w="2781" w:type="dxa"/>
          </w:tcPr>
          <w:p>
            <w:pPr>
              <w:pStyle w:val="TableParagraph"/>
              <w:spacing w:before="10"/>
              <w:ind w:left="107"/>
              <w:rPr>
                <w:sz w:val="18"/>
              </w:rPr>
            </w:pPr>
            <w:r>
              <w:rPr>
                <w:sz w:val="18"/>
              </w:rPr>
              <w:t>严重川崎病</w:t>
            </w:r>
          </w:p>
        </w:tc>
        <w:tc>
          <w:tcPr>
            <w:tcW w:w="530" w:type="dxa"/>
          </w:tcPr>
          <w:p>
            <w:pPr>
              <w:pStyle w:val="TableParagraph"/>
              <w:spacing w:before="10"/>
              <w:ind w:right="103"/>
              <w:jc w:val="right"/>
              <w:rPr>
                <w:sz w:val="18"/>
              </w:rPr>
            </w:pPr>
            <w:r>
              <w:rPr>
                <w:sz w:val="18"/>
              </w:rPr>
              <w:t>93</w:t>
            </w:r>
          </w:p>
        </w:tc>
        <w:tc>
          <w:tcPr>
            <w:tcW w:w="2496" w:type="dxa"/>
          </w:tcPr>
          <w:p>
            <w:pPr>
              <w:pStyle w:val="TableParagraph"/>
              <w:spacing w:before="10"/>
              <w:ind w:left="108"/>
              <w:rPr>
                <w:sz w:val="18"/>
              </w:rPr>
            </w:pPr>
            <w:r>
              <w:rPr>
                <w:sz w:val="18"/>
              </w:rPr>
              <w:t>血管性痴呆</w:t>
            </w:r>
          </w:p>
        </w:tc>
      </w:tr>
      <w:tr>
        <w:trPr>
          <w:trHeight w:val="311" w:hRule="atLeast"/>
        </w:trPr>
        <w:tc>
          <w:tcPr>
            <w:tcW w:w="339" w:type="dxa"/>
          </w:tcPr>
          <w:p>
            <w:pPr>
              <w:pStyle w:val="TableParagraph"/>
              <w:spacing w:before="10"/>
              <w:ind w:left="50"/>
              <w:rPr>
                <w:sz w:val="18"/>
              </w:rPr>
            </w:pPr>
            <w:r>
              <w:rPr>
                <w:sz w:val="18"/>
              </w:rPr>
              <w:t>45</w:t>
            </w:r>
          </w:p>
        </w:tc>
        <w:tc>
          <w:tcPr>
            <w:tcW w:w="2781" w:type="dxa"/>
          </w:tcPr>
          <w:p>
            <w:pPr>
              <w:pStyle w:val="TableParagraph"/>
              <w:spacing w:before="10"/>
              <w:ind w:left="107"/>
              <w:rPr>
                <w:sz w:val="18"/>
              </w:rPr>
            </w:pPr>
            <w:r>
              <w:rPr>
                <w:sz w:val="18"/>
              </w:rPr>
              <w:t>严重的系统性硬皮病</w:t>
            </w:r>
          </w:p>
        </w:tc>
        <w:tc>
          <w:tcPr>
            <w:tcW w:w="530" w:type="dxa"/>
          </w:tcPr>
          <w:p>
            <w:pPr>
              <w:pStyle w:val="TableParagraph"/>
              <w:spacing w:before="10"/>
              <w:ind w:right="103"/>
              <w:jc w:val="right"/>
              <w:rPr>
                <w:sz w:val="18"/>
              </w:rPr>
            </w:pPr>
            <w:r>
              <w:rPr>
                <w:sz w:val="18"/>
              </w:rPr>
              <w:t>94</w:t>
            </w:r>
          </w:p>
        </w:tc>
        <w:tc>
          <w:tcPr>
            <w:tcW w:w="2496" w:type="dxa"/>
          </w:tcPr>
          <w:p>
            <w:pPr>
              <w:pStyle w:val="TableParagraph"/>
              <w:spacing w:before="10"/>
              <w:ind w:left="108"/>
              <w:rPr>
                <w:sz w:val="18"/>
              </w:rPr>
            </w:pPr>
            <w:r>
              <w:rPr>
                <w:sz w:val="18"/>
              </w:rPr>
              <w:t>面部皮肤烧伤导致的瘢痕形成</w:t>
            </w:r>
          </w:p>
        </w:tc>
      </w:tr>
      <w:tr>
        <w:trPr>
          <w:trHeight w:val="311" w:hRule="atLeast"/>
        </w:trPr>
        <w:tc>
          <w:tcPr>
            <w:tcW w:w="339" w:type="dxa"/>
          </w:tcPr>
          <w:p>
            <w:pPr>
              <w:pStyle w:val="TableParagraph"/>
              <w:spacing w:before="10"/>
              <w:ind w:left="50"/>
              <w:rPr>
                <w:sz w:val="18"/>
              </w:rPr>
            </w:pPr>
            <w:r>
              <w:rPr>
                <w:sz w:val="18"/>
              </w:rPr>
              <w:t>46</w:t>
            </w:r>
          </w:p>
        </w:tc>
        <w:tc>
          <w:tcPr>
            <w:tcW w:w="2781" w:type="dxa"/>
          </w:tcPr>
          <w:p>
            <w:pPr>
              <w:pStyle w:val="TableParagraph"/>
              <w:spacing w:before="10"/>
              <w:ind w:left="107"/>
              <w:rPr>
                <w:sz w:val="18"/>
              </w:rPr>
            </w:pPr>
            <w:r>
              <w:rPr>
                <w:sz w:val="18"/>
              </w:rPr>
              <w:t>丝虫病所致象皮肿</w:t>
            </w:r>
          </w:p>
        </w:tc>
        <w:tc>
          <w:tcPr>
            <w:tcW w:w="530" w:type="dxa"/>
          </w:tcPr>
          <w:p>
            <w:pPr>
              <w:pStyle w:val="TableParagraph"/>
              <w:spacing w:before="10"/>
              <w:ind w:right="103"/>
              <w:jc w:val="right"/>
              <w:rPr>
                <w:sz w:val="18"/>
              </w:rPr>
            </w:pPr>
            <w:r>
              <w:rPr>
                <w:sz w:val="18"/>
              </w:rPr>
              <w:t>95</w:t>
            </w:r>
          </w:p>
        </w:tc>
        <w:tc>
          <w:tcPr>
            <w:tcW w:w="2496" w:type="dxa"/>
          </w:tcPr>
          <w:p>
            <w:pPr>
              <w:pStyle w:val="TableParagraph"/>
              <w:spacing w:before="10"/>
              <w:ind w:left="108"/>
              <w:rPr>
                <w:sz w:val="18"/>
              </w:rPr>
            </w:pPr>
            <w:r>
              <w:rPr>
                <w:sz w:val="18"/>
              </w:rPr>
              <w:t>皮肤烧伤导致的瘢痕形成</w:t>
            </w:r>
          </w:p>
        </w:tc>
      </w:tr>
      <w:tr>
        <w:trPr>
          <w:trHeight w:val="245" w:hRule="atLeast"/>
        </w:trPr>
        <w:tc>
          <w:tcPr>
            <w:tcW w:w="339" w:type="dxa"/>
          </w:tcPr>
          <w:p>
            <w:pPr>
              <w:pStyle w:val="TableParagraph"/>
              <w:spacing w:line="216" w:lineRule="exact" w:before="10"/>
              <w:ind w:left="50"/>
              <w:rPr>
                <w:sz w:val="18"/>
              </w:rPr>
            </w:pPr>
            <w:r>
              <w:rPr>
                <w:sz w:val="18"/>
              </w:rPr>
              <w:t>47</w:t>
            </w:r>
          </w:p>
        </w:tc>
        <w:tc>
          <w:tcPr>
            <w:tcW w:w="2781" w:type="dxa"/>
          </w:tcPr>
          <w:p>
            <w:pPr>
              <w:pStyle w:val="TableParagraph"/>
              <w:spacing w:line="216" w:lineRule="exact" w:before="10"/>
              <w:ind w:left="107"/>
              <w:rPr>
                <w:sz w:val="18"/>
              </w:rPr>
            </w:pPr>
            <w:r>
              <w:rPr>
                <w:sz w:val="18"/>
              </w:rPr>
              <w:t>胰腺移植</w:t>
            </w:r>
          </w:p>
        </w:tc>
        <w:tc>
          <w:tcPr>
            <w:tcW w:w="530" w:type="dxa"/>
          </w:tcPr>
          <w:p>
            <w:pPr>
              <w:pStyle w:val="TableParagraph"/>
              <w:rPr>
                <w:rFonts w:ascii="Times New Roman"/>
                <w:sz w:val="16"/>
              </w:rPr>
            </w:pPr>
          </w:p>
        </w:tc>
        <w:tc>
          <w:tcPr>
            <w:tcW w:w="2496" w:type="dxa"/>
          </w:tcPr>
          <w:p>
            <w:pPr>
              <w:pStyle w:val="TableParagraph"/>
              <w:rPr>
                <w:rFonts w:ascii="Times New Roman"/>
                <w:sz w:val="16"/>
              </w:rPr>
            </w:pPr>
          </w:p>
        </w:tc>
      </w:tr>
    </w:tbl>
    <w:p>
      <w:pPr>
        <w:pStyle w:val="BodyText"/>
        <w:rPr>
          <w:rFonts w:ascii="Times New Roman"/>
          <w:sz w:val="20"/>
        </w:rPr>
      </w:pPr>
    </w:p>
    <w:p>
      <w:pPr>
        <w:pStyle w:val="BodyText"/>
        <w:rPr>
          <w:rFonts w:ascii="Times New Roman"/>
          <w:sz w:val="20"/>
        </w:rPr>
      </w:pPr>
    </w:p>
    <w:p>
      <w:pPr>
        <w:pStyle w:val="BodyText"/>
        <w:spacing w:before="7" w:after="1"/>
        <w:rPr>
          <w:rFonts w:ascii="Times New Roman"/>
          <w:sz w:val="24"/>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8"/>
        <w:gridCol w:w="1646"/>
        <w:gridCol w:w="7714"/>
      </w:tblGrid>
      <w:tr>
        <w:trPr>
          <w:trHeight w:val="273" w:hRule="atLeast"/>
        </w:trPr>
        <w:tc>
          <w:tcPr>
            <w:tcW w:w="828" w:type="dxa"/>
          </w:tcPr>
          <w:p>
            <w:pPr>
              <w:pStyle w:val="TableParagraph"/>
              <w:spacing w:line="211" w:lineRule="exact"/>
              <w:ind w:left="50"/>
              <w:rPr>
                <w:b/>
                <w:sz w:val="21"/>
              </w:rPr>
            </w:pPr>
            <w:r>
              <w:rPr>
                <w:b/>
                <w:sz w:val="21"/>
              </w:rPr>
              <w:t>3.2</w:t>
            </w:r>
          </w:p>
        </w:tc>
        <w:tc>
          <w:tcPr>
            <w:tcW w:w="1646" w:type="dxa"/>
          </w:tcPr>
          <w:p>
            <w:pPr>
              <w:pStyle w:val="TableParagraph"/>
              <w:spacing w:line="211" w:lineRule="exact"/>
              <w:ind w:left="249"/>
              <w:rPr>
                <w:b/>
                <w:sz w:val="21"/>
              </w:rPr>
            </w:pPr>
            <w:r>
              <w:rPr>
                <w:b/>
                <w:sz w:val="21"/>
              </w:rPr>
              <w:t>重大疾病的定</w:t>
            </w:r>
          </w:p>
        </w:tc>
        <w:tc>
          <w:tcPr>
            <w:tcW w:w="7714" w:type="dxa"/>
          </w:tcPr>
          <w:p>
            <w:pPr>
              <w:pStyle w:val="TableParagraph"/>
              <w:spacing w:line="235" w:lineRule="exact"/>
              <w:ind w:left="127"/>
              <w:rPr>
                <w:sz w:val="21"/>
              </w:rPr>
            </w:pPr>
            <w:r>
              <w:rPr>
                <w:sz w:val="21"/>
              </w:rPr>
              <w:t>以上各种重大疾病须经我们指定或认可的</w:t>
            </w:r>
            <w:r>
              <w:rPr>
                <w:b/>
                <w:sz w:val="21"/>
              </w:rPr>
              <w:t>医院专科医生</w:t>
            </w:r>
            <w:r>
              <w:rPr>
                <w:sz w:val="21"/>
              </w:rPr>
              <w:t>明确诊断，符合以下定义</w:t>
            </w:r>
          </w:p>
        </w:tc>
      </w:tr>
      <w:tr>
        <w:trPr>
          <w:trHeight w:val="334" w:hRule="atLeast"/>
        </w:trPr>
        <w:tc>
          <w:tcPr>
            <w:tcW w:w="828" w:type="dxa"/>
          </w:tcPr>
          <w:p>
            <w:pPr>
              <w:pStyle w:val="TableParagraph"/>
              <w:rPr>
                <w:rFonts w:ascii="Times New Roman"/>
                <w:sz w:val="20"/>
              </w:rPr>
            </w:pPr>
          </w:p>
        </w:tc>
        <w:tc>
          <w:tcPr>
            <w:tcW w:w="1646" w:type="dxa"/>
          </w:tcPr>
          <w:p>
            <w:pPr>
              <w:pStyle w:val="TableParagraph"/>
              <w:spacing w:line="249" w:lineRule="exact"/>
              <w:ind w:left="249"/>
              <w:rPr>
                <w:b/>
                <w:sz w:val="21"/>
              </w:rPr>
            </w:pPr>
            <w:r>
              <w:rPr>
                <w:b/>
                <w:w w:val="100"/>
                <w:sz w:val="21"/>
              </w:rPr>
              <w:t>义</w:t>
            </w:r>
          </w:p>
        </w:tc>
        <w:tc>
          <w:tcPr>
            <w:tcW w:w="7714" w:type="dxa"/>
          </w:tcPr>
          <w:p>
            <w:pPr>
              <w:pStyle w:val="TableParagraph"/>
              <w:spacing w:before="5"/>
              <w:ind w:left="127"/>
              <w:rPr>
                <w:sz w:val="21"/>
              </w:rPr>
            </w:pPr>
            <w:r>
              <w:rPr>
                <w:sz w:val="21"/>
              </w:rPr>
              <w:t>（其中，前 25 种重大疾病定义完全采用了中国保险行业协会发布的《重大疾病保</w:t>
            </w:r>
          </w:p>
        </w:tc>
      </w:tr>
      <w:tr>
        <w:trPr>
          <w:trHeight w:val="459" w:hRule="atLeast"/>
        </w:trPr>
        <w:tc>
          <w:tcPr>
            <w:tcW w:w="828" w:type="dxa"/>
          </w:tcPr>
          <w:p>
            <w:pPr>
              <w:pStyle w:val="TableParagraph"/>
              <w:rPr>
                <w:rFonts w:ascii="Times New Roman"/>
                <w:sz w:val="20"/>
              </w:rPr>
            </w:pPr>
          </w:p>
        </w:tc>
        <w:tc>
          <w:tcPr>
            <w:tcW w:w="1646" w:type="dxa"/>
          </w:tcPr>
          <w:p>
            <w:pPr>
              <w:pStyle w:val="TableParagraph"/>
              <w:rPr>
                <w:rFonts w:ascii="Times New Roman"/>
                <w:sz w:val="20"/>
              </w:rPr>
            </w:pPr>
          </w:p>
        </w:tc>
        <w:tc>
          <w:tcPr>
            <w:tcW w:w="7714" w:type="dxa"/>
          </w:tcPr>
          <w:p>
            <w:pPr>
              <w:pStyle w:val="TableParagraph"/>
              <w:spacing w:line="265" w:lineRule="exact"/>
              <w:ind w:left="127"/>
              <w:rPr>
                <w:sz w:val="21"/>
              </w:rPr>
            </w:pPr>
            <w:r>
              <w:rPr>
                <w:spacing w:val="-3"/>
                <w:w w:val="100"/>
                <w:sz w:val="21"/>
              </w:rPr>
              <w:t>险的疾病定义使用规范》中的疾病定义</w:t>
            </w:r>
            <w:r>
              <w:rPr>
                <w:spacing w:val="-108"/>
                <w:w w:val="100"/>
                <w:sz w:val="21"/>
              </w:rPr>
              <w:t>）</w:t>
            </w:r>
            <w:r>
              <w:rPr>
                <w:w w:val="100"/>
                <w:sz w:val="21"/>
              </w:rPr>
              <w:t>：</w:t>
            </w:r>
          </w:p>
        </w:tc>
      </w:tr>
      <w:tr>
        <w:trPr>
          <w:trHeight w:val="3736" w:hRule="atLeast"/>
        </w:trPr>
        <w:tc>
          <w:tcPr>
            <w:tcW w:w="828" w:type="dxa"/>
          </w:tcPr>
          <w:p>
            <w:pPr>
              <w:pStyle w:val="TableParagraph"/>
              <w:spacing w:before="128"/>
              <w:ind w:left="50"/>
              <w:rPr>
                <w:i/>
                <w:sz w:val="22"/>
              </w:rPr>
            </w:pPr>
            <w:r>
              <w:rPr>
                <w:i/>
                <w:sz w:val="22"/>
              </w:rPr>
              <w:t>3.2.1</w:t>
            </w:r>
          </w:p>
        </w:tc>
        <w:tc>
          <w:tcPr>
            <w:tcW w:w="1646" w:type="dxa"/>
          </w:tcPr>
          <w:p>
            <w:pPr>
              <w:pStyle w:val="TableParagraph"/>
              <w:spacing w:before="128"/>
              <w:ind w:left="249"/>
              <w:rPr>
                <w:i/>
                <w:sz w:val="22"/>
              </w:rPr>
            </w:pPr>
            <w:r>
              <w:rPr>
                <w:i/>
                <w:w w:val="95"/>
                <w:sz w:val="22"/>
              </w:rPr>
              <w:t>恶性肿瘤</w:t>
            </w:r>
          </w:p>
        </w:tc>
        <w:tc>
          <w:tcPr>
            <w:tcW w:w="7714" w:type="dxa"/>
          </w:tcPr>
          <w:p>
            <w:pPr>
              <w:pStyle w:val="TableParagraph"/>
              <w:spacing w:line="273" w:lineRule="auto" w:before="140"/>
              <w:ind w:left="127" w:right="50"/>
              <w:rPr>
                <w:sz w:val="21"/>
              </w:rPr>
            </w:pPr>
            <w:r>
              <w:rPr>
                <w:spacing w:val="-3"/>
                <w:sz w:val="21"/>
              </w:rPr>
              <w:t>指恶性细胞不受控制的进行性增长和扩散，浸润和破坏周围正常组织，可以经血 </w:t>
            </w:r>
            <w:r>
              <w:rPr>
                <w:spacing w:val="-6"/>
                <w:sz w:val="21"/>
              </w:rPr>
              <w:t>管、淋巴管和体腔扩散转移到身体其它部位的疾病。经病理学检查结果明确诊断， </w:t>
            </w:r>
            <w:r>
              <w:rPr>
                <w:spacing w:val="-5"/>
                <w:sz w:val="21"/>
              </w:rPr>
              <w:t>临床诊断属于世界卫生组织《疾病和有关健康问题的国际统计分类</w:t>
            </w:r>
            <w:r>
              <w:rPr>
                <w:spacing w:val="-118"/>
                <w:sz w:val="21"/>
              </w:rPr>
              <w:t>》</w:t>
            </w:r>
            <w:r>
              <w:rPr>
                <w:spacing w:val="-3"/>
                <w:sz w:val="21"/>
              </w:rPr>
              <w:t>（ICD-10）</w:t>
            </w:r>
            <w:r>
              <w:rPr>
                <w:spacing w:val="-13"/>
                <w:sz w:val="21"/>
              </w:rPr>
              <w:t>的</w:t>
            </w:r>
            <w:r>
              <w:rPr>
                <w:spacing w:val="-2"/>
                <w:sz w:val="21"/>
              </w:rPr>
              <w:t>恶性肿瘤范畴。</w:t>
            </w:r>
          </w:p>
          <w:p>
            <w:pPr>
              <w:pStyle w:val="TableParagraph"/>
              <w:spacing w:before="7"/>
              <w:ind w:left="127"/>
              <w:rPr>
                <w:b/>
                <w:sz w:val="21"/>
              </w:rPr>
            </w:pPr>
            <w:r>
              <w:rPr>
                <w:b/>
                <w:sz w:val="21"/>
              </w:rPr>
              <w:t>下列疾病不在保障范围内：</w:t>
            </w:r>
          </w:p>
          <w:p>
            <w:pPr>
              <w:pStyle w:val="TableParagraph"/>
              <w:spacing w:before="36"/>
              <w:ind w:left="127"/>
              <w:rPr>
                <w:b/>
                <w:sz w:val="21"/>
              </w:rPr>
            </w:pPr>
            <w:r>
              <w:rPr>
                <w:b/>
                <w:sz w:val="21"/>
              </w:rPr>
              <w:t>（1）原位癌；</w:t>
            </w:r>
          </w:p>
          <w:p>
            <w:pPr>
              <w:pStyle w:val="TableParagraph"/>
              <w:spacing w:before="36"/>
              <w:ind w:left="127"/>
              <w:rPr>
                <w:b/>
                <w:sz w:val="21"/>
              </w:rPr>
            </w:pPr>
            <w:r>
              <w:rPr>
                <w:b/>
                <w:sz w:val="21"/>
              </w:rPr>
              <w:t>（2）相当于 Binet 分期方案 A 期程度的慢性淋巴细胞白血病；</w:t>
            </w:r>
          </w:p>
          <w:p>
            <w:pPr>
              <w:pStyle w:val="TableParagraph"/>
              <w:spacing w:before="36"/>
              <w:ind w:left="127"/>
              <w:rPr>
                <w:b/>
                <w:sz w:val="21"/>
              </w:rPr>
            </w:pPr>
            <w:r>
              <w:rPr>
                <w:b/>
                <w:sz w:val="21"/>
              </w:rPr>
              <w:t>（3）相当于 Ann Arbor 分期方案 I 期程度的何杰金氏病；</w:t>
            </w:r>
          </w:p>
          <w:p>
            <w:pPr>
              <w:pStyle w:val="TableParagraph"/>
              <w:spacing w:before="36"/>
              <w:ind w:left="127"/>
              <w:rPr>
                <w:b/>
                <w:sz w:val="21"/>
              </w:rPr>
            </w:pPr>
            <w:r>
              <w:rPr>
                <w:b/>
                <w:w w:val="100"/>
                <w:sz w:val="21"/>
              </w:rPr>
              <w:t>（</w:t>
            </w:r>
            <w:r>
              <w:rPr>
                <w:b/>
                <w:w w:val="99"/>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before="36"/>
              <w:ind w:left="127"/>
              <w:rPr>
                <w:b/>
                <w:sz w:val="21"/>
              </w:rPr>
            </w:pPr>
            <w:r>
              <w:rPr>
                <w:b/>
                <w:position w:val="1"/>
                <w:sz w:val="21"/>
              </w:rPr>
              <w:t>（5）TNM 分期为T</w:t>
            </w:r>
            <w:r>
              <w:rPr>
                <w:b/>
                <w:sz w:val="11"/>
              </w:rPr>
              <w:t>1</w:t>
            </w:r>
            <w:r>
              <w:rPr>
                <w:b/>
                <w:position w:val="1"/>
                <w:sz w:val="21"/>
              </w:rPr>
              <w:t>N</w:t>
            </w:r>
            <w:r>
              <w:rPr>
                <w:b/>
                <w:sz w:val="11"/>
              </w:rPr>
              <w:t>0</w:t>
            </w:r>
            <w:r>
              <w:rPr>
                <w:b/>
                <w:position w:val="1"/>
                <w:sz w:val="21"/>
              </w:rPr>
              <w:t>M</w:t>
            </w:r>
            <w:r>
              <w:rPr>
                <w:b/>
                <w:sz w:val="11"/>
              </w:rPr>
              <w:t>0</w:t>
            </w:r>
            <w:r>
              <w:rPr>
                <w:b/>
                <w:position w:val="1"/>
                <w:sz w:val="21"/>
              </w:rPr>
              <w:t>期或更轻分期的前列腺癌；</w:t>
            </w:r>
          </w:p>
          <w:p>
            <w:pPr>
              <w:pStyle w:val="TableParagraph"/>
              <w:spacing w:before="37"/>
              <w:ind w:left="127"/>
              <w:rPr>
                <w:b/>
                <w:sz w:val="21"/>
              </w:rPr>
            </w:pPr>
            <w:r>
              <w:rPr>
                <w:b/>
                <w:sz w:val="21"/>
              </w:rPr>
              <w:t>（6）感染艾滋病病毒或患艾滋病期间所患恶性肿瘤。</w:t>
            </w:r>
          </w:p>
        </w:tc>
      </w:tr>
      <w:tr>
        <w:trPr>
          <w:trHeight w:val="2184" w:hRule="atLeast"/>
        </w:trPr>
        <w:tc>
          <w:tcPr>
            <w:tcW w:w="828" w:type="dxa"/>
          </w:tcPr>
          <w:p>
            <w:pPr>
              <w:pStyle w:val="TableParagraph"/>
              <w:spacing w:before="136"/>
              <w:ind w:left="50"/>
              <w:rPr>
                <w:i/>
                <w:sz w:val="22"/>
              </w:rPr>
            </w:pPr>
            <w:r>
              <w:rPr>
                <w:i/>
                <w:sz w:val="22"/>
              </w:rPr>
              <w:t>3.2.2</w:t>
            </w:r>
          </w:p>
        </w:tc>
        <w:tc>
          <w:tcPr>
            <w:tcW w:w="1646" w:type="dxa"/>
          </w:tcPr>
          <w:p>
            <w:pPr>
              <w:pStyle w:val="TableParagraph"/>
              <w:spacing w:before="136"/>
              <w:ind w:left="249"/>
              <w:rPr>
                <w:i/>
                <w:sz w:val="22"/>
              </w:rPr>
            </w:pPr>
            <w:r>
              <w:rPr>
                <w:i/>
                <w:w w:val="95"/>
                <w:sz w:val="22"/>
              </w:rPr>
              <w:t>急性心肌梗塞</w:t>
            </w:r>
          </w:p>
        </w:tc>
        <w:tc>
          <w:tcPr>
            <w:tcW w:w="7714" w:type="dxa"/>
          </w:tcPr>
          <w:p>
            <w:pPr>
              <w:pStyle w:val="TableParagraph"/>
              <w:spacing w:line="273" w:lineRule="auto" w:before="147"/>
              <w:ind w:left="127" w:right="157"/>
              <w:rPr>
                <w:b/>
                <w:sz w:val="21"/>
              </w:rPr>
            </w:pPr>
            <w:r>
              <w:rPr>
                <w:sz w:val="21"/>
              </w:rPr>
              <w:t>指因冠状动脉阻塞导致的相应区域供血不足造成部分心肌坏死。</w:t>
            </w:r>
            <w:r>
              <w:rPr>
                <w:b/>
                <w:sz w:val="21"/>
              </w:rPr>
              <w:t>须满足下列至少三项条件：</w:t>
            </w:r>
          </w:p>
          <w:p>
            <w:pPr>
              <w:pStyle w:val="TableParagraph"/>
              <w:spacing w:before="7"/>
              <w:ind w:left="127"/>
              <w:rPr>
                <w:b/>
                <w:sz w:val="21"/>
              </w:rPr>
            </w:pPr>
            <w:r>
              <w:rPr>
                <w:b/>
                <w:sz w:val="21"/>
              </w:rPr>
              <w:t>（1）典型临床表现，例如急性胸痛等；</w:t>
            </w:r>
          </w:p>
          <w:p>
            <w:pPr>
              <w:pStyle w:val="TableParagraph"/>
              <w:spacing w:before="37"/>
              <w:ind w:left="127"/>
              <w:rPr>
                <w:b/>
                <w:sz w:val="21"/>
              </w:rPr>
            </w:pPr>
            <w:r>
              <w:rPr>
                <w:b/>
                <w:sz w:val="21"/>
              </w:rPr>
              <w:t>（2）新近的心电图改变提示急性心肌梗塞；</w:t>
            </w:r>
          </w:p>
          <w:p>
            <w:pPr>
              <w:pStyle w:val="TableParagraph"/>
              <w:spacing w:before="37"/>
              <w:ind w:left="127"/>
              <w:rPr>
                <w:b/>
                <w:sz w:val="21"/>
              </w:rPr>
            </w:pPr>
            <w:r>
              <w:rPr>
                <w:b/>
                <w:w w:val="100"/>
                <w:sz w:val="21"/>
              </w:rPr>
              <w:t>（</w:t>
            </w:r>
            <w:r>
              <w:rPr>
                <w:b/>
                <w:w w:val="99"/>
                <w:sz w:val="21"/>
              </w:rPr>
              <w:t>3</w:t>
            </w:r>
            <w:r>
              <w:rPr>
                <w:b/>
                <w:spacing w:val="-85"/>
                <w:w w:val="100"/>
                <w:sz w:val="21"/>
              </w:rPr>
              <w:t>）</w:t>
            </w:r>
            <w:r>
              <w:rPr>
                <w:b/>
                <w:spacing w:val="-7"/>
                <w:w w:val="100"/>
                <w:sz w:val="21"/>
              </w:rPr>
              <w:t>心肌酶或肌钙蛋白有诊断意义的升高，或呈符合急性心肌梗塞的动态性变化；</w:t>
            </w:r>
          </w:p>
          <w:p>
            <w:pPr>
              <w:pStyle w:val="TableParagraph"/>
              <w:spacing w:before="37"/>
              <w:ind w:left="127"/>
              <w:rPr>
                <w:b/>
                <w:sz w:val="21"/>
              </w:rPr>
            </w:pPr>
            <w:r>
              <w:rPr>
                <w:b/>
                <w:sz w:val="21"/>
              </w:rPr>
              <w:t>（4）发病 90 天后，经检查证实左心室功能降低，如左心室射血分数低于 50%。</w:t>
            </w:r>
          </w:p>
        </w:tc>
      </w:tr>
      <w:tr>
        <w:trPr>
          <w:trHeight w:val="473" w:hRule="atLeast"/>
        </w:trPr>
        <w:tc>
          <w:tcPr>
            <w:tcW w:w="828" w:type="dxa"/>
          </w:tcPr>
          <w:p>
            <w:pPr>
              <w:pStyle w:val="TableParagraph"/>
              <w:spacing w:before="136"/>
              <w:ind w:left="50"/>
              <w:rPr>
                <w:i/>
                <w:sz w:val="22"/>
              </w:rPr>
            </w:pPr>
            <w:r>
              <w:rPr>
                <w:i/>
                <w:sz w:val="22"/>
              </w:rPr>
              <w:t>3.2.3</w:t>
            </w:r>
          </w:p>
        </w:tc>
        <w:tc>
          <w:tcPr>
            <w:tcW w:w="1646" w:type="dxa"/>
          </w:tcPr>
          <w:p>
            <w:pPr>
              <w:pStyle w:val="TableParagraph"/>
              <w:spacing w:before="136"/>
              <w:ind w:left="249"/>
              <w:rPr>
                <w:i/>
                <w:sz w:val="22"/>
              </w:rPr>
            </w:pPr>
            <w:r>
              <w:rPr>
                <w:i/>
                <w:w w:val="95"/>
                <w:sz w:val="22"/>
              </w:rPr>
              <w:t>脑中风后遗症</w:t>
            </w:r>
          </w:p>
        </w:tc>
        <w:tc>
          <w:tcPr>
            <w:tcW w:w="7714" w:type="dxa"/>
          </w:tcPr>
          <w:p>
            <w:pPr>
              <w:pStyle w:val="TableParagraph"/>
              <w:spacing w:before="147"/>
              <w:ind w:left="127"/>
              <w:rPr>
                <w:sz w:val="21"/>
              </w:rPr>
            </w:pPr>
            <w:r>
              <w:rPr>
                <w:sz w:val="21"/>
              </w:rPr>
              <w:t>指因脑血管的突发病变引起脑血管出血、栓塞或梗塞，并导致神经系统永久性的</w:t>
            </w:r>
          </w:p>
        </w:tc>
      </w:tr>
      <w:tr>
        <w:trPr>
          <w:trHeight w:val="311" w:hRule="atLeast"/>
        </w:trPr>
        <w:tc>
          <w:tcPr>
            <w:tcW w:w="828" w:type="dxa"/>
          </w:tcPr>
          <w:p>
            <w:pPr>
              <w:pStyle w:val="TableParagraph"/>
              <w:rPr>
                <w:rFonts w:ascii="Times New Roman"/>
                <w:sz w:val="20"/>
              </w:rPr>
            </w:pPr>
          </w:p>
        </w:tc>
        <w:tc>
          <w:tcPr>
            <w:tcW w:w="1646" w:type="dxa"/>
          </w:tcPr>
          <w:p>
            <w:pPr>
              <w:pStyle w:val="TableParagraph"/>
              <w:rPr>
                <w:rFonts w:ascii="Times New Roman"/>
                <w:sz w:val="20"/>
              </w:rPr>
            </w:pPr>
          </w:p>
        </w:tc>
        <w:tc>
          <w:tcPr>
            <w:tcW w:w="7714" w:type="dxa"/>
          </w:tcPr>
          <w:p>
            <w:pPr>
              <w:pStyle w:val="TableParagraph"/>
              <w:spacing w:line="261" w:lineRule="exact"/>
              <w:ind w:left="127"/>
              <w:rPr>
                <w:sz w:val="21"/>
              </w:rPr>
            </w:pPr>
            <w:r>
              <w:rPr>
                <w:sz w:val="21"/>
              </w:rPr>
              <w:t>功能障碍。神经系统永久性的功能障碍，指疾病确诊 180 天后，仍遗留下列一种</w:t>
            </w:r>
          </w:p>
        </w:tc>
      </w:tr>
      <w:tr>
        <w:trPr>
          <w:trHeight w:val="261" w:hRule="atLeast"/>
        </w:trPr>
        <w:tc>
          <w:tcPr>
            <w:tcW w:w="828" w:type="dxa"/>
          </w:tcPr>
          <w:p>
            <w:pPr>
              <w:pStyle w:val="TableParagraph"/>
              <w:rPr>
                <w:rFonts w:ascii="Times New Roman"/>
                <w:sz w:val="18"/>
              </w:rPr>
            </w:pPr>
          </w:p>
        </w:tc>
        <w:tc>
          <w:tcPr>
            <w:tcW w:w="1646" w:type="dxa"/>
          </w:tcPr>
          <w:p>
            <w:pPr>
              <w:pStyle w:val="TableParagraph"/>
              <w:rPr>
                <w:rFonts w:ascii="Times New Roman"/>
                <w:sz w:val="18"/>
              </w:rPr>
            </w:pPr>
          </w:p>
        </w:tc>
        <w:tc>
          <w:tcPr>
            <w:tcW w:w="7714" w:type="dxa"/>
          </w:tcPr>
          <w:p>
            <w:pPr>
              <w:pStyle w:val="TableParagraph"/>
              <w:spacing w:line="242" w:lineRule="exact"/>
              <w:ind w:left="127"/>
              <w:rPr>
                <w:sz w:val="21"/>
              </w:rPr>
            </w:pPr>
            <w:r>
              <w:rPr>
                <w:sz w:val="21"/>
              </w:rPr>
              <w:t>或一种以上障碍：</w:t>
            </w:r>
          </w:p>
        </w:tc>
      </w:tr>
    </w:tbl>
    <w:p>
      <w:pPr>
        <w:spacing w:after="0" w:line="242" w:lineRule="exact"/>
        <w:rPr>
          <w:sz w:val="21"/>
        </w:rPr>
        <w:sectPr>
          <w:pgSz w:w="11910" w:h="16840"/>
          <w:pgMar w:header="892" w:footer="917" w:top="1080" w:bottom="1180" w:left="960" w:right="54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14"/>
        <w:gridCol w:w="7839"/>
      </w:tblGrid>
      <w:tr>
        <w:trPr>
          <w:trHeight w:val="1337" w:hRule="atLeast"/>
        </w:trPr>
        <w:tc>
          <w:tcPr>
            <w:tcW w:w="1030" w:type="dxa"/>
          </w:tcPr>
          <w:p>
            <w:pPr>
              <w:pStyle w:val="TableParagraph"/>
              <w:rPr>
                <w:rFonts w:ascii="Times New Roman"/>
                <w:sz w:val="20"/>
              </w:rPr>
            </w:pPr>
          </w:p>
        </w:tc>
        <w:tc>
          <w:tcPr>
            <w:tcW w:w="1614" w:type="dxa"/>
          </w:tcPr>
          <w:p>
            <w:pPr>
              <w:pStyle w:val="TableParagraph"/>
              <w:rPr>
                <w:rFonts w:ascii="Times New Roman"/>
                <w:sz w:val="20"/>
              </w:rPr>
            </w:pPr>
          </w:p>
        </w:tc>
        <w:tc>
          <w:tcPr>
            <w:tcW w:w="7839" w:type="dxa"/>
          </w:tcPr>
          <w:p>
            <w:pPr>
              <w:pStyle w:val="TableParagraph"/>
              <w:spacing w:line="211" w:lineRule="exact"/>
              <w:ind w:left="107"/>
              <w:rPr>
                <w:sz w:val="21"/>
              </w:rPr>
            </w:pPr>
            <w:r>
              <w:rPr>
                <w:sz w:val="21"/>
              </w:rPr>
              <w:t>（1）一肢或一肢以上肢体机能完全丧失；</w:t>
            </w:r>
          </w:p>
          <w:p>
            <w:pPr>
              <w:pStyle w:val="TableParagraph"/>
              <w:spacing w:before="37"/>
              <w:ind w:left="107"/>
              <w:rPr>
                <w:sz w:val="21"/>
              </w:rPr>
            </w:pPr>
            <w:r>
              <w:rPr>
                <w:sz w:val="21"/>
              </w:rPr>
              <w:t>（2）语言能力或咀嚼吞咽能力完全丧失；</w:t>
            </w:r>
          </w:p>
          <w:p>
            <w:pPr>
              <w:pStyle w:val="TableParagraph"/>
              <w:spacing w:line="273" w:lineRule="auto" w:before="37"/>
              <w:ind w:left="107" w:right="266"/>
              <w:rPr>
                <w:sz w:val="21"/>
              </w:rPr>
            </w:pPr>
            <w:r>
              <w:rPr>
                <w:sz w:val="21"/>
              </w:rPr>
              <w:t>（3）自主生活能力完全丧失，无法独立完成六项基本日常生活活动中的三项或三项以上。</w:t>
            </w:r>
          </w:p>
        </w:tc>
      </w:tr>
      <w:tr>
        <w:trPr>
          <w:trHeight w:val="1882" w:hRule="atLeast"/>
        </w:trPr>
        <w:tc>
          <w:tcPr>
            <w:tcW w:w="1030" w:type="dxa"/>
          </w:tcPr>
          <w:p>
            <w:pPr>
              <w:pStyle w:val="TableParagraph"/>
              <w:spacing w:before="146"/>
              <w:ind w:left="200"/>
              <w:rPr>
                <w:i/>
                <w:sz w:val="22"/>
              </w:rPr>
            </w:pPr>
            <w:r>
              <w:rPr>
                <w:i/>
                <w:sz w:val="22"/>
              </w:rPr>
              <w:t>3.2.4</w:t>
            </w:r>
          </w:p>
        </w:tc>
        <w:tc>
          <w:tcPr>
            <w:tcW w:w="1614" w:type="dxa"/>
          </w:tcPr>
          <w:p>
            <w:pPr>
              <w:pStyle w:val="TableParagraph"/>
              <w:spacing w:line="228" w:lineRule="auto" w:before="139"/>
              <w:ind w:left="197" w:right="104"/>
              <w:jc w:val="both"/>
              <w:rPr>
                <w:i/>
                <w:sz w:val="22"/>
              </w:rPr>
            </w:pPr>
            <w:r>
              <w:rPr>
                <w:i/>
                <w:w w:val="95"/>
                <w:sz w:val="22"/>
              </w:rPr>
              <w:t>重大器官移植术或造血干细胞移植术</w:t>
            </w:r>
          </w:p>
        </w:tc>
        <w:tc>
          <w:tcPr>
            <w:tcW w:w="7839" w:type="dxa"/>
          </w:tcPr>
          <w:p>
            <w:pPr>
              <w:pStyle w:val="TableParagraph"/>
              <w:spacing w:line="273" w:lineRule="auto" w:before="158"/>
              <w:ind w:left="107" w:right="307"/>
              <w:jc w:val="both"/>
              <w:rPr>
                <w:sz w:val="21"/>
              </w:rPr>
            </w:pPr>
            <w:r>
              <w:rPr>
                <w:sz w:val="21"/>
              </w:rPr>
              <w:t>重大器官移植术，指因相应器官功能衰竭，已经实施了肾脏、肝脏、心脏或肺脏的异体移植手术。</w:t>
            </w:r>
          </w:p>
          <w:p>
            <w:pPr>
              <w:pStyle w:val="TableParagraph"/>
              <w:spacing w:line="273" w:lineRule="auto" w:before="7"/>
              <w:ind w:left="107" w:right="30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554" w:hRule="atLeast"/>
        </w:trPr>
        <w:tc>
          <w:tcPr>
            <w:tcW w:w="1030" w:type="dxa"/>
          </w:tcPr>
          <w:p>
            <w:pPr>
              <w:pStyle w:val="TableParagraph"/>
              <w:spacing w:before="136"/>
              <w:ind w:left="200"/>
              <w:rPr>
                <w:i/>
                <w:sz w:val="22"/>
              </w:rPr>
            </w:pPr>
            <w:r>
              <w:rPr>
                <w:i/>
                <w:sz w:val="22"/>
              </w:rPr>
              <w:t>3.2.5</w:t>
            </w:r>
          </w:p>
        </w:tc>
        <w:tc>
          <w:tcPr>
            <w:tcW w:w="1614" w:type="dxa"/>
          </w:tcPr>
          <w:p>
            <w:pPr>
              <w:pStyle w:val="TableParagraph"/>
              <w:spacing w:line="259" w:lineRule="auto" w:before="136"/>
              <w:ind w:left="196" w:right="104"/>
              <w:jc w:val="both"/>
              <w:rPr>
                <w:i/>
                <w:sz w:val="22"/>
              </w:rPr>
            </w:pPr>
            <w:r>
              <w:rPr>
                <w:i/>
                <w:w w:val="95"/>
                <w:sz w:val="22"/>
              </w:rPr>
              <w:t>冠状动脉搭桥术（或称冠状动脉旁路移植术）</w:t>
            </w:r>
          </w:p>
        </w:tc>
        <w:tc>
          <w:tcPr>
            <w:tcW w:w="7839" w:type="dxa"/>
          </w:tcPr>
          <w:p>
            <w:pPr>
              <w:pStyle w:val="TableParagraph"/>
              <w:spacing w:line="273" w:lineRule="auto" w:before="147"/>
              <w:ind w:left="107" w:right="307"/>
              <w:jc w:val="both"/>
              <w:rPr>
                <w:b/>
                <w:sz w:val="21"/>
              </w:rPr>
            </w:pPr>
            <w:r>
              <w:rPr>
                <w:sz w:val="21"/>
              </w:rPr>
              <w:t>指为治疗严重的冠心病，实际实施了开胸进行的冠状动脉血管旁路移植的手术。</w:t>
            </w:r>
            <w:r>
              <w:rPr>
                <w:b/>
                <w:sz w:val="21"/>
              </w:rPr>
              <w:t>冠状动脉支架植入术、心导管球囊扩张术、激光射频技术及其它非开胸的介入手术、腔镜手术不在保障范围内。</w:t>
            </w:r>
          </w:p>
        </w:tc>
      </w:tr>
      <w:tr>
        <w:trPr>
          <w:trHeight w:val="1565" w:hRule="atLeast"/>
        </w:trPr>
        <w:tc>
          <w:tcPr>
            <w:tcW w:w="1030" w:type="dxa"/>
          </w:tcPr>
          <w:p>
            <w:pPr>
              <w:pStyle w:val="TableParagraph"/>
              <w:spacing w:before="141"/>
              <w:ind w:left="200"/>
              <w:rPr>
                <w:i/>
                <w:sz w:val="22"/>
              </w:rPr>
            </w:pPr>
            <w:r>
              <w:rPr>
                <w:i/>
                <w:sz w:val="22"/>
              </w:rPr>
              <w:t>3.2.6</w:t>
            </w:r>
          </w:p>
        </w:tc>
        <w:tc>
          <w:tcPr>
            <w:tcW w:w="1614" w:type="dxa"/>
          </w:tcPr>
          <w:p>
            <w:pPr>
              <w:pStyle w:val="TableParagraph"/>
              <w:spacing w:before="141"/>
              <w:ind w:left="197"/>
              <w:rPr>
                <w:i/>
                <w:sz w:val="22"/>
              </w:rPr>
            </w:pPr>
            <w:r>
              <w:rPr>
                <w:i/>
                <w:w w:val="95"/>
                <w:sz w:val="22"/>
              </w:rPr>
              <w:t>终末期肾病</w:t>
            </w:r>
          </w:p>
          <w:p>
            <w:pPr>
              <w:pStyle w:val="TableParagraph"/>
              <w:spacing w:line="259" w:lineRule="auto" w:before="24"/>
              <w:ind w:left="196" w:right="152"/>
              <w:jc w:val="both"/>
              <w:rPr>
                <w:i/>
                <w:sz w:val="22"/>
              </w:rPr>
            </w:pPr>
            <w:r>
              <w:rPr>
                <w:i/>
                <w:w w:val="95"/>
                <w:sz w:val="22"/>
              </w:rPr>
              <w:t>（或称慢性肾功能衰竭尿毒症期）</w:t>
            </w:r>
          </w:p>
        </w:tc>
        <w:tc>
          <w:tcPr>
            <w:tcW w:w="7839" w:type="dxa"/>
          </w:tcPr>
          <w:p>
            <w:pPr>
              <w:pStyle w:val="TableParagraph"/>
              <w:spacing w:line="237" w:lineRule="auto" w:before="134"/>
              <w:ind w:left="107" w:right="304"/>
              <w:rPr>
                <w:b/>
                <w:sz w:val="21"/>
              </w:rPr>
            </w:pPr>
            <w:r>
              <w:rPr>
                <w:spacing w:val="-7"/>
                <w:sz w:val="21"/>
              </w:rPr>
              <w:t>指双肾功能慢性不可逆性衰竭，达到尿毒症期，</w:t>
            </w:r>
            <w:r>
              <w:rPr>
                <w:b/>
                <w:spacing w:val="-5"/>
                <w:sz w:val="21"/>
              </w:rPr>
              <w:t>经诊断后已经进行了至少 </w:t>
            </w:r>
            <w:r>
              <w:rPr>
                <w:b/>
                <w:sz w:val="21"/>
              </w:rPr>
              <w:t>90</w:t>
            </w:r>
            <w:r>
              <w:rPr>
                <w:b/>
                <w:spacing w:val="-14"/>
                <w:sz w:val="21"/>
              </w:rPr>
              <w:t> 天的</w:t>
            </w:r>
            <w:r>
              <w:rPr>
                <w:b/>
                <w:spacing w:val="-11"/>
                <w:sz w:val="21"/>
              </w:rPr>
              <w:t>规律性透析治疗或实施了肾脏移植手术。</w:t>
            </w:r>
          </w:p>
        </w:tc>
      </w:tr>
      <w:tr>
        <w:trPr>
          <w:trHeight w:val="935" w:hRule="atLeast"/>
        </w:trPr>
        <w:tc>
          <w:tcPr>
            <w:tcW w:w="1030" w:type="dxa"/>
          </w:tcPr>
          <w:p>
            <w:pPr>
              <w:pStyle w:val="TableParagraph"/>
              <w:spacing w:before="135"/>
              <w:ind w:left="200"/>
              <w:rPr>
                <w:i/>
                <w:sz w:val="22"/>
              </w:rPr>
            </w:pPr>
            <w:r>
              <w:rPr>
                <w:i/>
                <w:sz w:val="22"/>
              </w:rPr>
              <w:t>3.2.7</w:t>
            </w:r>
          </w:p>
        </w:tc>
        <w:tc>
          <w:tcPr>
            <w:tcW w:w="1614" w:type="dxa"/>
          </w:tcPr>
          <w:p>
            <w:pPr>
              <w:pStyle w:val="TableParagraph"/>
              <w:spacing w:before="135"/>
              <w:ind w:left="197"/>
              <w:rPr>
                <w:i/>
                <w:sz w:val="22"/>
              </w:rPr>
            </w:pPr>
            <w:r>
              <w:rPr>
                <w:i/>
                <w:w w:val="95"/>
                <w:sz w:val="22"/>
              </w:rPr>
              <w:t>多个肢体缺失</w:t>
            </w:r>
          </w:p>
        </w:tc>
        <w:tc>
          <w:tcPr>
            <w:tcW w:w="7839" w:type="dxa"/>
          </w:tcPr>
          <w:p>
            <w:pPr>
              <w:pStyle w:val="TableParagraph"/>
              <w:spacing w:line="273" w:lineRule="auto" w:before="147"/>
              <w:ind w:left="107" w:right="370" w:hanging="1"/>
              <w:rPr>
                <w:sz w:val="21"/>
              </w:rPr>
            </w:pPr>
            <w:r>
              <w:rPr>
                <w:sz w:val="21"/>
              </w:rPr>
              <w:t>指因疾病或</w:t>
            </w:r>
            <w:r>
              <w:rPr>
                <w:b/>
                <w:sz w:val="21"/>
              </w:rPr>
              <w:t>意外伤害</w:t>
            </w:r>
            <w:r>
              <w:rPr>
                <w:sz w:val="21"/>
              </w:rPr>
              <w:t>导致两个或两个以上肢体自腕关节或踝关节近端（靠近躯干端）以上完全性断离。</w:t>
            </w:r>
          </w:p>
        </w:tc>
      </w:tr>
      <w:tr>
        <w:trPr>
          <w:trHeight w:val="2183" w:hRule="atLeast"/>
        </w:trPr>
        <w:tc>
          <w:tcPr>
            <w:tcW w:w="1030" w:type="dxa"/>
          </w:tcPr>
          <w:p>
            <w:pPr>
              <w:pStyle w:val="TableParagraph"/>
              <w:spacing w:before="136"/>
              <w:ind w:left="200"/>
              <w:rPr>
                <w:i/>
                <w:sz w:val="22"/>
              </w:rPr>
            </w:pPr>
            <w:r>
              <w:rPr>
                <w:i/>
                <w:sz w:val="22"/>
              </w:rPr>
              <w:t>3.2.8</w:t>
            </w:r>
          </w:p>
        </w:tc>
        <w:tc>
          <w:tcPr>
            <w:tcW w:w="1614" w:type="dxa"/>
          </w:tcPr>
          <w:p>
            <w:pPr>
              <w:pStyle w:val="TableParagraph"/>
              <w:spacing w:line="259" w:lineRule="auto" w:before="136"/>
              <w:ind w:left="197" w:right="104"/>
              <w:rPr>
                <w:i/>
                <w:sz w:val="22"/>
              </w:rPr>
            </w:pPr>
            <w:r>
              <w:rPr>
                <w:i/>
                <w:w w:val="95"/>
                <w:sz w:val="22"/>
              </w:rPr>
              <w:t>急性或亚急性重症肝炎</w:t>
            </w:r>
          </w:p>
        </w:tc>
        <w:tc>
          <w:tcPr>
            <w:tcW w:w="7839" w:type="dxa"/>
          </w:tcPr>
          <w:p>
            <w:pPr>
              <w:pStyle w:val="TableParagraph"/>
              <w:spacing w:line="273" w:lineRule="auto" w:before="147"/>
              <w:ind w:left="107" w:right="307"/>
              <w:rPr>
                <w:sz w:val="21"/>
              </w:rPr>
            </w:pPr>
            <w:r>
              <w:rPr>
                <w:sz w:val="21"/>
              </w:rPr>
              <w:t>指因肝炎病毒感染引起肝脏组织弥漫性坏死，导致急性肝功能衰竭，且经血清学或病毒学检查证实，并须满足下列全部条件：</w:t>
            </w:r>
          </w:p>
          <w:p>
            <w:pPr>
              <w:pStyle w:val="TableParagraph"/>
              <w:spacing w:before="7"/>
              <w:ind w:left="107"/>
              <w:rPr>
                <w:sz w:val="21"/>
              </w:rPr>
            </w:pPr>
            <w:r>
              <w:rPr>
                <w:sz w:val="21"/>
              </w:rPr>
              <w:t>（1）重度黄疸或黄疸迅速加重；</w:t>
            </w:r>
          </w:p>
          <w:p>
            <w:pPr>
              <w:pStyle w:val="TableParagraph"/>
              <w:spacing w:before="37"/>
              <w:ind w:left="107"/>
              <w:rPr>
                <w:sz w:val="21"/>
              </w:rPr>
            </w:pPr>
            <w:r>
              <w:rPr>
                <w:sz w:val="21"/>
              </w:rPr>
              <w:t>（2）肝性脑病；</w:t>
            </w:r>
          </w:p>
          <w:p>
            <w:pPr>
              <w:pStyle w:val="TableParagraph"/>
              <w:spacing w:before="37"/>
              <w:ind w:left="107"/>
              <w:rPr>
                <w:sz w:val="21"/>
              </w:rPr>
            </w:pPr>
            <w:r>
              <w:rPr>
                <w:sz w:val="21"/>
              </w:rPr>
              <w:t>（3）B 超或其它影像学检查显示肝脏体积急速萎缩；</w:t>
            </w:r>
          </w:p>
          <w:p>
            <w:pPr>
              <w:pStyle w:val="TableParagraph"/>
              <w:spacing w:before="37"/>
              <w:ind w:left="107"/>
              <w:rPr>
                <w:sz w:val="21"/>
              </w:rPr>
            </w:pPr>
            <w:r>
              <w:rPr>
                <w:sz w:val="21"/>
              </w:rPr>
              <w:t>（4）肝功能指标进行性恶化。</w:t>
            </w:r>
          </w:p>
        </w:tc>
      </w:tr>
      <w:tr>
        <w:trPr>
          <w:trHeight w:val="2184" w:hRule="atLeast"/>
        </w:trPr>
        <w:tc>
          <w:tcPr>
            <w:tcW w:w="1030" w:type="dxa"/>
          </w:tcPr>
          <w:p>
            <w:pPr>
              <w:pStyle w:val="TableParagraph"/>
              <w:spacing w:before="136"/>
              <w:ind w:left="200"/>
              <w:rPr>
                <w:i/>
                <w:sz w:val="22"/>
              </w:rPr>
            </w:pPr>
            <w:r>
              <w:rPr>
                <w:i/>
                <w:sz w:val="22"/>
              </w:rPr>
              <w:t>3.2.9</w:t>
            </w:r>
          </w:p>
        </w:tc>
        <w:tc>
          <w:tcPr>
            <w:tcW w:w="1614" w:type="dxa"/>
          </w:tcPr>
          <w:p>
            <w:pPr>
              <w:pStyle w:val="TableParagraph"/>
              <w:spacing w:before="136"/>
              <w:ind w:left="197"/>
              <w:rPr>
                <w:i/>
                <w:sz w:val="22"/>
              </w:rPr>
            </w:pPr>
            <w:r>
              <w:rPr>
                <w:i/>
                <w:w w:val="95"/>
                <w:sz w:val="22"/>
              </w:rPr>
              <w:t>良性脑肿瘤</w:t>
            </w:r>
          </w:p>
        </w:tc>
        <w:tc>
          <w:tcPr>
            <w:tcW w:w="7839" w:type="dxa"/>
          </w:tcPr>
          <w:p>
            <w:pPr>
              <w:pStyle w:val="TableParagraph"/>
              <w:spacing w:line="273" w:lineRule="auto" w:before="147"/>
              <w:ind w:left="107" w:right="197"/>
              <w:jc w:val="both"/>
              <w:rPr>
                <w:sz w:val="21"/>
              </w:rPr>
            </w:pPr>
            <w:r>
              <w:rPr>
                <w:spacing w:val="-7"/>
                <w:sz w:val="21"/>
              </w:rPr>
              <w:t>指脑的良性肿瘤，已经引起颅内压增高，临床表现为视神经乳头水肿、精神症状、</w:t>
            </w:r>
            <w:r>
              <w:rPr>
                <w:spacing w:val="-20"/>
                <w:w w:val="100"/>
                <w:sz w:val="21"/>
              </w:rPr>
              <w:t>癫痫及运动感觉障碍等，并危及生命。须由头颅断层扫描</w:t>
            </w:r>
            <w:r>
              <w:rPr>
                <w:w w:val="100"/>
                <w:sz w:val="21"/>
              </w:rPr>
              <w:t>（CT</w:t>
            </w:r>
            <w:r>
              <w:rPr>
                <w:spacing w:val="-108"/>
                <w:w w:val="100"/>
                <w:sz w:val="21"/>
              </w:rPr>
              <w:t>）</w:t>
            </w:r>
            <w:r>
              <w:rPr>
                <w:spacing w:val="-29"/>
                <w:w w:val="100"/>
                <w:sz w:val="21"/>
              </w:rPr>
              <w:t>、核磁共振检查</w:t>
            </w:r>
            <w:r>
              <w:rPr>
                <w:spacing w:val="-2"/>
                <w:w w:val="100"/>
                <w:sz w:val="21"/>
              </w:rPr>
              <w:t>（</w:t>
            </w:r>
            <w:r>
              <w:rPr>
                <w:w w:val="100"/>
                <w:sz w:val="21"/>
              </w:rPr>
              <w:t>M</w:t>
            </w:r>
            <w:r>
              <w:rPr>
                <w:spacing w:val="-3"/>
                <w:w w:val="100"/>
                <w:sz w:val="21"/>
              </w:rPr>
              <w:t>R</w:t>
            </w:r>
            <w:r>
              <w:rPr>
                <w:spacing w:val="-1"/>
                <w:w w:val="100"/>
                <w:sz w:val="21"/>
              </w:rPr>
              <w:t>I</w:t>
            </w:r>
            <w:r>
              <w:rPr>
                <w:w w:val="100"/>
                <w:sz w:val="21"/>
              </w:rPr>
              <w:t>）</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107"/>
              <w:jc w:val="both"/>
              <w:rPr>
                <w:sz w:val="21"/>
              </w:rPr>
            </w:pPr>
            <w:r>
              <w:rPr>
                <w:sz w:val="21"/>
              </w:rPr>
              <w:t>（1）实际实施了开颅进行的脑肿瘤完全切除或部分切除的手术；</w:t>
            </w:r>
          </w:p>
          <w:p>
            <w:pPr>
              <w:pStyle w:val="TableParagraph"/>
              <w:spacing w:before="37"/>
              <w:ind w:left="107"/>
              <w:jc w:val="both"/>
              <w:rPr>
                <w:sz w:val="21"/>
              </w:rPr>
            </w:pPr>
            <w:r>
              <w:rPr>
                <w:sz w:val="21"/>
              </w:rPr>
              <w:t>（2）实际实施了对脑肿瘤进行的放射治疗。</w:t>
            </w:r>
          </w:p>
          <w:p>
            <w:pPr>
              <w:pStyle w:val="TableParagraph"/>
              <w:spacing w:before="37"/>
              <w:ind w:left="107"/>
              <w:jc w:val="both"/>
              <w:rPr>
                <w:b/>
                <w:sz w:val="21"/>
              </w:rPr>
            </w:pPr>
            <w:r>
              <w:rPr>
                <w:b/>
                <w:sz w:val="21"/>
              </w:rPr>
              <w:t>脑垂体瘤、脑囊肿、脑血管性疾病不在保障范围内。</w:t>
            </w:r>
          </w:p>
        </w:tc>
      </w:tr>
      <w:tr>
        <w:trPr>
          <w:trHeight w:val="1982" w:hRule="atLeast"/>
        </w:trPr>
        <w:tc>
          <w:tcPr>
            <w:tcW w:w="1030" w:type="dxa"/>
          </w:tcPr>
          <w:p>
            <w:pPr>
              <w:pStyle w:val="TableParagraph"/>
              <w:spacing w:before="136"/>
              <w:ind w:left="200"/>
              <w:rPr>
                <w:i/>
                <w:sz w:val="22"/>
              </w:rPr>
            </w:pPr>
            <w:r>
              <w:rPr>
                <w:i/>
                <w:sz w:val="22"/>
              </w:rPr>
              <w:t>3.2.10</w:t>
            </w:r>
          </w:p>
        </w:tc>
        <w:tc>
          <w:tcPr>
            <w:tcW w:w="1614" w:type="dxa"/>
          </w:tcPr>
          <w:p>
            <w:pPr>
              <w:pStyle w:val="TableParagraph"/>
              <w:spacing w:line="259" w:lineRule="auto" w:before="136"/>
              <w:ind w:left="197" w:right="104"/>
              <w:rPr>
                <w:i/>
                <w:sz w:val="22"/>
              </w:rPr>
            </w:pPr>
            <w:r>
              <w:rPr>
                <w:i/>
                <w:w w:val="95"/>
                <w:sz w:val="22"/>
              </w:rPr>
              <w:t>慢性肝功能衰竭失代偿期</w:t>
            </w:r>
          </w:p>
        </w:tc>
        <w:tc>
          <w:tcPr>
            <w:tcW w:w="7839" w:type="dxa"/>
          </w:tcPr>
          <w:p>
            <w:pPr>
              <w:pStyle w:val="TableParagraph"/>
              <w:spacing w:before="147"/>
              <w:ind w:left="107"/>
              <w:rPr>
                <w:sz w:val="21"/>
              </w:rPr>
            </w:pPr>
            <w:r>
              <w:rPr>
                <w:sz w:val="21"/>
              </w:rPr>
              <w:t>指因慢性肝脏疾病导致肝功能衰竭,须满足下列全部条件：</w:t>
            </w:r>
          </w:p>
          <w:p>
            <w:pPr>
              <w:pStyle w:val="TableParagraph"/>
              <w:spacing w:before="36"/>
              <w:ind w:left="106"/>
              <w:rPr>
                <w:sz w:val="21"/>
              </w:rPr>
            </w:pPr>
            <w:r>
              <w:rPr>
                <w:sz w:val="21"/>
              </w:rPr>
              <w:t>（1）持续性黄疸；</w:t>
            </w:r>
          </w:p>
          <w:p>
            <w:pPr>
              <w:pStyle w:val="TableParagraph"/>
              <w:spacing w:before="36"/>
              <w:ind w:left="106"/>
              <w:rPr>
                <w:sz w:val="21"/>
              </w:rPr>
            </w:pPr>
            <w:r>
              <w:rPr>
                <w:sz w:val="21"/>
              </w:rPr>
              <w:t>（2）腹水；</w:t>
            </w:r>
          </w:p>
          <w:p>
            <w:pPr>
              <w:pStyle w:val="TableParagraph"/>
              <w:spacing w:before="36"/>
              <w:ind w:left="106"/>
              <w:rPr>
                <w:sz w:val="21"/>
              </w:rPr>
            </w:pPr>
            <w:r>
              <w:rPr>
                <w:sz w:val="21"/>
              </w:rPr>
              <w:t>（3）肝性脑病；</w:t>
            </w:r>
          </w:p>
          <w:p>
            <w:pPr>
              <w:pStyle w:val="TableParagraph"/>
              <w:spacing w:line="312" w:lineRule="exact" w:before="32"/>
              <w:ind w:left="107" w:right="2581" w:hanging="1"/>
              <w:rPr>
                <w:b/>
                <w:sz w:val="21"/>
              </w:rPr>
            </w:pPr>
            <w:r>
              <w:rPr>
                <w:sz w:val="21"/>
              </w:rPr>
              <w:t>（4）充血性脾肿大伴脾功能亢进或食管胃底静脉曲张。</w:t>
            </w:r>
            <w:r>
              <w:rPr>
                <w:b/>
                <w:sz w:val="21"/>
              </w:rPr>
              <w:t>因酗酒或药物滥用导致的肝功能衰竭不在保障范围内。</w:t>
            </w:r>
          </w:p>
        </w:tc>
      </w:tr>
    </w:tbl>
    <w:p>
      <w:pPr>
        <w:spacing w:after="0" w:line="312" w:lineRule="exact"/>
        <w:rPr>
          <w:sz w:val="21"/>
        </w:rPr>
        <w:sectPr>
          <w:pgSz w:w="11910" w:h="16840"/>
          <w:pgMar w:header="892" w:footer="917" w:top="1080" w:bottom="1100" w:left="820" w:right="380"/>
        </w:sectPr>
      </w:pPr>
    </w:p>
    <w:p>
      <w:pPr>
        <w:pStyle w:val="BodyText"/>
        <w:rPr>
          <w:rFonts w:ascii="Times New Roman"/>
          <w:sz w:val="20"/>
        </w:rPr>
      </w:pPr>
    </w:p>
    <w:p>
      <w:pPr>
        <w:pStyle w:val="BodyText"/>
        <w:rPr>
          <w:rFonts w:ascii="Times New Roman"/>
          <w:sz w:val="20"/>
        </w:rPr>
      </w:pPr>
    </w:p>
    <w:p>
      <w:pPr>
        <w:pStyle w:val="BodyText"/>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13"/>
        <w:gridCol w:w="7838"/>
      </w:tblGrid>
      <w:tr>
        <w:trPr>
          <w:trHeight w:val="1982" w:hRule="atLeast"/>
        </w:trPr>
        <w:tc>
          <w:tcPr>
            <w:tcW w:w="1030" w:type="dxa"/>
          </w:tcPr>
          <w:p>
            <w:pPr>
              <w:pStyle w:val="TableParagraph"/>
              <w:spacing w:line="222" w:lineRule="exact"/>
              <w:ind w:left="166" w:right="163"/>
              <w:jc w:val="center"/>
              <w:rPr>
                <w:i/>
                <w:sz w:val="22"/>
              </w:rPr>
            </w:pPr>
            <w:r>
              <w:rPr>
                <w:i/>
                <w:sz w:val="22"/>
              </w:rPr>
              <w:t>3.2.11</w:t>
            </w:r>
          </w:p>
        </w:tc>
        <w:tc>
          <w:tcPr>
            <w:tcW w:w="1613" w:type="dxa"/>
          </w:tcPr>
          <w:p>
            <w:pPr>
              <w:pStyle w:val="TableParagraph"/>
              <w:spacing w:line="222" w:lineRule="exact"/>
              <w:ind w:left="197"/>
              <w:rPr>
                <w:i/>
                <w:sz w:val="22"/>
              </w:rPr>
            </w:pPr>
            <w:r>
              <w:rPr>
                <w:i/>
                <w:w w:val="95"/>
                <w:sz w:val="22"/>
              </w:rPr>
              <w:t>脑炎后遗症或</w:t>
            </w:r>
          </w:p>
          <w:p>
            <w:pPr>
              <w:pStyle w:val="TableParagraph"/>
              <w:spacing w:before="24"/>
              <w:ind w:left="197"/>
              <w:rPr>
                <w:i/>
                <w:sz w:val="22"/>
              </w:rPr>
            </w:pPr>
            <w:r>
              <w:rPr>
                <w:i/>
                <w:w w:val="95"/>
                <w:sz w:val="22"/>
              </w:rPr>
              <w:t>脑膜炎后遗症</w:t>
            </w:r>
          </w:p>
        </w:tc>
        <w:tc>
          <w:tcPr>
            <w:tcW w:w="7838" w:type="dxa"/>
          </w:tcPr>
          <w:p>
            <w:pPr>
              <w:pStyle w:val="TableParagraph"/>
              <w:spacing w:line="221" w:lineRule="exact"/>
              <w:ind w:left="108"/>
              <w:rPr>
                <w:sz w:val="21"/>
              </w:rPr>
            </w:pPr>
            <w:r>
              <w:rPr>
                <w:sz w:val="21"/>
              </w:rPr>
              <w:t>指因患脑炎或脑膜炎导致的神经系统永久性的功能障碍。神经系统永久性的功能</w:t>
            </w:r>
          </w:p>
          <w:p>
            <w:pPr>
              <w:pStyle w:val="TableParagraph"/>
              <w:spacing w:before="37"/>
              <w:ind w:left="108"/>
              <w:rPr>
                <w:sz w:val="21"/>
              </w:rPr>
            </w:pPr>
            <w:r>
              <w:rPr>
                <w:sz w:val="21"/>
              </w:rPr>
              <w:t>障碍，指疾病确诊 180 天后，仍遗留下列一种或一种以上障碍：</w:t>
            </w:r>
          </w:p>
          <w:p>
            <w:pPr>
              <w:pStyle w:val="TableParagraph"/>
              <w:spacing w:before="3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108" w:right="264"/>
              <w:rPr>
                <w:sz w:val="21"/>
              </w:rPr>
            </w:pPr>
            <w:r>
              <w:rPr>
                <w:sz w:val="21"/>
              </w:rPr>
              <w:t>（3）自主生活能力完全丧失，无法独立完成六项基本日常生活活动中的三项或三项以上。</w:t>
            </w:r>
          </w:p>
        </w:tc>
      </w:tr>
      <w:tr>
        <w:trPr>
          <w:trHeight w:val="1560" w:hRule="atLeast"/>
        </w:trPr>
        <w:tc>
          <w:tcPr>
            <w:tcW w:w="1030" w:type="dxa"/>
          </w:tcPr>
          <w:p>
            <w:pPr>
              <w:pStyle w:val="TableParagraph"/>
              <w:spacing w:before="136"/>
              <w:ind w:left="166" w:right="163"/>
              <w:jc w:val="center"/>
              <w:rPr>
                <w:i/>
                <w:sz w:val="22"/>
              </w:rPr>
            </w:pPr>
            <w:r>
              <w:rPr>
                <w:i/>
                <w:sz w:val="22"/>
              </w:rPr>
              <w:t>3.2.12</w:t>
            </w:r>
          </w:p>
        </w:tc>
        <w:tc>
          <w:tcPr>
            <w:tcW w:w="1613" w:type="dxa"/>
          </w:tcPr>
          <w:p>
            <w:pPr>
              <w:pStyle w:val="TableParagraph"/>
              <w:spacing w:before="136"/>
              <w:ind w:left="197"/>
              <w:rPr>
                <w:i/>
                <w:sz w:val="22"/>
              </w:rPr>
            </w:pPr>
            <w:r>
              <w:rPr>
                <w:i/>
                <w:w w:val="95"/>
                <w:sz w:val="22"/>
              </w:rPr>
              <w:t>深度昏迷</w:t>
            </w:r>
          </w:p>
        </w:tc>
        <w:tc>
          <w:tcPr>
            <w:tcW w:w="7838" w:type="dxa"/>
          </w:tcPr>
          <w:p>
            <w:pPr>
              <w:pStyle w:val="TableParagraph"/>
              <w:spacing w:line="273" w:lineRule="auto" w:before="147"/>
              <w:ind w:left="107" w:right="374"/>
              <w:jc w:val="both"/>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r>
              <w:rPr>
                <w:spacing w:val="-8"/>
                <w:sz w:val="21"/>
              </w:rPr>
              <w:t> 分以下，且已经持续使用呼吸机及其它生命维持系统 </w:t>
            </w:r>
            <w:r>
              <w:rPr>
                <w:sz w:val="21"/>
              </w:rPr>
              <w:t>96 小时以上。</w:t>
            </w:r>
          </w:p>
          <w:p>
            <w:pPr>
              <w:pStyle w:val="TableParagraph"/>
              <w:spacing w:before="7"/>
              <w:ind w:left="108"/>
              <w:jc w:val="both"/>
              <w:rPr>
                <w:b/>
                <w:sz w:val="21"/>
              </w:rPr>
            </w:pPr>
            <w:r>
              <w:rPr>
                <w:b/>
                <w:sz w:val="21"/>
              </w:rPr>
              <w:t>因酗酒或药物滥用导致的深度昏迷不在保障范围内。</w:t>
            </w:r>
          </w:p>
        </w:tc>
      </w:tr>
      <w:tr>
        <w:trPr>
          <w:trHeight w:val="1871" w:hRule="atLeast"/>
        </w:trPr>
        <w:tc>
          <w:tcPr>
            <w:tcW w:w="1030" w:type="dxa"/>
          </w:tcPr>
          <w:p>
            <w:pPr>
              <w:pStyle w:val="TableParagraph"/>
              <w:spacing w:before="136"/>
              <w:ind w:left="166" w:right="163"/>
              <w:jc w:val="center"/>
              <w:rPr>
                <w:i/>
                <w:sz w:val="22"/>
              </w:rPr>
            </w:pPr>
            <w:r>
              <w:rPr>
                <w:i/>
                <w:sz w:val="22"/>
              </w:rPr>
              <w:t>3.2.13</w:t>
            </w:r>
          </w:p>
        </w:tc>
        <w:tc>
          <w:tcPr>
            <w:tcW w:w="1613" w:type="dxa"/>
          </w:tcPr>
          <w:p>
            <w:pPr>
              <w:pStyle w:val="TableParagraph"/>
              <w:spacing w:before="136"/>
              <w:ind w:left="197"/>
              <w:rPr>
                <w:i/>
                <w:sz w:val="22"/>
              </w:rPr>
            </w:pPr>
            <w:r>
              <w:rPr>
                <w:i/>
                <w:w w:val="95"/>
                <w:sz w:val="22"/>
              </w:rPr>
              <w:t>双耳失聪</w:t>
            </w:r>
          </w:p>
        </w:tc>
        <w:tc>
          <w:tcPr>
            <w:tcW w:w="7838" w:type="dxa"/>
          </w:tcPr>
          <w:p>
            <w:pPr>
              <w:pStyle w:val="TableParagraph"/>
              <w:spacing w:before="147"/>
              <w:ind w:left="108"/>
              <w:rPr>
                <w:sz w:val="21"/>
              </w:rPr>
            </w:pPr>
            <w:r>
              <w:rPr>
                <w:sz w:val="21"/>
              </w:rPr>
              <w:t>指因疾病或意外伤害导致双耳听力永久不可逆性丧失，在 500 赫兹、1000 赫兹和</w:t>
            </w:r>
          </w:p>
          <w:p>
            <w:pPr>
              <w:pStyle w:val="TableParagraph"/>
              <w:spacing w:line="273" w:lineRule="auto" w:before="36"/>
              <w:ind w:left="108" w:right="301"/>
              <w:rPr>
                <w:sz w:val="21"/>
              </w:rPr>
            </w:pPr>
            <w:r>
              <w:rPr>
                <w:sz w:val="21"/>
              </w:rPr>
              <w:t>2000</w:t>
            </w:r>
            <w:r>
              <w:rPr>
                <w:spacing w:val="-12"/>
                <w:sz w:val="21"/>
              </w:rPr>
              <w:t> 赫兹语音频率下，平均听阈大于 </w:t>
            </w:r>
            <w:r>
              <w:rPr>
                <w:sz w:val="21"/>
              </w:rPr>
              <w:t>90</w:t>
            </w:r>
            <w:r>
              <w:rPr>
                <w:spacing w:val="-12"/>
                <w:sz w:val="21"/>
              </w:rPr>
              <w:t> 分贝，且经纯音听力测试、声导抗检测或</w:t>
            </w:r>
            <w:r>
              <w:rPr>
                <w:spacing w:val="-6"/>
                <w:sz w:val="21"/>
              </w:rPr>
              <w:t>听觉诱发电位检测等证实。</w:t>
            </w:r>
          </w:p>
          <w:p>
            <w:pPr>
              <w:pStyle w:val="TableParagraph"/>
              <w:spacing w:line="273" w:lineRule="auto" w:before="7"/>
              <w:ind w:left="108" w:right="349"/>
              <w:rPr>
                <w:b/>
                <w:sz w:val="21"/>
              </w:rPr>
            </w:pPr>
            <w:r>
              <w:rPr>
                <w:b/>
                <w:sz w:val="21"/>
              </w:rPr>
              <w:t>被保险人申请理赔时年龄必须在三周岁以上，并且提供理赔当时的听力丧失诊断及检查证据。</w:t>
            </w:r>
          </w:p>
        </w:tc>
      </w:tr>
      <w:tr>
        <w:trPr>
          <w:trHeight w:val="2495" w:hRule="atLeast"/>
        </w:trPr>
        <w:tc>
          <w:tcPr>
            <w:tcW w:w="1030" w:type="dxa"/>
          </w:tcPr>
          <w:p>
            <w:pPr>
              <w:pStyle w:val="TableParagraph"/>
              <w:spacing w:before="136"/>
              <w:ind w:left="166" w:right="163"/>
              <w:jc w:val="center"/>
              <w:rPr>
                <w:i/>
                <w:sz w:val="22"/>
              </w:rPr>
            </w:pPr>
            <w:r>
              <w:rPr>
                <w:i/>
                <w:sz w:val="22"/>
              </w:rPr>
              <w:t>3.2.14</w:t>
            </w:r>
          </w:p>
        </w:tc>
        <w:tc>
          <w:tcPr>
            <w:tcW w:w="1613" w:type="dxa"/>
          </w:tcPr>
          <w:p>
            <w:pPr>
              <w:pStyle w:val="TableParagraph"/>
              <w:spacing w:before="136"/>
              <w:ind w:left="197"/>
              <w:rPr>
                <w:i/>
                <w:sz w:val="22"/>
              </w:rPr>
            </w:pPr>
            <w:r>
              <w:rPr>
                <w:i/>
                <w:w w:val="95"/>
                <w:sz w:val="22"/>
              </w:rPr>
              <w:t>双目失明</w:t>
            </w:r>
          </w:p>
        </w:tc>
        <w:tc>
          <w:tcPr>
            <w:tcW w:w="7838" w:type="dxa"/>
          </w:tcPr>
          <w:p>
            <w:pPr>
              <w:pStyle w:val="TableParagraph"/>
              <w:spacing w:line="273" w:lineRule="auto" w:before="147"/>
              <w:ind w:left="108" w:right="370"/>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before="37"/>
              <w:ind w:left="108"/>
              <w:rPr>
                <w:sz w:val="21"/>
              </w:rPr>
            </w:pPr>
            <w:r>
              <w:rPr>
                <w:w w:val="100"/>
                <w:sz w:val="21"/>
              </w:rPr>
              <w:t>（2</w:t>
            </w:r>
            <w:r>
              <w:rPr>
                <w:spacing w:val="-101"/>
                <w:w w:val="100"/>
                <w:sz w:val="21"/>
              </w:rPr>
              <w:t>）</w:t>
            </w:r>
            <w:r>
              <w:rPr>
                <w:spacing w:val="-3"/>
                <w:w w:val="100"/>
                <w:sz w:val="21"/>
              </w:rPr>
              <w:t>矫正视力低于</w:t>
            </w:r>
            <w:r>
              <w:rPr>
                <w:spacing w:val="-55"/>
                <w:sz w:val="21"/>
              </w:rPr>
              <w:t> </w:t>
            </w:r>
            <w:r>
              <w:rPr>
                <w:w w:val="100"/>
                <w:sz w:val="21"/>
              </w:rPr>
              <w:t>0.0</w:t>
            </w:r>
            <w:r>
              <w:rPr>
                <w:spacing w:val="-101"/>
                <w:w w:val="100"/>
                <w:sz w:val="21"/>
              </w:rPr>
              <w:t>2</w:t>
            </w:r>
            <w:r>
              <w:rPr>
                <w:spacing w:val="-3"/>
                <w:w w:val="100"/>
                <w:sz w:val="21"/>
              </w:rPr>
              <w:t>（</w:t>
            </w:r>
            <w:r>
              <w:rPr>
                <w:spacing w:val="-12"/>
                <w:w w:val="100"/>
                <w:sz w:val="21"/>
              </w:rPr>
              <w:t>采用国际标准视力表，如果使用其它视力表应进行换算</w:t>
            </w:r>
            <w:r>
              <w:rPr>
                <w:spacing w:val="-106"/>
                <w:w w:val="100"/>
                <w:sz w:val="21"/>
              </w:rPr>
              <w:t>）</w:t>
            </w:r>
            <w:r>
              <w:rPr>
                <w:w w:val="100"/>
                <w:sz w:val="21"/>
              </w:rPr>
              <w:t>；</w:t>
            </w:r>
          </w:p>
          <w:p>
            <w:pPr>
              <w:pStyle w:val="TableParagraph"/>
              <w:spacing w:before="37"/>
              <w:ind w:left="108"/>
              <w:rPr>
                <w:sz w:val="21"/>
              </w:rPr>
            </w:pPr>
            <w:r>
              <w:rPr>
                <w:sz w:val="21"/>
              </w:rPr>
              <w:t>（3）视野半径小于 5 度。</w:t>
            </w:r>
          </w:p>
          <w:p>
            <w:pPr>
              <w:pStyle w:val="TableParagraph"/>
              <w:spacing w:line="273" w:lineRule="auto" w:before="37"/>
              <w:ind w:left="108" w:right="350"/>
              <w:rPr>
                <w:b/>
                <w:sz w:val="21"/>
              </w:rPr>
            </w:pPr>
            <w:r>
              <w:rPr>
                <w:b/>
                <w:sz w:val="21"/>
              </w:rPr>
              <w:t>被保险人申请理赔时年龄必须在三周岁以上，并且提供理赔当时的视力丧失诊断及检查证据。</w:t>
            </w:r>
          </w:p>
        </w:tc>
      </w:tr>
      <w:tr>
        <w:trPr>
          <w:trHeight w:val="1247" w:hRule="atLeast"/>
        </w:trPr>
        <w:tc>
          <w:tcPr>
            <w:tcW w:w="1030" w:type="dxa"/>
          </w:tcPr>
          <w:p>
            <w:pPr>
              <w:pStyle w:val="TableParagraph"/>
              <w:spacing w:before="136"/>
              <w:ind w:left="166" w:right="163"/>
              <w:jc w:val="center"/>
              <w:rPr>
                <w:i/>
                <w:sz w:val="22"/>
              </w:rPr>
            </w:pPr>
            <w:r>
              <w:rPr>
                <w:i/>
                <w:sz w:val="22"/>
              </w:rPr>
              <w:t>3.2.15</w:t>
            </w:r>
          </w:p>
        </w:tc>
        <w:tc>
          <w:tcPr>
            <w:tcW w:w="1613" w:type="dxa"/>
          </w:tcPr>
          <w:p>
            <w:pPr>
              <w:pStyle w:val="TableParagraph"/>
              <w:spacing w:before="136"/>
              <w:ind w:left="197"/>
              <w:rPr>
                <w:i/>
                <w:sz w:val="22"/>
              </w:rPr>
            </w:pPr>
            <w:r>
              <w:rPr>
                <w:i/>
                <w:w w:val="95"/>
                <w:sz w:val="22"/>
              </w:rPr>
              <w:t>瘫痪</w:t>
            </w:r>
          </w:p>
        </w:tc>
        <w:tc>
          <w:tcPr>
            <w:tcW w:w="7838" w:type="dxa"/>
          </w:tcPr>
          <w:p>
            <w:pPr>
              <w:pStyle w:val="TableParagraph"/>
              <w:spacing w:line="273" w:lineRule="auto" w:before="147"/>
              <w:ind w:left="107" w:right="302"/>
              <w:jc w:val="both"/>
              <w:rPr>
                <w:sz w:val="21"/>
              </w:rPr>
            </w:pPr>
            <w:r>
              <w:rPr>
                <w:sz w:val="21"/>
              </w:rPr>
              <w:t>指因疾病或意外伤害导致两肢或两肢以上肢体机能永久完全丧失。肢体机能永久</w:t>
            </w:r>
            <w:r>
              <w:rPr>
                <w:spacing w:val="-6"/>
                <w:sz w:val="21"/>
              </w:rPr>
              <w:t>完全丧失，指疾病确诊 </w:t>
            </w:r>
            <w:r>
              <w:rPr>
                <w:sz w:val="21"/>
              </w:rPr>
              <w:t>180</w:t>
            </w:r>
            <w:r>
              <w:rPr>
                <w:spacing w:val="-9"/>
                <w:sz w:val="21"/>
              </w:rPr>
              <w:t> 天后或意外伤害发生 </w:t>
            </w:r>
            <w:r>
              <w:rPr>
                <w:sz w:val="21"/>
              </w:rPr>
              <w:t>180</w:t>
            </w:r>
            <w:r>
              <w:rPr>
                <w:spacing w:val="-7"/>
                <w:sz w:val="21"/>
              </w:rPr>
              <w:t> 天后，每肢三大关节中的两</w:t>
            </w:r>
            <w:r>
              <w:rPr>
                <w:spacing w:val="-5"/>
                <w:sz w:val="21"/>
              </w:rPr>
              <w:t>大关节仍然完全僵硬，或不能随意识活动。</w:t>
            </w:r>
          </w:p>
        </w:tc>
      </w:tr>
      <w:tr>
        <w:trPr>
          <w:trHeight w:val="624" w:hRule="atLeast"/>
        </w:trPr>
        <w:tc>
          <w:tcPr>
            <w:tcW w:w="1030" w:type="dxa"/>
          </w:tcPr>
          <w:p>
            <w:pPr>
              <w:pStyle w:val="TableParagraph"/>
              <w:spacing w:before="136"/>
              <w:ind w:left="166" w:right="163"/>
              <w:jc w:val="center"/>
              <w:rPr>
                <w:i/>
                <w:sz w:val="22"/>
              </w:rPr>
            </w:pPr>
            <w:r>
              <w:rPr>
                <w:i/>
                <w:sz w:val="22"/>
              </w:rPr>
              <w:t>3.2.16</w:t>
            </w:r>
          </w:p>
        </w:tc>
        <w:tc>
          <w:tcPr>
            <w:tcW w:w="1613" w:type="dxa"/>
          </w:tcPr>
          <w:p>
            <w:pPr>
              <w:pStyle w:val="TableParagraph"/>
              <w:spacing w:before="136"/>
              <w:ind w:left="197"/>
              <w:rPr>
                <w:i/>
                <w:sz w:val="22"/>
              </w:rPr>
            </w:pPr>
            <w:r>
              <w:rPr>
                <w:i/>
                <w:w w:val="95"/>
                <w:sz w:val="22"/>
              </w:rPr>
              <w:t>心脏瓣膜手术</w:t>
            </w:r>
          </w:p>
        </w:tc>
        <w:tc>
          <w:tcPr>
            <w:tcW w:w="7838" w:type="dxa"/>
          </w:tcPr>
          <w:p>
            <w:pPr>
              <w:pStyle w:val="TableParagraph"/>
              <w:spacing w:before="147"/>
              <w:ind w:left="108"/>
              <w:rPr>
                <w:sz w:val="21"/>
              </w:rPr>
            </w:pPr>
            <w:r>
              <w:rPr>
                <w:sz w:val="21"/>
              </w:rPr>
              <w:t>指为治疗心脏瓣膜疾病，实际实施了开胸进行的心脏瓣膜置换或修复的手术。</w:t>
            </w:r>
          </w:p>
        </w:tc>
      </w:tr>
      <w:tr>
        <w:trPr>
          <w:trHeight w:val="2183" w:hRule="atLeast"/>
        </w:trPr>
        <w:tc>
          <w:tcPr>
            <w:tcW w:w="1030" w:type="dxa"/>
          </w:tcPr>
          <w:p>
            <w:pPr>
              <w:pStyle w:val="TableParagraph"/>
              <w:spacing w:before="135"/>
              <w:ind w:left="166" w:right="163"/>
              <w:jc w:val="center"/>
              <w:rPr>
                <w:i/>
                <w:sz w:val="22"/>
              </w:rPr>
            </w:pPr>
            <w:r>
              <w:rPr>
                <w:i/>
                <w:sz w:val="22"/>
              </w:rPr>
              <w:t>3.2.17</w:t>
            </w:r>
          </w:p>
        </w:tc>
        <w:tc>
          <w:tcPr>
            <w:tcW w:w="1613" w:type="dxa"/>
          </w:tcPr>
          <w:p>
            <w:pPr>
              <w:pStyle w:val="TableParagraph"/>
              <w:spacing w:line="259" w:lineRule="auto" w:before="135"/>
              <w:ind w:left="197" w:right="151"/>
              <w:rPr>
                <w:i/>
                <w:sz w:val="22"/>
              </w:rPr>
            </w:pPr>
            <w:r>
              <w:rPr>
                <w:i/>
                <w:w w:val="95"/>
                <w:sz w:val="22"/>
              </w:rPr>
              <w:t>严重阿尔茨海默病</w:t>
            </w:r>
          </w:p>
        </w:tc>
        <w:tc>
          <w:tcPr>
            <w:tcW w:w="7838" w:type="dxa"/>
          </w:tcPr>
          <w:p>
            <w:pPr>
              <w:pStyle w:val="TableParagraph"/>
              <w:spacing w:line="273" w:lineRule="auto" w:before="146"/>
              <w:ind w:left="108" w:right="302"/>
              <w:jc w:val="both"/>
              <w:rPr>
                <w:sz w:val="21"/>
              </w:rPr>
            </w:pPr>
            <w:r>
              <w:rPr>
                <w:sz w:val="21"/>
              </w:rPr>
              <w:t>指因大脑进行性、不可逆性改变导致智能严重衰退或丧失，临床表现为明显的认知能力障碍、行为异常和社交能力减退，其日常生活必须持续受到他人监护。须</w:t>
            </w:r>
            <w:r>
              <w:rPr>
                <w:spacing w:val="-4"/>
                <w:w w:val="100"/>
                <w:sz w:val="21"/>
              </w:rPr>
              <w:t>由头颅断层扫描</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w w:val="100"/>
                <w:sz w:val="21"/>
              </w:rPr>
              <w:t>)</w:t>
            </w:r>
            <w:r>
              <w:rPr>
                <w:sz w:val="21"/>
              </w:rPr>
              <w:t> </w:t>
            </w:r>
            <w:r>
              <w:rPr>
                <w:spacing w:val="-4"/>
                <w:w w:val="100"/>
                <w:sz w:val="21"/>
              </w:rPr>
              <w:t>或正电子发射断层扫描</w:t>
            </w:r>
            <w:r>
              <w:rPr>
                <w:w w:val="100"/>
                <w:sz w:val="21"/>
              </w:rPr>
              <w:t>（PE</w:t>
            </w:r>
            <w:r>
              <w:rPr>
                <w:spacing w:val="-3"/>
                <w:w w:val="100"/>
                <w:sz w:val="21"/>
              </w:rPr>
              <w:t>T</w:t>
            </w:r>
            <w:r>
              <w:rPr>
                <w:spacing w:val="-8"/>
                <w:w w:val="100"/>
                <w:sz w:val="21"/>
              </w:rPr>
              <w:t>）</w:t>
            </w:r>
            <w:r>
              <w:rPr>
                <w:spacing w:val="-2"/>
                <w:w w:val="100"/>
                <w:sz w:val="21"/>
              </w:rPr>
              <w:t>等影</w:t>
            </w:r>
            <w:r>
              <w:rPr>
                <w:spacing w:val="-2"/>
                <w:sz w:val="21"/>
              </w:rPr>
              <w:t>像学检查证实，且自主生活能力完全丧失，无法独立完成六项基本日常生活活动</w:t>
            </w:r>
            <w:r>
              <w:rPr>
                <w:spacing w:val="-3"/>
                <w:sz w:val="21"/>
              </w:rPr>
              <w:t>中的三项或三项以上。</w:t>
            </w:r>
          </w:p>
          <w:p>
            <w:pPr>
              <w:pStyle w:val="TableParagraph"/>
              <w:spacing w:before="7"/>
              <w:ind w:left="108"/>
              <w:jc w:val="both"/>
              <w:rPr>
                <w:b/>
                <w:sz w:val="21"/>
              </w:rPr>
            </w:pPr>
            <w:r>
              <w:rPr>
                <w:b/>
                <w:sz w:val="21"/>
              </w:rPr>
              <w:t>神经官能症和精神疾病不在保障范围内。</w:t>
            </w:r>
          </w:p>
        </w:tc>
      </w:tr>
      <w:tr>
        <w:trPr>
          <w:trHeight w:val="1358" w:hRule="atLeast"/>
        </w:trPr>
        <w:tc>
          <w:tcPr>
            <w:tcW w:w="1030" w:type="dxa"/>
          </w:tcPr>
          <w:p>
            <w:pPr>
              <w:pStyle w:val="TableParagraph"/>
              <w:spacing w:before="136"/>
              <w:ind w:left="166" w:right="163"/>
              <w:jc w:val="center"/>
              <w:rPr>
                <w:i/>
                <w:sz w:val="22"/>
              </w:rPr>
            </w:pPr>
            <w:r>
              <w:rPr>
                <w:i/>
                <w:sz w:val="22"/>
              </w:rPr>
              <w:t>3.2.18</w:t>
            </w:r>
          </w:p>
        </w:tc>
        <w:tc>
          <w:tcPr>
            <w:tcW w:w="1613" w:type="dxa"/>
          </w:tcPr>
          <w:p>
            <w:pPr>
              <w:pStyle w:val="TableParagraph"/>
              <w:spacing w:before="136"/>
              <w:ind w:left="197"/>
              <w:rPr>
                <w:i/>
                <w:sz w:val="22"/>
              </w:rPr>
            </w:pPr>
            <w:r>
              <w:rPr>
                <w:i/>
                <w:w w:val="95"/>
                <w:sz w:val="22"/>
              </w:rPr>
              <w:t>严重脑损伤</w:t>
            </w:r>
          </w:p>
        </w:tc>
        <w:tc>
          <w:tcPr>
            <w:tcW w:w="7838" w:type="dxa"/>
          </w:tcPr>
          <w:p>
            <w:pPr>
              <w:pStyle w:val="TableParagraph"/>
              <w:spacing w:line="310" w:lineRule="atLeast" w:before="112"/>
              <w:ind w:left="108" w:right="199"/>
              <w:rPr>
                <w:sz w:val="21"/>
              </w:rPr>
            </w:pPr>
            <w:r>
              <w:rPr>
                <w:spacing w:val="-3"/>
                <w:sz w:val="21"/>
              </w:rPr>
              <w:t>指因头部遭受机械性外力，引起脑重要部位损伤，导致神经系统永久性的功能障</w:t>
            </w:r>
            <w:r>
              <w:rPr>
                <w:w w:val="100"/>
                <w:sz w:val="21"/>
              </w:rPr>
              <w:t>碍</w:t>
            </w:r>
            <w:r>
              <w:rPr>
                <w:spacing w:val="-10"/>
                <w:w w:val="100"/>
                <w:sz w:val="21"/>
              </w:rPr>
              <w:t>。须由头颅断层扫描</w:t>
            </w:r>
            <w:r>
              <w:rPr>
                <w:spacing w:val="-3"/>
                <w:w w:val="100"/>
                <w:sz w:val="21"/>
              </w:rPr>
              <w:t>（C</w:t>
            </w:r>
            <w:r>
              <w:rPr>
                <w:w w:val="100"/>
                <w:sz w:val="21"/>
              </w:rPr>
              <w:t>T</w:t>
            </w:r>
            <w:r>
              <w:rPr>
                <w:spacing w:val="-106"/>
                <w:w w:val="100"/>
                <w:sz w:val="21"/>
              </w:rPr>
              <w:t>）</w:t>
            </w:r>
            <w:r>
              <w:rPr>
                <w:spacing w:val="-11"/>
                <w:w w:val="100"/>
                <w:sz w:val="21"/>
              </w:rPr>
              <w:t>、核磁共振检查</w:t>
            </w:r>
            <w:r>
              <w:rPr>
                <w:spacing w:val="-3"/>
                <w:w w:val="100"/>
                <w:sz w:val="21"/>
              </w:rPr>
              <w:t>（</w:t>
            </w:r>
            <w:r>
              <w:rPr>
                <w:w w:val="100"/>
                <w:sz w:val="21"/>
              </w:rPr>
              <w:t>MRI)</w:t>
            </w:r>
            <w:r>
              <w:rPr>
                <w:sz w:val="21"/>
              </w:rPr>
              <w:t> </w:t>
            </w:r>
            <w:r>
              <w:rPr>
                <w:spacing w:val="-6"/>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z w:val="21"/>
              </w:rPr>
              <w:t>等</w:t>
            </w:r>
            <w:r>
              <w:rPr>
                <w:spacing w:val="-5"/>
                <w:sz w:val="21"/>
              </w:rPr>
              <w:t>影像学检查证实。神经系统永久性的功能障碍，指脑损伤 </w:t>
            </w:r>
            <w:r>
              <w:rPr>
                <w:sz w:val="21"/>
              </w:rPr>
              <w:t>180</w:t>
            </w:r>
            <w:r>
              <w:rPr>
                <w:spacing w:val="-1"/>
                <w:sz w:val="21"/>
              </w:rPr>
              <w:t> 天后，仍遗留下列</w:t>
            </w:r>
            <w:r>
              <w:rPr>
                <w:spacing w:val="-3"/>
                <w:sz w:val="21"/>
              </w:rPr>
              <w:t>一种或一种以上障碍：</w:t>
            </w:r>
          </w:p>
        </w:tc>
      </w:tr>
    </w:tbl>
    <w:p>
      <w:pPr>
        <w:spacing w:after="0" w:line="310" w:lineRule="atLeast"/>
        <w:rPr>
          <w:sz w:val="21"/>
        </w:rPr>
        <w:sectPr>
          <w:pgSz w:w="11910" w:h="16840"/>
          <w:pgMar w:header="892" w:footer="917" w:top="1080" w:bottom="1100" w:left="820" w:right="3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17"/>
        <w:gridCol w:w="7729"/>
      </w:tblGrid>
      <w:tr>
        <w:trPr>
          <w:trHeight w:val="1348" w:hRule="atLeast"/>
        </w:trPr>
        <w:tc>
          <w:tcPr>
            <w:tcW w:w="1030" w:type="dxa"/>
          </w:tcPr>
          <w:p>
            <w:pPr>
              <w:pStyle w:val="TableParagraph"/>
              <w:rPr>
                <w:rFonts w:ascii="Times New Roman"/>
                <w:sz w:val="20"/>
              </w:rPr>
            </w:pPr>
          </w:p>
        </w:tc>
        <w:tc>
          <w:tcPr>
            <w:tcW w:w="1617" w:type="dxa"/>
          </w:tcPr>
          <w:p>
            <w:pPr>
              <w:pStyle w:val="TableParagraph"/>
              <w:rPr>
                <w:rFonts w:ascii="Times New Roman"/>
                <w:sz w:val="20"/>
              </w:rPr>
            </w:pPr>
          </w:p>
        </w:tc>
        <w:tc>
          <w:tcPr>
            <w:tcW w:w="7729" w:type="dxa"/>
          </w:tcPr>
          <w:p>
            <w:pPr>
              <w:pStyle w:val="TableParagraph"/>
              <w:spacing w:line="211" w:lineRule="exact"/>
              <w:ind w:left="104"/>
              <w:rPr>
                <w:sz w:val="21"/>
              </w:rPr>
            </w:pPr>
            <w:r>
              <w:rPr>
                <w:sz w:val="21"/>
              </w:rPr>
              <w:t>（1）一肢或一肢以上肢体机能完全丧失；</w:t>
            </w:r>
          </w:p>
          <w:p>
            <w:pPr>
              <w:pStyle w:val="TableParagraph"/>
              <w:spacing w:before="37"/>
              <w:ind w:left="104"/>
              <w:rPr>
                <w:sz w:val="21"/>
              </w:rPr>
            </w:pPr>
            <w:r>
              <w:rPr>
                <w:sz w:val="21"/>
              </w:rPr>
              <w:t>（2）语言能力或咀嚼吞咽能力完全丧失；</w:t>
            </w:r>
          </w:p>
          <w:p>
            <w:pPr>
              <w:pStyle w:val="TableParagraph"/>
              <w:spacing w:line="273" w:lineRule="auto" w:before="37"/>
              <w:ind w:left="104" w:right="159"/>
              <w:rPr>
                <w:sz w:val="21"/>
              </w:rPr>
            </w:pPr>
            <w:r>
              <w:rPr>
                <w:sz w:val="21"/>
              </w:rPr>
              <w:t>（3）自主生活能力完全丧失，无法独立完成六项基本日常生活活动中的三项或三项以上。</w:t>
            </w:r>
          </w:p>
        </w:tc>
      </w:tr>
      <w:tr>
        <w:trPr>
          <w:trHeight w:val="2184" w:hRule="atLeast"/>
        </w:trPr>
        <w:tc>
          <w:tcPr>
            <w:tcW w:w="1030" w:type="dxa"/>
          </w:tcPr>
          <w:p>
            <w:pPr>
              <w:pStyle w:val="TableParagraph"/>
              <w:spacing w:before="136"/>
              <w:ind w:left="166" w:right="163"/>
              <w:jc w:val="center"/>
              <w:rPr>
                <w:i/>
                <w:sz w:val="22"/>
              </w:rPr>
            </w:pPr>
            <w:r>
              <w:rPr>
                <w:i/>
                <w:sz w:val="22"/>
              </w:rPr>
              <w:t>3.2.19</w:t>
            </w:r>
          </w:p>
        </w:tc>
        <w:tc>
          <w:tcPr>
            <w:tcW w:w="1617" w:type="dxa"/>
          </w:tcPr>
          <w:p>
            <w:pPr>
              <w:pStyle w:val="TableParagraph"/>
              <w:spacing w:before="136"/>
              <w:ind w:left="197"/>
              <w:rPr>
                <w:i/>
                <w:sz w:val="22"/>
              </w:rPr>
            </w:pPr>
            <w:r>
              <w:rPr>
                <w:i/>
                <w:w w:val="95"/>
                <w:sz w:val="22"/>
              </w:rPr>
              <w:t>严重帕金森病</w:t>
            </w:r>
          </w:p>
        </w:tc>
        <w:tc>
          <w:tcPr>
            <w:tcW w:w="7729" w:type="dxa"/>
          </w:tcPr>
          <w:p>
            <w:pPr>
              <w:pStyle w:val="TableParagraph"/>
              <w:spacing w:line="273" w:lineRule="auto" w:before="147"/>
              <w:ind w:left="104" w:right="265"/>
              <w:rPr>
                <w:sz w:val="21"/>
              </w:rPr>
            </w:pPr>
            <w:r>
              <w:rPr>
                <w:sz w:val="21"/>
              </w:rPr>
              <w:t>是一种中枢神经系统的退行性疾病，临床表现为震颤麻痹、共济失调等。须满足下列全部条件：</w:t>
            </w:r>
          </w:p>
          <w:p>
            <w:pPr>
              <w:pStyle w:val="TableParagraph"/>
              <w:spacing w:before="7"/>
              <w:ind w:left="104"/>
              <w:rPr>
                <w:sz w:val="21"/>
              </w:rPr>
            </w:pPr>
            <w:r>
              <w:rPr>
                <w:sz w:val="21"/>
              </w:rPr>
              <w:t>（1）药物治疗无法控制病情；</w:t>
            </w:r>
          </w:p>
          <w:p>
            <w:pPr>
              <w:pStyle w:val="TableParagraph"/>
              <w:spacing w:line="273" w:lineRule="auto" w:before="37"/>
              <w:ind w:left="104" w:right="159"/>
              <w:rPr>
                <w:sz w:val="21"/>
              </w:rPr>
            </w:pPr>
            <w:r>
              <w:rPr>
                <w:sz w:val="21"/>
              </w:rPr>
              <w:t>（2）自主生活能力完全丧失，无法独立完成六项基本日常生活活动中的三项或三项以上。</w:t>
            </w:r>
          </w:p>
          <w:p>
            <w:pPr>
              <w:pStyle w:val="TableParagraph"/>
              <w:spacing w:before="8"/>
              <w:ind w:left="104"/>
              <w:rPr>
                <w:b/>
                <w:sz w:val="21"/>
              </w:rPr>
            </w:pPr>
            <w:r>
              <w:rPr>
                <w:b/>
                <w:sz w:val="21"/>
              </w:rPr>
              <w:t>继发性帕金森综合征不在保障范围内。</w:t>
            </w:r>
          </w:p>
        </w:tc>
      </w:tr>
      <w:tr>
        <w:trPr>
          <w:trHeight w:val="935" w:hRule="atLeast"/>
        </w:trPr>
        <w:tc>
          <w:tcPr>
            <w:tcW w:w="1030" w:type="dxa"/>
          </w:tcPr>
          <w:p>
            <w:pPr>
              <w:pStyle w:val="TableParagraph"/>
              <w:spacing w:before="136"/>
              <w:ind w:left="166" w:right="163"/>
              <w:jc w:val="center"/>
              <w:rPr>
                <w:i/>
                <w:sz w:val="22"/>
              </w:rPr>
            </w:pPr>
            <w:r>
              <w:rPr>
                <w:i/>
                <w:sz w:val="22"/>
              </w:rPr>
              <w:t>3.2.20</w:t>
            </w:r>
          </w:p>
        </w:tc>
        <w:tc>
          <w:tcPr>
            <w:tcW w:w="1617" w:type="dxa"/>
          </w:tcPr>
          <w:p>
            <w:pPr>
              <w:pStyle w:val="TableParagraph"/>
              <w:spacing w:before="136"/>
              <w:ind w:left="197"/>
              <w:rPr>
                <w:i/>
                <w:sz w:val="22"/>
              </w:rPr>
            </w:pPr>
            <w:r>
              <w:rPr>
                <w:i/>
                <w:w w:val="95"/>
                <w:sz w:val="22"/>
              </w:rPr>
              <w:t>严重Ⅲ度烧伤</w:t>
            </w:r>
          </w:p>
        </w:tc>
        <w:tc>
          <w:tcPr>
            <w:tcW w:w="7729" w:type="dxa"/>
          </w:tcPr>
          <w:p>
            <w:pPr>
              <w:pStyle w:val="TableParagraph"/>
              <w:spacing w:line="273" w:lineRule="auto" w:before="147"/>
              <w:ind w:left="104" w:right="197"/>
              <w:rPr>
                <w:sz w:val="21"/>
              </w:rPr>
            </w:pPr>
            <w:r>
              <w:rPr>
                <w:spacing w:val="-7"/>
                <w:sz w:val="21"/>
              </w:rPr>
              <w:t>指烧伤程度为Ⅲ度，且Ⅲ度烧伤面积达到全身体表面积的 </w:t>
            </w:r>
            <w:r>
              <w:rPr>
                <w:sz w:val="21"/>
              </w:rPr>
              <w:t>20</w:t>
            </w:r>
            <w:r>
              <w:rPr>
                <w:spacing w:val="-13"/>
                <w:sz w:val="21"/>
              </w:rPr>
              <w:t>％或 </w:t>
            </w:r>
            <w:r>
              <w:rPr>
                <w:sz w:val="21"/>
              </w:rPr>
              <w:t>20</w:t>
            </w:r>
            <w:r>
              <w:rPr>
                <w:spacing w:val="-5"/>
                <w:sz w:val="21"/>
              </w:rPr>
              <w:t>％以上。体表</w:t>
            </w:r>
            <w:r>
              <w:rPr>
                <w:spacing w:val="-3"/>
                <w:sz w:val="21"/>
              </w:rPr>
              <w:t>面积根据 《中国新九分法》计算。</w:t>
            </w:r>
          </w:p>
        </w:tc>
      </w:tr>
      <w:tr>
        <w:trPr>
          <w:trHeight w:val="1280" w:hRule="atLeast"/>
        </w:trPr>
        <w:tc>
          <w:tcPr>
            <w:tcW w:w="1030" w:type="dxa"/>
          </w:tcPr>
          <w:p>
            <w:pPr>
              <w:pStyle w:val="TableParagraph"/>
              <w:spacing w:before="136"/>
              <w:ind w:left="166" w:right="163"/>
              <w:jc w:val="center"/>
              <w:rPr>
                <w:i/>
                <w:sz w:val="22"/>
              </w:rPr>
            </w:pPr>
            <w:r>
              <w:rPr>
                <w:i/>
                <w:sz w:val="22"/>
              </w:rPr>
              <w:t>3.2.21</w:t>
            </w:r>
          </w:p>
        </w:tc>
        <w:tc>
          <w:tcPr>
            <w:tcW w:w="1617" w:type="dxa"/>
          </w:tcPr>
          <w:p>
            <w:pPr>
              <w:pStyle w:val="TableParagraph"/>
              <w:spacing w:line="259" w:lineRule="auto" w:before="136"/>
              <w:ind w:left="197" w:right="107"/>
              <w:rPr>
                <w:i/>
                <w:sz w:val="22"/>
              </w:rPr>
            </w:pPr>
            <w:r>
              <w:rPr>
                <w:i/>
                <w:w w:val="95"/>
                <w:sz w:val="22"/>
              </w:rPr>
              <w:t>严重运动神经元病</w:t>
            </w:r>
          </w:p>
        </w:tc>
        <w:tc>
          <w:tcPr>
            <w:tcW w:w="7729" w:type="dxa"/>
          </w:tcPr>
          <w:p>
            <w:pPr>
              <w:pStyle w:val="TableParagraph"/>
              <w:spacing w:line="273" w:lineRule="auto" w:before="147"/>
              <w:ind w:left="104" w:right="26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284" w:hRule="atLeast"/>
        </w:trPr>
        <w:tc>
          <w:tcPr>
            <w:tcW w:w="1030" w:type="dxa"/>
          </w:tcPr>
          <w:p>
            <w:pPr>
              <w:pStyle w:val="TableParagraph"/>
              <w:spacing w:before="168"/>
              <w:ind w:left="166" w:right="163"/>
              <w:jc w:val="center"/>
              <w:rPr>
                <w:i/>
                <w:sz w:val="22"/>
              </w:rPr>
            </w:pPr>
            <w:r>
              <w:rPr>
                <w:i/>
                <w:sz w:val="22"/>
              </w:rPr>
              <w:t>3.2.22</w:t>
            </w:r>
          </w:p>
        </w:tc>
        <w:tc>
          <w:tcPr>
            <w:tcW w:w="1617" w:type="dxa"/>
          </w:tcPr>
          <w:p>
            <w:pPr>
              <w:pStyle w:val="TableParagraph"/>
              <w:spacing w:line="259" w:lineRule="auto" w:before="168"/>
              <w:ind w:left="197" w:right="107"/>
              <w:rPr>
                <w:i/>
                <w:sz w:val="22"/>
              </w:rPr>
            </w:pPr>
            <w:r>
              <w:rPr>
                <w:i/>
                <w:w w:val="95"/>
                <w:sz w:val="22"/>
              </w:rPr>
              <w:t>严重原发性肺动脉高压</w:t>
            </w:r>
          </w:p>
        </w:tc>
        <w:tc>
          <w:tcPr>
            <w:tcW w:w="7729" w:type="dxa"/>
          </w:tcPr>
          <w:p>
            <w:pPr>
              <w:pStyle w:val="TableParagraph"/>
              <w:spacing w:line="273" w:lineRule="auto" w:before="180"/>
              <w:ind w:left="104" w:right="199"/>
              <w:jc w:val="both"/>
              <w:rPr>
                <w:sz w:val="21"/>
              </w:rPr>
            </w:pPr>
            <w:r>
              <w:rPr>
                <w:sz w:val="21"/>
              </w:rPr>
              <w:t>指不明原因的肺动脉压力持续性增高，进行性发展而导致的慢性疾病，已经造成</w:t>
            </w:r>
            <w:r>
              <w:rPr>
                <w:spacing w:val="-3"/>
                <w:sz w:val="21"/>
              </w:rPr>
              <w:t>永久不可逆性的体力活动能力受限，达到美国纽约心脏病学会心功能状态分级 IV </w:t>
            </w:r>
            <w:r>
              <w:rPr>
                <w:spacing w:val="-6"/>
                <w:sz w:val="21"/>
              </w:rPr>
              <w:t>级，且静息状态下肺动脉平均压超过 </w:t>
            </w:r>
            <w:r>
              <w:rPr>
                <w:sz w:val="21"/>
              </w:rPr>
              <w:t>3OmmHg</w:t>
            </w:r>
            <w:r>
              <w:rPr>
                <w:spacing w:val="5"/>
                <w:sz w:val="21"/>
              </w:rPr>
              <w:t> 。</w:t>
            </w:r>
          </w:p>
        </w:tc>
      </w:tr>
      <w:tr>
        <w:trPr>
          <w:trHeight w:val="1879" w:hRule="atLeast"/>
        </w:trPr>
        <w:tc>
          <w:tcPr>
            <w:tcW w:w="1030" w:type="dxa"/>
          </w:tcPr>
          <w:p>
            <w:pPr>
              <w:pStyle w:val="TableParagraph"/>
              <w:spacing w:before="139"/>
              <w:ind w:left="166" w:right="163"/>
              <w:jc w:val="center"/>
              <w:rPr>
                <w:i/>
                <w:sz w:val="22"/>
              </w:rPr>
            </w:pPr>
            <w:r>
              <w:rPr>
                <w:i/>
                <w:sz w:val="22"/>
              </w:rPr>
              <w:t>3.2.23</w:t>
            </w:r>
          </w:p>
        </w:tc>
        <w:tc>
          <w:tcPr>
            <w:tcW w:w="1617" w:type="dxa"/>
          </w:tcPr>
          <w:p>
            <w:pPr>
              <w:pStyle w:val="TableParagraph"/>
              <w:spacing w:before="139"/>
              <w:ind w:left="197"/>
              <w:rPr>
                <w:i/>
                <w:sz w:val="22"/>
              </w:rPr>
            </w:pPr>
            <w:r>
              <w:rPr>
                <w:i/>
                <w:w w:val="95"/>
                <w:sz w:val="22"/>
              </w:rPr>
              <w:t>语言能力丧失</w:t>
            </w:r>
          </w:p>
        </w:tc>
        <w:tc>
          <w:tcPr>
            <w:tcW w:w="7729" w:type="dxa"/>
          </w:tcPr>
          <w:p>
            <w:pPr>
              <w:pStyle w:val="TableParagraph"/>
              <w:spacing w:line="273" w:lineRule="auto" w:before="151"/>
              <w:ind w:left="104" w:right="197"/>
              <w:rPr>
                <w:sz w:val="21"/>
              </w:rPr>
            </w:pPr>
            <w:r>
              <w:rPr>
                <w:spacing w:val="-8"/>
                <w:sz w:val="21"/>
              </w:rPr>
              <w:t>指因疾病或意外伤害导致完全丧失语言能力，经过积极治疗至少 </w:t>
            </w:r>
            <w:r>
              <w:rPr>
                <w:sz w:val="21"/>
              </w:rPr>
              <w:t>12</w:t>
            </w:r>
            <w:r>
              <w:rPr>
                <w:spacing w:val="-8"/>
                <w:sz w:val="21"/>
              </w:rPr>
              <w:t> 个月</w:t>
            </w:r>
            <w:r>
              <w:rPr>
                <w:spacing w:val="-3"/>
                <w:sz w:val="21"/>
              </w:rPr>
              <w:t>（</w:t>
            </w:r>
            <w:r>
              <w:rPr>
                <w:spacing w:val="-2"/>
                <w:sz w:val="21"/>
              </w:rPr>
              <w:t>声带完</w:t>
            </w:r>
            <w:r>
              <w:rPr>
                <w:spacing w:val="-3"/>
                <w:w w:val="100"/>
                <w:sz w:val="21"/>
              </w:rPr>
              <w:t>全切除不受此时间限制</w:t>
            </w:r>
            <w:r>
              <w:rPr>
                <w:spacing w:val="-108"/>
                <w:w w:val="100"/>
                <w:sz w:val="21"/>
              </w:rPr>
              <w:t>）</w:t>
            </w:r>
            <w:r>
              <w:rPr>
                <w:spacing w:val="-3"/>
                <w:w w:val="100"/>
                <w:sz w:val="21"/>
              </w:rPr>
              <w:t>，仍无法通过现有医疗手段恢复。</w:t>
            </w:r>
          </w:p>
          <w:p>
            <w:pPr>
              <w:pStyle w:val="TableParagraph"/>
              <w:spacing w:before="7"/>
              <w:ind w:left="104"/>
              <w:rPr>
                <w:sz w:val="21"/>
              </w:rPr>
            </w:pPr>
            <w:r>
              <w:rPr>
                <w:sz w:val="21"/>
              </w:rPr>
              <w:t>精神心理因素所致的语言能力丧失不在保障范围内。</w:t>
            </w:r>
          </w:p>
          <w:p>
            <w:pPr>
              <w:pStyle w:val="TableParagraph"/>
              <w:spacing w:line="273" w:lineRule="auto" w:before="36"/>
              <w:ind w:left="104" w:right="245"/>
              <w:rPr>
                <w:b/>
                <w:sz w:val="21"/>
              </w:rPr>
            </w:pPr>
            <w:r>
              <w:rPr>
                <w:b/>
                <w:sz w:val="21"/>
              </w:rPr>
              <w:t>被保险人申请理赔时年龄必须在三周岁以上，并且提供理赔当时的语言能力丧失诊断及检查证据。</w:t>
            </w:r>
          </w:p>
        </w:tc>
      </w:tr>
      <w:tr>
        <w:trPr>
          <w:trHeight w:val="2504" w:hRule="atLeast"/>
        </w:trPr>
        <w:tc>
          <w:tcPr>
            <w:tcW w:w="1030" w:type="dxa"/>
          </w:tcPr>
          <w:p>
            <w:pPr>
              <w:pStyle w:val="TableParagraph"/>
              <w:spacing w:before="139"/>
              <w:ind w:left="166" w:right="163"/>
              <w:jc w:val="center"/>
              <w:rPr>
                <w:i/>
                <w:sz w:val="22"/>
              </w:rPr>
            </w:pPr>
            <w:r>
              <w:rPr>
                <w:i/>
                <w:sz w:val="22"/>
              </w:rPr>
              <w:t>3.2.24</w:t>
            </w:r>
          </w:p>
        </w:tc>
        <w:tc>
          <w:tcPr>
            <w:tcW w:w="1617" w:type="dxa"/>
          </w:tcPr>
          <w:p>
            <w:pPr>
              <w:pStyle w:val="TableParagraph"/>
              <w:spacing w:line="259" w:lineRule="auto" w:before="139"/>
              <w:ind w:left="197" w:right="107"/>
              <w:rPr>
                <w:i/>
                <w:sz w:val="22"/>
              </w:rPr>
            </w:pPr>
            <w:r>
              <w:rPr>
                <w:i/>
                <w:w w:val="95"/>
                <w:sz w:val="22"/>
              </w:rPr>
              <w:t>重型再生障碍性贫血</w:t>
            </w:r>
          </w:p>
        </w:tc>
        <w:tc>
          <w:tcPr>
            <w:tcW w:w="7729" w:type="dxa"/>
          </w:tcPr>
          <w:p>
            <w:pPr>
              <w:pStyle w:val="TableParagraph"/>
              <w:spacing w:line="273" w:lineRule="auto" w:before="151"/>
              <w:ind w:left="104" w:right="200"/>
              <w:rPr>
                <w:sz w:val="21"/>
              </w:rPr>
            </w:pPr>
            <w:r>
              <w:rPr>
                <w:sz w:val="21"/>
              </w:rPr>
              <w:t>指因骨髓造血功能慢性持续性衰竭导致的贫血、中性粒细胞减少及血小板减少。须满足下列全部条件：</w:t>
            </w:r>
          </w:p>
          <w:p>
            <w:pPr>
              <w:pStyle w:val="TableParagraph"/>
              <w:spacing w:before="7"/>
              <w:ind w:left="104"/>
              <w:rPr>
                <w:sz w:val="21"/>
              </w:rPr>
            </w:pPr>
            <w:r>
              <w:rPr>
                <w:sz w:val="21"/>
              </w:rPr>
              <w:t>（1）骨髓穿刺检查或骨髓活检结果支持诊断；</w:t>
            </w:r>
          </w:p>
          <w:p>
            <w:pPr>
              <w:pStyle w:val="TableParagraph"/>
              <w:spacing w:before="36"/>
              <w:ind w:left="104"/>
              <w:rPr>
                <w:sz w:val="21"/>
              </w:rPr>
            </w:pPr>
            <w:r>
              <w:rPr>
                <w:sz w:val="21"/>
              </w:rPr>
              <w:t>（2）外周血象须具备所有三项条件：</w:t>
            </w:r>
          </w:p>
          <w:p>
            <w:pPr>
              <w:pStyle w:val="TableParagraph"/>
              <w:spacing w:before="37"/>
              <w:ind w:left="524"/>
              <w:rPr>
                <w:sz w:val="21"/>
              </w:rPr>
            </w:pPr>
            <w:r>
              <w:rPr>
                <w:sz w:val="21"/>
              </w:rPr>
              <w:t>① 中性粒细胞绝对值≤0.5×10</w:t>
            </w:r>
            <w:r>
              <w:rPr>
                <w:b/>
                <w:position w:val="11"/>
                <w:sz w:val="11"/>
              </w:rPr>
              <w:t>9</w:t>
            </w:r>
            <w:r>
              <w:rPr>
                <w:sz w:val="21"/>
              </w:rPr>
              <w:t>/L ；</w:t>
            </w:r>
          </w:p>
          <w:p>
            <w:pPr>
              <w:pStyle w:val="TableParagraph"/>
              <w:spacing w:before="37"/>
              <w:ind w:left="524"/>
              <w:rPr>
                <w:sz w:val="21"/>
              </w:rPr>
            </w:pPr>
            <w:r>
              <w:rPr>
                <w:sz w:val="21"/>
              </w:rPr>
              <w:t>② 网织红细胞＜1%；</w:t>
            </w:r>
          </w:p>
          <w:p>
            <w:pPr>
              <w:pStyle w:val="TableParagraph"/>
              <w:spacing w:before="37"/>
              <w:ind w:left="524"/>
              <w:rPr>
                <w:sz w:val="21"/>
              </w:rPr>
            </w:pPr>
            <w:r>
              <w:rPr>
                <w:sz w:val="21"/>
              </w:rPr>
              <w:t>③ 血小板绝对值≤20×10</w:t>
            </w:r>
            <w:r>
              <w:rPr>
                <w:b/>
                <w:position w:val="11"/>
                <w:sz w:val="11"/>
              </w:rPr>
              <w:t>9</w:t>
            </w:r>
            <w:r>
              <w:rPr>
                <w:sz w:val="21"/>
              </w:rPr>
              <w:t>/L。</w:t>
            </w:r>
          </w:p>
        </w:tc>
      </w:tr>
      <w:tr>
        <w:trPr>
          <w:trHeight w:val="1568" w:hRule="atLeast"/>
        </w:trPr>
        <w:tc>
          <w:tcPr>
            <w:tcW w:w="1030" w:type="dxa"/>
          </w:tcPr>
          <w:p>
            <w:pPr>
              <w:pStyle w:val="TableParagraph"/>
              <w:spacing w:before="140"/>
              <w:ind w:left="166" w:right="163"/>
              <w:jc w:val="center"/>
              <w:rPr>
                <w:i/>
                <w:sz w:val="22"/>
              </w:rPr>
            </w:pPr>
            <w:r>
              <w:rPr>
                <w:i/>
                <w:sz w:val="22"/>
              </w:rPr>
              <w:t>3.2.25</w:t>
            </w:r>
          </w:p>
        </w:tc>
        <w:tc>
          <w:tcPr>
            <w:tcW w:w="1617" w:type="dxa"/>
          </w:tcPr>
          <w:p>
            <w:pPr>
              <w:pStyle w:val="TableParagraph"/>
              <w:spacing w:before="140"/>
              <w:ind w:left="197"/>
              <w:rPr>
                <w:i/>
                <w:sz w:val="22"/>
              </w:rPr>
            </w:pPr>
            <w:r>
              <w:rPr>
                <w:i/>
                <w:w w:val="95"/>
                <w:sz w:val="22"/>
              </w:rPr>
              <w:t>主动脉手术</w:t>
            </w:r>
          </w:p>
        </w:tc>
        <w:tc>
          <w:tcPr>
            <w:tcW w:w="7729" w:type="dxa"/>
          </w:tcPr>
          <w:p>
            <w:pPr>
              <w:pStyle w:val="TableParagraph"/>
              <w:spacing w:line="273" w:lineRule="auto" w:before="152"/>
              <w:ind w:left="104" w:right="20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4"/>
              <w:jc w:val="both"/>
              <w:rPr>
                <w:b/>
                <w:sz w:val="21"/>
              </w:rPr>
            </w:pPr>
            <w:r>
              <w:rPr>
                <w:b/>
                <w:sz w:val="21"/>
              </w:rPr>
              <w:t>动脉内血管成形术不在保障范围内。</w:t>
            </w:r>
          </w:p>
        </w:tc>
      </w:tr>
      <w:tr>
        <w:trPr>
          <w:trHeight w:val="739" w:hRule="atLeast"/>
        </w:trPr>
        <w:tc>
          <w:tcPr>
            <w:tcW w:w="1030" w:type="dxa"/>
          </w:tcPr>
          <w:p>
            <w:pPr>
              <w:pStyle w:val="TableParagraph"/>
              <w:spacing w:before="139"/>
              <w:ind w:left="166" w:right="163"/>
              <w:jc w:val="center"/>
              <w:rPr>
                <w:i/>
                <w:sz w:val="22"/>
              </w:rPr>
            </w:pPr>
            <w:r>
              <w:rPr>
                <w:i/>
                <w:sz w:val="22"/>
              </w:rPr>
              <w:t>3.2.26</w:t>
            </w:r>
          </w:p>
        </w:tc>
        <w:tc>
          <w:tcPr>
            <w:tcW w:w="1617" w:type="dxa"/>
          </w:tcPr>
          <w:p>
            <w:pPr>
              <w:pStyle w:val="TableParagraph"/>
              <w:spacing w:line="310" w:lineRule="atLeast" w:before="117"/>
              <w:ind w:left="197" w:right="100" w:firstLine="7"/>
              <w:rPr>
                <w:i/>
                <w:sz w:val="22"/>
              </w:rPr>
            </w:pPr>
            <w:bookmarkStart w:name="慢性呼吸功能衰竭" w:id="1"/>
            <w:bookmarkEnd w:id="1"/>
            <w:r>
              <w:rPr/>
            </w:r>
            <w:r>
              <w:rPr>
                <w:i/>
                <w:w w:val="95"/>
                <w:sz w:val="22"/>
              </w:rPr>
              <w:t>慢性呼吸功能衰竭</w:t>
            </w:r>
          </w:p>
        </w:tc>
        <w:tc>
          <w:tcPr>
            <w:tcW w:w="7729" w:type="dxa"/>
          </w:tcPr>
          <w:p>
            <w:pPr>
              <w:pStyle w:val="TableParagraph"/>
              <w:spacing w:line="310" w:lineRule="atLeast" w:before="116"/>
              <w:ind w:left="104" w:right="200"/>
              <w:rPr>
                <w:sz w:val="21"/>
              </w:rPr>
            </w:pPr>
            <w:r>
              <w:rPr>
                <w:sz w:val="21"/>
              </w:rPr>
              <w:t>慢性肺部疾病导致永久不可逆性的慢性呼吸功能衰竭。慢性呼吸功能衰竭必须明确诊断并满足下列全部条件：</w:t>
            </w:r>
          </w:p>
        </w:tc>
      </w:tr>
    </w:tbl>
    <w:p>
      <w:pPr>
        <w:spacing w:after="0" w:line="310" w:lineRule="atLeast"/>
        <w:rPr>
          <w:sz w:val="21"/>
        </w:rPr>
        <w:sectPr>
          <w:pgSz w:w="11910" w:h="16840"/>
          <w:pgMar w:header="892" w:footer="917" w:top="1080" w:bottom="1100" w:left="820" w:right="500"/>
        </w:sectPr>
      </w:pPr>
    </w:p>
    <w:p>
      <w:pPr>
        <w:pStyle w:val="BodyText"/>
        <w:rPr>
          <w:rFonts w:ascii="Times New Roman"/>
          <w:sz w:val="20"/>
        </w:rPr>
      </w:pPr>
    </w:p>
    <w:p>
      <w:pPr>
        <w:pStyle w:val="BodyText"/>
        <w:spacing w:before="8"/>
        <w:rPr>
          <w:rFonts w:ascii="Times New Roman"/>
          <w:sz w:val="19"/>
        </w:r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0"/>
        <w:gridCol w:w="1590"/>
        <w:gridCol w:w="7609"/>
      </w:tblGrid>
      <w:tr>
        <w:trPr>
          <w:trHeight w:val="261" w:hRule="atLeast"/>
        </w:trPr>
        <w:tc>
          <w:tcPr>
            <w:tcW w:w="880" w:type="dxa"/>
          </w:tcPr>
          <w:p>
            <w:pPr>
              <w:pStyle w:val="TableParagraph"/>
              <w:rPr>
                <w:rFonts w:ascii="Times New Roman"/>
                <w:sz w:val="18"/>
              </w:rPr>
            </w:pPr>
          </w:p>
        </w:tc>
        <w:tc>
          <w:tcPr>
            <w:tcW w:w="1590" w:type="dxa"/>
          </w:tcPr>
          <w:p>
            <w:pPr>
              <w:pStyle w:val="TableParagraph"/>
              <w:rPr>
                <w:rFonts w:ascii="Times New Roman"/>
                <w:sz w:val="18"/>
              </w:rPr>
            </w:pPr>
          </w:p>
        </w:tc>
        <w:tc>
          <w:tcPr>
            <w:tcW w:w="7609" w:type="dxa"/>
          </w:tcPr>
          <w:p>
            <w:pPr>
              <w:pStyle w:val="TableParagraph"/>
              <w:spacing w:line="211" w:lineRule="exact"/>
              <w:ind w:left="131"/>
              <w:rPr>
                <w:sz w:val="21"/>
              </w:rPr>
            </w:pPr>
            <w:r>
              <w:rPr>
                <w:sz w:val="21"/>
              </w:rPr>
              <w:t>（1）休息时出现呼吸困难；</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（2）动脉血氧分压 （PaO 2 ）&lt; 50mmHg；</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（3）动脉血氧饱和度 （SaO 2 ）&lt; 80％；</w:t>
            </w:r>
          </w:p>
        </w:tc>
      </w:tr>
      <w:tr>
        <w:trPr>
          <w:trHeight w:val="463"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（4）因缺氧必须接受持续的输氧治疗。</w:t>
            </w:r>
          </w:p>
        </w:tc>
      </w:tr>
      <w:tr>
        <w:trPr>
          <w:trHeight w:val="468" w:hRule="atLeast"/>
        </w:trPr>
        <w:tc>
          <w:tcPr>
            <w:tcW w:w="880" w:type="dxa"/>
          </w:tcPr>
          <w:p>
            <w:pPr>
              <w:pStyle w:val="TableParagraph"/>
              <w:spacing w:before="136"/>
              <w:ind w:left="50"/>
              <w:rPr>
                <w:i/>
                <w:sz w:val="22"/>
              </w:rPr>
            </w:pPr>
            <w:r>
              <w:rPr>
                <w:i/>
                <w:sz w:val="22"/>
              </w:rPr>
              <w:t>3.2.27</w:t>
            </w:r>
          </w:p>
        </w:tc>
        <w:tc>
          <w:tcPr>
            <w:tcW w:w="1590" w:type="dxa"/>
          </w:tcPr>
          <w:p>
            <w:pPr>
              <w:pStyle w:val="TableParagraph"/>
              <w:spacing w:before="136"/>
              <w:ind w:left="197"/>
              <w:rPr>
                <w:i/>
                <w:sz w:val="22"/>
              </w:rPr>
            </w:pPr>
            <w:r>
              <w:rPr>
                <w:i/>
                <w:w w:val="95"/>
                <w:sz w:val="22"/>
              </w:rPr>
              <w:t>严重多发性硬</w:t>
            </w:r>
          </w:p>
        </w:tc>
        <w:tc>
          <w:tcPr>
            <w:tcW w:w="7609" w:type="dxa"/>
          </w:tcPr>
          <w:p>
            <w:pPr>
              <w:pStyle w:val="TableParagraph"/>
              <w:spacing w:before="147"/>
              <w:ind w:left="131"/>
              <w:rPr>
                <w:sz w:val="21"/>
              </w:rPr>
            </w:pPr>
            <w:r>
              <w:rPr>
                <w:sz w:val="21"/>
              </w:rPr>
              <w:t>多发性硬化为中枢神经系统白质多灶性脱髓鞘病变，病变有时累及灰质。多发性</w:t>
            </w:r>
          </w:p>
        </w:tc>
      </w:tr>
      <w:tr>
        <w:trPr>
          <w:trHeight w:val="313" w:hRule="atLeast"/>
        </w:trPr>
        <w:tc>
          <w:tcPr>
            <w:tcW w:w="880" w:type="dxa"/>
          </w:tcPr>
          <w:p>
            <w:pPr>
              <w:pStyle w:val="TableParagraph"/>
              <w:rPr>
                <w:rFonts w:ascii="Times New Roman"/>
                <w:sz w:val="20"/>
              </w:rPr>
            </w:pPr>
          </w:p>
        </w:tc>
        <w:tc>
          <w:tcPr>
            <w:tcW w:w="1590" w:type="dxa"/>
          </w:tcPr>
          <w:p>
            <w:pPr>
              <w:pStyle w:val="TableParagraph"/>
              <w:spacing w:line="267" w:lineRule="exact"/>
              <w:ind w:left="197"/>
              <w:rPr>
                <w:i/>
                <w:sz w:val="22"/>
              </w:rPr>
            </w:pPr>
            <w:r>
              <w:rPr>
                <w:i/>
                <w:w w:val="96"/>
                <w:sz w:val="22"/>
              </w:rPr>
              <w:t>化</w:t>
            </w:r>
          </w:p>
        </w:tc>
        <w:tc>
          <w:tcPr>
            <w:tcW w:w="7609" w:type="dxa"/>
          </w:tcPr>
          <w:p>
            <w:pPr>
              <w:pStyle w:val="TableParagraph"/>
              <w:spacing w:line="266" w:lineRule="exact"/>
              <w:ind w:left="131"/>
              <w:rPr>
                <w:sz w:val="21"/>
              </w:rPr>
            </w:pPr>
            <w:r>
              <w:rPr>
                <w:sz w:val="21"/>
              </w:rPr>
              <w:t>硬化必须明确诊断，并且已经造成永久不可逆的神经系统功能损害。永久不可逆</w:t>
            </w:r>
          </w:p>
        </w:tc>
      </w:tr>
      <w:tr>
        <w:trPr>
          <w:trHeight w:val="623"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80" w:lineRule="exact"/>
              <w:ind w:left="131"/>
              <w:rPr>
                <w:sz w:val="21"/>
              </w:rPr>
            </w:pPr>
            <w:r>
              <w:rPr>
                <w:sz w:val="21"/>
              </w:rPr>
              <w:t>的神经系统损害指被保险人持续 </w:t>
            </w:r>
            <w:r>
              <w:rPr>
                <w:rFonts w:ascii="Times New Roman" w:eastAsia="Times New Roman"/>
                <w:sz w:val="21"/>
              </w:rPr>
              <w:t>180 </w:t>
            </w:r>
            <w:r>
              <w:rPr>
                <w:sz w:val="21"/>
              </w:rPr>
              <w:t>天无法独立完成下列基本日常生活活动：</w:t>
            </w:r>
          </w:p>
          <w:p>
            <w:pPr>
              <w:pStyle w:val="TableParagraph"/>
              <w:spacing w:before="21"/>
              <w:ind w:left="131"/>
              <w:rPr>
                <w:sz w:val="21"/>
              </w:rPr>
            </w:pPr>
            <w:r>
              <w:rPr>
                <w:sz w:val="21"/>
              </w:rPr>
              <w:t>（1）移动：自己从一个房间移动到另一个房间；或者</w:t>
            </w:r>
          </w:p>
        </w:tc>
      </w:tr>
      <w:tr>
        <w:trPr>
          <w:trHeight w:val="478"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81" w:lineRule="exact"/>
              <w:ind w:left="131"/>
              <w:rPr>
                <w:sz w:val="21"/>
              </w:rPr>
            </w:pPr>
            <w:r>
              <w:rPr>
                <w:sz w:val="21"/>
              </w:rPr>
              <w:t>（</w:t>
            </w:r>
            <w:r>
              <w:rPr>
                <w:rFonts w:ascii="Times New Roman" w:eastAsia="Times New Roman"/>
                <w:sz w:val="21"/>
              </w:rPr>
              <w:t>2</w:t>
            </w:r>
            <w:r>
              <w:rPr>
                <w:sz w:val="21"/>
              </w:rPr>
              <w:t>）进食：自己从已准备好的碗或碟中取食物放入口中。</w:t>
            </w:r>
          </w:p>
        </w:tc>
      </w:tr>
      <w:tr>
        <w:trPr>
          <w:trHeight w:val="469" w:hRule="atLeast"/>
        </w:trPr>
        <w:tc>
          <w:tcPr>
            <w:tcW w:w="880" w:type="dxa"/>
          </w:tcPr>
          <w:p>
            <w:pPr>
              <w:pStyle w:val="TableParagraph"/>
              <w:spacing w:before="131"/>
              <w:ind w:left="50"/>
              <w:rPr>
                <w:i/>
                <w:sz w:val="22"/>
              </w:rPr>
            </w:pPr>
            <w:r>
              <w:rPr>
                <w:i/>
                <w:sz w:val="22"/>
              </w:rPr>
              <w:t>3.2.28</w:t>
            </w:r>
          </w:p>
        </w:tc>
        <w:tc>
          <w:tcPr>
            <w:tcW w:w="1590" w:type="dxa"/>
          </w:tcPr>
          <w:p>
            <w:pPr>
              <w:pStyle w:val="TableParagraph"/>
              <w:spacing w:before="131"/>
              <w:ind w:left="197"/>
              <w:rPr>
                <w:i/>
                <w:sz w:val="22"/>
              </w:rPr>
            </w:pPr>
            <w:r>
              <w:rPr>
                <w:i/>
                <w:w w:val="95"/>
                <w:sz w:val="22"/>
              </w:rPr>
              <w:t>脊髓灰质炎</w:t>
            </w:r>
          </w:p>
        </w:tc>
        <w:tc>
          <w:tcPr>
            <w:tcW w:w="7609" w:type="dxa"/>
          </w:tcPr>
          <w:p>
            <w:pPr>
              <w:pStyle w:val="TableParagraph"/>
              <w:spacing w:before="143"/>
              <w:ind w:left="131"/>
              <w:rPr>
                <w:sz w:val="21"/>
              </w:rPr>
            </w:pPr>
            <w:r>
              <w:rPr>
                <w:sz w:val="21"/>
              </w:rPr>
              <w:t>脊髓灰质炎是由于脊髓灰质炎病毒感染所致的瘫痪性疾病，临床表现为运动功能</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损害或呼吸无力。脊髓灰质炎必须明确诊断。</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我们仅对脊髓灰质炎造成的神经系统功能损害导致被保险人一肢或一肢以上肢体</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机能永久完全丧失的情况予以理赔。肢体机能永久完全丧失，指疾病确诊 180 天</w:t>
            </w:r>
          </w:p>
        </w:tc>
      </w:tr>
      <w:tr>
        <w:trPr>
          <w:trHeight w:val="466"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后，每肢三大关节中的两大关节仍然完全僵硬，或不能随意识活动。</w:t>
            </w:r>
          </w:p>
        </w:tc>
      </w:tr>
      <w:tr>
        <w:trPr>
          <w:trHeight w:val="472" w:hRule="atLeast"/>
        </w:trPr>
        <w:tc>
          <w:tcPr>
            <w:tcW w:w="880" w:type="dxa"/>
          </w:tcPr>
          <w:p>
            <w:pPr>
              <w:pStyle w:val="TableParagraph"/>
              <w:spacing w:before="139"/>
              <w:ind w:left="50"/>
              <w:rPr>
                <w:i/>
                <w:sz w:val="22"/>
              </w:rPr>
            </w:pPr>
            <w:r>
              <w:rPr>
                <w:i/>
                <w:sz w:val="22"/>
              </w:rPr>
              <w:t>3.2.29</w:t>
            </w:r>
          </w:p>
        </w:tc>
        <w:tc>
          <w:tcPr>
            <w:tcW w:w="1590" w:type="dxa"/>
          </w:tcPr>
          <w:p>
            <w:pPr>
              <w:pStyle w:val="TableParagraph"/>
              <w:spacing w:before="139"/>
              <w:ind w:left="197"/>
              <w:rPr>
                <w:i/>
                <w:sz w:val="22"/>
              </w:rPr>
            </w:pPr>
            <w:bookmarkStart w:name="全身性重症肌无力" w:id="2"/>
            <w:bookmarkEnd w:id="2"/>
            <w:r>
              <w:rPr/>
            </w:r>
            <w:r>
              <w:rPr>
                <w:i/>
                <w:w w:val="95"/>
                <w:sz w:val="22"/>
              </w:rPr>
              <w:t>全身性重症肌</w:t>
            </w:r>
          </w:p>
        </w:tc>
        <w:tc>
          <w:tcPr>
            <w:tcW w:w="7609" w:type="dxa"/>
          </w:tcPr>
          <w:p>
            <w:pPr>
              <w:pStyle w:val="TableParagraph"/>
              <w:spacing w:before="151"/>
              <w:ind w:left="131"/>
              <w:rPr>
                <w:sz w:val="21"/>
              </w:rPr>
            </w:pPr>
            <w:r>
              <w:rPr>
                <w:sz w:val="21"/>
              </w:rPr>
              <w:t>重症肌无力是一种神经肌肉接头传递障碍所致的疾病，表现为局部或全身骨骼肌</w:t>
            </w:r>
          </w:p>
        </w:tc>
      </w:tr>
      <w:tr>
        <w:trPr>
          <w:trHeight w:val="316" w:hRule="atLeast"/>
        </w:trPr>
        <w:tc>
          <w:tcPr>
            <w:tcW w:w="880" w:type="dxa"/>
          </w:tcPr>
          <w:p>
            <w:pPr>
              <w:pStyle w:val="TableParagraph"/>
              <w:rPr>
                <w:rFonts w:ascii="Times New Roman"/>
                <w:sz w:val="20"/>
              </w:rPr>
            </w:pPr>
          </w:p>
        </w:tc>
        <w:tc>
          <w:tcPr>
            <w:tcW w:w="1590" w:type="dxa"/>
          </w:tcPr>
          <w:p>
            <w:pPr>
              <w:pStyle w:val="TableParagraph"/>
              <w:spacing w:line="267" w:lineRule="exact"/>
              <w:ind w:left="197"/>
              <w:rPr>
                <w:i/>
                <w:sz w:val="22"/>
              </w:rPr>
            </w:pPr>
            <w:r>
              <w:rPr>
                <w:i/>
                <w:w w:val="95"/>
                <w:sz w:val="22"/>
              </w:rPr>
              <w:t>无力</w:t>
            </w:r>
          </w:p>
        </w:tc>
        <w:tc>
          <w:tcPr>
            <w:tcW w:w="7609" w:type="dxa"/>
          </w:tcPr>
          <w:p>
            <w:pPr>
              <w:pStyle w:val="TableParagraph"/>
              <w:spacing w:line="266" w:lineRule="exact"/>
              <w:ind w:left="131"/>
              <w:rPr>
                <w:sz w:val="21"/>
              </w:rPr>
            </w:pPr>
            <w:r>
              <w:rPr>
                <w:sz w:val="21"/>
              </w:rPr>
              <w:t>（特别是眼外肌）极易疲劳。疾病可以累及呼吸肌、上肢或下肢的近端肌群或全</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身肌肉，必须满足下列全部条件：</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（1）经药物治疗和胸腺切除治疗一年以上仍无法控制病情；</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（2）自主生活能力完全丧失，无法独立完成六项基本日常生活活动中的三项或三</w:t>
            </w:r>
          </w:p>
        </w:tc>
      </w:tr>
      <w:tr>
        <w:trPr>
          <w:trHeight w:val="463"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项以上。</w:t>
            </w:r>
          </w:p>
        </w:tc>
      </w:tr>
      <w:tr>
        <w:trPr>
          <w:trHeight w:val="473" w:hRule="atLeast"/>
        </w:trPr>
        <w:tc>
          <w:tcPr>
            <w:tcW w:w="880" w:type="dxa"/>
          </w:tcPr>
          <w:p>
            <w:pPr>
              <w:pStyle w:val="TableParagraph"/>
              <w:spacing w:before="136"/>
              <w:ind w:left="50"/>
              <w:rPr>
                <w:i/>
                <w:sz w:val="22"/>
              </w:rPr>
            </w:pPr>
            <w:r>
              <w:rPr>
                <w:i/>
                <w:sz w:val="22"/>
              </w:rPr>
              <w:t>3.2.30</w:t>
            </w:r>
          </w:p>
        </w:tc>
        <w:tc>
          <w:tcPr>
            <w:tcW w:w="1590" w:type="dxa"/>
          </w:tcPr>
          <w:p>
            <w:pPr>
              <w:pStyle w:val="TableParagraph"/>
              <w:spacing w:before="136"/>
              <w:ind w:left="197"/>
              <w:rPr>
                <w:i/>
                <w:sz w:val="22"/>
              </w:rPr>
            </w:pPr>
            <w:r>
              <w:rPr>
                <w:i/>
                <w:w w:val="95"/>
                <w:sz w:val="22"/>
              </w:rPr>
              <w:t>严重冠心病</w:t>
            </w:r>
          </w:p>
        </w:tc>
        <w:tc>
          <w:tcPr>
            <w:tcW w:w="7609" w:type="dxa"/>
          </w:tcPr>
          <w:p>
            <w:pPr>
              <w:pStyle w:val="TableParagraph"/>
              <w:spacing w:before="147"/>
              <w:ind w:left="131"/>
              <w:rPr>
                <w:sz w:val="21"/>
              </w:rPr>
            </w:pPr>
            <w:r>
              <w:rPr>
                <w:sz w:val="21"/>
              </w:rPr>
              <w:t>指经根据冠状动脉造影检查结果明确诊断为三支主要血管（左冠状动脉主干和右</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冠状动脉，或前降支、左旋支和右冠状动脉）严重狭窄性病变（至少一支血管管</w:t>
            </w:r>
          </w:p>
        </w:tc>
      </w:tr>
      <w:tr>
        <w:trPr>
          <w:trHeight w:val="312"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b/>
                <w:sz w:val="21"/>
              </w:rPr>
            </w:pPr>
            <w:r>
              <w:rPr>
                <w:spacing w:val="-2"/>
                <w:sz w:val="21"/>
              </w:rPr>
              <w:t>腔直径减少 </w:t>
            </w:r>
            <w:r>
              <w:rPr>
                <w:sz w:val="21"/>
              </w:rPr>
              <w:t>75</w:t>
            </w:r>
            <w:r>
              <w:rPr>
                <w:spacing w:val="-4"/>
                <w:sz w:val="21"/>
              </w:rPr>
              <w:t>％以上和其他两支血管管腔直径减少 </w:t>
            </w:r>
            <w:r>
              <w:rPr>
                <w:sz w:val="21"/>
              </w:rPr>
              <w:t>60％</w:t>
            </w:r>
            <w:r>
              <w:rPr>
                <w:spacing w:val="-2"/>
                <w:sz w:val="21"/>
              </w:rPr>
              <w:t>以上</w:t>
            </w:r>
            <w:r>
              <w:rPr>
                <w:spacing w:val="-108"/>
                <w:sz w:val="21"/>
              </w:rPr>
              <w:t>）</w:t>
            </w:r>
            <w:r>
              <w:rPr>
                <w:spacing w:val="-3"/>
                <w:sz w:val="21"/>
              </w:rPr>
              <w:t>。</w:t>
            </w:r>
            <w:r>
              <w:rPr>
                <w:b/>
                <w:spacing w:val="-1"/>
                <w:sz w:val="21"/>
              </w:rPr>
              <w:t>前降支、左旋支</w:t>
            </w:r>
          </w:p>
        </w:tc>
      </w:tr>
      <w:tr>
        <w:trPr>
          <w:trHeight w:val="463"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b/>
                <w:sz w:val="21"/>
              </w:rPr>
            </w:pPr>
            <w:r>
              <w:rPr>
                <w:b/>
                <w:sz w:val="21"/>
              </w:rPr>
              <w:t>及右冠状动脉的分支血管的狭窄不作为本保障的衡量指标。</w:t>
            </w:r>
          </w:p>
        </w:tc>
      </w:tr>
      <w:tr>
        <w:trPr>
          <w:trHeight w:val="473" w:hRule="atLeast"/>
        </w:trPr>
        <w:tc>
          <w:tcPr>
            <w:tcW w:w="880" w:type="dxa"/>
          </w:tcPr>
          <w:p>
            <w:pPr>
              <w:pStyle w:val="TableParagraph"/>
              <w:spacing w:before="136"/>
              <w:ind w:left="50"/>
              <w:rPr>
                <w:i/>
                <w:sz w:val="22"/>
              </w:rPr>
            </w:pPr>
            <w:r>
              <w:rPr>
                <w:i/>
                <w:sz w:val="22"/>
              </w:rPr>
              <w:t>3.2.31</w:t>
            </w:r>
          </w:p>
        </w:tc>
        <w:tc>
          <w:tcPr>
            <w:tcW w:w="1590" w:type="dxa"/>
          </w:tcPr>
          <w:p>
            <w:pPr>
              <w:pStyle w:val="TableParagraph"/>
              <w:spacing w:before="136"/>
              <w:ind w:left="197"/>
              <w:rPr>
                <w:i/>
                <w:sz w:val="22"/>
              </w:rPr>
            </w:pPr>
            <w:r>
              <w:rPr>
                <w:i/>
                <w:w w:val="95"/>
                <w:sz w:val="22"/>
              </w:rPr>
              <w:t>严重心肌病</w:t>
            </w:r>
          </w:p>
        </w:tc>
        <w:tc>
          <w:tcPr>
            <w:tcW w:w="7609" w:type="dxa"/>
          </w:tcPr>
          <w:p>
            <w:pPr>
              <w:pStyle w:val="TableParagraph"/>
              <w:spacing w:before="147"/>
              <w:ind w:left="131"/>
              <w:rPr>
                <w:sz w:val="21"/>
              </w:rPr>
            </w:pPr>
            <w:r>
              <w:rPr>
                <w:sz w:val="21"/>
              </w:rPr>
              <w:t>指被保险人因心肌病导致慢性心功能损害造成永久不可逆性的心功能衰竭。心功</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pacing w:val="-5"/>
                <w:sz w:val="21"/>
              </w:rPr>
              <w:t>能衰竭程度达到纽约心脏病学会的心功能分级标准之心功能 </w:t>
            </w:r>
            <w:r>
              <w:rPr>
                <w:sz w:val="21"/>
              </w:rPr>
              <w:t>IV</w:t>
            </w:r>
            <w:r>
              <w:rPr>
                <w:spacing w:val="-10"/>
                <w:sz w:val="21"/>
              </w:rPr>
              <w:t> 级。被保险人永久</w:t>
            </w:r>
          </w:p>
        </w:tc>
      </w:tr>
      <w:tr>
        <w:trPr>
          <w:trHeight w:val="463"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sz w:val="21"/>
              </w:rPr>
            </w:pPr>
            <w:r>
              <w:rPr>
                <w:sz w:val="21"/>
              </w:rPr>
              <w:t>不可逆性的体力活动能力受限，不能从事任何体力活动。</w:t>
            </w:r>
          </w:p>
        </w:tc>
      </w:tr>
      <w:tr>
        <w:trPr>
          <w:trHeight w:val="468" w:hRule="atLeast"/>
        </w:trPr>
        <w:tc>
          <w:tcPr>
            <w:tcW w:w="880" w:type="dxa"/>
          </w:tcPr>
          <w:p>
            <w:pPr>
              <w:pStyle w:val="TableParagraph"/>
              <w:spacing w:before="136"/>
              <w:ind w:left="50"/>
              <w:rPr>
                <w:i/>
                <w:sz w:val="22"/>
              </w:rPr>
            </w:pPr>
            <w:r>
              <w:rPr>
                <w:i/>
                <w:sz w:val="22"/>
              </w:rPr>
              <w:t>3.2.32</w:t>
            </w:r>
          </w:p>
        </w:tc>
        <w:tc>
          <w:tcPr>
            <w:tcW w:w="1590" w:type="dxa"/>
          </w:tcPr>
          <w:p>
            <w:pPr>
              <w:pStyle w:val="TableParagraph"/>
              <w:spacing w:before="136"/>
              <w:ind w:left="197"/>
              <w:rPr>
                <w:i/>
                <w:sz w:val="22"/>
              </w:rPr>
            </w:pPr>
            <w:r>
              <w:rPr>
                <w:i/>
                <w:w w:val="95"/>
                <w:sz w:val="22"/>
              </w:rPr>
              <w:t>系统性红斑狼</w:t>
            </w:r>
          </w:p>
        </w:tc>
        <w:tc>
          <w:tcPr>
            <w:tcW w:w="7609" w:type="dxa"/>
          </w:tcPr>
          <w:p>
            <w:pPr>
              <w:pStyle w:val="TableParagraph"/>
              <w:spacing w:before="147"/>
              <w:ind w:left="131"/>
              <w:rPr>
                <w:sz w:val="21"/>
              </w:rPr>
            </w:pPr>
            <w:r>
              <w:rPr>
                <w:sz w:val="21"/>
              </w:rPr>
              <w:t>系统性红斑狼疮是由多种因素引起，累及多系统的自身免疫性疾病。其特点是生</w:t>
            </w:r>
          </w:p>
        </w:tc>
      </w:tr>
      <w:tr>
        <w:trPr>
          <w:trHeight w:val="311" w:hRule="atLeast"/>
        </w:trPr>
        <w:tc>
          <w:tcPr>
            <w:tcW w:w="880" w:type="dxa"/>
          </w:tcPr>
          <w:p>
            <w:pPr>
              <w:pStyle w:val="TableParagraph"/>
              <w:rPr>
                <w:rFonts w:ascii="Times New Roman"/>
                <w:sz w:val="20"/>
              </w:rPr>
            </w:pPr>
          </w:p>
        </w:tc>
        <w:tc>
          <w:tcPr>
            <w:tcW w:w="1590" w:type="dxa"/>
          </w:tcPr>
          <w:p>
            <w:pPr>
              <w:pStyle w:val="TableParagraph"/>
              <w:spacing w:line="267" w:lineRule="exact"/>
              <w:ind w:left="197"/>
              <w:rPr>
                <w:i/>
                <w:sz w:val="22"/>
              </w:rPr>
            </w:pPr>
            <w:r>
              <w:rPr>
                <w:i/>
                <w:sz w:val="22"/>
              </w:rPr>
              <w:t>疮 － III 型</w:t>
            </w:r>
          </w:p>
        </w:tc>
        <w:tc>
          <w:tcPr>
            <w:tcW w:w="7609" w:type="dxa"/>
          </w:tcPr>
          <w:p>
            <w:pPr>
              <w:pStyle w:val="TableParagraph"/>
              <w:spacing w:line="265" w:lineRule="exact"/>
              <w:ind w:left="131"/>
              <w:rPr>
                <w:sz w:val="21"/>
              </w:rPr>
            </w:pPr>
            <w:r>
              <w:rPr>
                <w:sz w:val="21"/>
              </w:rPr>
              <w:t>成自身抗体对抗多种自身抗原。多见于育龄妇女。</w:t>
            </w:r>
          </w:p>
        </w:tc>
      </w:tr>
      <w:tr>
        <w:trPr>
          <w:trHeight w:val="311" w:hRule="atLeast"/>
        </w:trPr>
        <w:tc>
          <w:tcPr>
            <w:tcW w:w="880" w:type="dxa"/>
          </w:tcPr>
          <w:p>
            <w:pPr>
              <w:pStyle w:val="TableParagraph"/>
              <w:rPr>
                <w:rFonts w:ascii="Times New Roman"/>
                <w:sz w:val="20"/>
              </w:rPr>
            </w:pPr>
          </w:p>
        </w:tc>
        <w:tc>
          <w:tcPr>
            <w:tcW w:w="1590" w:type="dxa"/>
          </w:tcPr>
          <w:p>
            <w:pPr>
              <w:pStyle w:val="TableParagraph"/>
              <w:spacing w:line="267" w:lineRule="exact"/>
              <w:ind w:left="197"/>
              <w:rPr>
                <w:i/>
                <w:sz w:val="22"/>
              </w:rPr>
            </w:pPr>
            <w:r>
              <w:rPr>
                <w:i/>
                <w:w w:val="95"/>
                <w:sz w:val="22"/>
              </w:rPr>
              <w:t>或以上狼疮性</w:t>
            </w:r>
          </w:p>
        </w:tc>
        <w:tc>
          <w:tcPr>
            <w:tcW w:w="7609" w:type="dxa"/>
          </w:tcPr>
          <w:p>
            <w:pPr>
              <w:pStyle w:val="TableParagraph"/>
              <w:spacing w:line="266" w:lineRule="exact"/>
              <w:ind w:left="131"/>
              <w:rPr>
                <w:b/>
                <w:sz w:val="21"/>
              </w:rPr>
            </w:pPr>
            <w:r>
              <w:rPr>
                <w:sz w:val="21"/>
              </w:rPr>
              <w:t>本保单所指的系统性红斑狼疮仅限于累及肾脏（经肾脏活检确认的，符合 WHO </w:t>
            </w:r>
            <w:r>
              <w:rPr>
                <w:b/>
                <w:sz w:val="21"/>
              </w:rPr>
              <w:t>诊</w:t>
            </w:r>
          </w:p>
        </w:tc>
      </w:tr>
      <w:tr>
        <w:trPr>
          <w:trHeight w:val="316" w:hRule="atLeast"/>
        </w:trPr>
        <w:tc>
          <w:tcPr>
            <w:tcW w:w="880" w:type="dxa"/>
          </w:tcPr>
          <w:p>
            <w:pPr>
              <w:pStyle w:val="TableParagraph"/>
              <w:rPr>
                <w:rFonts w:ascii="Times New Roman"/>
                <w:sz w:val="20"/>
              </w:rPr>
            </w:pPr>
          </w:p>
        </w:tc>
        <w:tc>
          <w:tcPr>
            <w:tcW w:w="1590" w:type="dxa"/>
          </w:tcPr>
          <w:p>
            <w:pPr>
              <w:pStyle w:val="TableParagraph"/>
              <w:spacing w:line="267" w:lineRule="exact"/>
              <w:ind w:left="197"/>
              <w:rPr>
                <w:i/>
                <w:sz w:val="22"/>
              </w:rPr>
            </w:pPr>
            <w:r>
              <w:rPr>
                <w:i/>
                <w:w w:val="95"/>
                <w:sz w:val="22"/>
              </w:rPr>
              <w:t>肾炎</w:t>
            </w:r>
          </w:p>
        </w:tc>
        <w:tc>
          <w:tcPr>
            <w:tcW w:w="7609" w:type="dxa"/>
          </w:tcPr>
          <w:p>
            <w:pPr>
              <w:pStyle w:val="TableParagraph"/>
              <w:spacing w:line="266" w:lineRule="exact"/>
              <w:ind w:left="131"/>
              <w:rPr>
                <w:b/>
                <w:sz w:val="21"/>
              </w:rPr>
            </w:pPr>
            <w:r>
              <w:rPr>
                <w:b/>
                <w:spacing w:val="-9"/>
                <w:sz w:val="21"/>
              </w:rPr>
              <w:t>断标准定义 </w:t>
            </w:r>
            <w:r>
              <w:rPr>
                <w:b/>
                <w:sz w:val="21"/>
              </w:rPr>
              <w:t>III</w:t>
            </w:r>
            <w:r>
              <w:rPr>
                <w:b/>
                <w:spacing w:val="-27"/>
                <w:sz w:val="21"/>
              </w:rPr>
              <w:t> 型至 </w:t>
            </w:r>
            <w:r>
              <w:rPr>
                <w:b/>
                <w:sz w:val="21"/>
              </w:rPr>
              <w:t>V</w:t>
            </w:r>
            <w:r>
              <w:rPr>
                <w:b/>
                <w:spacing w:val="-9"/>
                <w:sz w:val="21"/>
              </w:rPr>
              <w:t> 型狼疮性肾炎</w:t>
            </w:r>
            <w:r>
              <w:rPr>
                <w:b/>
                <w:sz w:val="21"/>
              </w:rPr>
              <w:t>）</w:t>
            </w:r>
            <w:r>
              <w:rPr>
                <w:b/>
                <w:spacing w:val="-3"/>
                <w:sz w:val="21"/>
              </w:rPr>
              <w:t>的系统性红斑狼疮。其他类型的红斑性狼</w:t>
            </w:r>
          </w:p>
        </w:tc>
      </w:tr>
      <w:tr>
        <w:trPr>
          <w:trHeight w:val="311" w:hRule="atLeast"/>
        </w:trPr>
        <w:tc>
          <w:tcPr>
            <w:tcW w:w="880" w:type="dxa"/>
          </w:tcPr>
          <w:p>
            <w:pPr>
              <w:pStyle w:val="TableParagraph"/>
              <w:rPr>
                <w:rFonts w:ascii="Times New Roman"/>
                <w:sz w:val="20"/>
              </w:rPr>
            </w:pPr>
          </w:p>
        </w:tc>
        <w:tc>
          <w:tcPr>
            <w:tcW w:w="1590" w:type="dxa"/>
          </w:tcPr>
          <w:p>
            <w:pPr>
              <w:pStyle w:val="TableParagraph"/>
              <w:rPr>
                <w:rFonts w:ascii="Times New Roman"/>
                <w:sz w:val="20"/>
              </w:rPr>
            </w:pPr>
          </w:p>
        </w:tc>
        <w:tc>
          <w:tcPr>
            <w:tcW w:w="7609" w:type="dxa"/>
          </w:tcPr>
          <w:p>
            <w:pPr>
              <w:pStyle w:val="TableParagraph"/>
              <w:spacing w:line="261" w:lineRule="exact"/>
              <w:ind w:left="131"/>
              <w:rPr>
                <w:b/>
                <w:sz w:val="21"/>
              </w:rPr>
            </w:pPr>
            <w:r>
              <w:rPr>
                <w:b/>
                <w:sz w:val="21"/>
              </w:rPr>
              <w:t>疮，如盘状狼疮、仅累及血液及关节的狼疮不在本保单保障范围內。</w:t>
            </w:r>
          </w:p>
        </w:tc>
      </w:tr>
      <w:tr>
        <w:trPr>
          <w:trHeight w:val="261" w:hRule="atLeast"/>
        </w:trPr>
        <w:tc>
          <w:tcPr>
            <w:tcW w:w="880" w:type="dxa"/>
          </w:tcPr>
          <w:p>
            <w:pPr>
              <w:pStyle w:val="TableParagraph"/>
              <w:rPr>
                <w:rFonts w:ascii="Times New Roman"/>
                <w:sz w:val="18"/>
              </w:rPr>
            </w:pPr>
          </w:p>
        </w:tc>
        <w:tc>
          <w:tcPr>
            <w:tcW w:w="1590" w:type="dxa"/>
          </w:tcPr>
          <w:p>
            <w:pPr>
              <w:pStyle w:val="TableParagraph"/>
              <w:rPr>
                <w:rFonts w:ascii="Times New Roman"/>
                <w:sz w:val="18"/>
              </w:rPr>
            </w:pPr>
          </w:p>
        </w:tc>
        <w:tc>
          <w:tcPr>
            <w:tcW w:w="7609" w:type="dxa"/>
          </w:tcPr>
          <w:p>
            <w:pPr>
              <w:pStyle w:val="TableParagraph"/>
              <w:spacing w:line="242" w:lineRule="exact"/>
              <w:ind w:left="131"/>
              <w:rPr>
                <w:sz w:val="21"/>
              </w:rPr>
            </w:pPr>
            <w:r>
              <w:rPr>
                <w:sz w:val="21"/>
              </w:rPr>
              <w:t>世界卫生组织（WHO）狼疮性肾炎分型：</w:t>
            </w:r>
          </w:p>
        </w:tc>
      </w:tr>
    </w:tbl>
    <w:p>
      <w:pPr>
        <w:pStyle w:val="ListParagraph"/>
        <w:numPr>
          <w:ilvl w:val="2"/>
          <w:numId w:val="3"/>
        </w:numPr>
        <w:tabs>
          <w:tab w:pos="3005" w:val="left" w:leader="none"/>
          <w:tab w:pos="5524" w:val="left" w:leader="none"/>
        </w:tabs>
        <w:spacing w:line="240" w:lineRule="auto" w:before="37" w:after="0"/>
        <w:ind w:left="3004" w:right="0" w:hanging="158"/>
        <w:jc w:val="left"/>
        <w:rPr>
          <w:sz w:val="21"/>
        </w:rPr>
      </w:pPr>
      <w:r>
        <w:rPr>
          <w:sz w:val="21"/>
        </w:rPr>
        <w:t>型</w:t>
      </w:r>
      <w:r>
        <w:rPr>
          <w:spacing w:val="-3"/>
          <w:sz w:val="21"/>
        </w:rPr>
        <w:t>（</w:t>
      </w:r>
      <w:r>
        <w:rPr>
          <w:sz w:val="21"/>
        </w:rPr>
        <w:t>微</w:t>
      </w:r>
      <w:r>
        <w:rPr>
          <w:spacing w:val="-3"/>
          <w:sz w:val="21"/>
        </w:rPr>
        <w:t>小</w:t>
      </w:r>
      <w:r>
        <w:rPr>
          <w:sz w:val="21"/>
        </w:rPr>
        <w:t>病</w:t>
      </w:r>
      <w:r>
        <w:rPr>
          <w:spacing w:val="-3"/>
          <w:sz w:val="21"/>
        </w:rPr>
        <w:t>变</w:t>
      </w:r>
      <w:r>
        <w:rPr>
          <w:sz w:val="21"/>
        </w:rPr>
        <w:t>型）</w:t>
        <w:tab/>
        <w:t>镜下</w:t>
      </w:r>
      <w:r>
        <w:rPr>
          <w:spacing w:val="-3"/>
          <w:sz w:val="21"/>
        </w:rPr>
        <w:t>阴</w:t>
      </w:r>
      <w:r>
        <w:rPr>
          <w:sz w:val="21"/>
        </w:rPr>
        <w:t>性</w:t>
      </w:r>
      <w:r>
        <w:rPr>
          <w:spacing w:val="-3"/>
          <w:sz w:val="21"/>
        </w:rPr>
        <w:t>，</w:t>
      </w:r>
      <w:r>
        <w:rPr>
          <w:sz w:val="21"/>
        </w:rPr>
        <w:t>尿</w:t>
      </w:r>
      <w:r>
        <w:rPr>
          <w:spacing w:val="-3"/>
          <w:sz w:val="21"/>
        </w:rPr>
        <w:t>液</w:t>
      </w:r>
      <w:r>
        <w:rPr>
          <w:sz w:val="21"/>
        </w:rPr>
        <w:t>正常</w:t>
      </w:r>
    </w:p>
    <w:p>
      <w:pPr>
        <w:pStyle w:val="ListParagraph"/>
        <w:numPr>
          <w:ilvl w:val="2"/>
          <w:numId w:val="3"/>
        </w:numPr>
        <w:tabs>
          <w:tab w:pos="3111" w:val="left" w:leader="none"/>
          <w:tab w:pos="5525" w:val="left" w:leader="none"/>
        </w:tabs>
        <w:spacing w:line="240" w:lineRule="auto" w:before="37" w:after="0"/>
        <w:ind w:left="3110" w:right="0" w:hanging="264"/>
        <w:jc w:val="left"/>
        <w:rPr>
          <w:sz w:val="21"/>
        </w:rPr>
      </w:pPr>
      <w:r>
        <w:rPr>
          <w:spacing w:val="-3"/>
          <w:sz w:val="21"/>
        </w:rPr>
        <w:t>型</w:t>
      </w:r>
      <w:r>
        <w:rPr>
          <w:sz w:val="21"/>
        </w:rPr>
        <w:t>（</w:t>
      </w:r>
      <w:r>
        <w:rPr>
          <w:spacing w:val="-3"/>
          <w:sz w:val="21"/>
        </w:rPr>
        <w:t>系</w:t>
      </w:r>
      <w:r>
        <w:rPr>
          <w:sz w:val="21"/>
        </w:rPr>
        <w:t>膜</w:t>
      </w:r>
      <w:r>
        <w:rPr>
          <w:spacing w:val="-3"/>
          <w:sz w:val="21"/>
        </w:rPr>
        <w:t>病</w:t>
      </w:r>
      <w:r>
        <w:rPr>
          <w:sz w:val="21"/>
        </w:rPr>
        <w:t>变</w:t>
      </w:r>
      <w:r>
        <w:rPr>
          <w:spacing w:val="-3"/>
          <w:sz w:val="21"/>
        </w:rPr>
        <w:t>型</w:t>
      </w:r>
      <w:r>
        <w:rPr>
          <w:sz w:val="21"/>
        </w:rPr>
        <w:t>）</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2"/>
          <w:numId w:val="3"/>
        </w:numPr>
        <w:tabs>
          <w:tab w:pos="3212" w:val="left" w:leader="none"/>
        </w:tabs>
        <w:spacing w:line="240" w:lineRule="auto" w:before="37" w:after="0"/>
        <w:ind w:left="3211" w:right="0" w:hanging="365"/>
        <w:jc w:val="left"/>
        <w:rPr>
          <w:sz w:val="21"/>
        </w:rPr>
      </w:pPr>
      <w:r>
        <w:rPr>
          <w:spacing w:val="-106"/>
          <w:sz w:val="21"/>
        </w:rPr>
        <w:t>型</w:t>
      </w:r>
      <w:r>
        <w:rPr>
          <w:spacing w:val="-3"/>
          <w:sz w:val="21"/>
        </w:rPr>
        <w:t>（局灶及节段增生型</w:t>
      </w:r>
      <w:r>
        <w:rPr>
          <w:sz w:val="21"/>
        </w:rPr>
        <w:t>） 蛋白尿，尿沉渣改变</w:t>
      </w:r>
    </w:p>
    <w:p>
      <w:pPr>
        <w:pStyle w:val="ListParagraph"/>
        <w:numPr>
          <w:ilvl w:val="2"/>
          <w:numId w:val="3"/>
        </w:numPr>
        <w:tabs>
          <w:tab w:pos="3111" w:val="left" w:leader="none"/>
          <w:tab w:pos="5524" w:val="left" w:leader="none"/>
        </w:tabs>
        <w:spacing w:line="240" w:lineRule="auto" w:before="37" w:after="0"/>
        <w:ind w:left="3110" w:right="0" w:hanging="264"/>
        <w:jc w:val="left"/>
        <w:rPr>
          <w:sz w:val="21"/>
        </w:rPr>
      </w:pPr>
      <w:r>
        <w:rPr>
          <w:spacing w:val="-3"/>
          <w:sz w:val="21"/>
        </w:rPr>
        <w:t>型</w:t>
      </w:r>
      <w:r>
        <w:rPr>
          <w:sz w:val="21"/>
        </w:rPr>
        <w:t>（</w:t>
      </w:r>
      <w:r>
        <w:rPr>
          <w:spacing w:val="-3"/>
          <w:sz w:val="21"/>
        </w:rPr>
        <w:t>弥</w:t>
      </w:r>
      <w:r>
        <w:rPr>
          <w:sz w:val="21"/>
        </w:rPr>
        <w:t>漫</w:t>
      </w:r>
      <w:r>
        <w:rPr>
          <w:spacing w:val="-3"/>
          <w:sz w:val="21"/>
        </w:rPr>
        <w:t>增</w:t>
      </w:r>
      <w:r>
        <w:rPr>
          <w:sz w:val="21"/>
        </w:rPr>
        <w:t>生</w:t>
      </w:r>
      <w:r>
        <w:rPr>
          <w:spacing w:val="-3"/>
          <w:sz w:val="21"/>
        </w:rPr>
        <w:t>型</w:t>
      </w:r>
      <w:r>
        <w:rPr>
          <w:sz w:val="21"/>
        </w:rPr>
        <w:t>）</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w:t>
      </w:r>
      <w:r>
        <w:rPr>
          <w:spacing w:val="-3"/>
          <w:sz w:val="21"/>
        </w:rPr>
        <w:t>合</w:t>
      </w:r>
      <w:r>
        <w:rPr>
          <w:sz w:val="21"/>
        </w:rPr>
        <w:t>征</w:t>
      </w:r>
    </w:p>
    <w:p>
      <w:pPr>
        <w:pStyle w:val="ListParagraph"/>
        <w:numPr>
          <w:ilvl w:val="2"/>
          <w:numId w:val="3"/>
        </w:numPr>
        <w:tabs>
          <w:tab w:pos="3005" w:val="left" w:leader="none"/>
          <w:tab w:pos="5524" w:val="left" w:leader="none"/>
        </w:tabs>
        <w:spacing w:line="240" w:lineRule="auto" w:before="37" w:after="0"/>
        <w:ind w:left="3004" w:right="0" w:hanging="158"/>
        <w:jc w:val="left"/>
        <w:rPr>
          <w:sz w:val="21"/>
        </w:rPr>
      </w:pPr>
      <w:r>
        <w:rPr>
          <w:sz w:val="21"/>
        </w:rPr>
        <w:t>型</w:t>
      </w:r>
      <w:r>
        <w:rPr>
          <w:spacing w:val="-3"/>
          <w:sz w:val="21"/>
        </w:rPr>
        <w:t>（</w:t>
      </w:r>
      <w:r>
        <w:rPr>
          <w:sz w:val="21"/>
        </w:rPr>
        <w:t>膜</w:t>
      </w:r>
      <w:r>
        <w:rPr>
          <w:spacing w:val="-3"/>
          <w:sz w:val="21"/>
        </w:rPr>
        <w:t>型</w:t>
      </w:r>
      <w:r>
        <w:rPr>
          <w:sz w:val="21"/>
        </w:rPr>
        <w:t>）</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spacing w:after="0" w:line="240" w:lineRule="auto"/>
        <w:jc w:val="left"/>
        <w:rPr>
          <w:sz w:val="21"/>
        </w:rPr>
        <w:sectPr>
          <w:pgSz w:w="11910" w:h="16840"/>
          <w:pgMar w:header="892" w:footer="917" w:top="1080" w:bottom="1100" w:left="960" w:right="640"/>
        </w:sectPr>
      </w:pPr>
    </w:p>
    <w:p>
      <w:pPr>
        <w:pStyle w:val="BodyText"/>
        <w:rPr>
          <w:sz w:val="20"/>
        </w:rPr>
      </w:pPr>
    </w:p>
    <w:p>
      <w:pPr>
        <w:pStyle w:val="BodyText"/>
        <w:rPr>
          <w:sz w:val="20"/>
        </w:rPr>
      </w:pPr>
    </w:p>
    <w:p>
      <w:pPr>
        <w:spacing w:after="0"/>
        <w:rPr>
          <w:sz w:val="20"/>
        </w:rPr>
        <w:sectPr>
          <w:pgSz w:w="11910" w:h="16840"/>
          <w:pgMar w:header="892" w:footer="917" w:top="1080" w:bottom="1180" w:left="1020" w:right="660"/>
        </w:sectPr>
      </w:pPr>
    </w:p>
    <w:p>
      <w:pPr>
        <w:pStyle w:val="ListParagraph"/>
        <w:numPr>
          <w:ilvl w:val="2"/>
          <w:numId w:val="4"/>
        </w:numPr>
        <w:tabs>
          <w:tab w:pos="1135" w:val="left" w:leader="none"/>
          <w:tab w:pos="1136" w:val="left" w:leader="none"/>
        </w:tabs>
        <w:spacing w:line="240" w:lineRule="auto" w:before="170" w:after="0"/>
        <w:ind w:left="2659" w:right="0" w:hanging="2551"/>
        <w:jc w:val="left"/>
        <w:rPr>
          <w:i/>
          <w:sz w:val="22"/>
        </w:rPr>
      </w:pPr>
      <w:r>
        <w:rPr>
          <w:i/>
          <w:spacing w:val="3"/>
          <w:w w:val="95"/>
          <w:sz w:val="22"/>
        </w:rPr>
        <w:t>因职业关系导</w:t>
      </w:r>
    </w:p>
    <w:p>
      <w:pPr>
        <w:spacing w:line="259" w:lineRule="auto" w:before="24"/>
        <w:ind w:left="1135" w:right="0" w:hanging="1"/>
        <w:jc w:val="left"/>
        <w:rPr>
          <w:i/>
          <w:sz w:val="22"/>
        </w:rPr>
      </w:pPr>
      <w:r>
        <w:rPr>
          <w:i/>
          <w:w w:val="95"/>
          <w:sz w:val="22"/>
        </w:rPr>
        <w:t>致的人类免疫</w:t>
      </w:r>
      <w:r>
        <w:rPr>
          <w:i/>
          <w:sz w:val="22"/>
        </w:rPr>
        <w:t>缺 陷 病 毒</w:t>
      </w:r>
    </w:p>
    <w:p>
      <w:pPr>
        <w:spacing w:before="6"/>
        <w:ind w:left="1135" w:right="0" w:firstLine="0"/>
        <w:jc w:val="left"/>
        <w:rPr>
          <w:i/>
          <w:sz w:val="22"/>
        </w:rPr>
      </w:pPr>
      <w:r>
        <w:rPr>
          <w:i/>
          <w:w w:val="95"/>
          <w:sz w:val="22"/>
        </w:rPr>
        <w:t>（HIV）感染</w:t>
      </w:r>
    </w:p>
    <w:p>
      <w:pPr>
        <w:pStyle w:val="BodyText"/>
        <w:spacing w:before="11"/>
        <w:rPr>
          <w:i/>
          <w:sz w:val="13"/>
        </w:rPr>
      </w:pPr>
      <w:r>
        <w:rPr/>
        <w:br w:type="column"/>
      </w:r>
      <w:r>
        <w:rPr>
          <w:i/>
          <w:sz w:val="13"/>
        </w:rPr>
      </w:r>
    </w:p>
    <w:p>
      <w:pPr>
        <w:pStyle w:val="BodyText"/>
        <w:spacing w:line="273" w:lineRule="auto"/>
        <w:ind w:left="108" w:right="144"/>
      </w:pPr>
      <w:r>
        <w:rPr/>
        <w:t>被保险人在其常规职业工作过程中遭遇外伤，或者职业需要处理血液或者其他体</w:t>
      </w:r>
      <w:r>
        <w:rPr>
          <w:spacing w:val="-3"/>
          <w:w w:val="100"/>
        </w:rPr>
        <w:t>液时感染上人类免疫缺陷病毒（</w:t>
      </w:r>
      <w:r>
        <w:rPr>
          <w:w w:val="100"/>
        </w:rPr>
        <w:t>HIV</w:t>
      </w:r>
      <w:r>
        <w:rPr>
          <w:spacing w:val="-108"/>
          <w:w w:val="100"/>
        </w:rPr>
        <w:t>）。</w:t>
      </w:r>
    </w:p>
    <w:p>
      <w:pPr>
        <w:pStyle w:val="BodyText"/>
        <w:spacing w:before="7"/>
        <w:ind w:left="108"/>
      </w:pPr>
      <w:r>
        <w:rPr/>
        <w:t>必须满足下列全部条件：</w:t>
      </w:r>
    </w:p>
    <w:p>
      <w:pPr>
        <w:pStyle w:val="BodyText"/>
        <w:spacing w:line="273" w:lineRule="auto" w:before="37"/>
        <w:ind w:left="108" w:right="89" w:hanging="1"/>
      </w:pPr>
      <w:r>
        <w:rPr/>
        <w:t>（1）感染必须是在被保险人正在从事其职业工作中发生，该职业必须属于以下列表内的职业；</w:t>
      </w:r>
    </w:p>
    <w:p>
      <w:pPr>
        <w:pStyle w:val="BodyText"/>
        <w:spacing w:before="7"/>
        <w:ind w:left="108"/>
      </w:pPr>
      <w:r>
        <w:rPr/>
        <w:t>（2）血清转化必须出现在事故发生后的 6 个月以内；</w:t>
      </w:r>
    </w:p>
    <w:p>
      <w:pPr>
        <w:pStyle w:val="BodyText"/>
        <w:spacing w:line="273" w:lineRule="auto" w:before="36"/>
        <w:ind w:left="108" w:right="138"/>
      </w:pPr>
      <w:r>
        <w:rPr>
          <w:spacing w:val="-7"/>
        </w:rPr>
        <w:t>（3）</w:t>
      </w:r>
      <w:r>
        <w:rPr>
          <w:spacing w:val="-5"/>
        </w:rPr>
        <w:t>必须提供被保险人在所报事故发生后的 </w:t>
      </w:r>
      <w:r>
        <w:rPr/>
        <w:t>5</w:t>
      </w:r>
      <w:r>
        <w:rPr>
          <w:spacing w:val="-9"/>
        </w:rPr>
        <w:t> 天以内进行的检查报告，该报告必</w:t>
      </w:r>
      <w:r>
        <w:rPr>
          <w:spacing w:val="-10"/>
        </w:rPr>
        <w:t>须显示被保险人血液 </w:t>
      </w:r>
      <w:r>
        <w:rPr/>
        <w:t>HIV</w:t>
      </w:r>
      <w:r>
        <w:rPr>
          <w:spacing w:val="-11"/>
        </w:rPr>
        <w:t> 病毒阴性和</w:t>
      </w:r>
      <w:r>
        <w:rPr/>
        <w:t>/</w:t>
      </w:r>
      <w:r>
        <w:rPr>
          <w:spacing w:val="-25"/>
        </w:rPr>
        <w:t>或 </w:t>
      </w:r>
      <w:r>
        <w:rPr/>
        <w:t>HIV</w:t>
      </w:r>
      <w:r>
        <w:rPr>
          <w:spacing w:val="-10"/>
        </w:rPr>
        <w:t> 抗体阴性；</w:t>
      </w:r>
    </w:p>
    <w:p>
      <w:pPr>
        <w:pStyle w:val="BodyText"/>
        <w:spacing w:line="273" w:lineRule="auto" w:before="7"/>
        <w:ind w:left="108" w:right="141"/>
      </w:pPr>
      <w:r>
        <w:rPr/>
        <w:t>（4）</w:t>
      </w:r>
      <w:r>
        <w:rPr>
          <w:spacing w:val="-7"/>
        </w:rPr>
        <w:t>必须在事故发生后的 </w:t>
      </w:r>
      <w:r>
        <w:rPr/>
        <w:t>12</w:t>
      </w:r>
      <w:r>
        <w:rPr>
          <w:spacing w:val="-10"/>
        </w:rPr>
        <w:t> 个月内证实被保险人体内存在 </w:t>
      </w:r>
      <w:r>
        <w:rPr/>
        <w:t>HIV</w:t>
      </w:r>
      <w:r>
        <w:rPr>
          <w:spacing w:val="-15"/>
        </w:rPr>
        <w:t> 病毒或者 </w:t>
      </w:r>
      <w:r>
        <w:rPr/>
        <w:t>HIV</w:t>
      </w:r>
      <w:r>
        <w:rPr>
          <w:spacing w:val="-19"/>
        </w:rPr>
        <w:t> 抗体。</w:t>
      </w:r>
    </w:p>
    <w:p>
      <w:pPr>
        <w:pStyle w:val="Heading3"/>
        <w:spacing w:before="8"/>
        <w:ind w:left="108"/>
      </w:pPr>
      <w:r>
        <w:rPr/>
        <w:t>职业限制如下所示:</w:t>
      </w:r>
    </w:p>
    <w:p>
      <w:pPr>
        <w:tabs>
          <w:tab w:pos="3820" w:val="left" w:leader="none"/>
        </w:tabs>
        <w:spacing w:before="37"/>
        <w:ind w:left="177" w:right="0" w:firstLine="0"/>
        <w:jc w:val="left"/>
        <w:rPr>
          <w:b/>
          <w:sz w:val="21"/>
        </w:rPr>
      </w:pPr>
      <w:r>
        <w:rPr>
          <w:b/>
          <w:sz w:val="21"/>
        </w:rPr>
        <w:t>医生和牙科医生</w:t>
        <w:tab/>
        <w:t>护士</w:t>
      </w:r>
    </w:p>
    <w:p>
      <w:pPr>
        <w:tabs>
          <w:tab w:pos="3820" w:val="left" w:leader="none"/>
        </w:tabs>
        <w:spacing w:before="37"/>
        <w:ind w:left="177" w:right="0" w:firstLine="0"/>
        <w:jc w:val="left"/>
        <w:rPr>
          <w:b/>
          <w:sz w:val="21"/>
        </w:rPr>
      </w:pPr>
      <w:r>
        <w:rPr>
          <w:b/>
          <w:sz w:val="21"/>
        </w:rPr>
        <w:t>医院化验室工作人员</w:t>
        <w:tab/>
        <w:t>医院护工</w:t>
      </w:r>
    </w:p>
    <w:p>
      <w:pPr>
        <w:tabs>
          <w:tab w:pos="3820" w:val="left" w:leader="none"/>
        </w:tabs>
        <w:spacing w:before="37"/>
        <w:ind w:left="177" w:right="0" w:firstLine="0"/>
        <w:jc w:val="left"/>
        <w:rPr>
          <w:b/>
          <w:sz w:val="21"/>
        </w:rPr>
      </w:pPr>
      <w:r>
        <w:rPr>
          <w:b/>
          <w:sz w:val="21"/>
        </w:rPr>
        <w:t>医生助理和牙医助理</w:t>
        <w:tab/>
        <w:t>救护车工作人员</w:t>
      </w:r>
    </w:p>
    <w:p>
      <w:pPr>
        <w:tabs>
          <w:tab w:pos="3820" w:val="left" w:leader="none"/>
        </w:tabs>
        <w:spacing w:before="37"/>
        <w:ind w:left="177" w:right="0" w:firstLine="0"/>
        <w:jc w:val="left"/>
        <w:rPr>
          <w:b/>
          <w:sz w:val="21"/>
        </w:rPr>
      </w:pPr>
      <w:r>
        <w:rPr>
          <w:b/>
          <w:sz w:val="21"/>
        </w:rPr>
        <w:t>助产士</w:t>
        <w:tab/>
        <w:t>消防队员</w:t>
      </w:r>
    </w:p>
    <w:p>
      <w:pPr>
        <w:tabs>
          <w:tab w:pos="3820" w:val="left" w:leader="none"/>
        </w:tabs>
        <w:spacing w:before="37"/>
        <w:ind w:left="177" w:right="0" w:firstLine="0"/>
        <w:jc w:val="left"/>
        <w:rPr>
          <w:b/>
          <w:sz w:val="21"/>
        </w:rPr>
      </w:pPr>
      <w:r>
        <w:rPr>
          <w:b/>
          <w:sz w:val="21"/>
        </w:rPr>
        <w:t>警察</w:t>
        <w:tab/>
        <w:t>狱警</w:t>
      </w:r>
    </w:p>
    <w:p>
      <w:pPr>
        <w:spacing w:after="0"/>
        <w:jc w:val="left"/>
        <w:rPr>
          <w:sz w:val="21"/>
        </w:rPr>
        <w:sectPr>
          <w:type w:val="continuous"/>
          <w:pgSz w:w="11910" w:h="16840"/>
          <w:pgMar w:top="440" w:bottom="280" w:left="1020" w:right="660"/>
          <w:cols w:num="2" w:equalWidth="0">
            <w:col w:w="2453" w:space="98"/>
            <w:col w:w="7679"/>
          </w:cols>
        </w:sectPr>
      </w:pPr>
    </w:p>
    <w:p>
      <w:pPr>
        <w:pStyle w:val="BodyText"/>
        <w:spacing w:before="1"/>
        <w:rPr>
          <w:b/>
          <w:sz w:val="23"/>
        </w:rPr>
      </w:pPr>
    </w:p>
    <w:p>
      <w:pPr>
        <w:spacing w:after="0"/>
        <w:rPr>
          <w:sz w:val="23"/>
        </w:rPr>
        <w:sectPr>
          <w:type w:val="continuous"/>
          <w:pgSz w:w="11910" w:h="16840"/>
          <w:pgMar w:top="440" w:bottom="280" w:left="1020" w:right="660"/>
        </w:sectPr>
      </w:pPr>
    </w:p>
    <w:p>
      <w:pPr>
        <w:pStyle w:val="ListParagraph"/>
        <w:numPr>
          <w:ilvl w:val="2"/>
          <w:numId w:val="4"/>
        </w:numPr>
        <w:tabs>
          <w:tab w:pos="1142" w:val="left" w:leader="none"/>
          <w:tab w:pos="1143" w:val="left" w:leader="none"/>
        </w:tabs>
        <w:spacing w:line="240" w:lineRule="auto" w:before="35" w:after="0"/>
        <w:ind w:left="1142" w:right="0" w:hanging="1034"/>
        <w:jc w:val="left"/>
        <w:rPr>
          <w:i/>
          <w:sz w:val="22"/>
        </w:rPr>
      </w:pPr>
      <w:bookmarkStart w:name="经输血导致的人类免疫缺陷病毒（HIV）感染" w:id="3"/>
      <w:bookmarkEnd w:id="3"/>
      <w:r>
        <w:rPr>
          <w:i/>
          <w:spacing w:val="5"/>
          <w:w w:val="95"/>
          <w:sz w:val="22"/>
        </w:rPr>
        <w:t>经输血导致的</w:t>
      </w:r>
    </w:p>
    <w:p>
      <w:pPr>
        <w:spacing w:line="259" w:lineRule="auto" w:before="23"/>
        <w:ind w:left="1135" w:right="5" w:firstLine="0"/>
        <w:jc w:val="both"/>
        <w:rPr>
          <w:i/>
          <w:sz w:val="22"/>
        </w:rPr>
      </w:pPr>
      <w:r>
        <w:rPr>
          <w:i/>
          <w:spacing w:val="3"/>
          <w:w w:val="95"/>
          <w:sz w:val="22"/>
        </w:rPr>
        <w:t>人类免疫缺陷</w:t>
      </w:r>
      <w:r>
        <w:rPr>
          <w:i/>
          <w:spacing w:val="-13"/>
          <w:w w:val="95"/>
          <w:sz w:val="22"/>
        </w:rPr>
        <w:t>病毒</w:t>
      </w:r>
      <w:r>
        <w:rPr>
          <w:i/>
          <w:spacing w:val="-7"/>
          <w:w w:val="95"/>
          <w:sz w:val="22"/>
        </w:rPr>
        <w:t>（HIV）</w:t>
      </w:r>
      <w:r>
        <w:rPr>
          <w:i/>
          <w:w w:val="95"/>
          <w:sz w:val="22"/>
        </w:rPr>
        <w:t>感</w:t>
      </w:r>
      <w:r>
        <w:rPr>
          <w:i/>
          <w:sz w:val="22"/>
        </w:rPr>
        <w:t>染</w:t>
      </w:r>
    </w:p>
    <w:p>
      <w:pPr>
        <w:pStyle w:val="BodyText"/>
        <w:spacing w:before="47"/>
        <w:ind w:left="108"/>
      </w:pPr>
      <w:r>
        <w:rPr/>
        <w:br w:type="column"/>
      </w:r>
      <w:r>
        <w:rPr/>
        <w:t>被保险人感染上人类免疫缺陷病毒（HIV）并且满足下列全部条件：</w:t>
      </w:r>
    </w:p>
    <w:p>
      <w:pPr>
        <w:pStyle w:val="BodyText"/>
        <w:spacing w:before="37"/>
        <w:ind w:left="108"/>
      </w:pPr>
      <w:r>
        <w:rPr/>
        <w:t>（1）在保障起始日或复效日之后，被保险人因输血而感染 HIV；</w:t>
      </w:r>
    </w:p>
    <w:p>
      <w:pPr>
        <w:pStyle w:val="BodyText"/>
        <w:spacing w:line="273" w:lineRule="auto" w:before="37"/>
        <w:ind w:left="108" w:right="104"/>
      </w:pPr>
      <w:r>
        <w:rPr/>
        <w:t>（2）提供输血治疗的输血中心或医院出具该项输血感染属医疗责任事故的报告， 或者法院终审裁定为医疗责任并且不准上诉；</w:t>
      </w:r>
    </w:p>
    <w:p>
      <w:pPr>
        <w:pStyle w:val="BodyText"/>
        <w:spacing w:before="7"/>
        <w:ind w:left="108"/>
      </w:pPr>
      <w:r>
        <w:rPr/>
        <w:t>（3）受感染的被保险人不是血友病患者。</w:t>
      </w:r>
    </w:p>
    <w:p>
      <w:pPr>
        <w:pStyle w:val="Heading3"/>
        <w:spacing w:before="36"/>
        <w:ind w:left="108"/>
      </w:pPr>
      <w:r>
        <w:rPr>
          <w:spacing w:val="-10"/>
        </w:rPr>
        <w:t>在任何治愈艾滋病</w:t>
      </w:r>
      <w:r>
        <w:rPr>
          <w:spacing w:val="-13"/>
        </w:rPr>
        <w:t>（AIDS）或阻止 </w:t>
      </w:r>
      <w:r>
        <w:rPr/>
        <w:t>HIV</w:t>
      </w:r>
      <w:r>
        <w:rPr>
          <w:spacing w:val="-16"/>
        </w:rPr>
        <w:t> 病毒作用的疗法被发现以后，或能防止 </w:t>
      </w:r>
      <w:r>
        <w:rPr/>
        <w:t>AIDS</w:t>
      </w:r>
    </w:p>
    <w:p>
      <w:pPr>
        <w:spacing w:before="36"/>
        <w:ind w:left="108" w:right="0" w:firstLine="0"/>
        <w:jc w:val="left"/>
        <w:rPr>
          <w:b/>
          <w:sz w:val="21"/>
        </w:rPr>
      </w:pPr>
      <w:r>
        <w:rPr>
          <w:b/>
          <w:sz w:val="21"/>
        </w:rPr>
        <w:t>发生的医疗方法被研究出来以后，本保障将不再予以赔付。</w:t>
      </w:r>
    </w:p>
    <w:p>
      <w:pPr>
        <w:spacing w:line="273" w:lineRule="auto" w:before="36"/>
        <w:ind w:left="108" w:right="144" w:firstLine="0"/>
        <w:jc w:val="both"/>
        <w:rPr>
          <w:b/>
          <w:sz w:val="21"/>
        </w:rPr>
      </w:pPr>
      <w:r>
        <w:rPr>
          <w:b/>
          <w:spacing w:val="-1"/>
          <w:sz w:val="21"/>
        </w:rPr>
        <w:t>任何因其他传播方式</w:t>
      </w:r>
      <w:r>
        <w:rPr>
          <w:b/>
          <w:sz w:val="21"/>
        </w:rPr>
        <w:t>（</w:t>
      </w:r>
      <w:r>
        <w:rPr>
          <w:b/>
          <w:spacing w:val="-3"/>
          <w:sz w:val="21"/>
        </w:rPr>
        <w:t>包括：性传播或静脉注射毒品</w:t>
      </w:r>
      <w:r>
        <w:rPr>
          <w:b/>
          <w:sz w:val="21"/>
        </w:rPr>
        <w:t>）</w:t>
      </w:r>
      <w:r>
        <w:rPr>
          <w:b/>
          <w:spacing w:val="-7"/>
          <w:sz w:val="21"/>
        </w:rPr>
        <w:t>导致的 </w:t>
      </w:r>
      <w:r>
        <w:rPr>
          <w:b/>
          <w:sz w:val="21"/>
        </w:rPr>
        <w:t>HIV</w:t>
      </w:r>
      <w:r>
        <w:rPr>
          <w:b/>
          <w:spacing w:val="-6"/>
          <w:sz w:val="21"/>
        </w:rPr>
        <w:t> 感染不在本保单保障范围内。保险公司必须拥有获得使用被保险人的所有血液样本的权利和能够对这些样本进行独立检验的权利。</w:t>
      </w:r>
    </w:p>
    <w:p>
      <w:pPr>
        <w:spacing w:after="0" w:line="273" w:lineRule="auto"/>
        <w:jc w:val="both"/>
        <w:rPr>
          <w:sz w:val="21"/>
        </w:rPr>
        <w:sectPr>
          <w:type w:val="continuous"/>
          <w:pgSz w:w="11910" w:h="16840"/>
          <w:pgMar w:top="440" w:bottom="280" w:left="1020" w:right="660"/>
          <w:cols w:num="2" w:equalWidth="0">
            <w:col w:w="2453" w:space="98"/>
            <w:col w:w="7679"/>
          </w:cols>
        </w:sectPr>
      </w:pPr>
    </w:p>
    <w:p>
      <w:pPr>
        <w:pStyle w:val="BodyText"/>
        <w:spacing w:before="11"/>
        <w:rPr>
          <w:b/>
          <w:sz w:val="20"/>
        </w:rPr>
      </w:pPr>
    </w:p>
    <w:p>
      <w:pPr>
        <w:pStyle w:val="ListParagraph"/>
        <w:numPr>
          <w:ilvl w:val="2"/>
          <w:numId w:val="4"/>
        </w:numPr>
        <w:tabs>
          <w:tab w:pos="1136" w:val="left" w:leader="none"/>
        </w:tabs>
        <w:spacing w:line="271" w:lineRule="auto" w:before="34" w:after="0"/>
        <w:ind w:left="2659" w:right="142" w:hanging="2551"/>
        <w:jc w:val="both"/>
        <w:rPr>
          <w:b/>
          <w:sz w:val="21"/>
        </w:rPr>
      </w:pPr>
      <w:r>
        <w:rPr>
          <w:i/>
          <w:spacing w:val="5"/>
          <w:sz w:val="22"/>
        </w:rPr>
        <w:t>严重克隆病   </w:t>
      </w:r>
      <w:r>
        <w:rPr>
          <w:sz w:val="21"/>
        </w:rPr>
        <w:t>克隆病是一种慢性肉芽肿性肠炎，具有特征性的克隆病病理组织学变化。诊断必须由病理检查结果证实。</w:t>
      </w:r>
      <w:r>
        <w:rPr>
          <w:b/>
          <w:sz w:val="21"/>
        </w:rPr>
        <w:t>被保险人所患的克隆病必须已经造成瘘管形成并伴有肠梗阻或肠穿孔。</w:t>
      </w:r>
    </w:p>
    <w:p>
      <w:pPr>
        <w:pStyle w:val="BodyText"/>
        <w:rPr>
          <w:b/>
        </w:rPr>
      </w:pPr>
    </w:p>
    <w:p>
      <w:pPr>
        <w:spacing w:after="0"/>
        <w:sectPr>
          <w:type w:val="continuous"/>
          <w:pgSz w:w="11910" w:h="16840"/>
          <w:pgMar w:top="440" w:bottom="280" w:left="1020" w:right="660"/>
        </w:sectPr>
      </w:pPr>
    </w:p>
    <w:p>
      <w:pPr>
        <w:pStyle w:val="Heading2"/>
        <w:numPr>
          <w:ilvl w:val="2"/>
          <w:numId w:val="4"/>
        </w:numPr>
        <w:tabs>
          <w:tab w:pos="1135" w:val="left" w:leader="none"/>
          <w:tab w:pos="1136" w:val="left" w:leader="none"/>
        </w:tabs>
        <w:spacing w:line="259" w:lineRule="auto" w:before="34" w:after="0"/>
        <w:ind w:left="1135" w:right="0" w:hanging="1027"/>
        <w:jc w:val="left"/>
      </w:pPr>
      <w:r>
        <w:rPr>
          <w:spacing w:val="3"/>
          <w:w w:val="95"/>
        </w:rPr>
        <w:t>严重溃疡性结肠炎</w:t>
      </w:r>
    </w:p>
    <w:p>
      <w:pPr>
        <w:spacing w:line="273" w:lineRule="auto" w:before="46"/>
        <w:ind w:left="108" w:right="142" w:firstLine="0"/>
        <w:jc w:val="both"/>
        <w:rPr>
          <w:b/>
          <w:sz w:val="21"/>
        </w:rPr>
      </w:pPr>
      <w:r>
        <w:rPr/>
        <w:br w:type="column"/>
      </w:r>
      <w:r>
        <w:rPr>
          <w:sz w:val="21"/>
        </w:rPr>
        <w:t>本保障所指的严重溃疡性结肠炎是指伴有致命性电解质紊乱的急性暴发性溃疡性结肠炎，病变累及全结肠，表现为严重的血便和系统性症状体征，治疗通常采取全结肠切除和回肠造瘘术。</w:t>
      </w:r>
      <w:r>
        <w:rPr>
          <w:b/>
          <w:sz w:val="21"/>
        </w:rPr>
        <w:t>溃疡性结肠炎必须根据组织病理学特点诊断，并且被保险人已经接受了结肠切除和/或回肠造瘘术。</w:t>
      </w:r>
    </w:p>
    <w:p>
      <w:pPr>
        <w:spacing w:after="0" w:line="273" w:lineRule="auto"/>
        <w:jc w:val="both"/>
        <w:rPr>
          <w:sz w:val="21"/>
        </w:rPr>
        <w:sectPr>
          <w:type w:val="continuous"/>
          <w:pgSz w:w="11910" w:h="16840"/>
          <w:pgMar w:top="440" w:bottom="280" w:left="1020" w:right="660"/>
          <w:cols w:num="2" w:equalWidth="0">
            <w:col w:w="2446" w:space="105"/>
            <w:col w:w="7679"/>
          </w:cols>
        </w:sectPr>
      </w:pPr>
    </w:p>
    <w:p>
      <w:pPr>
        <w:pStyle w:val="BodyText"/>
        <w:spacing w:before="11"/>
        <w:rPr>
          <w:b/>
          <w:sz w:val="20"/>
        </w:rPr>
      </w:pPr>
    </w:p>
    <w:p>
      <w:pPr>
        <w:pStyle w:val="ListParagraph"/>
        <w:numPr>
          <w:ilvl w:val="2"/>
          <w:numId w:val="4"/>
        </w:numPr>
        <w:tabs>
          <w:tab w:pos="1136" w:val="left" w:leader="none"/>
        </w:tabs>
        <w:spacing w:line="271" w:lineRule="auto" w:before="35" w:after="0"/>
        <w:ind w:left="2659" w:right="138" w:hanging="2551"/>
        <w:jc w:val="both"/>
        <w:rPr>
          <w:sz w:val="21"/>
        </w:rPr>
      </w:pPr>
      <w:r>
        <w:rPr>
          <w:i/>
          <w:sz w:val="22"/>
        </w:rPr>
        <w:t>1</w:t>
      </w:r>
      <w:r>
        <w:rPr>
          <w:i/>
          <w:spacing w:val="5"/>
          <w:sz w:val="22"/>
        </w:rPr>
        <w:t> 型糖尿病   </w:t>
      </w:r>
      <w:r>
        <w:rPr>
          <w:sz w:val="21"/>
        </w:rPr>
        <w:t>1 型糖尿病的特征为由于胰岛素分泌绝对不足引起严重胰岛素缺乏导致慢性血糖</w:t>
      </w:r>
      <w:r>
        <w:rPr>
          <w:spacing w:val="0"/>
          <w:sz w:val="21"/>
        </w:rPr>
        <w:t>升高，需要依赖外源性胰岛素进行机体的葡萄糖代谢和维持生命。被保险人的 </w:t>
      </w:r>
      <w:r>
        <w:rPr>
          <w:sz w:val="21"/>
        </w:rPr>
        <w:t>1 </w:t>
      </w:r>
      <w:r>
        <w:rPr>
          <w:spacing w:val="-5"/>
          <w:sz w:val="21"/>
        </w:rPr>
        <w:t>型糖尿病必须明确诊断，而且有血胰岛素测定及血 </w:t>
      </w:r>
      <w:r>
        <w:rPr>
          <w:sz w:val="21"/>
        </w:rPr>
        <w:t>C</w:t>
      </w:r>
      <w:r>
        <w:rPr>
          <w:spacing w:val="-12"/>
          <w:sz w:val="21"/>
        </w:rPr>
        <w:t> 肽或尿 </w:t>
      </w:r>
      <w:r>
        <w:rPr>
          <w:sz w:val="21"/>
        </w:rPr>
        <w:t>C</w:t>
      </w:r>
      <w:r>
        <w:rPr>
          <w:spacing w:val="-7"/>
          <w:sz w:val="21"/>
        </w:rPr>
        <w:t> 肽测定结果支持诊</w:t>
      </w:r>
      <w:r>
        <w:rPr>
          <w:spacing w:val="-5"/>
          <w:sz w:val="21"/>
        </w:rPr>
        <w:t>断，并且满足下列全部条件：</w:t>
      </w:r>
    </w:p>
    <w:p>
      <w:pPr>
        <w:pStyle w:val="BodyText"/>
        <w:spacing w:before="9"/>
        <w:ind w:left="2659"/>
      </w:pPr>
      <w:r>
        <w:rPr/>
        <w:t>（1）已经持续性地接受外源性胰岛素注射治疗连续 180 天以上；</w:t>
      </w:r>
    </w:p>
    <w:p>
      <w:pPr>
        <w:pStyle w:val="BodyText"/>
        <w:spacing w:before="36"/>
        <w:ind w:left="2659"/>
      </w:pPr>
      <w:r>
        <w:rPr/>
        <w:t>（2）因需要已经接受了下列治疗：</w:t>
      </w:r>
    </w:p>
    <w:p>
      <w:pPr>
        <w:spacing w:after="0"/>
        <w:sectPr>
          <w:type w:val="continuous"/>
          <w:pgSz w:w="11910" w:h="16840"/>
          <w:pgMar w:top="440" w:bottom="280" w:left="1020" w:right="66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13"/>
        <w:gridCol w:w="7841"/>
      </w:tblGrid>
      <w:tr>
        <w:trPr>
          <w:trHeight w:val="724" w:hRule="atLeast"/>
        </w:trPr>
        <w:tc>
          <w:tcPr>
            <w:tcW w:w="1030" w:type="dxa"/>
          </w:tcPr>
          <w:p>
            <w:pPr>
              <w:pStyle w:val="TableParagraph"/>
              <w:rPr>
                <w:rFonts w:ascii="Times New Roman"/>
                <w:sz w:val="20"/>
              </w:rPr>
            </w:pPr>
          </w:p>
        </w:tc>
        <w:tc>
          <w:tcPr>
            <w:tcW w:w="1613" w:type="dxa"/>
          </w:tcPr>
          <w:p>
            <w:pPr>
              <w:pStyle w:val="TableParagraph"/>
              <w:rPr>
                <w:rFonts w:ascii="Times New Roman"/>
                <w:sz w:val="20"/>
              </w:rPr>
            </w:pPr>
          </w:p>
        </w:tc>
        <w:tc>
          <w:tcPr>
            <w:tcW w:w="7841" w:type="dxa"/>
          </w:tcPr>
          <w:p>
            <w:pPr>
              <w:pStyle w:val="TableParagraph"/>
              <w:numPr>
                <w:ilvl w:val="0"/>
                <w:numId w:val="5"/>
              </w:numPr>
              <w:tabs>
                <w:tab w:pos="425" w:val="left" w:leader="none"/>
              </w:tabs>
              <w:spacing w:line="211" w:lineRule="exact" w:before="0" w:after="0"/>
              <w:ind w:left="425" w:right="0" w:hanging="317"/>
              <w:jc w:val="left"/>
              <w:rPr>
                <w:sz w:val="21"/>
              </w:rPr>
            </w:pPr>
            <w:r>
              <w:rPr>
                <w:spacing w:val="-3"/>
                <w:sz w:val="21"/>
              </w:rPr>
              <w:t>因严重心律失常植入了心脏起搏器；或</w:t>
            </w:r>
          </w:p>
          <w:p>
            <w:pPr>
              <w:pStyle w:val="TableParagraph"/>
              <w:numPr>
                <w:ilvl w:val="0"/>
                <w:numId w:val="5"/>
              </w:numPr>
              <w:tabs>
                <w:tab w:pos="425" w:val="left" w:leader="none"/>
              </w:tabs>
              <w:spacing w:line="240" w:lineRule="auto" w:before="37" w:after="0"/>
              <w:ind w:left="425" w:right="0" w:hanging="317"/>
              <w:jc w:val="left"/>
              <w:rPr>
                <w:sz w:val="21"/>
              </w:rPr>
            </w:pPr>
            <w:r>
              <w:rPr>
                <w:spacing w:val="-3"/>
                <w:sz w:val="21"/>
              </w:rPr>
              <w:t>因坏疽自跖趾关节或以上切除了一趾或多趾。</w:t>
            </w:r>
          </w:p>
        </w:tc>
      </w:tr>
      <w:tr>
        <w:trPr>
          <w:trHeight w:val="1247" w:hRule="atLeast"/>
        </w:trPr>
        <w:tc>
          <w:tcPr>
            <w:tcW w:w="1030" w:type="dxa"/>
          </w:tcPr>
          <w:p>
            <w:pPr>
              <w:pStyle w:val="TableParagraph"/>
              <w:spacing w:before="136"/>
              <w:ind w:left="166" w:right="163"/>
              <w:jc w:val="center"/>
              <w:rPr>
                <w:i/>
                <w:sz w:val="22"/>
              </w:rPr>
            </w:pPr>
            <w:r>
              <w:rPr>
                <w:i/>
                <w:sz w:val="22"/>
              </w:rPr>
              <w:t>3.2.38</w:t>
            </w:r>
          </w:p>
        </w:tc>
        <w:tc>
          <w:tcPr>
            <w:tcW w:w="1613" w:type="dxa"/>
          </w:tcPr>
          <w:p>
            <w:pPr>
              <w:pStyle w:val="TableParagraph"/>
              <w:spacing w:before="136"/>
              <w:ind w:left="197"/>
              <w:rPr>
                <w:i/>
                <w:sz w:val="22"/>
              </w:rPr>
            </w:pPr>
            <w:r>
              <w:rPr>
                <w:i/>
                <w:w w:val="95"/>
                <w:sz w:val="22"/>
              </w:rPr>
              <w:t>肺源性心脏病</w:t>
            </w:r>
          </w:p>
        </w:tc>
        <w:tc>
          <w:tcPr>
            <w:tcW w:w="7841" w:type="dxa"/>
          </w:tcPr>
          <w:p>
            <w:pPr>
              <w:pStyle w:val="TableParagraph"/>
              <w:spacing w:line="273" w:lineRule="auto" w:before="147"/>
              <w:ind w:left="108" w:right="302"/>
              <w:jc w:val="both"/>
              <w:rPr>
                <w:sz w:val="21"/>
              </w:rPr>
            </w:pPr>
            <w:r>
              <w:rPr>
                <w:sz w:val="21"/>
              </w:rPr>
              <w:t>指被保人因慢性肺部疾病导致慢性心功能损害造成永久不可逆性的心功能衰竭。</w:t>
            </w:r>
            <w:r>
              <w:rPr>
                <w:spacing w:val="-5"/>
                <w:sz w:val="21"/>
              </w:rPr>
              <w:t>心功能衰竭程度达到纽约心脏病学会的心功能分级标准之心功能 </w:t>
            </w:r>
            <w:r>
              <w:rPr>
                <w:sz w:val="21"/>
              </w:rPr>
              <w:t>IV</w:t>
            </w:r>
            <w:r>
              <w:rPr>
                <w:spacing w:val="-12"/>
                <w:sz w:val="21"/>
              </w:rPr>
              <w:t> 级。被保险人</w:t>
            </w:r>
            <w:r>
              <w:rPr>
                <w:spacing w:val="-6"/>
                <w:sz w:val="21"/>
              </w:rPr>
              <w:t>永久不可逆性的体力活动能力受限，不能从事任何体力活动。</w:t>
            </w:r>
          </w:p>
        </w:tc>
      </w:tr>
      <w:tr>
        <w:trPr>
          <w:trHeight w:val="1560" w:hRule="atLeast"/>
        </w:trPr>
        <w:tc>
          <w:tcPr>
            <w:tcW w:w="1030" w:type="dxa"/>
          </w:tcPr>
          <w:p>
            <w:pPr>
              <w:pStyle w:val="TableParagraph"/>
              <w:spacing w:before="136"/>
              <w:ind w:left="166" w:right="163"/>
              <w:jc w:val="center"/>
              <w:rPr>
                <w:i/>
                <w:sz w:val="22"/>
              </w:rPr>
            </w:pPr>
            <w:r>
              <w:rPr>
                <w:i/>
                <w:sz w:val="22"/>
              </w:rPr>
              <w:t>3.2.39</w:t>
            </w:r>
          </w:p>
        </w:tc>
        <w:tc>
          <w:tcPr>
            <w:tcW w:w="1613" w:type="dxa"/>
          </w:tcPr>
          <w:p>
            <w:pPr>
              <w:pStyle w:val="TableParagraph"/>
              <w:spacing w:before="136"/>
              <w:ind w:left="197"/>
              <w:rPr>
                <w:i/>
                <w:sz w:val="22"/>
              </w:rPr>
            </w:pPr>
            <w:r>
              <w:rPr>
                <w:i/>
                <w:w w:val="95"/>
                <w:sz w:val="22"/>
              </w:rPr>
              <w:t>植物人状态</w:t>
            </w:r>
          </w:p>
        </w:tc>
        <w:tc>
          <w:tcPr>
            <w:tcW w:w="7841" w:type="dxa"/>
          </w:tcPr>
          <w:p>
            <w:pPr>
              <w:pStyle w:val="TableParagraph"/>
              <w:spacing w:line="273" w:lineRule="auto" w:before="147"/>
              <w:ind w:left="108" w:right="302"/>
              <w:jc w:val="both"/>
              <w:rPr>
                <w:b/>
                <w:sz w:val="21"/>
              </w:rPr>
            </w:pPr>
            <w:r>
              <w:rPr>
                <w:sz w:val="21"/>
              </w:rPr>
              <w:t>植物人状态系指由于严重颅脑外伤造成大脑和/或脑干严重损害导致完全永久性的对自身和环境的意识丧失和中枢神经系统功能丧失，仅残存植物神经功能的疾病状态。植物人状态必须明确诊断并且具有严重颅脑外伤和脑损害的证据。</w:t>
            </w:r>
            <w:r>
              <w:rPr>
                <w:b/>
                <w:sz w:val="21"/>
              </w:rPr>
              <w:t>植物人状态必须持续 30 天以上方可申请理赔。</w:t>
            </w:r>
          </w:p>
        </w:tc>
      </w:tr>
      <w:tr>
        <w:trPr>
          <w:trHeight w:val="3435" w:hRule="atLeast"/>
        </w:trPr>
        <w:tc>
          <w:tcPr>
            <w:tcW w:w="1030" w:type="dxa"/>
          </w:tcPr>
          <w:p>
            <w:pPr>
              <w:pStyle w:val="TableParagraph"/>
              <w:spacing w:before="136"/>
              <w:ind w:left="166" w:right="163"/>
              <w:jc w:val="center"/>
              <w:rPr>
                <w:i/>
                <w:sz w:val="22"/>
              </w:rPr>
            </w:pPr>
            <w:r>
              <w:rPr>
                <w:i/>
                <w:sz w:val="22"/>
              </w:rPr>
              <w:t>3.2.40</w:t>
            </w:r>
          </w:p>
        </w:tc>
        <w:tc>
          <w:tcPr>
            <w:tcW w:w="1613" w:type="dxa"/>
          </w:tcPr>
          <w:p>
            <w:pPr>
              <w:pStyle w:val="TableParagraph"/>
              <w:spacing w:line="259" w:lineRule="auto" w:before="136"/>
              <w:ind w:left="197" w:right="103"/>
              <w:rPr>
                <w:i/>
                <w:sz w:val="22"/>
              </w:rPr>
            </w:pPr>
            <w:r>
              <w:rPr>
                <w:i/>
                <w:w w:val="95"/>
                <w:sz w:val="22"/>
              </w:rPr>
              <w:t>严重类风湿性关节炎</w:t>
            </w:r>
          </w:p>
        </w:tc>
        <w:tc>
          <w:tcPr>
            <w:tcW w:w="7841" w:type="dxa"/>
          </w:tcPr>
          <w:p>
            <w:pPr>
              <w:pStyle w:val="TableParagraph"/>
              <w:spacing w:line="273" w:lineRule="auto" w:before="147"/>
              <w:ind w:left="107" w:right="196"/>
              <w:rPr>
                <w:sz w:val="21"/>
              </w:rPr>
            </w:pPr>
            <w:r>
              <w:rPr>
                <w:sz w:val="21"/>
              </w:rPr>
              <w:t>类风湿性关节炎为广泛分布的慢性进行性多关节病变，表现为关节严重变形，侵</w:t>
            </w:r>
            <w:r>
              <w:rPr>
                <w:spacing w:val="-6"/>
                <w:sz w:val="21"/>
              </w:rPr>
              <w:t>犯至少三个主要关节或关节组【如：双手</w:t>
            </w:r>
            <w:r>
              <w:rPr>
                <w:sz w:val="21"/>
              </w:rPr>
              <w:t>（</w:t>
            </w:r>
            <w:r>
              <w:rPr>
                <w:spacing w:val="-3"/>
                <w:sz w:val="21"/>
              </w:rPr>
              <w:t>多手指</w:t>
            </w:r>
            <w:r>
              <w:rPr>
                <w:spacing w:val="-5"/>
                <w:sz w:val="21"/>
              </w:rPr>
              <w:t>）</w:t>
            </w:r>
            <w:r>
              <w:rPr>
                <w:spacing w:val="-4"/>
                <w:sz w:val="21"/>
              </w:rPr>
              <w:t>关节、双足</w:t>
            </w:r>
            <w:r>
              <w:rPr>
                <w:spacing w:val="-3"/>
                <w:sz w:val="21"/>
              </w:rPr>
              <w:t>（</w:t>
            </w:r>
            <w:r>
              <w:rPr>
                <w:spacing w:val="-2"/>
                <w:sz w:val="21"/>
              </w:rPr>
              <w:t>多足趾</w:t>
            </w:r>
            <w:r>
              <w:rPr>
                <w:spacing w:val="-8"/>
                <w:sz w:val="21"/>
              </w:rPr>
              <w:t>）</w:t>
            </w:r>
            <w:r>
              <w:rPr>
                <w:sz w:val="21"/>
              </w:rPr>
              <w:t>关节、</w:t>
            </w:r>
            <w:r>
              <w:rPr>
                <w:spacing w:val="-13"/>
                <w:sz w:val="21"/>
              </w:rPr>
              <w:t>双腕关节、双膝关节和双髋关节】。类风湿性关节炎必须明确诊断并且已经达到类</w:t>
            </w:r>
            <w:r>
              <w:rPr>
                <w:spacing w:val="-7"/>
                <w:sz w:val="21"/>
              </w:rPr>
              <w:t>风湿性关节炎功能分级 </w:t>
            </w:r>
            <w:r>
              <w:rPr>
                <w:sz w:val="21"/>
              </w:rPr>
              <w:t>III</w:t>
            </w:r>
            <w:r>
              <w:rPr>
                <w:spacing w:val="-3"/>
                <w:sz w:val="21"/>
              </w:rPr>
              <w:t> 级以上的功能障碍</w:t>
            </w:r>
            <w:r>
              <w:rPr>
                <w:sz w:val="21"/>
              </w:rPr>
              <w:t>（</w:t>
            </w:r>
            <w:r>
              <w:rPr>
                <w:spacing w:val="-3"/>
                <w:sz w:val="21"/>
              </w:rPr>
              <w:t>关节活动严重限制，不能完成大部分的日常工作和活动）并且满足下列全部条件：</w:t>
            </w:r>
          </w:p>
          <w:p>
            <w:pPr>
              <w:pStyle w:val="TableParagraph"/>
              <w:spacing w:before="7"/>
              <w:ind w:left="108"/>
              <w:rPr>
                <w:sz w:val="21"/>
              </w:rPr>
            </w:pPr>
            <w:r>
              <w:rPr>
                <w:sz w:val="21"/>
              </w:rPr>
              <w:t>（1）晨僵；</w:t>
            </w:r>
          </w:p>
          <w:p>
            <w:pPr>
              <w:pStyle w:val="TableParagraph"/>
              <w:spacing w:before="36"/>
              <w:ind w:left="108"/>
              <w:rPr>
                <w:sz w:val="21"/>
              </w:rPr>
            </w:pPr>
            <w:r>
              <w:rPr>
                <w:sz w:val="21"/>
              </w:rPr>
              <w:t>（2）对称性关节炎；</w:t>
            </w:r>
          </w:p>
          <w:p>
            <w:pPr>
              <w:pStyle w:val="TableParagraph"/>
              <w:spacing w:before="36"/>
              <w:ind w:left="108"/>
              <w:rPr>
                <w:sz w:val="21"/>
              </w:rPr>
            </w:pPr>
            <w:r>
              <w:rPr>
                <w:sz w:val="21"/>
              </w:rPr>
              <w:t>（3）类风湿性皮下结节；</w:t>
            </w:r>
          </w:p>
          <w:p>
            <w:pPr>
              <w:pStyle w:val="TableParagraph"/>
              <w:spacing w:before="36"/>
              <w:ind w:left="108"/>
              <w:rPr>
                <w:sz w:val="21"/>
              </w:rPr>
            </w:pPr>
            <w:r>
              <w:rPr>
                <w:sz w:val="21"/>
              </w:rPr>
              <w:t>（4）类风湿因子滴度升高；</w:t>
            </w:r>
          </w:p>
          <w:p>
            <w:pPr>
              <w:pStyle w:val="TableParagraph"/>
              <w:spacing w:before="36"/>
              <w:ind w:left="108"/>
              <w:rPr>
                <w:sz w:val="21"/>
              </w:rPr>
            </w:pPr>
            <w:r>
              <w:rPr>
                <w:sz w:val="21"/>
              </w:rPr>
              <w:t>（5）X 线显示严重的关节（软骨和骨）破坏和关节畸形。</w:t>
            </w:r>
          </w:p>
        </w:tc>
      </w:tr>
      <w:tr>
        <w:trPr>
          <w:trHeight w:val="2247" w:hRule="atLeast"/>
        </w:trPr>
        <w:tc>
          <w:tcPr>
            <w:tcW w:w="1030" w:type="dxa"/>
          </w:tcPr>
          <w:p>
            <w:pPr>
              <w:pStyle w:val="TableParagraph"/>
              <w:spacing w:before="139"/>
              <w:ind w:left="166" w:right="163"/>
              <w:jc w:val="center"/>
              <w:rPr>
                <w:i/>
                <w:sz w:val="22"/>
              </w:rPr>
            </w:pPr>
            <w:r>
              <w:rPr>
                <w:i/>
                <w:sz w:val="22"/>
              </w:rPr>
              <w:t>3.2.41</w:t>
            </w:r>
          </w:p>
        </w:tc>
        <w:tc>
          <w:tcPr>
            <w:tcW w:w="1613" w:type="dxa"/>
          </w:tcPr>
          <w:p>
            <w:pPr>
              <w:pStyle w:val="TableParagraph"/>
              <w:spacing w:line="259" w:lineRule="auto" w:before="139"/>
              <w:ind w:left="197" w:right="151"/>
              <w:jc w:val="both"/>
              <w:rPr>
                <w:i/>
                <w:sz w:val="22"/>
              </w:rPr>
            </w:pPr>
            <w:r>
              <w:rPr>
                <w:i/>
                <w:w w:val="95"/>
                <w:sz w:val="22"/>
              </w:rPr>
              <w:t>非阿尔茨海默病所致严重痴</w:t>
            </w:r>
            <w:r>
              <w:rPr>
                <w:i/>
                <w:sz w:val="22"/>
              </w:rPr>
              <w:t>呆</w:t>
            </w:r>
          </w:p>
        </w:tc>
        <w:tc>
          <w:tcPr>
            <w:tcW w:w="7841" w:type="dxa"/>
          </w:tcPr>
          <w:p>
            <w:pPr>
              <w:pStyle w:val="TableParagraph"/>
              <w:spacing w:line="280" w:lineRule="auto" w:before="175"/>
              <w:ind w:left="108" w:right="303"/>
              <w:jc w:val="both"/>
              <w:rPr>
                <w:b/>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r>
              <w:rPr>
                <w:b/>
                <w:sz w:val="21"/>
              </w:rPr>
              <w:t>神经官能症和精神疾病不在保障范围内。</w:t>
            </w:r>
          </w:p>
        </w:tc>
      </w:tr>
      <w:tr>
        <w:trPr>
          <w:trHeight w:val="1920" w:hRule="atLeast"/>
        </w:trPr>
        <w:tc>
          <w:tcPr>
            <w:tcW w:w="1030" w:type="dxa"/>
          </w:tcPr>
          <w:p>
            <w:pPr>
              <w:pStyle w:val="TableParagraph"/>
              <w:spacing w:before="131"/>
              <w:ind w:left="166" w:right="163"/>
              <w:jc w:val="center"/>
              <w:rPr>
                <w:i/>
                <w:sz w:val="22"/>
              </w:rPr>
            </w:pPr>
            <w:r>
              <w:rPr>
                <w:i/>
                <w:sz w:val="22"/>
              </w:rPr>
              <w:t>3.2.42</w:t>
            </w:r>
          </w:p>
        </w:tc>
        <w:tc>
          <w:tcPr>
            <w:tcW w:w="1613" w:type="dxa"/>
          </w:tcPr>
          <w:p>
            <w:pPr>
              <w:pStyle w:val="TableParagraph"/>
              <w:spacing w:before="131"/>
              <w:ind w:left="197"/>
              <w:rPr>
                <w:i/>
                <w:sz w:val="22"/>
              </w:rPr>
            </w:pPr>
            <w:r>
              <w:rPr>
                <w:i/>
                <w:w w:val="95"/>
                <w:sz w:val="22"/>
              </w:rPr>
              <w:t>终末期疾病</w:t>
            </w:r>
          </w:p>
        </w:tc>
        <w:tc>
          <w:tcPr>
            <w:tcW w:w="7841" w:type="dxa"/>
          </w:tcPr>
          <w:p>
            <w:pPr>
              <w:pStyle w:val="TableParagraph"/>
              <w:spacing w:line="280" w:lineRule="auto" w:before="166"/>
              <w:ind w:left="108" w:right="158"/>
              <w:rPr>
                <w:b/>
                <w:sz w:val="21"/>
              </w:rPr>
            </w:pPr>
            <w:r>
              <w:rPr>
                <w:sz w:val="21"/>
              </w:rPr>
              <w:t>被保险人被确诊为疾病的终末期状态。疾病已经无法以现有的医疗技术医治缓解， 并且根据临床医学经验判断被保险人将于未来六个月内死亡。在家属及患者的要求和医师的同意下积极治疗已被放弃，所有治疗措施仅以减轻患者痛苦为目的。</w:t>
            </w:r>
            <w:r>
              <w:rPr>
                <w:b/>
                <w:sz w:val="21"/>
              </w:rPr>
              <w:t>此疾病状态必须在被保险人生前已经确诊并且具有医疗证明文件和临床检查依据。</w:t>
            </w:r>
          </w:p>
        </w:tc>
      </w:tr>
      <w:tr>
        <w:trPr>
          <w:trHeight w:val="2313" w:hRule="atLeast"/>
        </w:trPr>
        <w:tc>
          <w:tcPr>
            <w:tcW w:w="1030" w:type="dxa"/>
          </w:tcPr>
          <w:p>
            <w:pPr>
              <w:pStyle w:val="TableParagraph"/>
              <w:spacing w:before="131"/>
              <w:ind w:left="166" w:right="163"/>
              <w:jc w:val="center"/>
              <w:rPr>
                <w:i/>
                <w:sz w:val="22"/>
              </w:rPr>
            </w:pPr>
            <w:r>
              <w:rPr>
                <w:i/>
                <w:sz w:val="22"/>
              </w:rPr>
              <w:t>3.2.43</w:t>
            </w:r>
          </w:p>
        </w:tc>
        <w:tc>
          <w:tcPr>
            <w:tcW w:w="1613" w:type="dxa"/>
          </w:tcPr>
          <w:p>
            <w:pPr>
              <w:pStyle w:val="TableParagraph"/>
              <w:spacing w:line="247" w:lineRule="auto" w:before="131"/>
              <w:ind w:left="197" w:right="146"/>
              <w:rPr>
                <w:b/>
                <w:i/>
                <w:sz w:val="22"/>
              </w:rPr>
            </w:pPr>
            <w:r>
              <w:rPr>
                <w:b/>
                <w:i/>
                <w:w w:val="95"/>
                <w:sz w:val="22"/>
              </w:rPr>
              <w:t>严重哮喘（</w:t>
            </w:r>
            <w:r>
              <w:rPr>
                <w:rFonts w:ascii="Times New Roman" w:eastAsia="Times New Roman"/>
                <w:b/>
                <w:i/>
                <w:w w:val="95"/>
                <w:sz w:val="21"/>
              </w:rPr>
              <w:t>25 </w:t>
            </w:r>
            <w:r>
              <w:rPr>
                <w:b/>
                <w:i/>
                <w:w w:val="95"/>
                <w:sz w:val="22"/>
              </w:rPr>
              <w:t>周岁前理赔）</w:t>
            </w:r>
          </w:p>
        </w:tc>
        <w:tc>
          <w:tcPr>
            <w:tcW w:w="7841" w:type="dxa"/>
          </w:tcPr>
          <w:p>
            <w:pPr>
              <w:pStyle w:val="TableParagraph"/>
              <w:spacing w:line="273" w:lineRule="auto" w:before="142"/>
              <w:ind w:left="108" w:right="308"/>
              <w:rPr>
                <w:sz w:val="21"/>
              </w:rPr>
            </w:pPr>
            <w:r>
              <w:rPr>
                <w:sz w:val="21"/>
              </w:rPr>
              <w:t>指一种反复发作的严重支气管阻塞性疾病，经我们认可的专科医生确诊，且必须同时符合下列标准：</w:t>
            </w:r>
          </w:p>
          <w:p>
            <w:pPr>
              <w:pStyle w:val="TableParagraph"/>
              <w:spacing w:before="7"/>
              <w:ind w:left="108"/>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1"/>
              <w:ind w:left="108"/>
              <w:rPr>
                <w:sz w:val="21"/>
              </w:rPr>
            </w:pPr>
            <w:r>
              <w:rPr>
                <w:sz w:val="21"/>
              </w:rPr>
              <w:t>（</w:t>
            </w:r>
            <w:r>
              <w:rPr>
                <w:rFonts w:ascii="Times New Roman" w:eastAsia="Times New Roman"/>
                <w:sz w:val="21"/>
              </w:rPr>
              <w:t>2</w:t>
            </w:r>
            <w:r>
              <w:rPr>
                <w:sz w:val="21"/>
              </w:rPr>
              <w:t>）因慢性过度换气导致胸廓畸形；</w:t>
            </w:r>
          </w:p>
          <w:p>
            <w:pPr>
              <w:pStyle w:val="TableParagraph"/>
              <w:spacing w:before="21"/>
              <w:ind w:left="108"/>
              <w:rPr>
                <w:sz w:val="21"/>
              </w:rPr>
            </w:pPr>
            <w:r>
              <w:rPr>
                <w:sz w:val="21"/>
              </w:rPr>
              <w:t>（</w:t>
            </w:r>
            <w:r>
              <w:rPr>
                <w:rFonts w:ascii="Times New Roman" w:eastAsia="Times New Roman"/>
                <w:sz w:val="21"/>
              </w:rPr>
              <w:t>3</w:t>
            </w:r>
            <w:r>
              <w:rPr>
                <w:sz w:val="21"/>
              </w:rPr>
              <w:t>）在家中需要医生处方的氧气治疗法；</w:t>
            </w:r>
          </w:p>
          <w:p>
            <w:pPr>
              <w:pStyle w:val="TableParagraph"/>
              <w:spacing w:before="21"/>
              <w:ind w:left="108"/>
              <w:rPr>
                <w:sz w:val="21"/>
              </w:rPr>
            </w:pPr>
            <w:r>
              <w:rPr>
                <w:sz w:val="21"/>
              </w:rPr>
              <w:t>（</w:t>
            </w:r>
            <w:r>
              <w:rPr>
                <w:rFonts w:ascii="Times New Roman" w:eastAsia="Times New Roman"/>
                <w:sz w:val="21"/>
              </w:rPr>
              <w:t>4</w:t>
            </w:r>
            <w:r>
              <w:rPr>
                <w:sz w:val="21"/>
              </w:rPr>
              <w:t>）持续日常服用口服类固醇激素治疗持续至少六个月。</w:t>
            </w:r>
          </w:p>
          <w:p>
            <w:pPr>
              <w:pStyle w:val="TableParagraph"/>
              <w:spacing w:line="255" w:lineRule="exact" w:before="45"/>
              <w:ind w:left="108"/>
              <w:rPr>
                <w:b/>
                <w:sz w:val="21"/>
              </w:rPr>
            </w:pPr>
            <w:r>
              <w:rPr>
                <w:b/>
                <w:sz w:val="21"/>
              </w:rPr>
              <w:t>被保险人申请理赔时年龄必须在年满二十五周岁之前。</w:t>
            </w:r>
          </w:p>
        </w:tc>
      </w:tr>
    </w:tbl>
    <w:p>
      <w:pPr>
        <w:spacing w:after="0" w:line="255"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90"/>
        <w:gridCol w:w="7863"/>
      </w:tblGrid>
      <w:tr>
        <w:trPr>
          <w:trHeight w:val="1385" w:hRule="atLeast"/>
        </w:trPr>
        <w:tc>
          <w:tcPr>
            <w:tcW w:w="1030" w:type="dxa"/>
          </w:tcPr>
          <w:p>
            <w:pPr>
              <w:pStyle w:val="TableParagraph"/>
              <w:spacing w:line="222" w:lineRule="exact"/>
              <w:ind w:left="166" w:right="163"/>
              <w:jc w:val="center"/>
              <w:rPr>
                <w:i/>
                <w:sz w:val="22"/>
              </w:rPr>
            </w:pPr>
            <w:r>
              <w:rPr>
                <w:i/>
                <w:sz w:val="22"/>
              </w:rPr>
              <w:t>3.2.44</w:t>
            </w:r>
          </w:p>
        </w:tc>
        <w:tc>
          <w:tcPr>
            <w:tcW w:w="1590" w:type="dxa"/>
          </w:tcPr>
          <w:p>
            <w:pPr>
              <w:pStyle w:val="TableParagraph"/>
              <w:spacing w:line="222" w:lineRule="exact"/>
              <w:ind w:left="197"/>
              <w:rPr>
                <w:i/>
                <w:sz w:val="22"/>
              </w:rPr>
            </w:pPr>
            <w:r>
              <w:rPr>
                <w:i/>
                <w:w w:val="95"/>
                <w:sz w:val="22"/>
              </w:rPr>
              <w:t>严重川崎病</w:t>
            </w:r>
          </w:p>
        </w:tc>
        <w:tc>
          <w:tcPr>
            <w:tcW w:w="7863" w:type="dxa"/>
          </w:tcPr>
          <w:p>
            <w:pPr>
              <w:pStyle w:val="TableParagraph"/>
              <w:spacing w:line="221" w:lineRule="exact"/>
              <w:ind w:left="131"/>
              <w:rPr>
                <w:sz w:val="21"/>
              </w:rPr>
            </w:pPr>
            <w:r>
              <w:rPr>
                <w:sz w:val="21"/>
              </w:rPr>
              <w:t>是指原因不明的系统性血管炎，本病须经专科医师明确诊断，并须满足下列全部</w:t>
            </w:r>
          </w:p>
          <w:p>
            <w:pPr>
              <w:pStyle w:val="TableParagraph"/>
              <w:spacing w:before="37"/>
              <w:ind w:left="131"/>
              <w:rPr>
                <w:sz w:val="21"/>
              </w:rPr>
            </w:pPr>
            <w:r>
              <w:rPr>
                <w:sz w:val="21"/>
              </w:rPr>
              <w:t>条件：</w:t>
            </w:r>
          </w:p>
          <w:p>
            <w:pPr>
              <w:pStyle w:val="TableParagraph"/>
              <w:spacing w:before="37"/>
              <w:ind w:left="131"/>
              <w:rPr>
                <w:sz w:val="21"/>
              </w:rPr>
            </w:pPr>
            <w:r>
              <w:rPr>
                <w:sz w:val="21"/>
              </w:rPr>
              <w:t>（</w:t>
            </w:r>
            <w:r>
              <w:rPr>
                <w:rFonts w:ascii="Times New Roman" w:eastAsia="Times New Roman"/>
                <w:sz w:val="21"/>
              </w:rPr>
              <w:t>1</w:t>
            </w:r>
            <w:r>
              <w:rPr>
                <w:sz w:val="21"/>
              </w:rPr>
              <w:t>）超声心动图显示川崎病并发冠状动脉瘤或其他心血管异常；</w:t>
            </w:r>
          </w:p>
          <w:p>
            <w:pPr>
              <w:pStyle w:val="TableParagraph"/>
              <w:spacing w:before="45"/>
              <w:ind w:left="131"/>
              <w:rPr>
                <w:sz w:val="21"/>
              </w:rPr>
            </w:pPr>
            <w:r>
              <w:rPr>
                <w:sz w:val="21"/>
              </w:rPr>
              <w:t>（</w:t>
            </w:r>
            <w:r>
              <w:rPr>
                <w:rFonts w:ascii="Times New Roman" w:eastAsia="Times New Roman"/>
                <w:sz w:val="21"/>
              </w:rPr>
              <w:t>2</w:t>
            </w:r>
            <w:r>
              <w:rPr>
                <w:sz w:val="21"/>
              </w:rPr>
              <w:t>）已接受了针对川崎病并发冠状动脉瘤或其他心血管异常所进行的手术治疗。</w:t>
            </w:r>
          </w:p>
        </w:tc>
      </w:tr>
      <w:tr>
        <w:trPr>
          <w:trHeight w:val="2820" w:hRule="atLeast"/>
        </w:trPr>
        <w:tc>
          <w:tcPr>
            <w:tcW w:w="1030" w:type="dxa"/>
          </w:tcPr>
          <w:p>
            <w:pPr>
              <w:pStyle w:val="TableParagraph"/>
              <w:spacing w:before="123"/>
              <w:ind w:left="166" w:right="163"/>
              <w:jc w:val="center"/>
              <w:rPr>
                <w:i/>
                <w:sz w:val="22"/>
              </w:rPr>
            </w:pPr>
            <w:r>
              <w:rPr>
                <w:i/>
                <w:sz w:val="22"/>
              </w:rPr>
              <w:t>3.2.45</w:t>
            </w:r>
          </w:p>
        </w:tc>
        <w:tc>
          <w:tcPr>
            <w:tcW w:w="1590" w:type="dxa"/>
          </w:tcPr>
          <w:p>
            <w:pPr>
              <w:pStyle w:val="TableParagraph"/>
              <w:spacing w:line="259" w:lineRule="auto" w:before="123"/>
              <w:ind w:left="197" w:right="128"/>
              <w:rPr>
                <w:i/>
                <w:sz w:val="22"/>
              </w:rPr>
            </w:pPr>
            <w:r>
              <w:rPr>
                <w:i/>
                <w:w w:val="95"/>
                <w:sz w:val="22"/>
              </w:rPr>
              <w:t>严重的系统性硬皮病</w:t>
            </w:r>
          </w:p>
        </w:tc>
        <w:tc>
          <w:tcPr>
            <w:tcW w:w="7863" w:type="dxa"/>
          </w:tcPr>
          <w:p>
            <w:pPr>
              <w:pStyle w:val="TableParagraph"/>
              <w:spacing w:line="273" w:lineRule="auto" w:before="135"/>
              <w:ind w:left="131" w:right="307"/>
              <w:jc w:val="both"/>
              <w:rPr>
                <w:sz w:val="21"/>
              </w:rPr>
            </w:pPr>
            <w:r>
              <w:rPr>
                <w:sz w:val="21"/>
              </w:rPr>
              <w:t>指一种以局限性或弥漫性皮肤增厚和皮肤、血管、内脏器官异常纤维化为特征的结缔组织病。本病须经专科医师明确诊断，并须满足下列至少一项条件：</w:t>
            </w:r>
          </w:p>
          <w:p>
            <w:pPr>
              <w:pStyle w:val="TableParagraph"/>
              <w:spacing w:line="266" w:lineRule="auto" w:before="8"/>
              <w:ind w:left="131" w:right="304"/>
              <w:jc w:val="both"/>
              <w:rPr>
                <w:sz w:val="21"/>
              </w:rPr>
            </w:pPr>
            <w:r>
              <w:rPr>
                <w:spacing w:val="-5"/>
                <w:sz w:val="21"/>
              </w:rPr>
              <w:t>（</w:t>
            </w:r>
            <w:r>
              <w:rPr>
                <w:rFonts w:ascii="Times New Roman" w:eastAsia="Times New Roman"/>
                <w:spacing w:val="-5"/>
                <w:sz w:val="21"/>
              </w:rPr>
              <w:t>1</w:t>
            </w:r>
            <w:r>
              <w:rPr>
                <w:spacing w:val="-5"/>
                <w:sz w:val="21"/>
              </w:rPr>
              <w:t>）</w:t>
            </w:r>
            <w:r>
              <w:rPr>
                <w:spacing w:val="-6"/>
                <w:sz w:val="21"/>
              </w:rPr>
              <w:t>肺脏：肺部病变进而发展为肺间质纤维化和严重肺动脉高压。严重肺动脉高压指肺动脉压力持续性增高，进行性发展而导致的慢性疾病，已经造成永久不可</w:t>
            </w:r>
            <w:r>
              <w:rPr>
                <w:spacing w:val="-10"/>
                <w:sz w:val="21"/>
              </w:rPr>
              <w:t>逆性的体力活动能力受限，达到美国纽约心脏病学会心功能状态分级 </w:t>
            </w:r>
            <w:r>
              <w:rPr>
                <w:sz w:val="21"/>
              </w:rPr>
              <w:t>IV</w:t>
            </w:r>
            <w:r>
              <w:rPr>
                <w:spacing w:val="-6"/>
                <w:sz w:val="21"/>
              </w:rPr>
              <w:t> 级，且静</w:t>
            </w:r>
            <w:r>
              <w:rPr>
                <w:spacing w:val="-7"/>
                <w:sz w:val="21"/>
              </w:rPr>
              <w:t>息状态下肺动脉平均压超过 </w:t>
            </w:r>
            <w:r>
              <w:rPr>
                <w:sz w:val="21"/>
              </w:rPr>
              <w:t>3OmmHg；</w:t>
            </w:r>
          </w:p>
          <w:p>
            <w:pPr>
              <w:pStyle w:val="TableParagraph"/>
              <w:spacing w:before="14"/>
              <w:ind w:left="131"/>
              <w:jc w:val="both"/>
              <w:rPr>
                <w:sz w:val="21"/>
              </w:rPr>
            </w:pPr>
            <w:r>
              <w:rPr>
                <w:sz w:val="21"/>
              </w:rPr>
              <w:t>（</w:t>
            </w:r>
            <w:r>
              <w:rPr>
                <w:rFonts w:ascii="Times New Roman" w:eastAsia="Times New Roman"/>
                <w:sz w:val="21"/>
              </w:rPr>
              <w:t>2</w:t>
            </w:r>
            <w:r>
              <w:rPr>
                <w:sz w:val="21"/>
              </w:rPr>
              <w:t>）心脏：心功能受损达到纽约心脏病学会的心功能分级标准之心功能 </w:t>
            </w:r>
            <w:r>
              <w:rPr>
                <w:rFonts w:ascii="Times New Roman" w:eastAsia="Times New Roman"/>
                <w:sz w:val="21"/>
              </w:rPr>
              <w:t>IV </w:t>
            </w:r>
            <w:r>
              <w:rPr>
                <w:sz w:val="21"/>
              </w:rPr>
              <w:t>级；</w:t>
            </w:r>
          </w:p>
          <w:p>
            <w:pPr>
              <w:pStyle w:val="TableParagraph"/>
              <w:spacing w:before="45"/>
              <w:ind w:left="131"/>
              <w:jc w:val="both"/>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1264" w:hRule="atLeast"/>
        </w:trPr>
        <w:tc>
          <w:tcPr>
            <w:tcW w:w="1030" w:type="dxa"/>
          </w:tcPr>
          <w:p>
            <w:pPr>
              <w:pStyle w:val="TableParagraph"/>
              <w:spacing w:before="120"/>
              <w:ind w:left="166" w:right="163"/>
              <w:jc w:val="center"/>
              <w:rPr>
                <w:i/>
                <w:sz w:val="22"/>
              </w:rPr>
            </w:pPr>
            <w:r>
              <w:rPr>
                <w:i/>
                <w:sz w:val="22"/>
              </w:rPr>
              <w:t>3.2.46</w:t>
            </w:r>
          </w:p>
        </w:tc>
        <w:tc>
          <w:tcPr>
            <w:tcW w:w="1590" w:type="dxa"/>
          </w:tcPr>
          <w:p>
            <w:pPr>
              <w:pStyle w:val="TableParagraph"/>
              <w:spacing w:line="259" w:lineRule="auto" w:before="120"/>
              <w:ind w:left="197" w:right="128"/>
              <w:rPr>
                <w:i/>
                <w:sz w:val="22"/>
              </w:rPr>
            </w:pPr>
            <w:r>
              <w:rPr>
                <w:i/>
                <w:w w:val="95"/>
                <w:sz w:val="22"/>
              </w:rPr>
              <w:t>丝虫病所致象皮肿</w:t>
            </w:r>
          </w:p>
        </w:tc>
        <w:tc>
          <w:tcPr>
            <w:tcW w:w="7863" w:type="dxa"/>
          </w:tcPr>
          <w:p>
            <w:pPr>
              <w:pStyle w:val="TableParagraph"/>
              <w:spacing w:line="271" w:lineRule="auto" w:before="156"/>
              <w:ind w:left="131" w:right="198"/>
              <w:rPr>
                <w:sz w:val="21"/>
              </w:rPr>
            </w:pPr>
            <w:r>
              <w:rPr>
                <w:sz w:val="21"/>
              </w:rPr>
              <w:t>指因丝虫感染导致淋巴阻塞性出现严重淋巴水肿，达到国际淋巴学会淋巴肿分期</w:t>
            </w:r>
            <w:r>
              <w:rPr>
                <w:spacing w:val="-21"/>
                <w:sz w:val="21"/>
              </w:rPr>
              <w:t>第 </w:t>
            </w:r>
            <w:r>
              <w:rPr>
                <w:rFonts w:ascii="Times New Roman" w:eastAsia="Times New Roman"/>
                <w:sz w:val="21"/>
              </w:rPr>
              <w:t>III </w:t>
            </w:r>
            <w:r>
              <w:rPr>
                <w:spacing w:val="-14"/>
                <w:sz w:val="21"/>
              </w:rPr>
              <w:t>期，临床表现为肢体象皮肿，患肢较键肢增粗 </w:t>
            </w:r>
            <w:r>
              <w:rPr>
                <w:rFonts w:ascii="Times New Roman" w:eastAsia="Times New Roman"/>
                <w:sz w:val="21"/>
              </w:rPr>
              <w:t>30%</w:t>
            </w:r>
            <w:r>
              <w:rPr>
                <w:spacing w:val="-9"/>
                <w:sz w:val="21"/>
              </w:rPr>
              <w:t>以上，日常生活不能自理。</w:t>
            </w:r>
            <w:r>
              <w:rPr>
                <w:spacing w:val="-5"/>
                <w:sz w:val="21"/>
              </w:rPr>
              <w:t>此病症须经专科医生根据临床表现和微丝蚴的化验结果确诊。</w:t>
            </w:r>
          </w:p>
        </w:tc>
      </w:tr>
      <w:tr>
        <w:trPr>
          <w:trHeight w:val="928" w:hRule="atLeast"/>
        </w:trPr>
        <w:tc>
          <w:tcPr>
            <w:tcW w:w="1030" w:type="dxa"/>
          </w:tcPr>
          <w:p>
            <w:pPr>
              <w:pStyle w:val="TableParagraph"/>
              <w:spacing w:before="128"/>
              <w:ind w:left="166" w:right="163"/>
              <w:jc w:val="center"/>
              <w:rPr>
                <w:i/>
                <w:sz w:val="22"/>
              </w:rPr>
            </w:pPr>
            <w:r>
              <w:rPr>
                <w:i/>
                <w:sz w:val="22"/>
              </w:rPr>
              <w:t>3.2.47</w:t>
            </w:r>
          </w:p>
        </w:tc>
        <w:tc>
          <w:tcPr>
            <w:tcW w:w="1590" w:type="dxa"/>
          </w:tcPr>
          <w:p>
            <w:pPr>
              <w:pStyle w:val="TableParagraph"/>
              <w:spacing w:before="128"/>
              <w:ind w:left="197"/>
              <w:rPr>
                <w:i/>
                <w:sz w:val="22"/>
              </w:rPr>
            </w:pPr>
            <w:r>
              <w:rPr>
                <w:i/>
                <w:w w:val="95"/>
                <w:sz w:val="22"/>
              </w:rPr>
              <w:t>胰腺移植</w:t>
            </w:r>
          </w:p>
        </w:tc>
        <w:tc>
          <w:tcPr>
            <w:tcW w:w="7863" w:type="dxa"/>
          </w:tcPr>
          <w:p>
            <w:pPr>
              <w:pStyle w:val="TableParagraph"/>
              <w:spacing w:line="273" w:lineRule="auto" w:before="140"/>
              <w:ind w:left="131" w:right="372"/>
              <w:rPr>
                <w:b/>
                <w:sz w:val="21"/>
              </w:rPr>
            </w:pPr>
            <w:r>
              <w:rPr>
                <w:sz w:val="21"/>
              </w:rPr>
              <w:t>指因胰腺功能衰竭，已经实施了在全身麻醉下进行的胰腺的异体器官移植手术。</w:t>
            </w:r>
            <w:r>
              <w:rPr>
                <w:b/>
                <w:sz w:val="21"/>
              </w:rPr>
              <w:t>单纯胰岛移植、部分胰腺组织或细胞的移植不在本保障范围之内。</w:t>
            </w:r>
          </w:p>
        </w:tc>
      </w:tr>
      <w:tr>
        <w:trPr>
          <w:trHeight w:val="1247" w:hRule="atLeast"/>
        </w:trPr>
        <w:tc>
          <w:tcPr>
            <w:tcW w:w="1030" w:type="dxa"/>
          </w:tcPr>
          <w:p>
            <w:pPr>
              <w:pStyle w:val="TableParagraph"/>
              <w:spacing w:before="136"/>
              <w:ind w:left="166" w:right="163"/>
              <w:jc w:val="center"/>
              <w:rPr>
                <w:i/>
                <w:sz w:val="22"/>
              </w:rPr>
            </w:pPr>
            <w:r>
              <w:rPr>
                <w:i/>
                <w:sz w:val="22"/>
              </w:rPr>
              <w:t>3.2.48</w:t>
            </w:r>
          </w:p>
        </w:tc>
        <w:tc>
          <w:tcPr>
            <w:tcW w:w="1590" w:type="dxa"/>
          </w:tcPr>
          <w:p>
            <w:pPr>
              <w:pStyle w:val="TableParagraph"/>
              <w:spacing w:line="259" w:lineRule="auto" w:before="136"/>
              <w:ind w:left="197" w:right="128"/>
              <w:rPr>
                <w:i/>
                <w:sz w:val="22"/>
              </w:rPr>
            </w:pPr>
            <w:r>
              <w:rPr>
                <w:i/>
                <w:w w:val="95"/>
                <w:sz w:val="22"/>
              </w:rPr>
              <w:t>急性坏死性胰腺炎开腹手术</w:t>
            </w:r>
          </w:p>
        </w:tc>
        <w:tc>
          <w:tcPr>
            <w:tcW w:w="7863" w:type="dxa"/>
          </w:tcPr>
          <w:p>
            <w:pPr>
              <w:pStyle w:val="TableParagraph"/>
              <w:spacing w:line="273" w:lineRule="auto" w:before="147"/>
              <w:ind w:left="131" w:right="307"/>
              <w:rPr>
                <w:sz w:val="21"/>
              </w:rPr>
            </w:pPr>
            <w:r>
              <w:rPr>
                <w:sz w:val="21"/>
              </w:rPr>
              <w:t>指为治疗急性坏死性胰腺炎，实际实施了开腹进行的坏死组织清除术、病灶切除术或胰腺部分切除术。</w:t>
            </w:r>
          </w:p>
          <w:p>
            <w:pPr>
              <w:pStyle w:val="TableParagraph"/>
              <w:spacing w:before="7"/>
              <w:ind w:left="131"/>
              <w:rPr>
                <w:b/>
                <w:sz w:val="21"/>
              </w:rPr>
            </w:pPr>
            <w:r>
              <w:rPr>
                <w:b/>
                <w:sz w:val="21"/>
              </w:rPr>
              <w:t>因酒精作用所致的急性胰腺炎不在保障范围内。</w:t>
            </w:r>
          </w:p>
        </w:tc>
      </w:tr>
      <w:tr>
        <w:trPr>
          <w:trHeight w:val="2183" w:hRule="atLeast"/>
        </w:trPr>
        <w:tc>
          <w:tcPr>
            <w:tcW w:w="1030" w:type="dxa"/>
          </w:tcPr>
          <w:p>
            <w:pPr>
              <w:pStyle w:val="TableParagraph"/>
              <w:spacing w:before="136"/>
              <w:ind w:left="166" w:right="163"/>
              <w:jc w:val="center"/>
              <w:rPr>
                <w:i/>
                <w:sz w:val="22"/>
              </w:rPr>
            </w:pPr>
            <w:r>
              <w:rPr>
                <w:i/>
                <w:sz w:val="22"/>
              </w:rPr>
              <w:t>3.2.49</w:t>
            </w:r>
          </w:p>
        </w:tc>
        <w:tc>
          <w:tcPr>
            <w:tcW w:w="1590" w:type="dxa"/>
          </w:tcPr>
          <w:p>
            <w:pPr>
              <w:pStyle w:val="TableParagraph"/>
              <w:spacing w:line="259" w:lineRule="auto" w:before="136"/>
              <w:ind w:left="197" w:right="128"/>
              <w:rPr>
                <w:i/>
                <w:sz w:val="22"/>
              </w:rPr>
            </w:pPr>
            <w:r>
              <w:rPr>
                <w:i/>
                <w:w w:val="95"/>
                <w:sz w:val="22"/>
              </w:rPr>
              <w:t>慢性复发性胰腺炎</w:t>
            </w:r>
          </w:p>
        </w:tc>
        <w:tc>
          <w:tcPr>
            <w:tcW w:w="7863" w:type="dxa"/>
          </w:tcPr>
          <w:p>
            <w:pPr>
              <w:pStyle w:val="TableParagraph"/>
              <w:spacing w:line="273" w:lineRule="auto" w:before="147"/>
              <w:ind w:left="131" w:right="197"/>
              <w:rPr>
                <w:sz w:val="21"/>
              </w:rPr>
            </w:pPr>
            <w:r>
              <w:rPr>
                <w:sz w:val="21"/>
              </w:rPr>
              <w:t>指慢性反复发作的胰腺炎症导致胰腺的广泛纤维化、坏死、弥漫性钙化及假性囊</w:t>
            </w:r>
            <w:r>
              <w:rPr>
                <w:spacing w:val="-6"/>
                <w:sz w:val="21"/>
              </w:rPr>
              <w:t>肿形成，造成胰腺功能障碍出现严重糖尿病和营养不良。必须满足以下所有条件：</w:t>
            </w:r>
          </w:p>
          <w:p>
            <w:pPr>
              <w:pStyle w:val="TableParagraph"/>
              <w:spacing w:line="256" w:lineRule="auto" w:before="7"/>
              <w:ind w:left="131" w:right="246"/>
              <w:rPr>
                <w:sz w:val="21"/>
              </w:rPr>
            </w:pPr>
            <w:r>
              <w:rPr>
                <w:sz w:val="21"/>
              </w:rPr>
              <w:t>（</w:t>
            </w:r>
            <w:r>
              <w:rPr>
                <w:rFonts w:ascii="Times New Roman" w:eastAsia="Times New Roman"/>
                <w:sz w:val="21"/>
              </w:rPr>
              <w:t>1</w:t>
            </w:r>
            <w:r>
              <w:rPr>
                <w:sz w:val="21"/>
              </w:rPr>
              <w:t>）</w:t>
            </w:r>
            <w:r>
              <w:rPr>
                <w:rFonts w:ascii="Times New Roman" w:eastAsia="Times New Roman"/>
                <w:sz w:val="21"/>
              </w:rPr>
              <w:t>CT </w:t>
            </w:r>
            <w:r>
              <w:rPr>
                <w:sz w:val="21"/>
              </w:rPr>
              <w:t>显示胰腺广泛钙化或逆行胰胆管造影（</w:t>
            </w:r>
            <w:r>
              <w:rPr>
                <w:rFonts w:ascii="Times New Roman" w:eastAsia="Times New Roman"/>
                <w:sz w:val="21"/>
              </w:rPr>
              <w:t>ERCP</w:t>
            </w:r>
            <w:r>
              <w:rPr>
                <w:sz w:val="21"/>
              </w:rPr>
              <w:t>）显示胰管扭曲、扩张和狭窄；</w:t>
            </w:r>
          </w:p>
          <w:p>
            <w:pPr>
              <w:pStyle w:val="TableParagraph"/>
              <w:spacing w:line="256" w:lineRule="auto" w:before="22"/>
              <w:ind w:left="131" w:right="2729"/>
              <w:rPr>
                <w:b/>
                <w:sz w:val="21"/>
              </w:rPr>
            </w:pPr>
            <w:r>
              <w:rPr>
                <w:sz w:val="21"/>
              </w:rPr>
              <w:t>（</w:t>
            </w:r>
            <w:r>
              <w:rPr>
                <w:rFonts w:ascii="Times New Roman" w:eastAsia="Times New Roman"/>
                <w:sz w:val="21"/>
              </w:rPr>
              <w:t>2</w:t>
            </w:r>
            <w:r>
              <w:rPr>
                <w:sz w:val="21"/>
              </w:rPr>
              <w:t>）接受胰岛素替代治疗和酶替代治疗 </w:t>
            </w:r>
            <w:r>
              <w:rPr>
                <w:rFonts w:ascii="Times New Roman" w:eastAsia="Times New Roman"/>
                <w:sz w:val="21"/>
              </w:rPr>
              <w:t>180 </w:t>
            </w:r>
            <w:r>
              <w:rPr>
                <w:sz w:val="21"/>
              </w:rPr>
              <w:t>天以上。</w:t>
            </w:r>
            <w:r>
              <w:rPr>
                <w:b/>
                <w:sz w:val="21"/>
              </w:rPr>
              <w:t>酒精导致的慢性复发性胰腺炎不在本保障范围内。</w:t>
            </w:r>
          </w:p>
        </w:tc>
      </w:tr>
      <w:tr>
        <w:trPr>
          <w:trHeight w:val="1872" w:hRule="atLeast"/>
        </w:trPr>
        <w:tc>
          <w:tcPr>
            <w:tcW w:w="1030" w:type="dxa"/>
          </w:tcPr>
          <w:p>
            <w:pPr>
              <w:pStyle w:val="TableParagraph"/>
              <w:spacing w:before="136"/>
              <w:ind w:left="166" w:right="163"/>
              <w:jc w:val="center"/>
              <w:rPr>
                <w:i/>
                <w:sz w:val="22"/>
              </w:rPr>
            </w:pPr>
            <w:r>
              <w:rPr>
                <w:i/>
                <w:sz w:val="22"/>
              </w:rPr>
              <w:t>3.2.50</w:t>
            </w:r>
          </w:p>
        </w:tc>
        <w:tc>
          <w:tcPr>
            <w:tcW w:w="1590" w:type="dxa"/>
          </w:tcPr>
          <w:p>
            <w:pPr>
              <w:pStyle w:val="TableParagraph"/>
              <w:spacing w:before="136"/>
              <w:ind w:left="197"/>
              <w:rPr>
                <w:i/>
                <w:sz w:val="22"/>
              </w:rPr>
            </w:pPr>
            <w:r>
              <w:rPr>
                <w:i/>
                <w:w w:val="95"/>
                <w:sz w:val="22"/>
              </w:rPr>
              <w:t>疯牛病</w:t>
            </w:r>
          </w:p>
        </w:tc>
        <w:tc>
          <w:tcPr>
            <w:tcW w:w="7863" w:type="dxa"/>
          </w:tcPr>
          <w:p>
            <w:pPr>
              <w:pStyle w:val="TableParagraph"/>
              <w:spacing w:line="266" w:lineRule="auto" w:before="147"/>
              <w:ind w:left="130" w:right="301"/>
              <w:jc w:val="both"/>
              <w:rPr>
                <w:sz w:val="21"/>
              </w:rPr>
            </w:pPr>
            <w:r>
              <w:rPr>
                <w:sz w:val="21"/>
              </w:rPr>
              <w:t>是一种传染性海绵状脑病，临床表现为快速进行性痴呆、肌阵挛和特征性脑电图变化。本病须经三级医院的专科医生根据 </w:t>
            </w:r>
            <w:r>
              <w:rPr>
                <w:rFonts w:ascii="Times New Roman" w:eastAsia="Times New Roman"/>
                <w:sz w:val="21"/>
              </w:rPr>
              <w:t>WHO </w:t>
            </w:r>
            <w:r>
              <w:rPr>
                <w:sz w:val="21"/>
              </w:rPr>
              <w:t>诊断标准明确诊断，并且被保险人自主生活能力完全丧失，无法独立完成六项基本日常生活活动中的三项或三项以上。</w:t>
            </w:r>
          </w:p>
          <w:p>
            <w:pPr>
              <w:pStyle w:val="TableParagraph"/>
              <w:spacing w:before="13"/>
              <w:ind w:left="131"/>
              <w:jc w:val="both"/>
              <w:rPr>
                <w:b/>
                <w:sz w:val="21"/>
              </w:rPr>
            </w:pPr>
            <w:r>
              <w:rPr>
                <w:b/>
                <w:sz w:val="21"/>
              </w:rPr>
              <w:t>疑似病例不在本保障范围内。</w:t>
            </w:r>
          </w:p>
        </w:tc>
      </w:tr>
      <w:tr>
        <w:trPr>
          <w:trHeight w:val="1567" w:hRule="atLeast"/>
        </w:trPr>
        <w:tc>
          <w:tcPr>
            <w:tcW w:w="1030" w:type="dxa"/>
          </w:tcPr>
          <w:p>
            <w:pPr>
              <w:pStyle w:val="TableParagraph"/>
              <w:spacing w:before="136"/>
              <w:ind w:left="166" w:right="163"/>
              <w:jc w:val="center"/>
              <w:rPr>
                <w:i/>
                <w:sz w:val="22"/>
              </w:rPr>
            </w:pPr>
            <w:r>
              <w:rPr>
                <w:i/>
                <w:sz w:val="22"/>
              </w:rPr>
              <w:t>3.2.51</w:t>
            </w:r>
          </w:p>
        </w:tc>
        <w:tc>
          <w:tcPr>
            <w:tcW w:w="1590" w:type="dxa"/>
          </w:tcPr>
          <w:p>
            <w:pPr>
              <w:pStyle w:val="TableParagraph"/>
              <w:spacing w:before="136"/>
              <w:ind w:left="197"/>
              <w:rPr>
                <w:i/>
                <w:sz w:val="22"/>
              </w:rPr>
            </w:pPr>
            <w:r>
              <w:rPr>
                <w:i/>
                <w:w w:val="95"/>
                <w:sz w:val="22"/>
              </w:rPr>
              <w:t>肾髓质囊性病</w:t>
            </w:r>
          </w:p>
        </w:tc>
        <w:tc>
          <w:tcPr>
            <w:tcW w:w="7863" w:type="dxa"/>
          </w:tcPr>
          <w:p>
            <w:pPr>
              <w:pStyle w:val="TableParagraph"/>
              <w:spacing w:before="147"/>
              <w:ind w:left="131"/>
              <w:rPr>
                <w:sz w:val="21"/>
              </w:rPr>
            </w:pPr>
            <w:r>
              <w:rPr>
                <w:sz w:val="21"/>
              </w:rPr>
              <w:t>肾髓质囊性病的诊断须同时符合下列要求：</w:t>
            </w:r>
          </w:p>
          <w:p>
            <w:pPr>
              <w:pStyle w:val="TableParagraph"/>
              <w:spacing w:before="36"/>
              <w:ind w:left="131"/>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0"/>
              <w:ind w:left="131"/>
              <w:rPr>
                <w:sz w:val="21"/>
              </w:rPr>
            </w:pPr>
            <w:r>
              <w:rPr>
                <w:sz w:val="21"/>
              </w:rPr>
              <w:t>（</w:t>
            </w:r>
            <w:r>
              <w:rPr>
                <w:rFonts w:ascii="Times New Roman" w:eastAsia="Times New Roman"/>
                <w:sz w:val="21"/>
              </w:rPr>
              <w:t>2</w:t>
            </w:r>
            <w:r>
              <w:rPr>
                <w:sz w:val="21"/>
              </w:rPr>
              <w:t>）肾功能衰竭尿毒症期；</w:t>
            </w:r>
          </w:p>
          <w:p>
            <w:pPr>
              <w:pStyle w:val="TableParagraph"/>
              <w:spacing w:before="20"/>
              <w:ind w:left="131"/>
              <w:rPr>
                <w:sz w:val="21"/>
              </w:rPr>
            </w:pPr>
            <w:r>
              <w:rPr>
                <w:sz w:val="21"/>
              </w:rPr>
              <w:t>（</w:t>
            </w:r>
            <w:r>
              <w:rPr>
                <w:rFonts w:ascii="Times New Roman" w:eastAsia="Times New Roman"/>
                <w:sz w:val="21"/>
              </w:rPr>
              <w:t>3</w:t>
            </w:r>
            <w:r>
              <w:rPr>
                <w:sz w:val="21"/>
              </w:rPr>
              <w:t>）诊断须由肾组织活检确定。</w:t>
            </w:r>
          </w:p>
        </w:tc>
      </w:tr>
      <w:tr>
        <w:trPr>
          <w:trHeight w:val="416" w:hRule="atLeast"/>
        </w:trPr>
        <w:tc>
          <w:tcPr>
            <w:tcW w:w="1030" w:type="dxa"/>
          </w:tcPr>
          <w:p>
            <w:pPr>
              <w:pStyle w:val="TableParagraph"/>
              <w:spacing w:line="268" w:lineRule="exact" w:before="128"/>
              <w:ind w:left="166" w:right="163"/>
              <w:jc w:val="center"/>
              <w:rPr>
                <w:i/>
                <w:sz w:val="22"/>
              </w:rPr>
            </w:pPr>
            <w:r>
              <w:rPr>
                <w:i/>
                <w:sz w:val="22"/>
              </w:rPr>
              <w:t>3.2.52</w:t>
            </w:r>
          </w:p>
        </w:tc>
        <w:tc>
          <w:tcPr>
            <w:tcW w:w="1590" w:type="dxa"/>
          </w:tcPr>
          <w:p>
            <w:pPr>
              <w:pStyle w:val="TableParagraph"/>
              <w:spacing w:line="268" w:lineRule="exact" w:before="128"/>
              <w:ind w:left="197"/>
              <w:rPr>
                <w:i/>
                <w:sz w:val="22"/>
              </w:rPr>
            </w:pPr>
            <w:r>
              <w:rPr>
                <w:i/>
                <w:w w:val="95"/>
                <w:sz w:val="22"/>
              </w:rPr>
              <w:t>严重的原发性</w:t>
            </w:r>
          </w:p>
        </w:tc>
        <w:tc>
          <w:tcPr>
            <w:tcW w:w="7863" w:type="dxa"/>
          </w:tcPr>
          <w:p>
            <w:pPr>
              <w:pStyle w:val="TableParagraph"/>
              <w:spacing w:line="257" w:lineRule="exact" w:before="139"/>
              <w:ind w:left="131"/>
              <w:rPr>
                <w:sz w:val="21"/>
              </w:rPr>
            </w:pPr>
            <w:r>
              <w:rPr>
                <w:sz w:val="21"/>
              </w:rPr>
              <w:t>原发性硬化性胆管炎指一种胆汁淤积综合征，其特征是肝内、肝外胆道因非细菌</w:t>
            </w:r>
          </w:p>
        </w:tc>
      </w:tr>
    </w:tbl>
    <w:p>
      <w:pPr>
        <w:spacing w:after="0" w:line="257"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90"/>
        <w:gridCol w:w="7865"/>
      </w:tblGrid>
      <w:tr>
        <w:trPr>
          <w:trHeight w:val="2294" w:hRule="atLeast"/>
        </w:trPr>
        <w:tc>
          <w:tcPr>
            <w:tcW w:w="1030" w:type="dxa"/>
          </w:tcPr>
          <w:p>
            <w:pPr>
              <w:pStyle w:val="TableParagraph"/>
              <w:rPr>
                <w:rFonts w:ascii="Times New Roman"/>
                <w:sz w:val="20"/>
              </w:rPr>
            </w:pPr>
          </w:p>
        </w:tc>
        <w:tc>
          <w:tcPr>
            <w:tcW w:w="1590" w:type="dxa"/>
          </w:tcPr>
          <w:p>
            <w:pPr>
              <w:pStyle w:val="TableParagraph"/>
              <w:spacing w:line="222" w:lineRule="exact"/>
              <w:ind w:left="197"/>
              <w:rPr>
                <w:i/>
                <w:sz w:val="22"/>
              </w:rPr>
            </w:pPr>
            <w:r>
              <w:rPr>
                <w:i/>
                <w:w w:val="95"/>
                <w:sz w:val="22"/>
              </w:rPr>
              <w:t>硬化性胆管炎</w:t>
            </w:r>
          </w:p>
        </w:tc>
        <w:tc>
          <w:tcPr>
            <w:tcW w:w="7865" w:type="dxa"/>
          </w:tcPr>
          <w:p>
            <w:pPr>
              <w:pStyle w:val="TableParagraph"/>
              <w:spacing w:line="221" w:lineRule="exact"/>
              <w:ind w:left="131"/>
              <w:rPr>
                <w:sz w:val="21"/>
              </w:rPr>
            </w:pPr>
            <w:r>
              <w:rPr>
                <w:sz w:val="21"/>
              </w:rPr>
              <w:t>性炎症、慢性纤维化逐渐狭窄，并最终导致完全阻塞而发展为胆汁於积性肝硬化。</w:t>
            </w:r>
          </w:p>
          <w:p>
            <w:pPr>
              <w:pStyle w:val="TableParagraph"/>
              <w:spacing w:before="37"/>
              <w:ind w:left="131"/>
              <w:rPr>
                <w:sz w:val="21"/>
              </w:rPr>
            </w:pPr>
            <w:r>
              <w:rPr>
                <w:sz w:val="21"/>
              </w:rPr>
              <w:t>须满足下列全部条件：</w:t>
            </w:r>
          </w:p>
          <w:p>
            <w:pPr>
              <w:pStyle w:val="TableParagraph"/>
              <w:numPr>
                <w:ilvl w:val="0"/>
                <w:numId w:val="6"/>
              </w:numPr>
              <w:tabs>
                <w:tab w:pos="482" w:val="left" w:leader="none"/>
              </w:tabs>
              <w:spacing w:line="240" w:lineRule="auto" w:before="37" w:after="0"/>
              <w:ind w:left="481" w:right="0" w:hanging="350"/>
              <w:jc w:val="left"/>
              <w:rPr>
                <w:sz w:val="21"/>
              </w:rPr>
            </w:pPr>
            <w:r>
              <w:rPr>
                <w:spacing w:val="-3"/>
                <w:sz w:val="21"/>
              </w:rPr>
              <w:t>持续性黄疸病史；</w:t>
            </w:r>
          </w:p>
          <w:p>
            <w:pPr>
              <w:pStyle w:val="TableParagraph"/>
              <w:numPr>
                <w:ilvl w:val="0"/>
                <w:numId w:val="6"/>
              </w:numPr>
              <w:tabs>
                <w:tab w:pos="482" w:val="left" w:leader="none"/>
              </w:tabs>
              <w:spacing w:line="240" w:lineRule="auto" w:before="21" w:after="0"/>
              <w:ind w:left="481" w:right="0" w:hanging="350"/>
              <w:jc w:val="left"/>
              <w:rPr>
                <w:sz w:val="21"/>
              </w:rPr>
            </w:pPr>
            <w:r>
              <w:rPr>
                <w:spacing w:val="-3"/>
                <w:sz w:val="21"/>
              </w:rPr>
              <w:t>总胆红素和直接胆红素同时升高，血清 </w:t>
            </w:r>
            <w:r>
              <w:rPr>
                <w:rFonts w:ascii="Times New Roman" w:eastAsia="Times New Roman"/>
                <w:sz w:val="21"/>
              </w:rPr>
              <w:t>ALP</w:t>
            </w:r>
            <w:r>
              <w:rPr>
                <w:sz w:val="21"/>
              </w:rPr>
              <w:t>〉</w:t>
            </w:r>
            <w:r>
              <w:rPr>
                <w:rFonts w:ascii="Times New Roman" w:eastAsia="Times New Roman"/>
                <w:sz w:val="21"/>
              </w:rPr>
              <w:t>200U/L</w:t>
            </w:r>
            <w:r>
              <w:rPr>
                <w:sz w:val="21"/>
              </w:rPr>
              <w:t>；</w:t>
            </w:r>
          </w:p>
          <w:p>
            <w:pPr>
              <w:pStyle w:val="TableParagraph"/>
              <w:numPr>
                <w:ilvl w:val="0"/>
                <w:numId w:val="6"/>
              </w:numPr>
              <w:tabs>
                <w:tab w:pos="482" w:val="left" w:leader="none"/>
              </w:tabs>
              <w:spacing w:line="240" w:lineRule="auto" w:before="21" w:after="0"/>
              <w:ind w:left="481" w:right="0" w:hanging="350"/>
              <w:jc w:val="left"/>
              <w:rPr>
                <w:sz w:val="21"/>
              </w:rPr>
            </w:pPr>
            <w:r>
              <w:rPr>
                <w:spacing w:val="-3"/>
                <w:sz w:val="21"/>
              </w:rPr>
              <w:t>经内镜逆行胰胆管造影</w:t>
            </w:r>
            <w:r>
              <w:rPr>
                <w:spacing w:val="-1"/>
                <w:sz w:val="21"/>
              </w:rPr>
              <w:t>（</w:t>
            </w:r>
            <w:r>
              <w:rPr>
                <w:rFonts w:ascii="Times New Roman" w:eastAsia="Times New Roman"/>
                <w:spacing w:val="-1"/>
                <w:sz w:val="21"/>
              </w:rPr>
              <w:t>ERCP</w:t>
            </w:r>
            <w:r>
              <w:rPr>
                <w:spacing w:val="-1"/>
                <w:sz w:val="21"/>
              </w:rPr>
              <w:t>）</w:t>
            </w:r>
            <w:r>
              <w:rPr>
                <w:spacing w:val="-3"/>
                <w:sz w:val="21"/>
              </w:rPr>
              <w:t>影像学检查确诊；</w:t>
            </w:r>
          </w:p>
          <w:p>
            <w:pPr>
              <w:pStyle w:val="TableParagraph"/>
              <w:numPr>
                <w:ilvl w:val="0"/>
                <w:numId w:val="6"/>
              </w:numPr>
              <w:tabs>
                <w:tab w:pos="482" w:val="left" w:leader="none"/>
              </w:tabs>
              <w:spacing w:line="240" w:lineRule="auto" w:before="21" w:after="0"/>
              <w:ind w:left="481" w:right="0" w:hanging="350"/>
              <w:jc w:val="left"/>
              <w:rPr>
                <w:sz w:val="21"/>
              </w:rPr>
            </w:pPr>
            <w:r>
              <w:rPr>
                <w:spacing w:val="-3"/>
                <w:sz w:val="21"/>
              </w:rPr>
              <w:t>出现胆汁淤积性肝硬化或门脉高压。</w:t>
            </w:r>
          </w:p>
          <w:p>
            <w:pPr>
              <w:pStyle w:val="TableParagraph"/>
              <w:spacing w:before="21"/>
              <w:ind w:left="131"/>
              <w:rPr>
                <w:b/>
                <w:sz w:val="21"/>
              </w:rPr>
            </w:pPr>
            <w:r>
              <w:rPr>
                <w:b/>
                <w:sz w:val="21"/>
              </w:rPr>
              <w:t>因肿瘤或胆管损伤等继发性的硬化性胆管炎不在保障范围内。</w:t>
            </w:r>
          </w:p>
        </w:tc>
      </w:tr>
      <w:tr>
        <w:trPr>
          <w:trHeight w:val="3431" w:hRule="atLeast"/>
        </w:trPr>
        <w:tc>
          <w:tcPr>
            <w:tcW w:w="1030" w:type="dxa"/>
          </w:tcPr>
          <w:p>
            <w:pPr>
              <w:pStyle w:val="TableParagraph"/>
              <w:spacing w:before="136"/>
              <w:ind w:left="166" w:right="163"/>
              <w:jc w:val="center"/>
              <w:rPr>
                <w:i/>
                <w:sz w:val="22"/>
              </w:rPr>
            </w:pPr>
            <w:r>
              <w:rPr>
                <w:i/>
                <w:sz w:val="22"/>
              </w:rPr>
              <w:t>3.2.53</w:t>
            </w:r>
          </w:p>
        </w:tc>
        <w:tc>
          <w:tcPr>
            <w:tcW w:w="1590" w:type="dxa"/>
          </w:tcPr>
          <w:p>
            <w:pPr>
              <w:pStyle w:val="TableParagraph"/>
              <w:spacing w:line="259" w:lineRule="auto" w:before="136"/>
              <w:ind w:left="197" w:right="128"/>
              <w:jc w:val="both"/>
              <w:rPr>
                <w:i/>
                <w:sz w:val="22"/>
              </w:rPr>
            </w:pPr>
            <w:r>
              <w:rPr>
                <w:i/>
                <w:w w:val="95"/>
                <w:sz w:val="22"/>
              </w:rPr>
              <w:t>特发性慢性肾上腺皮质功能减退</w:t>
            </w:r>
          </w:p>
        </w:tc>
        <w:tc>
          <w:tcPr>
            <w:tcW w:w="7865" w:type="dxa"/>
          </w:tcPr>
          <w:p>
            <w:pPr>
              <w:pStyle w:val="TableParagraph"/>
              <w:spacing w:line="273" w:lineRule="auto" w:before="147"/>
              <w:ind w:left="131" w:right="309"/>
              <w:rPr>
                <w:sz w:val="21"/>
              </w:rPr>
            </w:pPr>
            <w:r>
              <w:rPr>
                <w:sz w:val="21"/>
              </w:rPr>
              <w:t>指自身免疫性肾上腺炎（既往称：特发性肾上腺皮质萎缩）导致肾上腺萎缩和慢性肾上腺皮质功能减退。必须满足所有以下条件：</w:t>
            </w:r>
          </w:p>
          <w:p>
            <w:pPr>
              <w:pStyle w:val="TableParagraph"/>
              <w:spacing w:before="7"/>
              <w:ind w:left="131"/>
              <w:rPr>
                <w:sz w:val="21"/>
              </w:rPr>
            </w:pPr>
            <w:r>
              <w:rPr>
                <w:sz w:val="21"/>
              </w:rPr>
              <w:t>（一）必须由专科医生明确诊断，符合所有以下诊断标准：</w:t>
            </w:r>
          </w:p>
          <w:p>
            <w:pPr>
              <w:pStyle w:val="TableParagraph"/>
              <w:spacing w:before="37"/>
              <w:ind w:left="131"/>
              <w:rPr>
                <w:sz w:val="21"/>
              </w:rPr>
            </w:pPr>
            <w:r>
              <w:rPr>
                <w:sz w:val="21"/>
              </w:rPr>
              <w:t>（</w:t>
            </w:r>
            <w:r>
              <w:rPr>
                <w:rFonts w:ascii="Times New Roman" w:eastAsia="Times New Roman"/>
                <w:sz w:val="21"/>
              </w:rPr>
              <w:t>1)  </w:t>
            </w:r>
            <w:r>
              <w:rPr>
                <w:sz w:val="21"/>
              </w:rPr>
              <w:t>血浆促肾上腺皮质激素</w:t>
            </w:r>
            <w:r>
              <w:rPr>
                <w:rFonts w:ascii="Times New Roman" w:eastAsia="Times New Roman"/>
                <w:sz w:val="21"/>
              </w:rPr>
              <w:t>(ACTH)</w:t>
            </w:r>
            <w:r>
              <w:rPr>
                <w:sz w:val="21"/>
              </w:rPr>
              <w:t>水平测定，</w:t>
            </w:r>
            <w:r>
              <w:rPr>
                <w:rFonts w:ascii="Times New Roman" w:eastAsia="Times New Roman"/>
                <w:sz w:val="21"/>
              </w:rPr>
              <w:t>&gt;100pg/ml</w:t>
            </w:r>
            <w:r>
              <w:rPr>
                <w:sz w:val="21"/>
              </w:rPr>
              <w:t>；</w:t>
            </w:r>
          </w:p>
          <w:p>
            <w:pPr>
              <w:pStyle w:val="TableParagraph"/>
              <w:spacing w:line="256" w:lineRule="auto" w:before="21"/>
              <w:ind w:left="131" w:right="271"/>
              <w:rPr>
                <w:sz w:val="21"/>
              </w:rPr>
            </w:pPr>
            <w:r>
              <w:rPr>
                <w:sz w:val="21"/>
              </w:rPr>
              <w:t>（</w:t>
            </w:r>
            <w:r>
              <w:rPr>
                <w:rFonts w:ascii="Times New Roman" w:eastAsia="Times New Roman"/>
                <w:sz w:val="21"/>
              </w:rPr>
              <w:t>2) </w:t>
            </w:r>
            <w:r>
              <w:rPr>
                <w:sz w:val="21"/>
              </w:rPr>
              <w:t>血浆肾素活性、血管紧张素 </w:t>
            </w:r>
            <w:r>
              <w:rPr>
                <w:rFonts w:ascii="Times New Roman" w:eastAsia="Times New Roman"/>
                <w:sz w:val="21"/>
              </w:rPr>
              <w:t>II </w:t>
            </w:r>
            <w:r>
              <w:rPr>
                <w:sz w:val="21"/>
              </w:rPr>
              <w:t>和醛固酮测定，显示为原发性肾上腺皮质功能减退症；</w:t>
            </w:r>
          </w:p>
          <w:p>
            <w:pPr>
              <w:pStyle w:val="TableParagraph"/>
              <w:spacing w:before="22"/>
              <w:ind w:left="131"/>
              <w:rPr>
                <w:sz w:val="21"/>
              </w:rPr>
            </w:pPr>
            <w:r>
              <w:rPr>
                <w:sz w:val="21"/>
              </w:rPr>
              <w:t>（</w:t>
            </w:r>
            <w:r>
              <w:rPr>
                <w:rFonts w:ascii="Times New Roman" w:eastAsia="Times New Roman"/>
                <w:sz w:val="21"/>
              </w:rPr>
              <w:t>3)  </w:t>
            </w:r>
            <w:r>
              <w:rPr>
                <w:sz w:val="21"/>
              </w:rPr>
              <w:t>促肾上腺皮质激素</w:t>
            </w:r>
            <w:r>
              <w:rPr>
                <w:rFonts w:ascii="Times New Roman" w:eastAsia="Times New Roman"/>
                <w:sz w:val="21"/>
              </w:rPr>
              <w:t>(ACTH)</w:t>
            </w:r>
            <w:r>
              <w:rPr>
                <w:sz w:val="21"/>
              </w:rPr>
              <w:t>刺激试验显示为原发性肾上腺皮质功能减退症。</w:t>
            </w:r>
          </w:p>
          <w:p>
            <w:pPr>
              <w:pStyle w:val="TableParagraph"/>
              <w:spacing w:before="21"/>
              <w:ind w:left="131"/>
              <w:rPr>
                <w:sz w:val="21"/>
              </w:rPr>
            </w:pPr>
            <w:r>
              <w:rPr>
                <w:sz w:val="21"/>
              </w:rPr>
              <w:t>（二）已经采用皮质类固醇替代治疗 </w:t>
            </w:r>
            <w:r>
              <w:rPr>
                <w:rFonts w:ascii="Times New Roman" w:eastAsia="Times New Roman"/>
                <w:sz w:val="21"/>
              </w:rPr>
              <w:t>180 </w:t>
            </w:r>
            <w:r>
              <w:rPr>
                <w:sz w:val="21"/>
              </w:rPr>
              <w:t>天以上。</w:t>
            </w:r>
          </w:p>
          <w:p>
            <w:pPr>
              <w:pStyle w:val="TableParagraph"/>
              <w:spacing w:line="256" w:lineRule="auto" w:before="21"/>
              <w:ind w:left="131" w:right="310"/>
              <w:rPr>
                <w:b/>
                <w:sz w:val="21"/>
              </w:rPr>
            </w:pPr>
            <w:r>
              <w:rPr>
                <w:b/>
                <w:sz w:val="21"/>
              </w:rPr>
              <w:t>肾上腺结核、</w:t>
            </w:r>
            <w:r>
              <w:rPr>
                <w:rFonts w:ascii="Times New Roman" w:eastAsia="Times New Roman"/>
                <w:b/>
                <w:sz w:val="21"/>
              </w:rPr>
              <w:t>HIV </w:t>
            </w:r>
            <w:r>
              <w:rPr>
                <w:b/>
                <w:sz w:val="21"/>
              </w:rPr>
              <w:t>感染或艾滋病、感染、肿瘤所致的原发性肾上腺皮质功能减退和继发性肾上腺皮质功能减退不在本保障范围内。</w:t>
            </w:r>
          </w:p>
        </w:tc>
      </w:tr>
      <w:tr>
        <w:trPr>
          <w:trHeight w:val="1247" w:hRule="atLeast"/>
        </w:trPr>
        <w:tc>
          <w:tcPr>
            <w:tcW w:w="1030" w:type="dxa"/>
          </w:tcPr>
          <w:p>
            <w:pPr>
              <w:pStyle w:val="TableParagraph"/>
              <w:spacing w:before="136"/>
              <w:ind w:left="166" w:right="163"/>
              <w:jc w:val="center"/>
              <w:rPr>
                <w:i/>
                <w:sz w:val="22"/>
              </w:rPr>
            </w:pPr>
            <w:r>
              <w:rPr>
                <w:i/>
                <w:sz w:val="22"/>
              </w:rPr>
              <w:t>3.2.54</w:t>
            </w:r>
          </w:p>
        </w:tc>
        <w:tc>
          <w:tcPr>
            <w:tcW w:w="1590" w:type="dxa"/>
          </w:tcPr>
          <w:p>
            <w:pPr>
              <w:pStyle w:val="TableParagraph"/>
              <w:spacing w:line="259" w:lineRule="auto" w:before="136"/>
              <w:ind w:left="197" w:right="128"/>
              <w:rPr>
                <w:i/>
                <w:sz w:val="22"/>
              </w:rPr>
            </w:pPr>
            <w:r>
              <w:rPr>
                <w:i/>
                <w:w w:val="95"/>
                <w:sz w:val="22"/>
              </w:rPr>
              <w:t>溶血性链球菌引起的坏疽</w:t>
            </w:r>
          </w:p>
        </w:tc>
        <w:tc>
          <w:tcPr>
            <w:tcW w:w="7865" w:type="dxa"/>
          </w:tcPr>
          <w:p>
            <w:pPr>
              <w:pStyle w:val="TableParagraph"/>
              <w:spacing w:line="264" w:lineRule="auto" w:before="147"/>
              <w:ind w:left="131" w:right="308"/>
              <w:jc w:val="both"/>
              <w:rPr>
                <w:sz w:val="21"/>
              </w:rPr>
            </w:pPr>
            <w:r>
              <w:rPr>
                <w:sz w:val="21"/>
              </w:rPr>
              <w:t>包围肢体或躯干的浅筋膜和</w:t>
            </w:r>
            <w:r>
              <w:rPr>
                <w:rFonts w:ascii="Times New Roman" w:eastAsia="Times New Roman"/>
                <w:sz w:val="21"/>
              </w:rPr>
              <w:t>/</w:t>
            </w:r>
            <w:r>
              <w:rPr>
                <w:sz w:val="21"/>
              </w:rPr>
              <w:t>或深筋膜受到溶血性链球菌的感染，病情在短时间内急剧恶化，必须立刻进行手术及清创术。最后的诊断必须由微生物或病理学专家进行相关检查后证实。</w:t>
            </w:r>
          </w:p>
        </w:tc>
      </w:tr>
      <w:tr>
        <w:trPr>
          <w:trHeight w:val="1560" w:hRule="atLeast"/>
        </w:trPr>
        <w:tc>
          <w:tcPr>
            <w:tcW w:w="1030" w:type="dxa"/>
          </w:tcPr>
          <w:p>
            <w:pPr>
              <w:pStyle w:val="TableParagraph"/>
              <w:spacing w:before="136"/>
              <w:ind w:left="166" w:right="163"/>
              <w:jc w:val="center"/>
              <w:rPr>
                <w:i/>
                <w:sz w:val="22"/>
              </w:rPr>
            </w:pPr>
            <w:r>
              <w:rPr>
                <w:i/>
                <w:sz w:val="22"/>
              </w:rPr>
              <w:t>3.2.55</w:t>
            </w:r>
          </w:p>
        </w:tc>
        <w:tc>
          <w:tcPr>
            <w:tcW w:w="1590" w:type="dxa"/>
          </w:tcPr>
          <w:p>
            <w:pPr>
              <w:pStyle w:val="TableParagraph"/>
              <w:spacing w:before="136"/>
              <w:ind w:left="197"/>
              <w:rPr>
                <w:i/>
                <w:sz w:val="22"/>
              </w:rPr>
            </w:pPr>
            <w:r>
              <w:rPr>
                <w:i/>
                <w:w w:val="95"/>
                <w:sz w:val="22"/>
              </w:rPr>
              <w:t>颅脑手术</w:t>
            </w:r>
          </w:p>
        </w:tc>
        <w:tc>
          <w:tcPr>
            <w:tcW w:w="7865" w:type="dxa"/>
          </w:tcPr>
          <w:p>
            <w:pPr>
              <w:pStyle w:val="TableParagraph"/>
              <w:spacing w:line="273" w:lineRule="auto" w:before="147"/>
              <w:ind w:left="131" w:right="299"/>
              <w:rPr>
                <w:sz w:val="21"/>
              </w:rPr>
            </w:pPr>
            <w:r>
              <w:rPr>
                <w:sz w:val="21"/>
              </w:rPr>
              <w:t>被保险人确已实施全麻下的开颅手术（不包括颅骨钻孔手术和经鼻蝶窦入颅手术）。</w:t>
            </w:r>
          </w:p>
          <w:p>
            <w:pPr>
              <w:pStyle w:val="TableParagraph"/>
              <w:spacing w:before="7"/>
              <w:ind w:left="131"/>
              <w:rPr>
                <w:b/>
                <w:sz w:val="21"/>
              </w:rPr>
            </w:pPr>
            <w:r>
              <w:rPr>
                <w:b/>
                <w:sz w:val="21"/>
              </w:rPr>
              <w:t>因外伤而实施的脑外科手术不在保障范围之内。</w:t>
            </w:r>
          </w:p>
          <w:p>
            <w:pPr>
              <w:pStyle w:val="TableParagraph"/>
              <w:spacing w:before="37"/>
              <w:ind w:left="131"/>
              <w:rPr>
                <w:b/>
                <w:sz w:val="21"/>
              </w:rPr>
            </w:pPr>
            <w:r>
              <w:rPr>
                <w:b/>
                <w:sz w:val="21"/>
              </w:rPr>
              <w:t>理赔时必须提供由神经外科医生出具的诊断书及手术报告。</w:t>
            </w:r>
          </w:p>
        </w:tc>
      </w:tr>
      <w:tr>
        <w:trPr>
          <w:trHeight w:val="2183" w:hRule="atLeast"/>
        </w:trPr>
        <w:tc>
          <w:tcPr>
            <w:tcW w:w="1030" w:type="dxa"/>
          </w:tcPr>
          <w:p>
            <w:pPr>
              <w:pStyle w:val="TableParagraph"/>
              <w:spacing w:before="136"/>
              <w:ind w:left="166" w:right="163"/>
              <w:jc w:val="center"/>
              <w:rPr>
                <w:i/>
                <w:sz w:val="22"/>
              </w:rPr>
            </w:pPr>
            <w:r>
              <w:rPr>
                <w:i/>
                <w:sz w:val="22"/>
              </w:rPr>
              <w:t>3.2.56</w:t>
            </w:r>
          </w:p>
        </w:tc>
        <w:tc>
          <w:tcPr>
            <w:tcW w:w="1590" w:type="dxa"/>
          </w:tcPr>
          <w:p>
            <w:pPr>
              <w:pStyle w:val="TableParagraph"/>
              <w:spacing w:line="259" w:lineRule="auto" w:before="136"/>
              <w:ind w:left="197" w:right="128"/>
              <w:rPr>
                <w:i/>
                <w:sz w:val="22"/>
              </w:rPr>
            </w:pPr>
            <w:r>
              <w:rPr>
                <w:i/>
                <w:w w:val="95"/>
                <w:sz w:val="22"/>
              </w:rPr>
              <w:t>严重肌营养不良症</w:t>
            </w:r>
          </w:p>
        </w:tc>
        <w:tc>
          <w:tcPr>
            <w:tcW w:w="7865" w:type="dxa"/>
          </w:tcPr>
          <w:p>
            <w:pPr>
              <w:pStyle w:val="TableParagraph"/>
              <w:spacing w:line="273" w:lineRule="auto" w:before="147"/>
              <w:ind w:left="131" w:right="309"/>
              <w:rPr>
                <w:sz w:val="21"/>
              </w:rPr>
            </w:pPr>
            <w:r>
              <w:rPr>
                <w:sz w:val="21"/>
              </w:rPr>
              <w:t>指一组遗传性肌肉变性病变，临床特征为与神经系统无关的骨骼肌肉对称地进行性无力和萎缩。其诊断需满足下列全部条件：</w:t>
            </w:r>
          </w:p>
          <w:p>
            <w:pPr>
              <w:pStyle w:val="TableParagraph"/>
              <w:spacing w:before="7"/>
              <w:ind w:left="131"/>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21"/>
              <w:ind w:left="131"/>
              <w:rPr>
                <w:sz w:val="21"/>
              </w:rPr>
            </w:pPr>
            <w:r>
              <w:rPr>
                <w:sz w:val="21"/>
              </w:rPr>
              <w:t>（</w:t>
            </w:r>
            <w:r>
              <w:rPr>
                <w:rFonts w:ascii="Times New Roman" w:eastAsia="Times New Roman"/>
                <w:sz w:val="21"/>
              </w:rPr>
              <w:t>2</w:t>
            </w:r>
            <w:r>
              <w:rPr>
                <w:sz w:val="21"/>
              </w:rPr>
              <w:t>）肌肉活检的病理学诊断符合肌营养不良症的肌肉细胞变性</w:t>
            </w:r>
            <w:r>
              <w:rPr>
                <w:rFonts w:ascii="Times New Roman" w:eastAsia="Times New Roman"/>
                <w:sz w:val="21"/>
              </w:rPr>
              <w:t>\</w:t>
            </w:r>
            <w:r>
              <w:rPr>
                <w:sz w:val="21"/>
              </w:rPr>
              <w:t>坏死等阳性改变；</w:t>
            </w:r>
          </w:p>
          <w:p>
            <w:pPr>
              <w:pStyle w:val="TableParagraph"/>
              <w:spacing w:line="256" w:lineRule="auto" w:before="21"/>
              <w:ind w:left="131" w:right="250"/>
              <w:rPr>
                <w:sz w:val="21"/>
              </w:rPr>
            </w:pPr>
            <w:r>
              <w:rPr>
                <w:sz w:val="21"/>
              </w:rPr>
              <w:t>（</w:t>
            </w:r>
            <w:r>
              <w:rPr>
                <w:rFonts w:ascii="Times New Roman" w:eastAsia="Times New Roman"/>
                <w:sz w:val="21"/>
              </w:rPr>
              <w:t>3</w:t>
            </w:r>
            <w:r>
              <w:rPr>
                <w:sz w:val="21"/>
              </w:rPr>
              <w:t>）已导致被保险人持续超过三个月无法独立完成六项基本日常生活活动中的三项或三项以上。</w:t>
            </w:r>
          </w:p>
        </w:tc>
      </w:tr>
      <w:tr>
        <w:trPr>
          <w:trHeight w:val="2191" w:hRule="atLeast"/>
        </w:trPr>
        <w:tc>
          <w:tcPr>
            <w:tcW w:w="1030" w:type="dxa"/>
          </w:tcPr>
          <w:p>
            <w:pPr>
              <w:pStyle w:val="TableParagraph"/>
              <w:spacing w:before="136"/>
              <w:ind w:left="166" w:right="163"/>
              <w:jc w:val="center"/>
              <w:rPr>
                <w:i/>
                <w:sz w:val="22"/>
              </w:rPr>
            </w:pPr>
            <w:r>
              <w:rPr>
                <w:i/>
                <w:sz w:val="22"/>
              </w:rPr>
              <w:t>3.2.57</w:t>
            </w:r>
          </w:p>
        </w:tc>
        <w:tc>
          <w:tcPr>
            <w:tcW w:w="1590" w:type="dxa"/>
          </w:tcPr>
          <w:p>
            <w:pPr>
              <w:pStyle w:val="TableParagraph"/>
              <w:spacing w:before="136"/>
              <w:ind w:left="197"/>
              <w:rPr>
                <w:i/>
                <w:sz w:val="22"/>
              </w:rPr>
            </w:pPr>
            <w:r>
              <w:rPr>
                <w:i/>
                <w:w w:val="95"/>
                <w:sz w:val="22"/>
              </w:rPr>
              <w:t>严重心肌炎</w:t>
            </w:r>
          </w:p>
        </w:tc>
        <w:tc>
          <w:tcPr>
            <w:tcW w:w="7865" w:type="dxa"/>
          </w:tcPr>
          <w:p>
            <w:pPr>
              <w:pStyle w:val="TableParagraph"/>
              <w:spacing w:line="273" w:lineRule="auto" w:before="147"/>
              <w:ind w:left="131" w:right="309"/>
              <w:rPr>
                <w:sz w:val="21"/>
              </w:rPr>
            </w:pPr>
            <w:r>
              <w:rPr>
                <w:sz w:val="21"/>
              </w:rPr>
              <w:t>指被保险人因严重心肌炎性病变导致心功能损害造成持续的永久不可逆性的心功能衰竭。必须满足所有以下条件：</w:t>
            </w:r>
          </w:p>
          <w:p>
            <w:pPr>
              <w:pStyle w:val="TableParagraph"/>
              <w:spacing w:line="256" w:lineRule="auto" w:before="7"/>
              <w:ind w:left="131" w:right="305" w:hanging="1"/>
              <w:rPr>
                <w:sz w:val="21"/>
              </w:rPr>
            </w:pPr>
            <w:r>
              <w:rPr>
                <w:sz w:val="21"/>
              </w:rPr>
              <w:t>（</w:t>
            </w:r>
            <w:r>
              <w:rPr>
                <w:rFonts w:ascii="Times New Roman" w:eastAsia="Times New Roman"/>
                <w:sz w:val="21"/>
              </w:rPr>
              <w:t>1</w:t>
            </w:r>
            <w:r>
              <w:rPr>
                <w:sz w:val="21"/>
              </w:rPr>
              <w:t>）心功能衰竭程度达到纽约心脏病学会的心功能分级标准之心功能 </w:t>
            </w:r>
            <w:r>
              <w:rPr>
                <w:rFonts w:ascii="Times New Roman" w:eastAsia="Times New Roman"/>
                <w:sz w:val="21"/>
              </w:rPr>
              <w:t>IV </w:t>
            </w:r>
            <w:r>
              <w:rPr>
                <w:sz w:val="21"/>
              </w:rPr>
              <w:t>级，或左室射血分数低于 </w:t>
            </w:r>
            <w:r>
              <w:rPr>
                <w:rFonts w:ascii="Times New Roman" w:eastAsia="Times New Roman"/>
                <w:sz w:val="21"/>
              </w:rPr>
              <w:t>30%</w:t>
            </w:r>
            <w:r>
              <w:rPr>
                <w:sz w:val="21"/>
              </w:rPr>
              <w:t>；</w:t>
            </w:r>
          </w:p>
          <w:p>
            <w:pPr>
              <w:pStyle w:val="TableParagraph"/>
              <w:spacing w:before="4"/>
              <w:ind w:left="131"/>
              <w:rPr>
                <w:sz w:val="21"/>
              </w:rPr>
            </w:pPr>
            <w:r>
              <w:rPr>
                <w:sz w:val="21"/>
              </w:rPr>
              <w:t>（</w:t>
            </w:r>
            <w:r>
              <w:rPr>
                <w:rFonts w:ascii="Times New Roman" w:eastAsia="Times New Roman"/>
                <w:sz w:val="21"/>
              </w:rPr>
              <w:t>2</w:t>
            </w:r>
            <w:r>
              <w:rPr>
                <w:sz w:val="21"/>
              </w:rPr>
              <w:t>）持续不间断 </w:t>
            </w:r>
            <w:r>
              <w:rPr>
                <w:rFonts w:ascii="Times New Roman" w:eastAsia="Times New Roman"/>
                <w:sz w:val="21"/>
              </w:rPr>
              <w:t>180 </w:t>
            </w:r>
            <w:r>
              <w:rPr>
                <w:sz w:val="21"/>
              </w:rPr>
              <w:t>天以上；</w:t>
            </w:r>
          </w:p>
          <w:p>
            <w:pPr>
              <w:pStyle w:val="TableParagraph"/>
              <w:spacing w:before="20"/>
              <w:ind w:left="131"/>
              <w:rPr>
                <w:sz w:val="21"/>
              </w:rPr>
            </w:pPr>
            <w:r>
              <w:rPr>
                <w:sz w:val="21"/>
              </w:rPr>
              <w:t>（</w:t>
            </w:r>
            <w:r>
              <w:rPr>
                <w:rFonts w:ascii="Times New Roman" w:eastAsia="Times New Roman"/>
                <w:sz w:val="21"/>
              </w:rPr>
              <w:t>3</w:t>
            </w:r>
            <w:r>
              <w:rPr>
                <w:sz w:val="21"/>
              </w:rPr>
              <w:t>）被保险人永久不可逆性的体力活动能力受限，不能从事任何体力活动。</w:t>
            </w:r>
          </w:p>
        </w:tc>
      </w:tr>
      <w:tr>
        <w:trPr>
          <w:trHeight w:val="742" w:hRule="atLeast"/>
        </w:trPr>
        <w:tc>
          <w:tcPr>
            <w:tcW w:w="1030" w:type="dxa"/>
          </w:tcPr>
          <w:p>
            <w:pPr>
              <w:pStyle w:val="TableParagraph"/>
              <w:spacing w:before="128"/>
              <w:ind w:left="166" w:right="163"/>
              <w:jc w:val="center"/>
              <w:rPr>
                <w:i/>
                <w:sz w:val="22"/>
              </w:rPr>
            </w:pPr>
            <w:r>
              <w:rPr>
                <w:i/>
                <w:sz w:val="22"/>
              </w:rPr>
              <w:t>3.2.58</w:t>
            </w:r>
          </w:p>
        </w:tc>
        <w:tc>
          <w:tcPr>
            <w:tcW w:w="1590" w:type="dxa"/>
          </w:tcPr>
          <w:p>
            <w:pPr>
              <w:pStyle w:val="TableParagraph"/>
              <w:spacing w:before="128"/>
              <w:ind w:left="197"/>
              <w:rPr>
                <w:i/>
                <w:sz w:val="22"/>
              </w:rPr>
            </w:pPr>
            <w:r>
              <w:rPr>
                <w:i/>
                <w:w w:val="95"/>
                <w:sz w:val="22"/>
              </w:rPr>
              <w:t>肝豆状核变性</w:t>
            </w:r>
          </w:p>
          <w:p>
            <w:pPr>
              <w:pStyle w:val="TableParagraph"/>
              <w:spacing w:line="283" w:lineRule="exact" w:before="24"/>
              <w:ind w:left="197"/>
              <w:rPr>
                <w:rFonts w:ascii="Times New Roman" w:eastAsia="Times New Roman"/>
                <w:i/>
                <w:sz w:val="21"/>
              </w:rPr>
            </w:pPr>
            <w:r>
              <w:rPr>
                <w:rFonts w:ascii="Times New Roman" w:eastAsia="Times New Roman"/>
                <w:i/>
                <w:sz w:val="21"/>
              </w:rPr>
              <w:t>(</w:t>
            </w:r>
            <w:r>
              <w:rPr>
                <w:i/>
                <w:sz w:val="22"/>
              </w:rPr>
              <w:t>或称 </w:t>
            </w:r>
            <w:r>
              <w:rPr>
                <w:rFonts w:ascii="Times New Roman" w:eastAsia="Times New Roman"/>
                <w:i/>
                <w:sz w:val="21"/>
              </w:rPr>
              <w:t>Wilson</w:t>
            </w:r>
          </w:p>
        </w:tc>
        <w:tc>
          <w:tcPr>
            <w:tcW w:w="7865" w:type="dxa"/>
          </w:tcPr>
          <w:p>
            <w:pPr>
              <w:pStyle w:val="TableParagraph"/>
              <w:spacing w:line="310" w:lineRule="atLeast" w:before="104"/>
              <w:ind w:left="131" w:right="794"/>
              <w:rPr>
                <w:sz w:val="21"/>
              </w:rPr>
            </w:pPr>
            <w:r>
              <w:rPr>
                <w:sz w:val="21"/>
              </w:rPr>
              <w:t>指一种常染色体隐性遗传的铜代谢缺陷病，以不同程度的肝细胞损害、脑退行性病变和角膜边缘有铜盐沉着环为其临床特征，并须满足下列全部条件：</w:t>
            </w:r>
          </w:p>
        </w:tc>
      </w:tr>
    </w:tbl>
    <w:p>
      <w:pPr>
        <w:spacing w:after="0" w:line="310" w:lineRule="atLeast"/>
        <w:rPr>
          <w:sz w:val="21"/>
        </w:rPr>
        <w:sectPr>
          <w:pgSz w:w="11910" w:h="16840"/>
          <w:pgMar w:header="892" w:footer="917" w:top="1080" w:bottom="1100" w:left="820" w:right="3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12"/>
        <w:gridCol w:w="7733"/>
      </w:tblGrid>
      <w:tr>
        <w:trPr>
          <w:trHeight w:val="1982" w:hRule="atLeast"/>
        </w:trPr>
        <w:tc>
          <w:tcPr>
            <w:tcW w:w="1030" w:type="dxa"/>
          </w:tcPr>
          <w:p>
            <w:pPr>
              <w:pStyle w:val="TableParagraph"/>
              <w:rPr>
                <w:rFonts w:ascii="Times New Roman"/>
                <w:sz w:val="20"/>
              </w:rPr>
            </w:pPr>
          </w:p>
        </w:tc>
        <w:tc>
          <w:tcPr>
            <w:tcW w:w="1612" w:type="dxa"/>
          </w:tcPr>
          <w:p>
            <w:pPr>
              <w:pStyle w:val="TableParagraph"/>
              <w:spacing w:line="237" w:lineRule="exact"/>
              <w:ind w:left="197"/>
              <w:rPr>
                <w:rFonts w:ascii="Times New Roman" w:eastAsia="Times New Roman"/>
                <w:i/>
                <w:sz w:val="21"/>
              </w:rPr>
            </w:pPr>
            <w:r>
              <w:rPr>
                <w:i/>
                <w:w w:val="95"/>
                <w:sz w:val="22"/>
              </w:rPr>
              <w:t>病</w:t>
            </w:r>
            <w:r>
              <w:rPr>
                <w:rFonts w:ascii="Times New Roman" w:eastAsia="Times New Roman"/>
                <w:i/>
                <w:w w:val="95"/>
                <w:sz w:val="21"/>
              </w:rPr>
              <w:t>)</w:t>
            </w:r>
          </w:p>
        </w:tc>
        <w:tc>
          <w:tcPr>
            <w:tcW w:w="7733" w:type="dxa"/>
          </w:tcPr>
          <w:p>
            <w:pPr>
              <w:pStyle w:val="TableParagraph"/>
              <w:spacing w:line="237" w:lineRule="exact"/>
              <w:ind w:left="109"/>
              <w:rPr>
                <w:sz w:val="21"/>
              </w:rPr>
            </w:pPr>
            <w:r>
              <w:rPr>
                <w:rFonts w:ascii="Times New Roman" w:eastAsia="Times New Roman"/>
                <w:sz w:val="21"/>
              </w:rPr>
              <w:t>(1)</w:t>
            </w:r>
            <w:r>
              <w:rPr>
                <w:sz w:val="21"/>
              </w:rPr>
              <w:t>典型症状；</w:t>
            </w:r>
          </w:p>
          <w:p>
            <w:pPr>
              <w:pStyle w:val="TableParagraph"/>
              <w:spacing w:before="21"/>
              <w:ind w:left="109"/>
              <w:rPr>
                <w:sz w:val="21"/>
              </w:rPr>
            </w:pPr>
            <w:r>
              <w:rPr>
                <w:rFonts w:ascii="Times New Roman" w:eastAsia="Times New Roman"/>
                <w:sz w:val="21"/>
              </w:rPr>
              <w:t>(2)</w:t>
            </w:r>
            <w:r>
              <w:rPr>
                <w:sz w:val="21"/>
              </w:rPr>
              <w:t>角膜色素环（</w:t>
            </w:r>
            <w:r>
              <w:rPr>
                <w:rFonts w:ascii="Times New Roman" w:eastAsia="Times New Roman"/>
                <w:sz w:val="21"/>
              </w:rPr>
              <w:t>K-F  </w:t>
            </w:r>
            <w:r>
              <w:rPr>
                <w:sz w:val="21"/>
              </w:rPr>
              <w:t>环）；</w:t>
            </w:r>
          </w:p>
          <w:p>
            <w:pPr>
              <w:pStyle w:val="TableParagraph"/>
              <w:spacing w:before="21"/>
              <w:ind w:left="109"/>
              <w:rPr>
                <w:sz w:val="21"/>
              </w:rPr>
            </w:pPr>
            <w:r>
              <w:rPr>
                <w:rFonts w:ascii="Times New Roman" w:eastAsia="Times New Roman"/>
                <w:sz w:val="21"/>
              </w:rPr>
              <w:t>(3)</w:t>
            </w:r>
            <w:r>
              <w:rPr>
                <w:sz w:val="21"/>
              </w:rPr>
              <w:t>血清铜和血清铜蓝蛋白降低，尿铜增加；</w:t>
            </w:r>
          </w:p>
          <w:p>
            <w:pPr>
              <w:pStyle w:val="TableParagraph"/>
              <w:spacing w:before="21"/>
              <w:ind w:left="109"/>
              <w:rPr>
                <w:sz w:val="21"/>
              </w:rPr>
            </w:pPr>
            <w:r>
              <w:rPr>
                <w:rFonts w:ascii="Times New Roman" w:eastAsia="Times New Roman"/>
                <w:sz w:val="21"/>
              </w:rPr>
              <w:t>(4)</w:t>
            </w:r>
            <w:r>
              <w:rPr>
                <w:sz w:val="21"/>
              </w:rPr>
              <w:t>经肝脏活检确诊。</w:t>
            </w:r>
          </w:p>
          <w:p>
            <w:pPr>
              <w:pStyle w:val="TableParagraph"/>
              <w:spacing w:line="273" w:lineRule="auto" w:before="21"/>
              <w:ind w:left="109" w:right="199"/>
              <w:rPr>
                <w:b/>
                <w:sz w:val="21"/>
              </w:rPr>
            </w:pPr>
            <w:r>
              <w:rPr>
                <w:b/>
                <w:sz w:val="21"/>
              </w:rPr>
              <w:t>我们承担本项疾病责任不受本合同“责任免除”中“遗传性疾病，先天性畸形、疾病，先天性变形或染色体异常”的限制。</w:t>
            </w:r>
          </w:p>
        </w:tc>
      </w:tr>
      <w:tr>
        <w:trPr>
          <w:trHeight w:val="1255" w:hRule="atLeast"/>
        </w:trPr>
        <w:tc>
          <w:tcPr>
            <w:tcW w:w="1030" w:type="dxa"/>
          </w:tcPr>
          <w:p>
            <w:pPr>
              <w:pStyle w:val="TableParagraph"/>
              <w:spacing w:before="136"/>
              <w:ind w:left="166" w:right="163"/>
              <w:jc w:val="center"/>
              <w:rPr>
                <w:i/>
                <w:sz w:val="22"/>
              </w:rPr>
            </w:pPr>
            <w:r>
              <w:rPr>
                <w:i/>
                <w:sz w:val="22"/>
              </w:rPr>
              <w:t>3.2.59</w:t>
            </w:r>
          </w:p>
        </w:tc>
        <w:tc>
          <w:tcPr>
            <w:tcW w:w="1612" w:type="dxa"/>
          </w:tcPr>
          <w:p>
            <w:pPr>
              <w:pStyle w:val="TableParagraph"/>
              <w:spacing w:before="136"/>
              <w:ind w:left="197"/>
              <w:rPr>
                <w:i/>
                <w:sz w:val="22"/>
              </w:rPr>
            </w:pPr>
            <w:r>
              <w:rPr>
                <w:i/>
                <w:w w:val="95"/>
                <w:sz w:val="22"/>
              </w:rPr>
              <w:t>侵蚀性葡萄胎</w:t>
            </w:r>
          </w:p>
          <w:p>
            <w:pPr>
              <w:pStyle w:val="TableParagraph"/>
              <w:spacing w:line="247" w:lineRule="auto" w:before="24"/>
              <w:ind w:left="197" w:right="289" w:hanging="1"/>
              <w:rPr>
                <w:rFonts w:ascii="Times New Roman" w:eastAsia="Times New Roman"/>
                <w:i/>
                <w:sz w:val="21"/>
              </w:rPr>
            </w:pPr>
            <w:r>
              <w:rPr>
                <w:rFonts w:ascii="Times New Roman" w:eastAsia="Times New Roman"/>
                <w:i/>
                <w:w w:val="95"/>
                <w:sz w:val="21"/>
              </w:rPr>
              <w:t>(</w:t>
            </w:r>
            <w:r>
              <w:rPr>
                <w:i/>
                <w:w w:val="95"/>
                <w:sz w:val="22"/>
              </w:rPr>
              <w:t>或称恶性葡萄胎</w:t>
            </w:r>
            <w:r>
              <w:rPr>
                <w:rFonts w:ascii="Times New Roman" w:eastAsia="Times New Roman"/>
                <w:i/>
                <w:w w:val="95"/>
                <w:sz w:val="21"/>
              </w:rPr>
              <w:t>)</w:t>
            </w:r>
          </w:p>
        </w:tc>
        <w:tc>
          <w:tcPr>
            <w:tcW w:w="7733" w:type="dxa"/>
          </w:tcPr>
          <w:p>
            <w:pPr>
              <w:pStyle w:val="TableParagraph"/>
              <w:spacing w:line="273" w:lineRule="auto" w:before="147"/>
              <w:ind w:left="109" w:right="199"/>
              <w:rPr>
                <w:sz w:val="21"/>
              </w:rPr>
            </w:pPr>
            <w:r>
              <w:rPr>
                <w:sz w:val="21"/>
              </w:rPr>
              <w:t>该类疾病是指异常增生的绒毛组织浸润性生长侵入子宫肌层或转移至其他器官或组织的葡萄胎，并已经进行化疗或手术治疗的。</w:t>
            </w:r>
          </w:p>
        </w:tc>
      </w:tr>
      <w:tr>
        <w:trPr>
          <w:trHeight w:val="1552" w:hRule="atLeast"/>
        </w:trPr>
        <w:tc>
          <w:tcPr>
            <w:tcW w:w="1030" w:type="dxa"/>
          </w:tcPr>
          <w:p>
            <w:pPr>
              <w:pStyle w:val="TableParagraph"/>
              <w:spacing w:before="128"/>
              <w:ind w:left="166" w:right="163"/>
              <w:jc w:val="center"/>
              <w:rPr>
                <w:i/>
                <w:sz w:val="22"/>
              </w:rPr>
            </w:pPr>
            <w:r>
              <w:rPr>
                <w:i/>
                <w:sz w:val="22"/>
              </w:rPr>
              <w:t>3.2.60</w:t>
            </w:r>
          </w:p>
        </w:tc>
        <w:tc>
          <w:tcPr>
            <w:tcW w:w="1612" w:type="dxa"/>
          </w:tcPr>
          <w:p>
            <w:pPr>
              <w:pStyle w:val="TableParagraph"/>
              <w:spacing w:line="259" w:lineRule="auto" w:before="128"/>
              <w:ind w:left="197" w:right="150"/>
              <w:rPr>
                <w:i/>
                <w:sz w:val="22"/>
              </w:rPr>
            </w:pPr>
            <w:r>
              <w:rPr>
                <w:i/>
                <w:w w:val="95"/>
                <w:sz w:val="22"/>
              </w:rPr>
              <w:t>破裂脑动脉瘤夹闭手术</w:t>
            </w:r>
          </w:p>
        </w:tc>
        <w:tc>
          <w:tcPr>
            <w:tcW w:w="7733" w:type="dxa"/>
          </w:tcPr>
          <w:p>
            <w:pPr>
              <w:pStyle w:val="TableParagraph"/>
              <w:spacing w:line="273" w:lineRule="auto" w:before="139"/>
              <w:ind w:left="109" w:right="199"/>
              <w:rPr>
                <w:sz w:val="21"/>
              </w:rPr>
            </w:pPr>
            <w:r>
              <w:rPr>
                <w:sz w:val="21"/>
              </w:rPr>
              <w:t>指因脑动脉瘤破裂造成蛛网膜下腔出血，被保险人实际接受了在全麻下进行的开颅动脉瘤夹闭手术。</w:t>
            </w:r>
          </w:p>
          <w:p>
            <w:pPr>
              <w:pStyle w:val="TableParagraph"/>
              <w:spacing w:line="273" w:lineRule="auto" w:before="7"/>
              <w:ind w:left="109" w:right="199"/>
              <w:rPr>
                <w:b/>
                <w:sz w:val="21"/>
              </w:rPr>
            </w:pPr>
            <w:r>
              <w:rPr>
                <w:b/>
                <w:sz w:val="21"/>
              </w:rPr>
              <w:t>脑动脉瘤（未破裂）预防性手术、颅骨打孔手术、动脉瘤栓塞手术、血管内手术及其他颅脑手术不在本保障范围内。</w:t>
            </w:r>
          </w:p>
        </w:tc>
      </w:tr>
      <w:tr>
        <w:trPr>
          <w:trHeight w:val="1248" w:hRule="atLeast"/>
        </w:trPr>
        <w:tc>
          <w:tcPr>
            <w:tcW w:w="1030" w:type="dxa"/>
          </w:tcPr>
          <w:p>
            <w:pPr>
              <w:pStyle w:val="TableParagraph"/>
              <w:spacing w:before="136"/>
              <w:ind w:left="166" w:right="163"/>
              <w:jc w:val="center"/>
              <w:rPr>
                <w:i/>
                <w:sz w:val="22"/>
              </w:rPr>
            </w:pPr>
            <w:r>
              <w:rPr>
                <w:i/>
                <w:sz w:val="22"/>
              </w:rPr>
              <w:t>3.2.61</w:t>
            </w:r>
          </w:p>
        </w:tc>
        <w:tc>
          <w:tcPr>
            <w:tcW w:w="1612" w:type="dxa"/>
          </w:tcPr>
          <w:p>
            <w:pPr>
              <w:pStyle w:val="TableParagraph"/>
              <w:spacing w:line="259" w:lineRule="auto" w:before="136"/>
              <w:ind w:left="197" w:right="150"/>
              <w:jc w:val="both"/>
              <w:rPr>
                <w:i/>
                <w:sz w:val="22"/>
              </w:rPr>
            </w:pPr>
            <w:r>
              <w:rPr>
                <w:i/>
                <w:w w:val="95"/>
                <w:sz w:val="22"/>
              </w:rPr>
              <w:t>需手术切除的肾上腺嗜铬细胞瘤</w:t>
            </w:r>
          </w:p>
        </w:tc>
        <w:tc>
          <w:tcPr>
            <w:tcW w:w="7733" w:type="dxa"/>
          </w:tcPr>
          <w:p>
            <w:pPr>
              <w:pStyle w:val="TableParagraph"/>
              <w:spacing w:line="256" w:lineRule="auto" w:before="147"/>
              <w:ind w:left="109" w:right="196"/>
              <w:jc w:val="both"/>
              <w:rPr>
                <w:sz w:val="21"/>
              </w:rPr>
            </w:pPr>
            <w:r>
              <w:rPr>
                <w:spacing w:val="-3"/>
                <w:sz w:val="21"/>
              </w:rPr>
              <w:t>是指肾上腺出现的肾上腺嗜铬细胞瘤</w:t>
            </w:r>
            <w:r>
              <w:rPr>
                <w:rFonts w:ascii="Times New Roman" w:eastAsia="Times New Roman"/>
                <w:sz w:val="21"/>
              </w:rPr>
              <w:t>,</w:t>
            </w:r>
            <w:r>
              <w:rPr>
                <w:spacing w:val="-3"/>
                <w:sz w:val="21"/>
              </w:rPr>
              <w:t>分</w:t>
            </w:r>
            <w:r>
              <w:rPr>
                <w:rFonts w:ascii="Times New Roman" w:eastAsia="Times New Roman"/>
                <w:w w:val="110"/>
                <w:sz w:val="21"/>
              </w:rPr>
              <w:t>泌</w:t>
            </w:r>
            <w:r>
              <w:rPr>
                <w:spacing w:val="-7"/>
                <w:sz w:val="21"/>
              </w:rPr>
              <w:t>过多的醛固酮类或儿茶酚胺类，需要并</w:t>
            </w:r>
            <w:r>
              <w:rPr>
                <w:sz w:val="21"/>
              </w:rPr>
              <w:t>实际进</w:t>
            </w:r>
            <w:r>
              <w:rPr>
                <w:rFonts w:ascii="Times New Roman" w:eastAsia="Times New Roman"/>
                <w:w w:val="110"/>
                <w:sz w:val="21"/>
              </w:rPr>
              <w:t>行</w:t>
            </w:r>
            <w:r>
              <w:rPr>
                <w:sz w:val="21"/>
              </w:rPr>
              <w:t>了手术切除肿瘤且施行了单侧或双侧的肾上腺</w:t>
            </w:r>
            <w:r>
              <w:rPr>
                <w:b/>
                <w:sz w:val="21"/>
              </w:rPr>
              <w:t>完全切除术</w:t>
            </w:r>
            <w:r>
              <w:rPr>
                <w:sz w:val="21"/>
              </w:rPr>
              <w:t>。嗜铬细胞 </w:t>
            </w:r>
            <w:r>
              <w:rPr>
                <w:spacing w:val="-3"/>
                <w:sz w:val="21"/>
              </w:rPr>
              <w:t>瘤的诊断必须由内分泌专科医生确定。</w:t>
            </w:r>
          </w:p>
        </w:tc>
      </w:tr>
      <w:tr>
        <w:trPr>
          <w:trHeight w:val="1879" w:hRule="atLeast"/>
        </w:trPr>
        <w:tc>
          <w:tcPr>
            <w:tcW w:w="1030" w:type="dxa"/>
          </w:tcPr>
          <w:p>
            <w:pPr>
              <w:pStyle w:val="TableParagraph"/>
              <w:spacing w:before="135"/>
              <w:ind w:left="166" w:right="163"/>
              <w:jc w:val="center"/>
              <w:rPr>
                <w:i/>
                <w:sz w:val="22"/>
              </w:rPr>
            </w:pPr>
            <w:r>
              <w:rPr>
                <w:i/>
                <w:sz w:val="22"/>
              </w:rPr>
              <w:t>3.2.62</w:t>
            </w:r>
          </w:p>
        </w:tc>
        <w:tc>
          <w:tcPr>
            <w:tcW w:w="1612" w:type="dxa"/>
          </w:tcPr>
          <w:p>
            <w:pPr>
              <w:pStyle w:val="TableParagraph"/>
              <w:spacing w:line="254" w:lineRule="auto" w:before="135"/>
              <w:ind w:left="197" w:right="150"/>
              <w:rPr>
                <w:i/>
                <w:sz w:val="22"/>
              </w:rPr>
            </w:pPr>
            <w:r>
              <w:rPr>
                <w:i/>
                <w:w w:val="95"/>
                <w:sz w:val="22"/>
              </w:rPr>
              <w:t>进行性核上性</w:t>
            </w:r>
            <w:r>
              <w:rPr>
                <w:i/>
                <w:sz w:val="22"/>
              </w:rPr>
              <w:t>麻痹</w:t>
            </w:r>
            <w:r>
              <w:rPr>
                <w:rFonts w:ascii="Times New Roman" w:hAnsi="Times New Roman" w:eastAsia="Times New Roman"/>
                <w:i/>
                <w:sz w:val="21"/>
              </w:rPr>
              <w:t>(Steele- </w:t>
            </w:r>
            <w:r>
              <w:rPr>
                <w:rFonts w:ascii="Times New Roman" w:hAnsi="Times New Roman" w:eastAsia="Times New Roman"/>
                <w:i/>
                <w:sz w:val="21"/>
              </w:rPr>
              <w:t>Rchardson</w:t>
            </w:r>
            <w:r>
              <w:rPr>
                <w:i/>
                <w:sz w:val="22"/>
              </w:rPr>
              <w:t>—</w:t>
            </w:r>
          </w:p>
          <w:p>
            <w:pPr>
              <w:pStyle w:val="TableParagraph"/>
              <w:spacing w:line="247" w:lineRule="auto"/>
              <w:ind w:left="197" w:right="53" w:hanging="1"/>
              <w:rPr>
                <w:rFonts w:ascii="Times New Roman" w:eastAsia="Times New Roman"/>
                <w:i/>
                <w:sz w:val="21"/>
              </w:rPr>
            </w:pPr>
            <w:r>
              <w:rPr>
                <w:rFonts w:ascii="Times New Roman" w:eastAsia="Times New Roman"/>
                <w:i/>
                <w:sz w:val="21"/>
              </w:rPr>
              <w:t>Olszewski </w:t>
            </w:r>
            <w:r>
              <w:rPr>
                <w:i/>
                <w:sz w:val="22"/>
              </w:rPr>
              <w:t>综合</w:t>
            </w:r>
            <w:r>
              <w:rPr>
                <w:i/>
                <w:w w:val="95"/>
                <w:sz w:val="22"/>
              </w:rPr>
              <w:t>征</w:t>
            </w:r>
            <w:r>
              <w:rPr>
                <w:rFonts w:ascii="Times New Roman" w:eastAsia="Times New Roman"/>
                <w:i/>
                <w:w w:val="95"/>
                <w:sz w:val="21"/>
              </w:rPr>
              <w:t>)</w:t>
            </w:r>
          </w:p>
        </w:tc>
        <w:tc>
          <w:tcPr>
            <w:tcW w:w="7733" w:type="dxa"/>
          </w:tcPr>
          <w:p>
            <w:pPr>
              <w:pStyle w:val="TableParagraph"/>
              <w:spacing w:line="264" w:lineRule="auto" w:before="146"/>
              <w:ind w:left="108" w:right="196"/>
              <w:jc w:val="both"/>
              <w:rPr>
                <w:sz w:val="21"/>
              </w:rPr>
            </w:pPr>
            <w:r>
              <w:rPr>
                <w:spacing w:val="-4"/>
                <w:sz w:val="21"/>
              </w:rPr>
              <w:t>进行性核上性麻痹</w:t>
            </w:r>
            <w:r>
              <w:rPr>
                <w:spacing w:val="-3"/>
                <w:sz w:val="21"/>
              </w:rPr>
              <w:t>（</w:t>
            </w:r>
            <w:r>
              <w:rPr>
                <w:rFonts w:ascii="Times New Roman" w:hAnsi="Times New Roman" w:eastAsia="Times New Roman"/>
                <w:spacing w:val="-3"/>
                <w:sz w:val="21"/>
              </w:rPr>
              <w:t>PSP</w:t>
            </w:r>
            <w:r>
              <w:rPr>
                <w:spacing w:val="-3"/>
                <w:sz w:val="21"/>
              </w:rPr>
              <w:t>）</w:t>
            </w:r>
            <w:r>
              <w:rPr>
                <w:spacing w:val="-16"/>
                <w:sz w:val="21"/>
              </w:rPr>
              <w:t>又称 </w:t>
            </w:r>
            <w:r>
              <w:rPr>
                <w:rFonts w:ascii="Times New Roman" w:hAnsi="Times New Roman" w:eastAsia="Times New Roman"/>
                <w:sz w:val="21"/>
              </w:rPr>
              <w:t>Steele-Rchardson</w:t>
            </w:r>
            <w:r>
              <w:rPr>
                <w:sz w:val="21"/>
              </w:rPr>
              <w:t>—</w:t>
            </w:r>
            <w:r>
              <w:rPr>
                <w:rFonts w:ascii="Times New Roman" w:hAnsi="Times New Roman" w:eastAsia="Times New Roman"/>
                <w:sz w:val="21"/>
              </w:rPr>
              <w:t>Olszewski </w:t>
            </w:r>
            <w:r>
              <w:rPr>
                <w:spacing w:val="-3"/>
                <w:sz w:val="21"/>
              </w:rPr>
              <w:t>综合征，是一种少见的神经系统变性疾病，以假球麻痹、垂直性核上性眼肌麻痹、锥体外系肌僵直、步态共济失调和轻度痴呆为主要临床特征。</w:t>
            </w:r>
            <w:r>
              <w:rPr>
                <w:rFonts w:ascii="Times New Roman" w:hAnsi="Times New Roman" w:eastAsia="Times New Roman"/>
                <w:sz w:val="21"/>
              </w:rPr>
              <w:t>PSP </w:t>
            </w:r>
            <w:r>
              <w:rPr>
                <w:spacing w:val="-2"/>
                <w:sz w:val="21"/>
              </w:rPr>
              <w:t>必须由三级甲等医院的神经内科专科医生确诊，并且被保险人自主生活能力完全丧失，无法独立完成六项基本日</w:t>
            </w:r>
            <w:r>
              <w:rPr>
                <w:spacing w:val="-3"/>
                <w:sz w:val="21"/>
              </w:rPr>
              <w:t>常生活活动中的三项或三项以上。</w:t>
            </w:r>
          </w:p>
        </w:tc>
      </w:tr>
      <w:tr>
        <w:trPr>
          <w:trHeight w:val="1552" w:hRule="atLeast"/>
        </w:trPr>
        <w:tc>
          <w:tcPr>
            <w:tcW w:w="1030" w:type="dxa"/>
          </w:tcPr>
          <w:p>
            <w:pPr>
              <w:pStyle w:val="TableParagraph"/>
              <w:spacing w:before="128"/>
              <w:ind w:left="166" w:right="163"/>
              <w:jc w:val="center"/>
              <w:rPr>
                <w:i/>
                <w:sz w:val="22"/>
              </w:rPr>
            </w:pPr>
            <w:r>
              <w:rPr>
                <w:i/>
                <w:sz w:val="22"/>
              </w:rPr>
              <w:t>3.2.63</w:t>
            </w:r>
          </w:p>
        </w:tc>
        <w:tc>
          <w:tcPr>
            <w:tcW w:w="1612" w:type="dxa"/>
          </w:tcPr>
          <w:p>
            <w:pPr>
              <w:pStyle w:val="TableParagraph"/>
              <w:spacing w:line="259" w:lineRule="auto" w:before="128"/>
              <w:ind w:left="197" w:right="150"/>
              <w:rPr>
                <w:i/>
                <w:sz w:val="22"/>
              </w:rPr>
            </w:pPr>
            <w:r>
              <w:rPr>
                <w:i/>
                <w:w w:val="95"/>
                <w:sz w:val="22"/>
              </w:rPr>
              <w:t>严重幼年型类风湿性关节炎</w:t>
            </w:r>
          </w:p>
        </w:tc>
        <w:tc>
          <w:tcPr>
            <w:tcW w:w="7733" w:type="dxa"/>
          </w:tcPr>
          <w:p>
            <w:pPr>
              <w:pStyle w:val="TableParagraph"/>
              <w:spacing w:line="273" w:lineRule="auto" w:before="139"/>
              <w:ind w:left="109" w:right="199"/>
              <w:rPr>
                <w:sz w:val="21"/>
              </w:rPr>
            </w:pPr>
            <w:r>
              <w:rPr>
                <w:sz w:val="21"/>
              </w:rPr>
              <w:t>幼年型类风湿关节炎是一种儿童期发病的慢性关节炎，其特点为在高热和系统性病征出现数月后发生关节炎。</w:t>
            </w:r>
          </w:p>
          <w:p>
            <w:pPr>
              <w:pStyle w:val="TableParagraph"/>
              <w:spacing w:line="273" w:lineRule="auto" w:before="7"/>
              <w:ind w:left="109" w:right="199"/>
              <w:rPr>
                <w:b/>
                <w:sz w:val="21"/>
              </w:rPr>
            </w:pPr>
            <w:r>
              <w:rPr>
                <w:b/>
                <w:sz w:val="21"/>
              </w:rPr>
              <w:t>我们仅对实际接受了膝关节或髋关节置换手术治疗的严重的幼年型类风湿关节炎予以理赔。</w:t>
            </w:r>
          </w:p>
        </w:tc>
      </w:tr>
      <w:tr>
        <w:trPr>
          <w:trHeight w:val="2191" w:hRule="atLeast"/>
        </w:trPr>
        <w:tc>
          <w:tcPr>
            <w:tcW w:w="1030" w:type="dxa"/>
          </w:tcPr>
          <w:p>
            <w:pPr>
              <w:pStyle w:val="TableParagraph"/>
              <w:spacing w:before="136"/>
              <w:ind w:left="166" w:right="163"/>
              <w:jc w:val="center"/>
              <w:rPr>
                <w:i/>
                <w:sz w:val="22"/>
              </w:rPr>
            </w:pPr>
            <w:r>
              <w:rPr>
                <w:i/>
                <w:sz w:val="22"/>
              </w:rPr>
              <w:t>3.2.64</w:t>
            </w:r>
          </w:p>
        </w:tc>
        <w:tc>
          <w:tcPr>
            <w:tcW w:w="1612" w:type="dxa"/>
          </w:tcPr>
          <w:p>
            <w:pPr>
              <w:pStyle w:val="TableParagraph"/>
              <w:spacing w:line="254" w:lineRule="auto" w:before="136"/>
              <w:ind w:left="197" w:right="145"/>
              <w:rPr>
                <w:rFonts w:ascii="Times New Roman" w:eastAsia="Times New Roman"/>
                <w:b/>
                <w:i/>
                <w:sz w:val="21"/>
              </w:rPr>
            </w:pPr>
            <w:r>
              <w:rPr>
                <w:b/>
                <w:i/>
                <w:w w:val="95"/>
                <w:sz w:val="22"/>
              </w:rPr>
              <w:t>严重肠道疾病</w:t>
            </w:r>
            <w:r>
              <w:rPr>
                <w:b/>
                <w:i/>
                <w:sz w:val="22"/>
              </w:rPr>
              <w:t>并发症</w:t>
            </w:r>
            <w:r>
              <w:rPr>
                <w:rFonts w:ascii="Times New Roman" w:eastAsia="Times New Roman"/>
                <w:b/>
                <w:i/>
                <w:sz w:val="21"/>
              </w:rPr>
              <w:t>(</w:t>
            </w:r>
            <w:r>
              <w:rPr>
                <w:b/>
                <w:i/>
                <w:sz w:val="22"/>
              </w:rPr>
              <w:t>本项</w:t>
            </w:r>
            <w:r>
              <w:rPr>
                <w:b/>
                <w:i/>
                <w:w w:val="95"/>
                <w:sz w:val="22"/>
              </w:rPr>
              <w:t>保险责任仅在</w:t>
            </w:r>
            <w:r>
              <w:rPr>
                <w:b/>
                <w:i/>
                <w:sz w:val="22"/>
              </w:rPr>
              <w:t>被保险人 </w:t>
            </w:r>
            <w:r>
              <w:rPr>
                <w:rFonts w:ascii="Times New Roman" w:eastAsia="Times New Roman"/>
                <w:b/>
                <w:i/>
                <w:sz w:val="21"/>
              </w:rPr>
              <w:t>18 </w:t>
            </w:r>
            <w:r>
              <w:rPr>
                <w:b/>
                <w:i/>
                <w:w w:val="95"/>
                <w:sz w:val="22"/>
              </w:rPr>
              <w:t>周岁以前提供保障</w:t>
            </w:r>
            <w:r>
              <w:rPr>
                <w:rFonts w:ascii="Times New Roman" w:eastAsia="Times New Roman"/>
                <w:b/>
                <w:i/>
                <w:w w:val="95"/>
                <w:sz w:val="21"/>
              </w:rPr>
              <w:t>)</w:t>
            </w:r>
          </w:p>
        </w:tc>
        <w:tc>
          <w:tcPr>
            <w:tcW w:w="7733" w:type="dxa"/>
          </w:tcPr>
          <w:p>
            <w:pPr>
              <w:pStyle w:val="TableParagraph"/>
              <w:spacing w:before="147"/>
              <w:ind w:left="109"/>
              <w:rPr>
                <w:sz w:val="21"/>
              </w:rPr>
            </w:pPr>
            <w:r>
              <w:rPr>
                <w:sz w:val="21"/>
              </w:rPr>
              <w:t>严重肠道疾病或外伤导致小肠损害并发症，必须满足以下所有条件：</w:t>
            </w:r>
          </w:p>
          <w:p>
            <w:pPr>
              <w:pStyle w:val="TableParagraph"/>
              <w:spacing w:before="36"/>
              <w:ind w:left="109"/>
              <w:rPr>
                <w:sz w:val="21"/>
              </w:rPr>
            </w:pPr>
            <w:r>
              <w:rPr>
                <w:sz w:val="21"/>
              </w:rPr>
              <w:t>（一）至少切除了三分之二小肠；</w:t>
            </w:r>
          </w:p>
          <w:p>
            <w:pPr>
              <w:pStyle w:val="TableParagraph"/>
              <w:spacing w:before="36"/>
              <w:ind w:left="109"/>
              <w:rPr>
                <w:sz w:val="21"/>
              </w:rPr>
            </w:pPr>
            <w:r>
              <w:rPr>
                <w:sz w:val="21"/>
              </w:rPr>
              <w:t>（二）完全肠外营养支持 </w:t>
            </w:r>
            <w:r>
              <w:rPr>
                <w:rFonts w:ascii="Times New Roman" w:eastAsia="Times New Roman"/>
                <w:sz w:val="21"/>
              </w:rPr>
              <w:t>3 </w:t>
            </w:r>
            <w:r>
              <w:rPr>
                <w:sz w:val="21"/>
              </w:rPr>
              <w:t>个月以上。</w:t>
            </w:r>
          </w:p>
          <w:p>
            <w:pPr>
              <w:pStyle w:val="TableParagraph"/>
              <w:spacing w:before="21"/>
              <w:ind w:left="109"/>
              <w:rPr>
                <w:b/>
                <w:sz w:val="21"/>
              </w:rPr>
            </w:pPr>
            <w:r>
              <w:rPr>
                <w:b/>
                <w:sz w:val="21"/>
              </w:rPr>
              <w:t>本项保险责任仅在被保险人 </w:t>
            </w:r>
            <w:r>
              <w:rPr>
                <w:rFonts w:ascii="Times New Roman" w:eastAsia="Times New Roman"/>
                <w:b/>
                <w:sz w:val="21"/>
              </w:rPr>
              <w:t>18 </w:t>
            </w:r>
            <w:r>
              <w:rPr>
                <w:b/>
                <w:sz w:val="21"/>
              </w:rPr>
              <w:t>周岁以前提供保障。</w:t>
            </w:r>
          </w:p>
        </w:tc>
      </w:tr>
      <w:tr>
        <w:trPr>
          <w:trHeight w:val="1990" w:hRule="atLeast"/>
        </w:trPr>
        <w:tc>
          <w:tcPr>
            <w:tcW w:w="1030" w:type="dxa"/>
          </w:tcPr>
          <w:p>
            <w:pPr>
              <w:pStyle w:val="TableParagraph"/>
              <w:spacing w:before="128"/>
              <w:ind w:left="166" w:right="163"/>
              <w:jc w:val="center"/>
              <w:rPr>
                <w:i/>
                <w:sz w:val="22"/>
              </w:rPr>
            </w:pPr>
            <w:r>
              <w:rPr>
                <w:i/>
                <w:sz w:val="22"/>
              </w:rPr>
              <w:t>3.2.65</w:t>
            </w:r>
          </w:p>
        </w:tc>
        <w:tc>
          <w:tcPr>
            <w:tcW w:w="1612" w:type="dxa"/>
          </w:tcPr>
          <w:p>
            <w:pPr>
              <w:pStyle w:val="TableParagraph"/>
              <w:spacing w:line="256" w:lineRule="auto" w:before="128"/>
              <w:ind w:left="197" w:right="104"/>
              <w:jc w:val="both"/>
              <w:rPr>
                <w:i/>
                <w:sz w:val="22"/>
              </w:rPr>
            </w:pPr>
            <w:r>
              <w:rPr>
                <w:i/>
                <w:spacing w:val="-2"/>
                <w:w w:val="95"/>
                <w:sz w:val="22"/>
              </w:rPr>
              <w:t>严重瑞氏综合</w:t>
            </w:r>
            <w:r>
              <w:rPr>
                <w:i/>
                <w:spacing w:val="-44"/>
                <w:sz w:val="22"/>
              </w:rPr>
              <w:t>症</w:t>
            </w:r>
            <w:r>
              <w:rPr>
                <w:i/>
                <w:sz w:val="22"/>
              </w:rPr>
              <w:t>（</w:t>
            </w:r>
            <w:r>
              <w:rPr>
                <w:rFonts w:ascii="Times New Roman" w:eastAsia="Times New Roman"/>
                <w:i/>
                <w:sz w:val="21"/>
              </w:rPr>
              <w:t>Reye </w:t>
            </w:r>
            <w:r>
              <w:rPr>
                <w:i/>
                <w:spacing w:val="-3"/>
                <w:sz w:val="22"/>
              </w:rPr>
              <w:t>综合</w:t>
            </w:r>
            <w:r>
              <w:rPr>
                <w:i/>
                <w:spacing w:val="-2"/>
                <w:w w:val="95"/>
                <w:sz w:val="22"/>
              </w:rPr>
              <w:t>征，也称赖氏</w:t>
            </w:r>
            <w:r>
              <w:rPr>
                <w:i/>
                <w:spacing w:val="-3"/>
                <w:w w:val="95"/>
                <w:sz w:val="22"/>
              </w:rPr>
              <w:t>综合征、雷氏综合征</w:t>
            </w:r>
            <w:r>
              <w:rPr>
                <w:i/>
                <w:w w:val="95"/>
                <w:sz w:val="22"/>
              </w:rPr>
              <w:t>）</w:t>
            </w:r>
          </w:p>
        </w:tc>
        <w:tc>
          <w:tcPr>
            <w:tcW w:w="7733" w:type="dxa"/>
          </w:tcPr>
          <w:p>
            <w:pPr>
              <w:pStyle w:val="TableParagraph"/>
              <w:spacing w:line="273" w:lineRule="auto" w:before="139"/>
              <w:ind w:left="109" w:right="199"/>
              <w:jc w:val="both"/>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before="7"/>
              <w:ind w:left="109"/>
              <w:jc w:val="both"/>
              <w:rPr>
                <w:sz w:val="21"/>
              </w:rPr>
            </w:pPr>
            <w:r>
              <w:rPr>
                <w:sz w:val="21"/>
              </w:rPr>
              <w:t>瑞氏综合征需由三级医院的儿科专科医生确诊，并符合下列所有条件：</w:t>
            </w:r>
          </w:p>
          <w:p>
            <w:pPr>
              <w:pStyle w:val="TableParagraph"/>
              <w:spacing w:before="37"/>
              <w:ind w:left="109"/>
              <w:jc w:val="both"/>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line="271" w:lineRule="exact" w:before="21"/>
              <w:ind w:left="109"/>
              <w:jc w:val="both"/>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tc>
      </w:tr>
    </w:tbl>
    <w:p>
      <w:pPr>
        <w:spacing w:after="0" w:line="271" w:lineRule="exact"/>
        <w:jc w:val="both"/>
        <w:rPr>
          <w:sz w:val="21"/>
        </w:rPr>
        <w:sectPr>
          <w:pgSz w:w="11910" w:h="16840"/>
          <w:pgMar w:header="892" w:footer="917" w:top="1080" w:bottom="1100" w:left="820" w:right="500"/>
        </w:sectPr>
      </w:pPr>
    </w:p>
    <w:p>
      <w:pPr>
        <w:pStyle w:val="BodyText"/>
        <w:rPr>
          <w:rFonts w:ascii="Times New Roman"/>
          <w:sz w:val="20"/>
        </w:rPr>
      </w:pPr>
    </w:p>
    <w:p>
      <w:pPr>
        <w:pStyle w:val="BodyText"/>
        <w:spacing w:before="1"/>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90"/>
        <w:gridCol w:w="7760"/>
      </w:tblGrid>
      <w:tr>
        <w:trPr>
          <w:trHeight w:val="427" w:hRule="atLeast"/>
        </w:trPr>
        <w:tc>
          <w:tcPr>
            <w:tcW w:w="1030" w:type="dxa"/>
          </w:tcPr>
          <w:p>
            <w:pPr>
              <w:pStyle w:val="TableParagraph"/>
              <w:rPr>
                <w:rFonts w:ascii="Times New Roman"/>
                <w:sz w:val="20"/>
              </w:rPr>
            </w:pPr>
          </w:p>
        </w:tc>
        <w:tc>
          <w:tcPr>
            <w:tcW w:w="1590" w:type="dxa"/>
          </w:tcPr>
          <w:p>
            <w:pPr>
              <w:pStyle w:val="TableParagraph"/>
              <w:rPr>
                <w:rFonts w:ascii="Times New Roman"/>
                <w:sz w:val="20"/>
              </w:rPr>
            </w:pPr>
          </w:p>
        </w:tc>
        <w:tc>
          <w:tcPr>
            <w:tcW w:w="7760" w:type="dxa"/>
          </w:tcPr>
          <w:p>
            <w:pPr>
              <w:pStyle w:val="TableParagraph"/>
              <w:spacing w:line="234" w:lineRule="exact"/>
              <w:ind w:left="131"/>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808" w:hRule="atLeast"/>
        </w:trPr>
        <w:tc>
          <w:tcPr>
            <w:tcW w:w="1030" w:type="dxa"/>
          </w:tcPr>
          <w:p>
            <w:pPr>
              <w:pStyle w:val="TableParagraph"/>
              <w:spacing w:before="128"/>
              <w:ind w:left="166" w:right="163"/>
              <w:jc w:val="center"/>
              <w:rPr>
                <w:i/>
                <w:sz w:val="22"/>
              </w:rPr>
            </w:pPr>
            <w:r>
              <w:rPr>
                <w:i/>
                <w:sz w:val="22"/>
              </w:rPr>
              <w:t>3.2.66</w:t>
            </w:r>
          </w:p>
        </w:tc>
        <w:tc>
          <w:tcPr>
            <w:tcW w:w="1590" w:type="dxa"/>
          </w:tcPr>
          <w:p>
            <w:pPr>
              <w:pStyle w:val="TableParagraph"/>
              <w:spacing w:line="259" w:lineRule="auto" w:before="128"/>
              <w:ind w:left="197" w:right="128"/>
              <w:rPr>
                <w:i/>
                <w:sz w:val="22"/>
              </w:rPr>
            </w:pPr>
            <w:r>
              <w:rPr>
                <w:i/>
                <w:w w:val="95"/>
                <w:sz w:val="22"/>
              </w:rPr>
              <w:t>严重自身免疫性肝炎</w:t>
            </w:r>
          </w:p>
        </w:tc>
        <w:tc>
          <w:tcPr>
            <w:tcW w:w="7760" w:type="dxa"/>
          </w:tcPr>
          <w:p>
            <w:pPr>
              <w:pStyle w:val="TableParagraph"/>
              <w:spacing w:line="273" w:lineRule="auto" w:before="139"/>
              <w:ind w:left="131" w:right="204"/>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131"/>
              <w:rPr>
                <w:sz w:val="21"/>
              </w:rPr>
            </w:pPr>
            <w:r>
              <w:rPr>
                <w:sz w:val="21"/>
              </w:rPr>
              <w:t>（</w:t>
            </w:r>
            <w:r>
              <w:rPr>
                <w:rFonts w:ascii="Times New Roman" w:hAnsi="Times New Roman" w:eastAsia="Times New Roman"/>
                <w:sz w:val="21"/>
              </w:rPr>
              <w:t>1</w:t>
            </w:r>
            <w:r>
              <w:rPr>
                <w:sz w:val="21"/>
              </w:rPr>
              <w:t>）高γ球蛋白血症；</w:t>
            </w:r>
          </w:p>
          <w:p>
            <w:pPr>
              <w:pStyle w:val="TableParagraph"/>
              <w:spacing w:line="256" w:lineRule="auto" w:before="21"/>
              <w:ind w:left="131" w:right="205" w:hanging="1"/>
              <w:rPr>
                <w:sz w:val="21"/>
              </w:rPr>
            </w:pPr>
            <w:r>
              <w:rPr>
                <w:sz w:val="21"/>
              </w:rPr>
              <w:t>（</w:t>
            </w:r>
            <w:r>
              <w:rPr>
                <w:rFonts w:ascii="Times New Roman" w:eastAsia="Times New Roman"/>
                <w:sz w:val="21"/>
              </w:rPr>
              <w:t>2</w:t>
            </w:r>
            <w:r>
              <w:rPr>
                <w:sz w:val="21"/>
              </w:rPr>
              <w:t>）血液中存在高水平的自身免疫抗体，如 </w:t>
            </w:r>
            <w:r>
              <w:rPr>
                <w:rFonts w:ascii="Times New Roman" w:eastAsia="Times New Roman"/>
                <w:sz w:val="21"/>
              </w:rPr>
              <w:t>ANA</w:t>
            </w:r>
            <w:r>
              <w:rPr>
                <w:sz w:val="21"/>
              </w:rPr>
              <w:t>（抗核抗体）、</w:t>
            </w:r>
            <w:r>
              <w:rPr>
                <w:rFonts w:ascii="Times New Roman" w:eastAsia="Times New Roman"/>
                <w:sz w:val="21"/>
              </w:rPr>
              <w:t>SMA</w:t>
            </w:r>
            <w:r>
              <w:rPr>
                <w:sz w:val="21"/>
              </w:rPr>
              <w:t>（抗平滑肌抗体）、抗 </w:t>
            </w:r>
            <w:r>
              <w:rPr>
                <w:rFonts w:ascii="Times New Roman" w:eastAsia="Times New Roman"/>
                <w:sz w:val="21"/>
              </w:rPr>
              <w:t>LKM1 </w:t>
            </w:r>
            <w:r>
              <w:rPr>
                <w:sz w:val="21"/>
              </w:rPr>
              <w:t>抗体或抗</w:t>
            </w:r>
            <w:r>
              <w:rPr>
                <w:rFonts w:ascii="Times New Roman" w:eastAsia="Times New Roman"/>
                <w:sz w:val="21"/>
              </w:rPr>
              <w:t>-SLA/LP </w:t>
            </w:r>
            <w:r>
              <w:rPr>
                <w:sz w:val="21"/>
              </w:rPr>
              <w:t>抗体；</w:t>
            </w:r>
          </w:p>
          <w:p>
            <w:pPr>
              <w:pStyle w:val="TableParagraph"/>
              <w:spacing w:before="5"/>
              <w:ind w:left="131"/>
              <w:jc w:val="both"/>
              <w:rPr>
                <w:sz w:val="21"/>
              </w:rPr>
            </w:pPr>
            <w:r>
              <w:rPr>
                <w:sz w:val="21"/>
              </w:rPr>
              <w:t>（</w:t>
            </w:r>
            <w:r>
              <w:rPr>
                <w:rFonts w:ascii="Times New Roman" w:eastAsia="Times New Roman"/>
                <w:sz w:val="21"/>
              </w:rPr>
              <w:t>3</w:t>
            </w:r>
            <w:r>
              <w:rPr>
                <w:sz w:val="21"/>
              </w:rPr>
              <w:t>）肝脏活检证实免疫性肝炎；</w:t>
            </w:r>
          </w:p>
          <w:p>
            <w:pPr>
              <w:pStyle w:val="TableParagraph"/>
              <w:spacing w:before="21"/>
              <w:ind w:left="131"/>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1871" w:hRule="atLeast"/>
        </w:trPr>
        <w:tc>
          <w:tcPr>
            <w:tcW w:w="1030" w:type="dxa"/>
          </w:tcPr>
          <w:p>
            <w:pPr>
              <w:pStyle w:val="TableParagraph"/>
              <w:spacing w:before="128"/>
              <w:ind w:left="166" w:right="163"/>
              <w:jc w:val="center"/>
              <w:rPr>
                <w:i/>
                <w:sz w:val="22"/>
              </w:rPr>
            </w:pPr>
            <w:r>
              <w:rPr>
                <w:i/>
                <w:sz w:val="22"/>
              </w:rPr>
              <w:t>3.2.67</w:t>
            </w:r>
          </w:p>
        </w:tc>
        <w:tc>
          <w:tcPr>
            <w:tcW w:w="1590" w:type="dxa"/>
          </w:tcPr>
          <w:p>
            <w:pPr>
              <w:pStyle w:val="TableParagraph"/>
              <w:spacing w:line="247" w:lineRule="auto" w:before="128"/>
              <w:ind w:left="197" w:right="128"/>
              <w:rPr>
                <w:i/>
                <w:sz w:val="22"/>
              </w:rPr>
            </w:pPr>
            <w:r>
              <w:rPr>
                <w:i/>
                <w:sz w:val="22"/>
              </w:rPr>
              <w:t>严重的 </w:t>
            </w:r>
            <w:r>
              <w:rPr>
                <w:rFonts w:ascii="Times New Roman" w:eastAsia="Times New Roman"/>
                <w:i/>
                <w:sz w:val="21"/>
              </w:rPr>
              <w:t>III </w:t>
            </w:r>
            <w:r>
              <w:rPr>
                <w:i/>
                <w:sz w:val="22"/>
              </w:rPr>
              <w:t>度</w:t>
            </w:r>
            <w:r>
              <w:rPr>
                <w:i/>
                <w:w w:val="95"/>
                <w:sz w:val="22"/>
              </w:rPr>
              <w:t>房室传导阻滞</w:t>
            </w:r>
          </w:p>
        </w:tc>
        <w:tc>
          <w:tcPr>
            <w:tcW w:w="7760" w:type="dxa"/>
          </w:tcPr>
          <w:p>
            <w:pPr>
              <w:pStyle w:val="TableParagraph"/>
              <w:spacing w:line="273" w:lineRule="auto" w:before="139"/>
              <w:ind w:left="131" w:right="689"/>
              <w:rPr>
                <w:sz w:val="21"/>
              </w:rPr>
            </w:pPr>
            <w:r>
              <w:rPr>
                <w:sz w:val="21"/>
              </w:rPr>
              <w:t>指心房激动在房室交界区、房室束及其分支内发生阻滞，不能正常地传到心室的心脏传导性疾病，须满足下列所有条件：</w:t>
            </w:r>
          </w:p>
          <w:p>
            <w:pPr>
              <w:pStyle w:val="TableParagraph"/>
              <w:spacing w:before="7"/>
              <w:ind w:left="131"/>
              <w:rPr>
                <w:sz w:val="21"/>
              </w:rPr>
            </w:pPr>
            <w:r>
              <w:rPr>
                <w:rFonts w:ascii="Times New Roman" w:eastAsia="Times New Roman"/>
                <w:sz w:val="21"/>
              </w:rPr>
              <w:t>(1)</w:t>
            </w:r>
            <w:r>
              <w:rPr>
                <w:sz w:val="21"/>
              </w:rPr>
              <w:t>心电图显示房室搏动彼此独立，心室率</w:t>
            </w:r>
            <w:r>
              <w:rPr>
                <w:rFonts w:ascii="Times New Roman" w:eastAsia="Times New Roman"/>
                <w:sz w:val="21"/>
              </w:rPr>
              <w:t>&lt;50  </w:t>
            </w:r>
            <w:r>
              <w:rPr>
                <w:sz w:val="21"/>
              </w:rPr>
              <w:t>次</w:t>
            </w:r>
            <w:r>
              <w:rPr>
                <w:rFonts w:ascii="Times New Roman" w:eastAsia="Times New Roman"/>
                <w:sz w:val="21"/>
              </w:rPr>
              <w:t>/</w:t>
            </w:r>
            <w:r>
              <w:rPr>
                <w:sz w:val="21"/>
              </w:rPr>
              <w:t>分钟；</w:t>
            </w:r>
          </w:p>
          <w:p>
            <w:pPr>
              <w:pStyle w:val="TableParagraph"/>
              <w:spacing w:before="21"/>
              <w:ind w:left="131"/>
              <w:rPr>
                <w:sz w:val="21"/>
              </w:rPr>
            </w:pPr>
            <w:r>
              <w:rPr>
                <w:rFonts w:ascii="Times New Roman" w:eastAsia="Times New Roman"/>
                <w:sz w:val="21"/>
              </w:rPr>
              <w:t>(2)</w:t>
            </w:r>
            <w:r>
              <w:rPr>
                <w:sz w:val="21"/>
              </w:rPr>
              <w:t>出现阿</w:t>
            </w:r>
            <w:r>
              <w:rPr>
                <w:rFonts w:ascii="Times New Roman" w:eastAsia="Times New Roman"/>
                <w:sz w:val="21"/>
              </w:rPr>
              <w:t>-</w:t>
            </w:r>
            <w:r>
              <w:rPr>
                <w:sz w:val="21"/>
              </w:rPr>
              <w:t>斯综合征或心力衰竭的表现；</w:t>
            </w:r>
          </w:p>
          <w:p>
            <w:pPr>
              <w:pStyle w:val="TableParagraph"/>
              <w:spacing w:before="21"/>
              <w:ind w:left="131"/>
              <w:rPr>
                <w:sz w:val="21"/>
              </w:rPr>
            </w:pPr>
            <w:r>
              <w:rPr>
                <w:rFonts w:ascii="Times New Roman" w:eastAsia="Times New Roman"/>
                <w:sz w:val="21"/>
              </w:rPr>
              <w:t>(3)</w:t>
            </w:r>
            <w:r>
              <w:rPr>
                <w:sz w:val="21"/>
              </w:rPr>
              <w:t>必须持续性依赖心脏起搏器维持心脏正常功能，且已经放置心脏起搏器。</w:t>
            </w:r>
          </w:p>
        </w:tc>
      </w:tr>
      <w:tr>
        <w:trPr>
          <w:trHeight w:val="1864" w:hRule="atLeast"/>
        </w:trPr>
        <w:tc>
          <w:tcPr>
            <w:tcW w:w="1030" w:type="dxa"/>
          </w:tcPr>
          <w:p>
            <w:pPr>
              <w:pStyle w:val="TableParagraph"/>
              <w:spacing w:before="128"/>
              <w:ind w:left="166" w:right="163"/>
              <w:jc w:val="center"/>
              <w:rPr>
                <w:i/>
                <w:sz w:val="22"/>
              </w:rPr>
            </w:pPr>
            <w:r>
              <w:rPr>
                <w:i/>
                <w:sz w:val="22"/>
              </w:rPr>
              <w:t>3.2.68</w:t>
            </w:r>
          </w:p>
        </w:tc>
        <w:tc>
          <w:tcPr>
            <w:tcW w:w="1590" w:type="dxa"/>
          </w:tcPr>
          <w:p>
            <w:pPr>
              <w:pStyle w:val="TableParagraph"/>
              <w:spacing w:line="259" w:lineRule="auto" w:before="128"/>
              <w:ind w:left="197" w:right="128"/>
              <w:rPr>
                <w:i/>
                <w:sz w:val="22"/>
              </w:rPr>
            </w:pPr>
            <w:r>
              <w:rPr>
                <w:i/>
                <w:w w:val="95"/>
                <w:sz w:val="22"/>
              </w:rPr>
              <w:t>细菌性脑脊髓膜炎</w:t>
            </w:r>
          </w:p>
        </w:tc>
        <w:tc>
          <w:tcPr>
            <w:tcW w:w="7760" w:type="dxa"/>
          </w:tcPr>
          <w:p>
            <w:pPr>
              <w:pStyle w:val="TableParagraph"/>
              <w:spacing w:before="139"/>
              <w:ind w:left="131"/>
              <w:rPr>
                <w:sz w:val="21"/>
              </w:rPr>
            </w:pPr>
            <w:r>
              <w:rPr>
                <w:sz w:val="21"/>
              </w:rPr>
              <w:t>指因脑膜炎双球菌感染引起脑脊髓膜化脓性病变，且导致永久性神经损害，持续</w:t>
            </w:r>
          </w:p>
          <w:p>
            <w:pPr>
              <w:pStyle w:val="TableParagraph"/>
              <w:spacing w:before="36"/>
              <w:ind w:left="131"/>
              <w:rPr>
                <w:sz w:val="21"/>
              </w:rPr>
            </w:pPr>
            <w:r>
              <w:rPr>
                <w:rFonts w:ascii="Times New Roman" w:eastAsia="Times New Roman"/>
                <w:sz w:val="21"/>
              </w:rPr>
              <w:t>90 </w:t>
            </w:r>
            <w:r>
              <w:rPr>
                <w:sz w:val="21"/>
              </w:rPr>
              <w:t>天以上，并且脑脊液检查显示脑膜炎双球菌阳性。</w:t>
            </w:r>
          </w:p>
          <w:p>
            <w:pPr>
              <w:pStyle w:val="TableParagraph"/>
              <w:spacing w:line="264" w:lineRule="auto" w:before="20"/>
              <w:ind w:left="131" w:right="198"/>
              <w:jc w:val="both"/>
              <w:rPr>
                <w:sz w:val="21"/>
              </w:rPr>
            </w:pPr>
            <w:r>
              <w:rPr>
                <w:sz w:val="21"/>
              </w:rPr>
              <w:t>永久性神经损害是指由细菌性脑脊髓膜炎引起的耳聋、失明、动眼神经麻痹、瘫</w:t>
            </w:r>
            <w:r>
              <w:rPr>
                <w:spacing w:val="-13"/>
                <w:sz w:val="21"/>
              </w:rPr>
              <w:t>痪、脑积水、智力或性情中度以上的损害，且上述症状持续 </w:t>
            </w:r>
            <w:r>
              <w:rPr>
                <w:rFonts w:ascii="Times New Roman" w:eastAsia="Times New Roman"/>
                <w:sz w:val="21"/>
              </w:rPr>
              <w:t>90 </w:t>
            </w:r>
            <w:r>
              <w:rPr>
                <w:spacing w:val="-3"/>
                <w:sz w:val="21"/>
              </w:rPr>
              <w:t>天以上仍无改善迹象。</w:t>
            </w:r>
          </w:p>
        </w:tc>
      </w:tr>
      <w:tr>
        <w:trPr>
          <w:trHeight w:val="3440" w:hRule="atLeast"/>
        </w:trPr>
        <w:tc>
          <w:tcPr>
            <w:tcW w:w="1030" w:type="dxa"/>
          </w:tcPr>
          <w:p>
            <w:pPr>
              <w:pStyle w:val="TableParagraph"/>
              <w:spacing w:before="136"/>
              <w:ind w:left="166" w:right="163"/>
              <w:jc w:val="center"/>
              <w:rPr>
                <w:i/>
                <w:sz w:val="22"/>
              </w:rPr>
            </w:pPr>
            <w:r>
              <w:rPr>
                <w:i/>
                <w:sz w:val="22"/>
              </w:rPr>
              <w:t>3.2.69</w:t>
            </w:r>
          </w:p>
        </w:tc>
        <w:tc>
          <w:tcPr>
            <w:tcW w:w="1590" w:type="dxa"/>
          </w:tcPr>
          <w:p>
            <w:pPr>
              <w:pStyle w:val="TableParagraph"/>
              <w:spacing w:line="259" w:lineRule="auto" w:before="136"/>
              <w:ind w:left="197" w:right="128"/>
              <w:rPr>
                <w:i/>
                <w:sz w:val="22"/>
              </w:rPr>
            </w:pPr>
            <w:r>
              <w:rPr>
                <w:i/>
                <w:w w:val="95"/>
                <w:sz w:val="22"/>
              </w:rPr>
              <w:t>严重感染性心内膜炎</w:t>
            </w:r>
          </w:p>
        </w:tc>
        <w:tc>
          <w:tcPr>
            <w:tcW w:w="7760" w:type="dxa"/>
          </w:tcPr>
          <w:p>
            <w:pPr>
              <w:pStyle w:val="TableParagraph"/>
              <w:spacing w:before="147"/>
              <w:ind w:left="131"/>
              <w:rPr>
                <w:sz w:val="21"/>
              </w:rPr>
            </w:pPr>
            <w:r>
              <w:rPr>
                <w:sz w:val="21"/>
              </w:rPr>
              <w:t>因感染性病原体造成心脏内膜发炎，并符合下列所有条件：</w:t>
            </w:r>
          </w:p>
          <w:p>
            <w:pPr>
              <w:pStyle w:val="TableParagraph"/>
              <w:spacing w:before="36"/>
              <w:ind w:left="131"/>
              <w:rPr>
                <w:sz w:val="21"/>
              </w:rPr>
            </w:pPr>
            <w:r>
              <w:rPr>
                <w:sz w:val="21"/>
              </w:rPr>
              <w:t>（</w:t>
            </w:r>
            <w:r>
              <w:rPr>
                <w:rFonts w:ascii="Times New Roman" w:eastAsia="Times New Roman"/>
                <w:sz w:val="21"/>
              </w:rPr>
              <w:t>1</w:t>
            </w:r>
            <w:r>
              <w:rPr>
                <w:sz w:val="21"/>
              </w:rPr>
              <w:t>）血液培养测试结果为阳性，证实存在感染病原体：</w:t>
            </w:r>
          </w:p>
          <w:p>
            <w:pPr>
              <w:pStyle w:val="TableParagraph"/>
              <w:numPr>
                <w:ilvl w:val="1"/>
                <w:numId w:val="7"/>
              </w:numPr>
              <w:tabs>
                <w:tab w:pos="448" w:val="left" w:leader="none"/>
              </w:tabs>
              <w:spacing w:line="256" w:lineRule="auto" w:before="20" w:after="0"/>
              <w:ind w:left="131" w:right="197" w:firstLine="0"/>
              <w:jc w:val="left"/>
              <w:rPr>
                <w:sz w:val="21"/>
              </w:rPr>
            </w:pPr>
            <w:r>
              <w:rPr>
                <w:spacing w:val="-8"/>
                <w:sz w:val="21"/>
              </w:rPr>
              <w:t>微生物：在赘生物、栓塞的赘生物或心脏内脓疡经培养或组织检查证实有微生物；或</w:t>
            </w:r>
          </w:p>
          <w:p>
            <w:pPr>
              <w:pStyle w:val="TableParagraph"/>
              <w:numPr>
                <w:ilvl w:val="1"/>
                <w:numId w:val="7"/>
              </w:numPr>
              <w:tabs>
                <w:tab w:pos="448" w:val="left" w:leader="none"/>
              </w:tabs>
              <w:spacing w:line="240" w:lineRule="auto" w:before="21" w:after="0"/>
              <w:ind w:left="131" w:right="0" w:firstLine="0"/>
              <w:jc w:val="left"/>
              <w:rPr>
                <w:sz w:val="21"/>
              </w:rPr>
            </w:pPr>
            <w:r>
              <w:rPr>
                <w:spacing w:val="-7"/>
                <w:sz w:val="21"/>
              </w:rPr>
              <w:t>病理性病灶：组织病理学检查证实赘生物或心脏内脓疡有活动性心内膜炎；或</w:t>
            </w:r>
          </w:p>
          <w:p>
            <w:pPr>
              <w:pStyle w:val="TableParagraph"/>
              <w:numPr>
                <w:ilvl w:val="1"/>
                <w:numId w:val="7"/>
              </w:numPr>
              <w:tabs>
                <w:tab w:pos="448" w:val="left" w:leader="none"/>
              </w:tabs>
              <w:spacing w:line="240" w:lineRule="auto" w:before="20" w:after="0"/>
              <w:ind w:left="131" w:right="0" w:firstLine="0"/>
              <w:jc w:val="left"/>
              <w:rPr>
                <w:sz w:val="21"/>
              </w:rPr>
            </w:pPr>
            <w:r>
              <w:rPr>
                <w:spacing w:val="-3"/>
                <w:sz w:val="21"/>
              </w:rPr>
              <w:t>分别两次血液培养证实有典型的病原体且与心内膜炎吻合；或</w:t>
            </w:r>
          </w:p>
          <w:p>
            <w:pPr>
              <w:pStyle w:val="TableParagraph"/>
              <w:numPr>
                <w:ilvl w:val="1"/>
                <w:numId w:val="7"/>
              </w:numPr>
              <w:tabs>
                <w:tab w:pos="448" w:val="left" w:leader="none"/>
              </w:tabs>
              <w:spacing w:line="240" w:lineRule="auto" w:before="20" w:after="0"/>
              <w:ind w:left="131" w:right="0" w:firstLine="0"/>
              <w:jc w:val="left"/>
              <w:rPr>
                <w:sz w:val="21"/>
              </w:rPr>
            </w:pPr>
            <w:r>
              <w:rPr>
                <w:spacing w:val="-3"/>
                <w:sz w:val="21"/>
              </w:rPr>
              <w:t>持续血液培养证实有病原体阳性反应，且与心内膜炎吻合。</w:t>
            </w:r>
          </w:p>
          <w:p>
            <w:pPr>
              <w:pStyle w:val="TableParagraph"/>
              <w:spacing w:line="256" w:lineRule="auto" w:before="20"/>
              <w:ind w:left="131" w:right="201"/>
              <w:rPr>
                <w:sz w:val="21"/>
              </w:rPr>
            </w:pPr>
            <w:r>
              <w:rPr>
                <w:spacing w:val="-7"/>
                <w:sz w:val="21"/>
              </w:rPr>
              <w:t>（</w:t>
            </w:r>
            <w:r>
              <w:rPr>
                <w:rFonts w:ascii="Times New Roman" w:eastAsia="Times New Roman"/>
                <w:spacing w:val="-7"/>
                <w:sz w:val="21"/>
              </w:rPr>
              <w:t>2</w:t>
            </w:r>
            <w:r>
              <w:rPr>
                <w:spacing w:val="-7"/>
                <w:sz w:val="21"/>
              </w:rPr>
              <w:t>）</w:t>
            </w:r>
            <w:r>
              <w:rPr>
                <w:spacing w:val="-4"/>
                <w:sz w:val="21"/>
              </w:rPr>
              <w:t>心内膜炎引起中度心瓣膜闭锁不全</w:t>
            </w:r>
            <w:r>
              <w:rPr>
                <w:spacing w:val="-3"/>
                <w:sz w:val="21"/>
              </w:rPr>
              <w:t>（</w:t>
            </w:r>
            <w:r>
              <w:rPr>
                <w:spacing w:val="-7"/>
                <w:sz w:val="21"/>
              </w:rPr>
              <w:t>指返流分数 </w:t>
            </w:r>
            <w:r>
              <w:rPr>
                <w:rFonts w:ascii="Times New Roman" w:eastAsia="Times New Roman"/>
                <w:sz w:val="21"/>
              </w:rPr>
              <w:t>20%</w:t>
            </w:r>
            <w:r>
              <w:rPr>
                <w:spacing w:val="-2"/>
                <w:sz w:val="21"/>
              </w:rPr>
              <w:t>或以上</w:t>
            </w:r>
            <w:r>
              <w:rPr>
                <w:spacing w:val="-20"/>
                <w:sz w:val="21"/>
              </w:rPr>
              <w:t>）</w:t>
            </w:r>
            <w:r>
              <w:rPr>
                <w:spacing w:val="-3"/>
                <w:sz w:val="21"/>
              </w:rPr>
              <w:t>或中度心瓣膜狭窄（</w:t>
            </w:r>
            <w:r>
              <w:rPr>
                <w:spacing w:val="-5"/>
                <w:sz w:val="21"/>
              </w:rPr>
              <w:t>指心瓣膜开口范围小于或等于正常的 </w:t>
            </w:r>
            <w:r>
              <w:rPr>
                <w:rFonts w:ascii="Times New Roman" w:eastAsia="Times New Roman"/>
                <w:sz w:val="21"/>
              </w:rPr>
              <w:t>30%</w:t>
            </w:r>
            <w:r>
              <w:rPr>
                <w:sz w:val="21"/>
              </w:rPr>
              <w:t>）；及</w:t>
            </w:r>
          </w:p>
          <w:p>
            <w:pPr>
              <w:pStyle w:val="TableParagraph"/>
              <w:spacing w:before="5"/>
              <w:ind w:left="131"/>
              <w:rPr>
                <w:sz w:val="21"/>
              </w:rPr>
            </w:pPr>
            <w:r>
              <w:rPr>
                <w:sz w:val="21"/>
              </w:rPr>
              <w:t>（</w:t>
            </w:r>
            <w:r>
              <w:rPr>
                <w:rFonts w:ascii="Times New Roman" w:eastAsia="Times New Roman"/>
                <w:sz w:val="21"/>
              </w:rPr>
              <w:t>3</w:t>
            </w:r>
            <w:r>
              <w:rPr>
                <w:sz w:val="21"/>
              </w:rPr>
              <w:t>）心内膜炎及心瓣膜病损须经心脏专科医生确诊。</w:t>
            </w:r>
          </w:p>
        </w:tc>
      </w:tr>
      <w:tr>
        <w:trPr>
          <w:trHeight w:val="2910" w:hRule="atLeast"/>
        </w:trPr>
        <w:tc>
          <w:tcPr>
            <w:tcW w:w="1030" w:type="dxa"/>
          </w:tcPr>
          <w:p>
            <w:pPr>
              <w:pStyle w:val="TableParagraph"/>
              <w:spacing w:before="128"/>
              <w:ind w:left="166" w:right="163"/>
              <w:jc w:val="center"/>
              <w:rPr>
                <w:i/>
                <w:sz w:val="22"/>
              </w:rPr>
            </w:pPr>
            <w:r>
              <w:rPr>
                <w:i/>
                <w:sz w:val="22"/>
              </w:rPr>
              <w:t>3.2.70</w:t>
            </w:r>
          </w:p>
        </w:tc>
        <w:tc>
          <w:tcPr>
            <w:tcW w:w="1590" w:type="dxa"/>
          </w:tcPr>
          <w:p>
            <w:pPr>
              <w:pStyle w:val="TableParagraph"/>
              <w:spacing w:line="259" w:lineRule="auto" w:before="128"/>
              <w:ind w:left="197" w:right="128"/>
              <w:rPr>
                <w:i/>
                <w:sz w:val="22"/>
              </w:rPr>
            </w:pPr>
            <w:r>
              <w:rPr>
                <w:i/>
                <w:w w:val="95"/>
                <w:sz w:val="22"/>
              </w:rPr>
              <w:t>严重的骨髓增生异常综合征</w:t>
            </w:r>
          </w:p>
        </w:tc>
        <w:tc>
          <w:tcPr>
            <w:tcW w:w="7760" w:type="dxa"/>
          </w:tcPr>
          <w:p>
            <w:pPr>
              <w:pStyle w:val="TableParagraph"/>
              <w:spacing w:line="264" w:lineRule="auto" w:before="139"/>
              <w:ind w:left="131" w:right="203"/>
              <w:jc w:val="both"/>
              <w:rPr>
                <w:sz w:val="21"/>
              </w:rPr>
            </w:pPr>
            <w:r>
              <w:rPr>
                <w:sz w:val="21"/>
              </w:rPr>
              <w:t>骨髓增生异常综合征</w:t>
            </w:r>
            <w:r>
              <w:rPr>
                <w:rFonts w:ascii="Times New Roman" w:eastAsia="Times New Roman"/>
                <w:sz w:val="21"/>
              </w:rPr>
              <w:t>(myelodysplastic syndromes</w:t>
            </w:r>
            <w:r>
              <w:rPr>
                <w:sz w:val="21"/>
              </w:rPr>
              <w:t>，</w:t>
            </w:r>
            <w:r>
              <w:rPr>
                <w:rFonts w:ascii="Times New Roman" w:eastAsia="Times New Roman"/>
                <w:sz w:val="21"/>
              </w:rPr>
              <w:t>MDS)</w:t>
            </w:r>
            <w:r>
              <w:rPr>
                <w:sz w:val="21"/>
              </w:rPr>
              <w:t>是起源于造血干细胞的一组异质性髓系克隆性疾病，特点是髓系细胞发育异常，表现为无效造血、难治性血细胞减少，本合同所指的严重的骨髓异常增生综合征需满足下列所有条件：</w:t>
            </w:r>
          </w:p>
          <w:p>
            <w:pPr>
              <w:pStyle w:val="TableParagraph"/>
              <w:spacing w:line="256" w:lineRule="auto" w:before="15"/>
              <w:ind w:left="131" w:right="145"/>
              <w:rPr>
                <w:sz w:val="21"/>
              </w:rPr>
            </w:pPr>
            <w:r>
              <w:rPr>
                <w:sz w:val="21"/>
              </w:rPr>
              <w:t>（</w:t>
            </w:r>
            <w:r>
              <w:rPr>
                <w:rFonts w:ascii="Times New Roman" w:eastAsia="Times New Roman"/>
                <w:sz w:val="21"/>
              </w:rPr>
              <w:t>1</w:t>
            </w:r>
            <w:r>
              <w:rPr>
                <w:sz w:val="21"/>
              </w:rPr>
              <w:t>）由设有专门血液病专科的公立三级甲等医院血液病专科的主治级别以上的医师确诊；</w:t>
            </w:r>
          </w:p>
          <w:p>
            <w:pPr>
              <w:pStyle w:val="TableParagraph"/>
              <w:spacing w:before="22"/>
              <w:ind w:left="131"/>
              <w:rPr>
                <w:sz w:val="21"/>
              </w:rPr>
            </w:pPr>
            <w:r>
              <w:rPr>
                <w:sz w:val="21"/>
              </w:rPr>
              <w:t>（</w:t>
            </w:r>
            <w:r>
              <w:rPr>
                <w:rFonts w:ascii="Times New Roman" w:eastAsia="Times New Roman"/>
                <w:sz w:val="21"/>
              </w:rPr>
              <w:t>2</w:t>
            </w:r>
            <w:r>
              <w:rPr>
                <w:sz w:val="21"/>
              </w:rPr>
              <w:t>）骨髓涂片检查同时符合发育异常细胞比例</w:t>
            </w:r>
            <w:r>
              <w:rPr>
                <w:rFonts w:ascii="Times New Roman" w:eastAsia="Times New Roman"/>
                <w:sz w:val="21"/>
              </w:rPr>
              <w:t>&gt;10%</w:t>
            </w:r>
            <w:r>
              <w:rPr>
                <w:sz w:val="21"/>
              </w:rPr>
              <w:t>、原始细胞比例</w:t>
            </w:r>
            <w:r>
              <w:rPr>
                <w:rFonts w:ascii="Times New Roman" w:eastAsia="Times New Roman"/>
                <w:sz w:val="21"/>
              </w:rPr>
              <w:t>&gt;15%</w:t>
            </w:r>
            <w:r>
              <w:rPr>
                <w:sz w:val="21"/>
              </w:rPr>
              <w:t>；</w:t>
            </w:r>
          </w:p>
          <w:p>
            <w:pPr>
              <w:pStyle w:val="TableParagraph"/>
              <w:spacing w:before="21"/>
              <w:ind w:left="131"/>
              <w:rPr>
                <w:sz w:val="21"/>
              </w:rPr>
            </w:pPr>
            <w:r>
              <w:rPr>
                <w:sz w:val="21"/>
              </w:rPr>
              <w:t>（</w:t>
            </w:r>
            <w:r>
              <w:rPr>
                <w:rFonts w:ascii="Times New Roman" w:eastAsia="Times New Roman"/>
                <w:sz w:val="21"/>
              </w:rPr>
              <w:t>3</w:t>
            </w:r>
            <w:r>
              <w:rPr>
                <w:sz w:val="21"/>
              </w:rPr>
              <w:t>） 已接受至少累计三十日的化疗或已接受骨髓移植治疗。</w:t>
            </w:r>
          </w:p>
          <w:p>
            <w:pPr>
              <w:pStyle w:val="TableParagraph"/>
              <w:spacing w:line="312" w:lineRule="exact" w:before="17"/>
              <w:ind w:left="131" w:right="1511"/>
              <w:rPr>
                <w:b/>
                <w:sz w:val="21"/>
              </w:rPr>
            </w:pPr>
            <w:r>
              <w:rPr>
                <w:b/>
                <w:sz w:val="21"/>
              </w:rPr>
              <w:t>化疗日数的计算以被保险人实际服用、注射化疗药物的天数为准。疑似病例不在保障范围之内。</w:t>
            </w:r>
          </w:p>
        </w:tc>
      </w:tr>
    </w:tbl>
    <w:p>
      <w:pPr>
        <w:spacing w:after="0" w:line="312" w:lineRule="exact"/>
        <w:rPr>
          <w:sz w:val="21"/>
        </w:rPr>
        <w:sectPr>
          <w:pgSz w:w="11910" w:h="16840"/>
          <w:pgMar w:header="892" w:footer="917" w:top="1080" w:bottom="1100" w:left="820" w:right="4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13"/>
        <w:gridCol w:w="7841"/>
      </w:tblGrid>
      <w:tr>
        <w:trPr>
          <w:trHeight w:val="1081" w:hRule="atLeast"/>
        </w:trPr>
        <w:tc>
          <w:tcPr>
            <w:tcW w:w="1030" w:type="dxa"/>
          </w:tcPr>
          <w:p>
            <w:pPr>
              <w:pStyle w:val="TableParagraph"/>
              <w:spacing w:line="222" w:lineRule="exact"/>
              <w:ind w:left="166" w:right="163"/>
              <w:jc w:val="center"/>
              <w:rPr>
                <w:i/>
                <w:sz w:val="22"/>
              </w:rPr>
            </w:pPr>
            <w:r>
              <w:rPr>
                <w:i/>
                <w:sz w:val="22"/>
              </w:rPr>
              <w:t>3.2.71</w:t>
            </w:r>
          </w:p>
        </w:tc>
        <w:tc>
          <w:tcPr>
            <w:tcW w:w="1613" w:type="dxa"/>
          </w:tcPr>
          <w:p>
            <w:pPr>
              <w:pStyle w:val="TableParagraph"/>
              <w:spacing w:line="222" w:lineRule="exact"/>
              <w:ind w:left="197"/>
              <w:rPr>
                <w:i/>
                <w:sz w:val="22"/>
              </w:rPr>
            </w:pPr>
            <w:r>
              <w:rPr>
                <w:i/>
                <w:w w:val="95"/>
                <w:sz w:val="22"/>
              </w:rPr>
              <w:t>埃博拉病毒感</w:t>
            </w:r>
          </w:p>
          <w:p>
            <w:pPr>
              <w:pStyle w:val="TableParagraph"/>
              <w:spacing w:before="24"/>
              <w:ind w:left="197"/>
              <w:rPr>
                <w:i/>
                <w:sz w:val="22"/>
              </w:rPr>
            </w:pPr>
            <w:r>
              <w:rPr>
                <w:i/>
                <w:w w:val="96"/>
                <w:sz w:val="22"/>
              </w:rPr>
              <w:t>染</w:t>
            </w:r>
          </w:p>
        </w:tc>
        <w:tc>
          <w:tcPr>
            <w:tcW w:w="7841" w:type="dxa"/>
          </w:tcPr>
          <w:p>
            <w:pPr>
              <w:pStyle w:val="TableParagraph"/>
              <w:spacing w:line="245" w:lineRule="exact"/>
              <w:ind w:left="108"/>
              <w:rPr>
                <w:sz w:val="21"/>
              </w:rPr>
            </w:pPr>
            <w:r>
              <w:rPr>
                <w:sz w:val="21"/>
              </w:rPr>
              <w:t>受埃博拉病毒感染导致出血性发热。埃博拉病必须经国家机关认可的有合法资质</w:t>
            </w:r>
          </w:p>
          <w:p>
            <w:pPr>
              <w:pStyle w:val="TableParagraph"/>
              <w:spacing w:line="278" w:lineRule="auto" w:before="44"/>
              <w:ind w:left="108" w:right="303"/>
              <w:rPr>
                <w:b/>
                <w:sz w:val="21"/>
              </w:rPr>
            </w:pPr>
            <w:r>
              <w:rPr>
                <w:sz w:val="21"/>
              </w:rPr>
              <w:t>的传染病专家确诊，并且埃博拉病毒的存在必须经过实验室检查证实。</w:t>
            </w:r>
            <w:r>
              <w:rPr>
                <w:b/>
                <w:sz w:val="21"/>
              </w:rPr>
              <w:t>该病必须从症状开始后三十天后持续出现并发症。</w:t>
            </w:r>
          </w:p>
        </w:tc>
      </w:tr>
      <w:tr>
        <w:trPr>
          <w:trHeight w:val="1559" w:hRule="atLeast"/>
        </w:trPr>
        <w:tc>
          <w:tcPr>
            <w:tcW w:w="1030" w:type="dxa"/>
          </w:tcPr>
          <w:p>
            <w:pPr>
              <w:pStyle w:val="TableParagraph"/>
              <w:spacing w:before="132"/>
              <w:ind w:left="166" w:right="163"/>
              <w:jc w:val="center"/>
              <w:rPr>
                <w:i/>
                <w:sz w:val="22"/>
              </w:rPr>
            </w:pPr>
            <w:r>
              <w:rPr>
                <w:i/>
                <w:sz w:val="22"/>
              </w:rPr>
              <w:t>3.2.72</w:t>
            </w:r>
          </w:p>
        </w:tc>
        <w:tc>
          <w:tcPr>
            <w:tcW w:w="1613" w:type="dxa"/>
          </w:tcPr>
          <w:p>
            <w:pPr>
              <w:pStyle w:val="TableParagraph"/>
              <w:spacing w:before="132"/>
              <w:ind w:left="197"/>
              <w:rPr>
                <w:i/>
                <w:sz w:val="22"/>
              </w:rPr>
            </w:pPr>
            <w:r>
              <w:rPr>
                <w:i/>
                <w:w w:val="95"/>
                <w:sz w:val="22"/>
              </w:rPr>
              <w:t>夹层主动脉瘤</w:t>
            </w:r>
          </w:p>
        </w:tc>
        <w:tc>
          <w:tcPr>
            <w:tcW w:w="7841" w:type="dxa"/>
          </w:tcPr>
          <w:p>
            <w:pPr>
              <w:pStyle w:val="TableParagraph"/>
              <w:spacing w:line="273" w:lineRule="auto" w:before="144"/>
              <w:ind w:left="108" w:right="373"/>
              <w:jc w:val="both"/>
              <w:rPr>
                <w:sz w:val="21"/>
              </w:rPr>
            </w:pPr>
            <w:r>
              <w:rPr>
                <w:sz w:val="21"/>
              </w:rPr>
              <w:t>指主动脉的内膜破裂导致血液流入主动脉壁中形成夹层动脉瘤。在本定义中，主动脉指胸主动脉及腹主动脉而非其旁支。诊断必须由专科医生及检验结果证实， 检验包括电脑扫描，磁共振扫描及磁共振血管造影或心导管检查的证明，并进行了紧急开胸或开腹修补手术。</w:t>
            </w:r>
          </w:p>
        </w:tc>
      </w:tr>
      <w:tr>
        <w:trPr>
          <w:trHeight w:val="968" w:hRule="atLeast"/>
        </w:trPr>
        <w:tc>
          <w:tcPr>
            <w:tcW w:w="1030" w:type="dxa"/>
          </w:tcPr>
          <w:p>
            <w:pPr>
              <w:pStyle w:val="TableParagraph"/>
              <w:spacing w:before="139"/>
              <w:ind w:left="166" w:right="163"/>
              <w:jc w:val="center"/>
              <w:rPr>
                <w:i/>
                <w:sz w:val="22"/>
              </w:rPr>
            </w:pPr>
            <w:r>
              <w:rPr>
                <w:i/>
                <w:sz w:val="22"/>
              </w:rPr>
              <w:t>3.2.73</w:t>
            </w:r>
          </w:p>
        </w:tc>
        <w:tc>
          <w:tcPr>
            <w:tcW w:w="1613" w:type="dxa"/>
          </w:tcPr>
          <w:p>
            <w:pPr>
              <w:pStyle w:val="TableParagraph"/>
              <w:spacing w:before="139"/>
              <w:ind w:left="197"/>
              <w:rPr>
                <w:i/>
                <w:sz w:val="22"/>
              </w:rPr>
            </w:pPr>
            <w:r>
              <w:rPr>
                <w:i/>
                <w:w w:val="95"/>
                <w:sz w:val="22"/>
              </w:rPr>
              <w:t>小肠移植</w:t>
            </w:r>
          </w:p>
        </w:tc>
        <w:tc>
          <w:tcPr>
            <w:tcW w:w="7841" w:type="dxa"/>
          </w:tcPr>
          <w:p>
            <w:pPr>
              <w:pStyle w:val="TableParagraph"/>
              <w:spacing w:line="280" w:lineRule="auto" w:before="175"/>
              <w:ind w:left="108" w:right="196"/>
              <w:rPr>
                <w:sz w:val="21"/>
              </w:rPr>
            </w:pPr>
            <w:r>
              <w:rPr>
                <w:spacing w:val="-7"/>
                <w:sz w:val="21"/>
              </w:rPr>
              <w:t>指因肠道疾病或外伤，已经实施了在全身麻醉下进行的小肠的异体器官移植手术。</w:t>
            </w:r>
            <w:r>
              <w:rPr>
                <w:spacing w:val="-5"/>
                <w:sz w:val="21"/>
              </w:rPr>
              <w:t>此手术必须由专科医生认为是医学上必需的情况下进行。</w:t>
            </w:r>
          </w:p>
        </w:tc>
      </w:tr>
      <w:tr>
        <w:trPr>
          <w:trHeight w:val="1124" w:hRule="atLeast"/>
        </w:trPr>
        <w:tc>
          <w:tcPr>
            <w:tcW w:w="1030" w:type="dxa"/>
          </w:tcPr>
          <w:p>
            <w:pPr>
              <w:pStyle w:val="TableParagraph"/>
              <w:spacing w:before="131"/>
              <w:ind w:left="166" w:right="163"/>
              <w:jc w:val="center"/>
              <w:rPr>
                <w:i/>
                <w:sz w:val="22"/>
              </w:rPr>
            </w:pPr>
            <w:r>
              <w:rPr>
                <w:i/>
                <w:sz w:val="22"/>
              </w:rPr>
              <w:t>3.2.74</w:t>
            </w:r>
          </w:p>
        </w:tc>
        <w:tc>
          <w:tcPr>
            <w:tcW w:w="1613" w:type="dxa"/>
          </w:tcPr>
          <w:p>
            <w:pPr>
              <w:pStyle w:val="TableParagraph"/>
              <w:spacing w:line="259" w:lineRule="auto" w:before="131"/>
              <w:ind w:left="197" w:right="103"/>
              <w:rPr>
                <w:i/>
                <w:sz w:val="22"/>
              </w:rPr>
            </w:pPr>
            <w:r>
              <w:rPr>
                <w:i/>
                <w:w w:val="95"/>
                <w:sz w:val="22"/>
              </w:rPr>
              <w:t>失去一肢及一</w:t>
            </w:r>
            <w:r>
              <w:rPr>
                <w:i/>
                <w:sz w:val="22"/>
              </w:rPr>
              <w:t>眼</w:t>
            </w:r>
          </w:p>
        </w:tc>
        <w:tc>
          <w:tcPr>
            <w:tcW w:w="7841" w:type="dxa"/>
          </w:tcPr>
          <w:p>
            <w:pPr>
              <w:pStyle w:val="TableParagraph"/>
              <w:spacing w:line="280" w:lineRule="auto" w:before="166"/>
              <w:ind w:left="108" w:right="308"/>
              <w:rPr>
                <w:sz w:val="21"/>
              </w:rPr>
            </w:pPr>
            <w:r>
              <w:rPr>
                <w:sz w:val="21"/>
              </w:rPr>
              <w:t>因疾病或受伤导致不可复原及永久性完全丧失一眼视力及任何一肢于腕骨或踝骨部位或以上切断。</w:t>
            </w:r>
          </w:p>
          <w:p>
            <w:pPr>
              <w:pStyle w:val="TableParagraph"/>
              <w:spacing w:before="8"/>
              <w:ind w:left="108"/>
              <w:rPr>
                <w:sz w:val="21"/>
              </w:rPr>
            </w:pPr>
            <w:r>
              <w:rPr>
                <w:sz w:val="21"/>
              </w:rPr>
              <w:t>永久性完全丧失一眼视力需满足下列条件之一：</w:t>
            </w:r>
          </w:p>
        </w:tc>
      </w:tr>
      <w:tr>
        <w:trPr>
          <w:trHeight w:val="1883" w:hRule="atLeast"/>
        </w:trPr>
        <w:tc>
          <w:tcPr>
            <w:tcW w:w="1030" w:type="dxa"/>
          </w:tcPr>
          <w:p>
            <w:pPr>
              <w:pStyle w:val="TableParagraph"/>
              <w:rPr>
                <w:rFonts w:ascii="Times New Roman"/>
                <w:sz w:val="20"/>
              </w:rPr>
            </w:pPr>
          </w:p>
        </w:tc>
        <w:tc>
          <w:tcPr>
            <w:tcW w:w="1613" w:type="dxa"/>
          </w:tcPr>
          <w:p>
            <w:pPr>
              <w:pStyle w:val="TableParagraph"/>
              <w:rPr>
                <w:rFonts w:ascii="Times New Roman"/>
                <w:sz w:val="20"/>
              </w:rPr>
            </w:pPr>
          </w:p>
        </w:tc>
        <w:tc>
          <w:tcPr>
            <w:tcW w:w="7841" w:type="dxa"/>
          </w:tcPr>
          <w:p>
            <w:pPr>
              <w:pStyle w:val="TableParagraph"/>
              <w:spacing w:line="253" w:lineRule="exact"/>
              <w:ind w:left="108"/>
              <w:rPr>
                <w:sz w:val="21"/>
              </w:rPr>
            </w:pPr>
            <w:r>
              <w:rPr>
                <w:sz w:val="21"/>
              </w:rPr>
              <w:t>（1）眼球缺失或摘除；</w:t>
            </w:r>
          </w:p>
          <w:p>
            <w:pPr>
              <w:pStyle w:val="TableParagraph"/>
              <w:spacing w:line="273" w:lineRule="auto" w:before="37"/>
              <w:ind w:left="108" w:right="323"/>
              <w:rPr>
                <w:sz w:val="21"/>
              </w:rPr>
            </w:pPr>
            <w:r>
              <w:rPr>
                <w:sz w:val="21"/>
              </w:rPr>
              <w:t>（2）</w:t>
            </w:r>
            <w:r>
              <w:rPr>
                <w:spacing w:val="-7"/>
                <w:sz w:val="21"/>
              </w:rPr>
              <w:t> 矫正视力低于 </w:t>
            </w:r>
            <w:r>
              <w:rPr>
                <w:sz w:val="21"/>
              </w:rPr>
              <w:t>0.02（</w:t>
            </w:r>
            <w:r>
              <w:rPr>
                <w:spacing w:val="-3"/>
                <w:sz w:val="21"/>
              </w:rPr>
              <w:t>采用国际标准视力表，如果使用其它视力表应进行换算</w:t>
            </w:r>
            <w:r>
              <w:rPr>
                <w:spacing w:val="-106"/>
                <w:sz w:val="21"/>
              </w:rPr>
              <w:t>）；</w:t>
            </w:r>
          </w:p>
          <w:p>
            <w:pPr>
              <w:pStyle w:val="TableParagraph"/>
              <w:spacing w:before="7"/>
              <w:ind w:left="108"/>
              <w:rPr>
                <w:sz w:val="21"/>
              </w:rPr>
            </w:pPr>
            <w:r>
              <w:rPr>
                <w:sz w:val="21"/>
              </w:rPr>
              <w:t>（3）视野半径小于 5 度。</w:t>
            </w:r>
          </w:p>
          <w:p>
            <w:pPr>
              <w:pStyle w:val="TableParagraph"/>
              <w:spacing w:line="320" w:lineRule="atLeast" w:before="15"/>
              <w:ind w:left="108" w:right="307"/>
              <w:rPr>
                <w:b/>
                <w:sz w:val="21"/>
              </w:rPr>
            </w:pPr>
            <w:r>
              <w:rPr>
                <w:b/>
                <w:sz w:val="21"/>
              </w:rPr>
              <w:t>被保险人申请理赔时年龄必须在三周岁以上，并且提供理赔当时的视力丧失诊断及检查证据。</w:t>
            </w:r>
          </w:p>
        </w:tc>
      </w:tr>
      <w:tr>
        <w:trPr>
          <w:trHeight w:val="1119" w:hRule="atLeast"/>
        </w:trPr>
        <w:tc>
          <w:tcPr>
            <w:tcW w:w="1030" w:type="dxa"/>
          </w:tcPr>
          <w:p>
            <w:pPr>
              <w:pStyle w:val="TableParagraph"/>
              <w:spacing w:line="259" w:lineRule="exact"/>
              <w:ind w:left="166" w:right="163"/>
              <w:jc w:val="center"/>
              <w:rPr>
                <w:i/>
                <w:sz w:val="22"/>
              </w:rPr>
            </w:pPr>
            <w:r>
              <w:rPr>
                <w:i/>
                <w:sz w:val="22"/>
              </w:rPr>
              <w:t>3.2.75</w:t>
            </w:r>
          </w:p>
        </w:tc>
        <w:tc>
          <w:tcPr>
            <w:tcW w:w="1613" w:type="dxa"/>
          </w:tcPr>
          <w:p>
            <w:pPr>
              <w:pStyle w:val="TableParagraph"/>
              <w:spacing w:line="259" w:lineRule="exact"/>
              <w:ind w:left="197"/>
              <w:rPr>
                <w:i/>
                <w:sz w:val="22"/>
              </w:rPr>
            </w:pPr>
            <w:r>
              <w:rPr>
                <w:i/>
                <w:w w:val="95"/>
                <w:sz w:val="22"/>
              </w:rPr>
              <w:t>自体造血干细</w:t>
            </w:r>
          </w:p>
          <w:p>
            <w:pPr>
              <w:pStyle w:val="TableParagraph"/>
              <w:spacing w:before="24"/>
              <w:ind w:left="197"/>
              <w:rPr>
                <w:i/>
                <w:sz w:val="22"/>
              </w:rPr>
            </w:pPr>
            <w:r>
              <w:rPr>
                <w:i/>
                <w:w w:val="95"/>
                <w:sz w:val="22"/>
              </w:rPr>
              <w:t>胞移植</w:t>
            </w:r>
          </w:p>
        </w:tc>
        <w:tc>
          <w:tcPr>
            <w:tcW w:w="7841" w:type="dxa"/>
          </w:tcPr>
          <w:p>
            <w:pPr>
              <w:pStyle w:val="TableParagraph"/>
              <w:spacing w:line="280" w:lineRule="auto" w:before="7"/>
              <w:ind w:left="108" w:right="308"/>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该治疗须由专科医生认为在临床上是必需的。</w:t>
            </w:r>
          </w:p>
        </w:tc>
      </w:tr>
      <w:tr>
        <w:trPr>
          <w:trHeight w:val="2240" w:hRule="atLeast"/>
        </w:trPr>
        <w:tc>
          <w:tcPr>
            <w:tcW w:w="1030" w:type="dxa"/>
          </w:tcPr>
          <w:p>
            <w:pPr>
              <w:pStyle w:val="TableParagraph"/>
              <w:spacing w:before="131"/>
              <w:ind w:left="166" w:right="163"/>
              <w:jc w:val="center"/>
              <w:rPr>
                <w:i/>
                <w:sz w:val="22"/>
              </w:rPr>
            </w:pPr>
            <w:r>
              <w:rPr>
                <w:i/>
                <w:sz w:val="22"/>
              </w:rPr>
              <w:t>3.2.76</w:t>
            </w:r>
          </w:p>
        </w:tc>
        <w:tc>
          <w:tcPr>
            <w:tcW w:w="1613" w:type="dxa"/>
          </w:tcPr>
          <w:p>
            <w:pPr>
              <w:pStyle w:val="TableParagraph"/>
              <w:spacing w:before="131"/>
              <w:ind w:left="197"/>
              <w:rPr>
                <w:i/>
                <w:sz w:val="22"/>
              </w:rPr>
            </w:pPr>
            <w:r>
              <w:rPr>
                <w:i/>
                <w:w w:val="95"/>
                <w:sz w:val="22"/>
              </w:rPr>
              <w:t>骨生长不全症</w:t>
            </w:r>
          </w:p>
        </w:tc>
        <w:tc>
          <w:tcPr>
            <w:tcW w:w="7841" w:type="dxa"/>
          </w:tcPr>
          <w:p>
            <w:pPr>
              <w:pStyle w:val="TableParagraph"/>
              <w:spacing w:line="264" w:lineRule="auto" w:before="166"/>
              <w:ind w:left="108" w:right="199"/>
              <w:rPr>
                <w:sz w:val="21"/>
              </w:rPr>
            </w:pPr>
            <w:r>
              <w:rPr>
                <w:sz w:val="21"/>
              </w:rPr>
              <w:t>指一种胶原病，特征为骨易碎，骨质疏松和易骨折。该病有 </w:t>
            </w:r>
            <w:r>
              <w:rPr>
                <w:rFonts w:ascii="Times New Roman" w:eastAsia="Times New Roman"/>
                <w:sz w:val="21"/>
              </w:rPr>
              <w:t>4</w:t>
            </w:r>
            <w:r>
              <w:rPr>
                <w:rFonts w:ascii="Times New Roman" w:eastAsia="Times New Roman"/>
                <w:spacing w:val="15"/>
                <w:sz w:val="21"/>
              </w:rPr>
              <w:t> </w:t>
            </w:r>
            <w:r>
              <w:rPr>
                <w:sz w:val="21"/>
              </w:rPr>
              <w:t>种类型：</w:t>
            </w:r>
            <w:r>
              <w:rPr>
                <w:rFonts w:ascii="Times New Roman" w:eastAsia="Times New Roman"/>
                <w:sz w:val="21"/>
              </w:rPr>
              <w:t>I</w:t>
            </w:r>
            <w:r>
              <w:rPr>
                <w:rFonts w:ascii="Times New Roman" w:eastAsia="Times New Roman"/>
                <w:spacing w:val="5"/>
                <w:sz w:val="21"/>
              </w:rPr>
              <w:t>  </w:t>
            </w:r>
            <w:r>
              <w:rPr>
                <w:sz w:val="21"/>
              </w:rPr>
              <w:t>型、</w:t>
            </w:r>
            <w:r>
              <w:rPr>
                <w:rFonts w:ascii="Times New Roman" w:eastAsia="Times New Roman"/>
                <w:sz w:val="21"/>
              </w:rPr>
              <w:t>II </w:t>
            </w:r>
            <w:r>
              <w:rPr>
                <w:spacing w:val="-5"/>
                <w:sz w:val="21"/>
              </w:rPr>
              <w:t>型、</w:t>
            </w:r>
            <w:r>
              <w:rPr>
                <w:rFonts w:ascii="Times New Roman" w:eastAsia="Times New Roman"/>
                <w:sz w:val="21"/>
              </w:rPr>
              <w:t>III</w:t>
            </w:r>
            <w:r>
              <w:rPr>
                <w:rFonts w:ascii="Times New Roman" w:eastAsia="Times New Roman"/>
                <w:spacing w:val="3"/>
                <w:sz w:val="21"/>
              </w:rPr>
              <w:t> </w:t>
            </w:r>
            <w:r>
              <w:rPr>
                <w:spacing w:val="-5"/>
                <w:sz w:val="21"/>
              </w:rPr>
              <w:t>型、</w:t>
            </w:r>
            <w:r>
              <w:rPr>
                <w:rFonts w:ascii="Times New Roman" w:eastAsia="Times New Roman"/>
                <w:sz w:val="21"/>
              </w:rPr>
              <w:t>IV</w:t>
            </w:r>
            <w:r>
              <w:rPr>
                <w:rFonts w:ascii="Times New Roman" w:eastAsia="Times New Roman"/>
                <w:spacing w:val="8"/>
                <w:sz w:val="21"/>
              </w:rPr>
              <w:t> </w:t>
            </w:r>
            <w:r>
              <w:rPr>
                <w:spacing w:val="-12"/>
                <w:sz w:val="21"/>
              </w:rPr>
              <w:t>型。只保障 </w:t>
            </w:r>
            <w:r>
              <w:rPr>
                <w:rFonts w:ascii="Times New Roman" w:eastAsia="Times New Roman"/>
                <w:sz w:val="21"/>
              </w:rPr>
              <w:t>III</w:t>
            </w:r>
            <w:r>
              <w:rPr>
                <w:rFonts w:ascii="Times New Roman" w:eastAsia="Times New Roman"/>
                <w:spacing w:val="2"/>
                <w:sz w:val="21"/>
              </w:rPr>
              <w:t> </w:t>
            </w:r>
            <w:r>
              <w:rPr>
                <w:spacing w:val="-4"/>
                <w:sz w:val="21"/>
              </w:rPr>
              <w:t>型成骨不全的情形。其主要临床特点有：发展迟缓、</w:t>
            </w:r>
            <w:r>
              <w:rPr>
                <w:spacing w:val="-3"/>
                <w:sz w:val="21"/>
              </w:rPr>
              <w:t>多发性骨折、进行性脊柱后侧凸及听力损害。</w:t>
            </w:r>
            <w:r>
              <w:rPr>
                <w:rFonts w:ascii="Times New Roman" w:eastAsia="Times New Roman"/>
                <w:sz w:val="21"/>
              </w:rPr>
              <w:t>III</w:t>
            </w:r>
            <w:r>
              <w:rPr>
                <w:rFonts w:ascii="Times New Roman" w:eastAsia="Times New Roman"/>
                <w:spacing w:val="28"/>
                <w:sz w:val="21"/>
              </w:rPr>
              <w:t> </w:t>
            </w:r>
            <w:r>
              <w:rPr>
                <w:spacing w:val="-3"/>
                <w:sz w:val="21"/>
              </w:rPr>
              <w:t>型成骨不全的诊断必须根据身体检查，家族史，</w:t>
            </w:r>
            <w:r>
              <w:rPr>
                <w:rFonts w:ascii="Times New Roman" w:eastAsia="Times New Roman"/>
                <w:sz w:val="21"/>
              </w:rPr>
              <w:t>X</w:t>
            </w:r>
            <w:r>
              <w:rPr>
                <w:rFonts w:ascii="Times New Roman" w:eastAsia="Times New Roman"/>
                <w:spacing w:val="22"/>
                <w:sz w:val="21"/>
              </w:rPr>
              <w:t> </w:t>
            </w:r>
            <w:r>
              <w:rPr>
                <w:spacing w:val="-3"/>
                <w:sz w:val="21"/>
              </w:rPr>
              <w:t>线检查和皮肤活检报告资料确诊。</w:t>
            </w:r>
          </w:p>
          <w:p>
            <w:pPr>
              <w:pStyle w:val="TableParagraph"/>
              <w:spacing w:line="278" w:lineRule="auto" w:before="7"/>
              <w:ind w:left="108" w:right="307"/>
              <w:rPr>
                <w:b/>
                <w:sz w:val="21"/>
              </w:rPr>
            </w:pPr>
            <w:r>
              <w:rPr>
                <w:b/>
                <w:sz w:val="21"/>
              </w:rPr>
              <w:t>我们承担本项疾病责任不受本合同“责任免除”中“遗传性疾病，先天性畸形、疾病，先天性变形或染色体异常”的限制。</w:t>
            </w:r>
          </w:p>
        </w:tc>
      </w:tr>
      <w:tr>
        <w:trPr>
          <w:trHeight w:val="2880" w:hRule="atLeast"/>
        </w:trPr>
        <w:tc>
          <w:tcPr>
            <w:tcW w:w="1030" w:type="dxa"/>
          </w:tcPr>
          <w:p>
            <w:pPr>
              <w:pStyle w:val="TableParagraph"/>
              <w:spacing w:before="132"/>
              <w:ind w:left="166" w:right="163"/>
              <w:jc w:val="center"/>
              <w:rPr>
                <w:i/>
                <w:sz w:val="22"/>
              </w:rPr>
            </w:pPr>
            <w:r>
              <w:rPr>
                <w:i/>
                <w:sz w:val="22"/>
              </w:rPr>
              <w:t>3.2.77</w:t>
            </w:r>
          </w:p>
        </w:tc>
        <w:tc>
          <w:tcPr>
            <w:tcW w:w="1613" w:type="dxa"/>
          </w:tcPr>
          <w:p>
            <w:pPr>
              <w:pStyle w:val="TableParagraph"/>
              <w:spacing w:line="259" w:lineRule="auto" w:before="132"/>
              <w:ind w:left="197" w:right="103"/>
              <w:rPr>
                <w:i/>
                <w:sz w:val="22"/>
              </w:rPr>
            </w:pPr>
            <w:r>
              <w:rPr>
                <w:i/>
                <w:w w:val="95"/>
                <w:sz w:val="22"/>
              </w:rPr>
              <w:t>婴儿进行性脊肌萎缩症</w:t>
            </w:r>
          </w:p>
        </w:tc>
        <w:tc>
          <w:tcPr>
            <w:tcW w:w="7841" w:type="dxa"/>
          </w:tcPr>
          <w:p>
            <w:pPr>
              <w:pStyle w:val="TableParagraph"/>
              <w:spacing w:line="278" w:lineRule="auto" w:before="168"/>
              <w:ind w:left="108" w:right="308"/>
              <w:jc w:val="both"/>
              <w:rPr>
                <w:sz w:val="21"/>
              </w:rPr>
            </w:pPr>
            <w:r>
              <w:rPr>
                <w:sz w:val="21"/>
              </w:rPr>
              <w:t>该病是累及脊髓前角细胞及延髓运动核的神经元退行性变性病。在出生后一年内出现的脊髓和脑干颅神经前角细胞进行性机能障碍，伴随肌肉无力和延髓机能障碍。</w:t>
            </w:r>
          </w:p>
          <w:p>
            <w:pPr>
              <w:pStyle w:val="TableParagraph"/>
              <w:spacing w:line="278" w:lineRule="auto" w:before="13"/>
              <w:ind w:left="108" w:right="308"/>
              <w:jc w:val="both"/>
              <w:rPr>
                <w:sz w:val="21"/>
              </w:rPr>
            </w:pPr>
            <w:r>
              <w:rPr>
                <w:sz w:val="21"/>
              </w:rPr>
              <w:t>该病必须经由神经科医师通过肌肉活检而确诊。理赔时必须提供肌肉活检的病理报告。其它类型的脊肌萎缩症如Ⅱ型中间型进行性脊肌萎缩症，Ⅲ型少年型脊肌萎缩症</w:t>
            </w:r>
            <w:r>
              <w:rPr>
                <w:rFonts w:ascii="Times New Roman" w:hAnsi="Times New Roman" w:eastAsia="Times New Roman"/>
                <w:sz w:val="21"/>
              </w:rPr>
              <w:t>(Kugelberg-Welander </w:t>
            </w:r>
            <w:r>
              <w:rPr>
                <w:sz w:val="21"/>
              </w:rPr>
              <w:t>氏病</w:t>
            </w:r>
            <w:r>
              <w:rPr>
                <w:rFonts w:ascii="Times New Roman" w:hAnsi="Times New Roman" w:eastAsia="Times New Roman"/>
                <w:sz w:val="21"/>
              </w:rPr>
              <w:t>)</w:t>
            </w:r>
            <w:r>
              <w:rPr>
                <w:sz w:val="21"/>
              </w:rPr>
              <w:t>不在本保障范围之内。</w:t>
            </w:r>
          </w:p>
          <w:p>
            <w:pPr>
              <w:pStyle w:val="TableParagraph"/>
              <w:spacing w:line="278" w:lineRule="auto"/>
              <w:ind w:left="108" w:right="305"/>
              <w:jc w:val="both"/>
              <w:rPr>
                <w:b/>
                <w:sz w:val="21"/>
              </w:rPr>
            </w:pPr>
            <w:r>
              <w:rPr>
                <w:b/>
                <w:sz w:val="21"/>
              </w:rPr>
              <w:t>我们承担本项疾病责任不受本合同“责任免除”中“遗传性疾病，先天性畸形、疾病，先天性变形或染色体异常”的限制。</w:t>
            </w:r>
          </w:p>
        </w:tc>
      </w:tr>
      <w:tr>
        <w:trPr>
          <w:trHeight w:val="762" w:hRule="atLeast"/>
        </w:trPr>
        <w:tc>
          <w:tcPr>
            <w:tcW w:w="1030" w:type="dxa"/>
          </w:tcPr>
          <w:p>
            <w:pPr>
              <w:pStyle w:val="TableParagraph"/>
              <w:spacing w:before="132"/>
              <w:ind w:left="166" w:right="163"/>
              <w:jc w:val="center"/>
              <w:rPr>
                <w:i/>
                <w:sz w:val="22"/>
              </w:rPr>
            </w:pPr>
            <w:r>
              <w:rPr>
                <w:i/>
                <w:sz w:val="22"/>
              </w:rPr>
              <w:t>3.2.78</w:t>
            </w:r>
          </w:p>
        </w:tc>
        <w:tc>
          <w:tcPr>
            <w:tcW w:w="1613" w:type="dxa"/>
          </w:tcPr>
          <w:p>
            <w:pPr>
              <w:pStyle w:val="TableParagraph"/>
              <w:spacing w:line="310" w:lineRule="atLeast" w:before="110"/>
              <w:ind w:left="197" w:right="103"/>
              <w:rPr>
                <w:i/>
                <w:sz w:val="22"/>
              </w:rPr>
            </w:pPr>
            <w:r>
              <w:rPr>
                <w:i/>
                <w:w w:val="95"/>
                <w:sz w:val="22"/>
              </w:rPr>
              <w:t>严重慢性缩窄型心包炎</w:t>
            </w:r>
          </w:p>
        </w:tc>
        <w:tc>
          <w:tcPr>
            <w:tcW w:w="7841" w:type="dxa"/>
          </w:tcPr>
          <w:p>
            <w:pPr>
              <w:pStyle w:val="TableParagraph"/>
              <w:spacing w:line="320" w:lineRule="atLeast" w:before="122"/>
              <w:ind w:left="108" w:right="159"/>
              <w:rPr>
                <w:sz w:val="21"/>
              </w:rPr>
            </w:pPr>
            <w:r>
              <w:rPr>
                <w:sz w:val="21"/>
              </w:rPr>
              <w:t>由于慢性心包炎症导致心包脏层和壁层广泛瘢痕粘连、增厚和钙化，心包腔闭塞， 形成一个纤维瘢痕外壳，使心脏和大血管根部受压，阻碍心脏的舒张。</w:t>
            </w:r>
          </w:p>
        </w:tc>
      </w:tr>
    </w:tbl>
    <w:p>
      <w:pPr>
        <w:spacing w:after="0" w:line="320" w:lineRule="atLeast"/>
        <w:rPr>
          <w:sz w:val="21"/>
        </w:rPr>
        <w:sectPr>
          <w:pgSz w:w="11910" w:h="16840"/>
          <w:pgMar w:header="892" w:footer="917" w:top="1080" w:bottom="1100" w:left="820" w:right="380"/>
        </w:sectPr>
      </w:pPr>
    </w:p>
    <w:p>
      <w:pPr>
        <w:pStyle w:val="BodyText"/>
        <w:rPr>
          <w:rFonts w:ascii="Times New Roman"/>
          <w:sz w:val="20"/>
        </w:rPr>
      </w:pPr>
    </w:p>
    <w:p>
      <w:pPr>
        <w:pStyle w:val="BodyText"/>
        <w:spacing w:before="9"/>
        <w:rPr>
          <w:rFonts w:ascii="Times New Roman"/>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13"/>
        <w:gridCol w:w="7838"/>
      </w:tblGrid>
      <w:tr>
        <w:trPr>
          <w:trHeight w:val="2007" w:hRule="atLeast"/>
        </w:trPr>
        <w:tc>
          <w:tcPr>
            <w:tcW w:w="1030" w:type="dxa"/>
          </w:tcPr>
          <w:p>
            <w:pPr>
              <w:pStyle w:val="TableParagraph"/>
              <w:rPr>
                <w:rFonts w:ascii="Times New Roman"/>
                <w:sz w:val="20"/>
              </w:rPr>
            </w:pPr>
          </w:p>
        </w:tc>
        <w:tc>
          <w:tcPr>
            <w:tcW w:w="1613" w:type="dxa"/>
          </w:tcPr>
          <w:p>
            <w:pPr>
              <w:pStyle w:val="TableParagraph"/>
              <w:rPr>
                <w:rFonts w:ascii="Times New Roman"/>
                <w:sz w:val="20"/>
              </w:rPr>
            </w:pPr>
          </w:p>
        </w:tc>
        <w:tc>
          <w:tcPr>
            <w:tcW w:w="7838" w:type="dxa"/>
          </w:tcPr>
          <w:p>
            <w:pPr>
              <w:pStyle w:val="TableParagraph"/>
              <w:spacing w:line="211" w:lineRule="exact"/>
              <w:ind w:left="108"/>
              <w:rPr>
                <w:sz w:val="21"/>
              </w:rPr>
            </w:pPr>
            <w:r>
              <w:rPr>
                <w:sz w:val="21"/>
              </w:rPr>
              <w:t>被保险人被明确诊断为慢性缩窄性心包炎且必须满足以下所有条件：</w:t>
            </w:r>
          </w:p>
          <w:p>
            <w:pPr>
              <w:pStyle w:val="TableParagraph"/>
              <w:spacing w:line="264" w:lineRule="auto" w:before="44"/>
              <w:ind w:left="108" w:right="243"/>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 </w:t>
            </w:r>
            <w:r>
              <w:rPr>
                <w:rFonts w:ascii="Times New Roman" w:eastAsia="Times New Roman"/>
                <w:sz w:val="21"/>
              </w:rPr>
              <w:t>180 </w:t>
            </w:r>
            <w:r>
              <w:rPr>
                <w:sz w:val="21"/>
              </w:rPr>
              <w:t>天以上；</w:t>
            </w:r>
          </w:p>
          <w:p>
            <w:pPr>
              <w:pStyle w:val="TableParagraph"/>
              <w:spacing w:line="264" w:lineRule="auto" w:before="25"/>
              <w:ind w:left="633" w:right="1321" w:hanging="526"/>
              <w:rPr>
                <w:sz w:val="21"/>
              </w:rPr>
            </w:pPr>
            <w:r>
              <w:rPr>
                <w:sz w:val="21"/>
              </w:rPr>
              <w:t>（</w:t>
            </w:r>
            <w:r>
              <w:rPr>
                <w:rFonts w:ascii="Times New Roman" w:eastAsia="Times New Roman"/>
                <w:sz w:val="21"/>
              </w:rPr>
              <w:t>2</w:t>
            </w:r>
            <w:r>
              <w:rPr>
                <w:sz w:val="21"/>
              </w:rPr>
              <w:t>）实际接收了以下任何一种手术路径的心包剥脱或心包切除手术； 胸骨正中切口；双侧前胸切口；左前胸肋间切口。</w:t>
            </w:r>
          </w:p>
          <w:p>
            <w:pPr>
              <w:pStyle w:val="TableParagraph"/>
              <w:spacing w:before="22"/>
              <w:ind w:left="108"/>
              <w:rPr>
                <w:sz w:val="21"/>
              </w:rPr>
            </w:pPr>
            <w:r>
              <w:rPr>
                <w:sz w:val="21"/>
              </w:rPr>
              <w:t>经胸腔镜、胸壁打孔进行的手术、心包粘连松解手术不在保障范围内。</w:t>
            </w:r>
          </w:p>
        </w:tc>
      </w:tr>
      <w:tr>
        <w:trPr>
          <w:trHeight w:val="936" w:hRule="atLeast"/>
        </w:trPr>
        <w:tc>
          <w:tcPr>
            <w:tcW w:w="1030" w:type="dxa"/>
          </w:tcPr>
          <w:p>
            <w:pPr>
              <w:pStyle w:val="TableParagraph"/>
              <w:spacing w:before="132"/>
              <w:ind w:left="166" w:right="163"/>
              <w:jc w:val="center"/>
              <w:rPr>
                <w:i/>
                <w:sz w:val="22"/>
              </w:rPr>
            </w:pPr>
            <w:r>
              <w:rPr>
                <w:i/>
                <w:sz w:val="22"/>
              </w:rPr>
              <w:t>3.2.79</w:t>
            </w:r>
          </w:p>
        </w:tc>
        <w:tc>
          <w:tcPr>
            <w:tcW w:w="1613" w:type="dxa"/>
          </w:tcPr>
          <w:p>
            <w:pPr>
              <w:pStyle w:val="TableParagraph"/>
              <w:spacing w:line="259" w:lineRule="auto" w:before="132"/>
              <w:ind w:left="197" w:right="103"/>
              <w:rPr>
                <w:i/>
                <w:sz w:val="22"/>
              </w:rPr>
            </w:pPr>
            <w:r>
              <w:rPr>
                <w:i/>
                <w:w w:val="95"/>
                <w:sz w:val="22"/>
              </w:rPr>
              <w:t>进行性多灶性白质脑病</w:t>
            </w:r>
          </w:p>
        </w:tc>
        <w:tc>
          <w:tcPr>
            <w:tcW w:w="7838" w:type="dxa"/>
          </w:tcPr>
          <w:p>
            <w:pPr>
              <w:pStyle w:val="TableParagraph"/>
              <w:spacing w:before="168"/>
              <w:ind w:left="108"/>
              <w:rPr>
                <w:sz w:val="21"/>
              </w:rPr>
            </w:pPr>
            <w:r>
              <w:rPr>
                <w:sz w:val="21"/>
              </w:rPr>
              <w:t>是一种亚急性脱髓鞘脑病，常常发生于免疫缺陷病人。必须根据脑组织活检确诊。</w:t>
            </w:r>
          </w:p>
        </w:tc>
      </w:tr>
      <w:tr>
        <w:trPr>
          <w:trHeight w:val="2567" w:hRule="atLeast"/>
        </w:trPr>
        <w:tc>
          <w:tcPr>
            <w:tcW w:w="1030" w:type="dxa"/>
          </w:tcPr>
          <w:p>
            <w:pPr>
              <w:pStyle w:val="TableParagraph"/>
              <w:spacing w:before="138"/>
              <w:ind w:left="166" w:right="163"/>
              <w:jc w:val="center"/>
              <w:rPr>
                <w:i/>
                <w:sz w:val="22"/>
              </w:rPr>
            </w:pPr>
            <w:r>
              <w:rPr>
                <w:i/>
                <w:sz w:val="22"/>
              </w:rPr>
              <w:t>3.2.80</w:t>
            </w:r>
          </w:p>
        </w:tc>
        <w:tc>
          <w:tcPr>
            <w:tcW w:w="1613" w:type="dxa"/>
          </w:tcPr>
          <w:p>
            <w:pPr>
              <w:pStyle w:val="TableParagraph"/>
              <w:spacing w:line="259" w:lineRule="auto" w:before="138"/>
              <w:ind w:left="197" w:right="103"/>
              <w:rPr>
                <w:i/>
                <w:sz w:val="22"/>
              </w:rPr>
            </w:pPr>
            <w:r>
              <w:rPr>
                <w:i/>
                <w:w w:val="95"/>
                <w:sz w:val="22"/>
              </w:rPr>
              <w:t>艾森门格综合</w:t>
            </w:r>
            <w:r>
              <w:rPr>
                <w:i/>
                <w:sz w:val="22"/>
              </w:rPr>
              <w:t>征</w:t>
            </w:r>
          </w:p>
        </w:tc>
        <w:tc>
          <w:tcPr>
            <w:tcW w:w="7838" w:type="dxa"/>
          </w:tcPr>
          <w:p>
            <w:pPr>
              <w:pStyle w:val="TableParagraph"/>
              <w:spacing w:line="280" w:lineRule="auto" w:before="174"/>
              <w:ind w:left="108" w:right="305"/>
              <w:rPr>
                <w:rFonts w:ascii="Times New Roman" w:eastAsia="Times New Roman"/>
                <w:sz w:val="21"/>
              </w:rPr>
            </w:pPr>
            <w:r>
              <w:rPr>
                <w:sz w:val="21"/>
              </w:rPr>
              <w:t>因心脏病导致的严重肺动脉高压及右向左分流。诊断必须由医院专科医生经超声心动图和心导管检查证实及需符合以下所有标准</w:t>
            </w:r>
            <w:r>
              <w:rPr>
                <w:rFonts w:ascii="Times New Roman" w:eastAsia="Times New Roman"/>
                <w:sz w:val="21"/>
              </w:rPr>
              <w:t>:</w:t>
            </w:r>
          </w:p>
          <w:p>
            <w:pPr>
              <w:pStyle w:val="TableParagraph"/>
              <w:spacing w:line="280" w:lineRule="exact"/>
              <w:ind w:left="108"/>
              <w:rPr>
                <w:sz w:val="21"/>
              </w:rPr>
            </w:pPr>
            <w:r>
              <w:rPr>
                <w:rFonts w:ascii="Times New Roman" w:eastAsia="Times New Roman"/>
                <w:sz w:val="21"/>
              </w:rPr>
              <w:t>1.</w:t>
            </w:r>
            <w:r>
              <w:rPr>
                <w:sz w:val="21"/>
              </w:rPr>
              <w:t>平均肺动脉压高于 </w:t>
            </w:r>
            <w:r>
              <w:rPr>
                <w:rFonts w:ascii="Times New Roman" w:eastAsia="Times New Roman"/>
                <w:sz w:val="21"/>
              </w:rPr>
              <w:t>40mmHg</w:t>
            </w:r>
            <w:r>
              <w:rPr>
                <w:sz w:val="21"/>
              </w:rPr>
              <w:t>；</w:t>
            </w:r>
          </w:p>
          <w:p>
            <w:pPr>
              <w:pStyle w:val="TableParagraph"/>
              <w:spacing w:before="28"/>
              <w:ind w:left="108"/>
              <w:rPr>
                <w:sz w:val="21"/>
              </w:rPr>
            </w:pPr>
            <w:r>
              <w:rPr>
                <w:rFonts w:ascii="Times New Roman" w:eastAsia="Times New Roman"/>
                <w:sz w:val="21"/>
              </w:rPr>
              <w:t>2.</w:t>
            </w:r>
            <w:r>
              <w:rPr>
                <w:spacing w:val="-8"/>
                <w:sz w:val="21"/>
              </w:rPr>
              <w:t>肺血管阻力高于 </w:t>
            </w:r>
            <w:r>
              <w:rPr>
                <w:rFonts w:ascii="Times New Roman" w:eastAsia="Times New Roman"/>
                <w:spacing w:val="-3"/>
                <w:sz w:val="21"/>
              </w:rPr>
              <w:t>3mm/L/min</w:t>
            </w:r>
            <w:r>
              <w:rPr>
                <w:spacing w:val="-3"/>
                <w:sz w:val="21"/>
              </w:rPr>
              <w:t>（</w:t>
            </w:r>
            <w:r>
              <w:rPr>
                <w:rFonts w:ascii="Times New Roman" w:eastAsia="Times New Roman"/>
                <w:spacing w:val="-3"/>
                <w:sz w:val="21"/>
              </w:rPr>
              <w:t>Wood </w:t>
            </w:r>
            <w:r>
              <w:rPr>
                <w:spacing w:val="-2"/>
                <w:sz w:val="21"/>
              </w:rPr>
              <w:t>单位</w:t>
            </w:r>
            <w:r>
              <w:rPr>
                <w:spacing w:val="-106"/>
                <w:sz w:val="21"/>
              </w:rPr>
              <w:t>）；</w:t>
            </w:r>
          </w:p>
          <w:p>
            <w:pPr>
              <w:pStyle w:val="TableParagraph"/>
              <w:spacing w:before="30"/>
              <w:ind w:left="108"/>
              <w:rPr>
                <w:sz w:val="21"/>
              </w:rPr>
            </w:pPr>
            <w:r>
              <w:rPr>
                <w:rFonts w:ascii="Times New Roman" w:eastAsia="Times New Roman"/>
                <w:sz w:val="21"/>
              </w:rPr>
              <w:t>3.</w:t>
            </w:r>
            <w:r>
              <w:rPr>
                <w:sz w:val="21"/>
              </w:rPr>
              <w:t>正常肺微血管楔压低于 </w:t>
            </w:r>
            <w:r>
              <w:rPr>
                <w:rFonts w:ascii="Times New Roman" w:eastAsia="Times New Roman"/>
                <w:sz w:val="21"/>
              </w:rPr>
              <w:t>15mmHg</w:t>
            </w:r>
            <w:r>
              <w:rPr>
                <w:sz w:val="21"/>
              </w:rPr>
              <w:t>。</w:t>
            </w:r>
          </w:p>
          <w:p>
            <w:pPr>
              <w:pStyle w:val="TableParagraph"/>
              <w:spacing w:line="278" w:lineRule="auto" w:before="28"/>
              <w:ind w:left="108" w:right="304"/>
              <w:rPr>
                <w:b/>
                <w:sz w:val="21"/>
              </w:rPr>
            </w:pPr>
            <w:r>
              <w:rPr>
                <w:b/>
                <w:sz w:val="21"/>
              </w:rPr>
              <w:t>我们承担本项疾病责任不受本合同“责任免除”中“遗传性疾病，先天性畸形、疾病，先天性变形或染色体异常”的限制。</w:t>
            </w:r>
          </w:p>
        </w:tc>
      </w:tr>
      <w:tr>
        <w:trPr>
          <w:trHeight w:val="2887" w:hRule="atLeast"/>
        </w:trPr>
        <w:tc>
          <w:tcPr>
            <w:tcW w:w="1030" w:type="dxa"/>
          </w:tcPr>
          <w:p>
            <w:pPr>
              <w:pStyle w:val="TableParagraph"/>
              <w:spacing w:before="132"/>
              <w:ind w:left="166" w:right="163"/>
              <w:jc w:val="center"/>
              <w:rPr>
                <w:i/>
                <w:sz w:val="22"/>
              </w:rPr>
            </w:pPr>
            <w:r>
              <w:rPr>
                <w:i/>
                <w:sz w:val="22"/>
              </w:rPr>
              <w:t>3.2.81</w:t>
            </w:r>
          </w:p>
        </w:tc>
        <w:tc>
          <w:tcPr>
            <w:tcW w:w="1613" w:type="dxa"/>
          </w:tcPr>
          <w:p>
            <w:pPr>
              <w:pStyle w:val="TableParagraph"/>
              <w:spacing w:before="132"/>
              <w:ind w:right="151"/>
              <w:jc w:val="right"/>
              <w:rPr>
                <w:i/>
                <w:sz w:val="22"/>
              </w:rPr>
            </w:pPr>
            <w:r>
              <w:rPr>
                <w:i/>
                <w:w w:val="95"/>
                <w:sz w:val="22"/>
              </w:rPr>
              <w:t>多发性骨髓瘤</w:t>
            </w:r>
          </w:p>
        </w:tc>
        <w:tc>
          <w:tcPr>
            <w:tcW w:w="7838" w:type="dxa"/>
          </w:tcPr>
          <w:p>
            <w:pPr>
              <w:pStyle w:val="TableParagraph"/>
              <w:spacing w:before="168"/>
              <w:ind w:left="108"/>
              <w:rPr>
                <w:sz w:val="21"/>
              </w:rPr>
            </w:pPr>
            <w:r>
              <w:rPr>
                <w:sz w:val="21"/>
              </w:rPr>
              <w:t>多发性骨髓瘤是浆细胞异常增生的肿瘤。必须满足下列全部条件：</w:t>
            </w:r>
          </w:p>
          <w:p>
            <w:pPr>
              <w:pStyle w:val="TableParagraph"/>
              <w:spacing w:before="44"/>
              <w:ind w:left="108"/>
              <w:rPr>
                <w:sz w:val="21"/>
              </w:rPr>
            </w:pPr>
            <w:r>
              <w:rPr>
                <w:sz w:val="21"/>
              </w:rPr>
              <w:t>（</w:t>
            </w:r>
            <w:r>
              <w:rPr>
                <w:rFonts w:ascii="Times New Roman" w:eastAsia="Times New Roman"/>
                <w:sz w:val="21"/>
              </w:rPr>
              <w:t>1</w:t>
            </w:r>
            <w:r>
              <w:rPr>
                <w:sz w:val="21"/>
              </w:rPr>
              <w:t>）组织学活检证实为浆细胞瘤；</w:t>
            </w:r>
          </w:p>
          <w:p>
            <w:pPr>
              <w:pStyle w:val="TableParagraph"/>
              <w:spacing w:before="30"/>
              <w:ind w:left="108"/>
              <w:rPr>
                <w:sz w:val="21"/>
              </w:rPr>
            </w:pPr>
            <w:r>
              <w:rPr>
                <w:sz w:val="21"/>
              </w:rPr>
              <w:t>（</w:t>
            </w:r>
            <w:r>
              <w:rPr>
                <w:rFonts w:ascii="Times New Roman" w:hAnsi="Times New Roman" w:eastAsia="Times New Roman"/>
                <w:sz w:val="21"/>
              </w:rPr>
              <w:t>2</w:t>
            </w:r>
            <w:r>
              <w:rPr>
                <w:sz w:val="21"/>
              </w:rPr>
              <w:t>）骨髓浆细胞增多≥</w:t>
            </w:r>
            <w:r>
              <w:rPr>
                <w:rFonts w:ascii="Times New Roman" w:hAnsi="Times New Roman" w:eastAsia="Times New Roman"/>
                <w:sz w:val="21"/>
              </w:rPr>
              <w:t>30%</w:t>
            </w:r>
            <w:r>
              <w:rPr>
                <w:sz w:val="21"/>
              </w:rPr>
              <w:t>；</w:t>
            </w:r>
          </w:p>
          <w:p>
            <w:pPr>
              <w:pStyle w:val="TableParagraph"/>
              <w:spacing w:before="28"/>
              <w:ind w:left="108"/>
              <w:rPr>
                <w:sz w:val="21"/>
              </w:rPr>
            </w:pPr>
            <w:r>
              <w:rPr>
                <w:sz w:val="21"/>
              </w:rPr>
              <w:t>（</w:t>
            </w:r>
            <w:r>
              <w:rPr>
                <w:rFonts w:ascii="Times New Roman" w:eastAsia="Times New Roman"/>
                <w:sz w:val="21"/>
              </w:rPr>
              <w:t>3</w:t>
            </w:r>
            <w:r>
              <w:rPr>
                <w:sz w:val="21"/>
              </w:rPr>
              <w:t>）过量 </w:t>
            </w:r>
            <w:r>
              <w:rPr>
                <w:rFonts w:ascii="Times New Roman" w:eastAsia="Times New Roman"/>
                <w:sz w:val="21"/>
              </w:rPr>
              <w:t>M </w:t>
            </w:r>
            <w:r>
              <w:rPr>
                <w:sz w:val="21"/>
              </w:rPr>
              <w:t>蛋白存在：</w:t>
            </w:r>
          </w:p>
          <w:p>
            <w:pPr>
              <w:pStyle w:val="TableParagraph"/>
              <w:spacing w:before="28"/>
              <w:ind w:left="108"/>
              <w:rPr>
                <w:sz w:val="21"/>
              </w:rPr>
            </w:pPr>
            <w:r>
              <w:rPr>
                <w:sz w:val="21"/>
              </w:rPr>
              <w:t>①</w:t>
            </w:r>
            <w:r>
              <w:rPr>
                <w:rFonts w:ascii="Times New Roman" w:hAnsi="Times New Roman" w:eastAsia="Times New Roman"/>
                <w:sz w:val="21"/>
              </w:rPr>
              <w:t>IgG&gt;3.5 g/dL</w:t>
            </w:r>
            <w:r>
              <w:rPr>
                <w:sz w:val="21"/>
              </w:rPr>
              <w:t>（血清）</w:t>
            </w:r>
          </w:p>
          <w:p>
            <w:pPr>
              <w:pStyle w:val="TableParagraph"/>
              <w:spacing w:before="30"/>
              <w:ind w:left="108"/>
              <w:rPr>
                <w:sz w:val="21"/>
              </w:rPr>
            </w:pPr>
            <w:r>
              <w:rPr>
                <w:sz w:val="21"/>
              </w:rPr>
              <w:t>②</w:t>
            </w:r>
            <w:r>
              <w:rPr>
                <w:rFonts w:ascii="Times New Roman" w:hAnsi="Times New Roman" w:eastAsia="Times New Roman"/>
                <w:sz w:val="21"/>
              </w:rPr>
              <w:t>IgA &gt;2 g/dL</w:t>
            </w:r>
            <w:r>
              <w:rPr>
                <w:sz w:val="21"/>
              </w:rPr>
              <w:t>（血清）</w:t>
            </w:r>
          </w:p>
          <w:p>
            <w:pPr>
              <w:pStyle w:val="TableParagraph"/>
              <w:spacing w:before="28"/>
              <w:ind w:left="108"/>
              <w:rPr>
                <w:sz w:val="21"/>
              </w:rPr>
            </w:pPr>
            <w:r>
              <w:rPr>
                <w:sz w:val="21"/>
              </w:rPr>
              <w:t>③轻链 （本周氏蛋白） ≥</w:t>
            </w:r>
            <w:r>
              <w:rPr>
                <w:rFonts w:ascii="Times New Roman" w:hAnsi="Times New Roman" w:eastAsia="Times New Roman"/>
                <w:sz w:val="21"/>
              </w:rPr>
              <w:t>1 g/24 </w:t>
            </w:r>
            <w:r>
              <w:rPr>
                <w:sz w:val="21"/>
              </w:rPr>
              <w:t>小时</w:t>
            </w:r>
          </w:p>
          <w:p>
            <w:pPr>
              <w:pStyle w:val="TableParagraph"/>
              <w:spacing w:before="28"/>
              <w:ind w:left="108"/>
              <w:rPr>
                <w:sz w:val="21"/>
              </w:rPr>
            </w:pPr>
            <w:r>
              <w:rPr>
                <w:sz w:val="21"/>
              </w:rPr>
              <w:t>（</w:t>
            </w:r>
            <w:r>
              <w:rPr>
                <w:rFonts w:ascii="Times New Roman" w:eastAsia="Times New Roman"/>
                <w:sz w:val="21"/>
              </w:rPr>
              <w:t>4</w:t>
            </w:r>
            <w:r>
              <w:rPr>
                <w:sz w:val="21"/>
              </w:rPr>
              <w:t>）血红蛋白</w:t>
            </w:r>
            <w:r>
              <w:rPr>
                <w:rFonts w:ascii="Times New Roman" w:eastAsia="Times New Roman"/>
                <w:sz w:val="21"/>
              </w:rPr>
              <w:t>&lt;85g/L</w:t>
            </w:r>
            <w:r>
              <w:rPr>
                <w:sz w:val="21"/>
              </w:rPr>
              <w:t>。</w:t>
            </w:r>
          </w:p>
        </w:tc>
      </w:tr>
      <w:tr>
        <w:trPr>
          <w:trHeight w:val="3192" w:hRule="atLeast"/>
        </w:trPr>
        <w:tc>
          <w:tcPr>
            <w:tcW w:w="1030" w:type="dxa"/>
          </w:tcPr>
          <w:p>
            <w:pPr>
              <w:pStyle w:val="TableParagraph"/>
              <w:spacing w:before="124"/>
              <w:ind w:left="166" w:right="163"/>
              <w:jc w:val="center"/>
              <w:rPr>
                <w:i/>
                <w:sz w:val="22"/>
              </w:rPr>
            </w:pPr>
            <w:r>
              <w:rPr>
                <w:i/>
                <w:sz w:val="22"/>
              </w:rPr>
              <w:t>3.2.82</w:t>
            </w:r>
          </w:p>
        </w:tc>
        <w:tc>
          <w:tcPr>
            <w:tcW w:w="1613" w:type="dxa"/>
          </w:tcPr>
          <w:p>
            <w:pPr>
              <w:pStyle w:val="TableParagraph"/>
              <w:spacing w:before="124"/>
              <w:ind w:right="151"/>
              <w:jc w:val="right"/>
              <w:rPr>
                <w:i/>
                <w:sz w:val="22"/>
              </w:rPr>
            </w:pPr>
            <w:r>
              <w:rPr>
                <w:i/>
                <w:w w:val="95"/>
                <w:sz w:val="22"/>
              </w:rPr>
              <w:t>出血性登革热</w:t>
            </w:r>
          </w:p>
        </w:tc>
        <w:tc>
          <w:tcPr>
            <w:tcW w:w="7838" w:type="dxa"/>
          </w:tcPr>
          <w:p>
            <w:pPr>
              <w:pStyle w:val="TableParagraph"/>
              <w:spacing w:line="278" w:lineRule="auto" w:before="160"/>
              <w:ind w:left="108" w:right="305"/>
              <w:rPr>
                <w:sz w:val="21"/>
              </w:rPr>
            </w:pPr>
            <w:r>
              <w:rPr>
                <w:sz w:val="21"/>
              </w:rPr>
              <w:t>登革热是由登革热病毒引起的急性传染病，为一种自限性疾病，通常预后良好。本保单仅对严重的登革热给予保障，被保险人的登革热必须符合下列所有条件：</w:t>
            </w:r>
          </w:p>
          <w:p>
            <w:pPr>
              <w:pStyle w:val="TableParagraph"/>
              <w:numPr>
                <w:ilvl w:val="0"/>
                <w:numId w:val="8"/>
              </w:numPr>
              <w:tabs>
                <w:tab w:pos="740" w:val="left" w:leader="none"/>
              </w:tabs>
              <w:spacing w:line="240" w:lineRule="auto" w:before="13" w:after="0"/>
              <w:ind w:left="739" w:right="0" w:hanging="631"/>
              <w:jc w:val="left"/>
              <w:rPr>
                <w:sz w:val="21"/>
              </w:rPr>
            </w:pPr>
            <w:r>
              <w:rPr>
                <w:spacing w:val="-3"/>
                <w:sz w:val="21"/>
              </w:rPr>
              <w:t>根据《登革热诊疗指南</w:t>
            </w:r>
            <w:r>
              <w:rPr>
                <w:sz w:val="21"/>
              </w:rPr>
              <w:t>（</w:t>
            </w:r>
            <w:r>
              <w:rPr>
                <w:rFonts w:ascii="Times New Roman" w:eastAsia="Times New Roman"/>
                <w:sz w:val="21"/>
              </w:rPr>
              <w:t>2014</w:t>
            </w:r>
            <w:r>
              <w:rPr>
                <w:rFonts w:ascii="Times New Roman" w:eastAsia="Times New Roman"/>
                <w:spacing w:val="21"/>
                <w:sz w:val="21"/>
              </w:rPr>
              <w:t> </w:t>
            </w:r>
            <w:r>
              <w:rPr>
                <w:sz w:val="21"/>
              </w:rPr>
              <w:t>版</w:t>
            </w:r>
            <w:r>
              <w:rPr>
                <w:spacing w:val="-108"/>
                <w:sz w:val="21"/>
              </w:rPr>
              <w:t>）</w:t>
            </w:r>
            <w:r>
              <w:rPr>
                <w:spacing w:val="-3"/>
                <w:sz w:val="21"/>
              </w:rPr>
              <w:t>》诊断的确诊病例；</w:t>
            </w:r>
          </w:p>
          <w:p>
            <w:pPr>
              <w:pStyle w:val="TableParagraph"/>
              <w:numPr>
                <w:ilvl w:val="0"/>
                <w:numId w:val="8"/>
              </w:numPr>
              <w:tabs>
                <w:tab w:pos="740" w:val="left" w:leader="none"/>
              </w:tabs>
              <w:spacing w:line="240" w:lineRule="auto" w:before="28" w:after="0"/>
              <w:ind w:left="739" w:right="0" w:hanging="631"/>
              <w:jc w:val="left"/>
              <w:rPr>
                <w:sz w:val="21"/>
              </w:rPr>
            </w:pPr>
            <w:r>
              <w:rPr>
                <w:spacing w:val="-3"/>
                <w:sz w:val="21"/>
              </w:rPr>
              <w:t>出现下列一种或多种严重登革热的临床表现：</w:t>
            </w:r>
          </w:p>
          <w:p>
            <w:pPr>
              <w:pStyle w:val="TableParagraph"/>
              <w:spacing w:before="28"/>
              <w:ind w:left="108"/>
              <w:rPr>
                <w:sz w:val="21"/>
              </w:rPr>
            </w:pPr>
            <w:r>
              <w:rPr>
                <w:rFonts w:ascii="Times New Roman" w:eastAsia="Times New Roman"/>
                <w:sz w:val="21"/>
              </w:rPr>
              <w:t>a.</w:t>
            </w:r>
            <w:r>
              <w:rPr>
                <w:sz w:val="21"/>
              </w:rPr>
              <w:t>血浆渗漏致休克或胸腔积液伴呼吸困难；</w:t>
            </w:r>
          </w:p>
          <w:p>
            <w:pPr>
              <w:pStyle w:val="TableParagraph"/>
              <w:spacing w:line="264" w:lineRule="auto" w:before="30"/>
              <w:ind w:left="108" w:right="303"/>
              <w:rPr>
                <w:sz w:val="21"/>
              </w:rPr>
            </w:pPr>
            <w:r>
              <w:rPr>
                <w:rFonts w:ascii="Times New Roman" w:eastAsia="Times New Roman"/>
                <w:sz w:val="21"/>
              </w:rPr>
              <w:t>b.</w:t>
            </w:r>
            <w:r>
              <w:rPr>
                <w:spacing w:val="-11"/>
                <w:sz w:val="21"/>
              </w:rPr>
              <w:t>严重出血：消化道出血、阴道大出血、颅内出血、肉眼血尿或皮下血肿</w:t>
            </w:r>
            <w:r>
              <w:rPr>
                <w:spacing w:val="-3"/>
                <w:sz w:val="21"/>
              </w:rPr>
              <w:t>（</w:t>
            </w:r>
            <w:r>
              <w:rPr>
                <w:spacing w:val="-2"/>
                <w:sz w:val="21"/>
              </w:rPr>
              <w:t>不包括</w:t>
            </w:r>
            <w:r>
              <w:rPr>
                <w:spacing w:val="-3"/>
                <w:w w:val="100"/>
                <w:sz w:val="21"/>
              </w:rPr>
              <w:t>皮下出血点</w:t>
            </w:r>
            <w:r>
              <w:rPr>
                <w:spacing w:val="-106"/>
                <w:w w:val="100"/>
                <w:sz w:val="21"/>
              </w:rPr>
              <w:t>）</w:t>
            </w:r>
            <w:r>
              <w:rPr>
                <w:w w:val="100"/>
                <w:sz w:val="21"/>
              </w:rPr>
              <w:t>；</w:t>
            </w:r>
          </w:p>
          <w:p>
            <w:pPr>
              <w:pStyle w:val="TableParagraph"/>
              <w:spacing w:line="266" w:lineRule="auto" w:before="22"/>
              <w:ind w:left="108" w:right="236" w:hanging="1"/>
              <w:rPr>
                <w:sz w:val="21"/>
              </w:rPr>
            </w:pPr>
            <w:r>
              <w:rPr>
                <w:rFonts w:ascii="Times New Roman" w:eastAsia="Times New Roman"/>
                <w:sz w:val="21"/>
              </w:rPr>
              <w:t>c.</w:t>
            </w:r>
            <w:r>
              <w:rPr>
                <w:sz w:val="21"/>
              </w:rPr>
              <w:t>严重器官损害或衰竭：肝脏损伤</w:t>
            </w:r>
            <w:r>
              <w:rPr>
                <w:rFonts w:ascii="Times New Roman" w:eastAsia="Times New Roman"/>
                <w:sz w:val="21"/>
              </w:rPr>
              <w:t>(ALT </w:t>
            </w:r>
            <w:r>
              <w:rPr>
                <w:sz w:val="21"/>
              </w:rPr>
              <w:t>或</w:t>
            </w:r>
            <w:r>
              <w:rPr>
                <w:rFonts w:ascii="Times New Roman" w:eastAsia="Times New Roman"/>
                <w:sz w:val="21"/>
              </w:rPr>
              <w:t>AST&gt;1000IU/L)</w:t>
            </w:r>
            <w:r>
              <w:rPr>
                <w:sz w:val="21"/>
              </w:rPr>
              <w:t>、</w:t>
            </w:r>
            <w:r>
              <w:rPr>
                <w:rFonts w:ascii="Times New Roman" w:eastAsia="Times New Roman"/>
                <w:sz w:val="21"/>
              </w:rPr>
              <w:t>ARDS</w:t>
            </w:r>
            <w:r>
              <w:rPr>
                <w:sz w:val="21"/>
              </w:rPr>
              <w:t>（急性呼吸窘迫综合征、急性心功能衰竭、急性肾功能衰竭、脑病。</w:t>
            </w:r>
          </w:p>
        </w:tc>
      </w:tr>
      <w:tr>
        <w:trPr>
          <w:trHeight w:val="1280" w:hRule="atLeast"/>
        </w:trPr>
        <w:tc>
          <w:tcPr>
            <w:tcW w:w="1030" w:type="dxa"/>
          </w:tcPr>
          <w:p>
            <w:pPr>
              <w:pStyle w:val="TableParagraph"/>
              <w:spacing w:before="131"/>
              <w:ind w:left="166" w:right="163"/>
              <w:jc w:val="center"/>
              <w:rPr>
                <w:i/>
                <w:sz w:val="22"/>
              </w:rPr>
            </w:pPr>
            <w:r>
              <w:rPr>
                <w:i/>
                <w:sz w:val="22"/>
              </w:rPr>
              <w:t>3.2.83</w:t>
            </w:r>
          </w:p>
        </w:tc>
        <w:tc>
          <w:tcPr>
            <w:tcW w:w="1613" w:type="dxa"/>
          </w:tcPr>
          <w:p>
            <w:pPr>
              <w:pStyle w:val="TableParagraph"/>
              <w:spacing w:line="259" w:lineRule="auto" w:before="131"/>
              <w:ind w:left="197" w:right="103"/>
              <w:rPr>
                <w:i/>
                <w:sz w:val="22"/>
              </w:rPr>
            </w:pPr>
            <w:r>
              <w:rPr>
                <w:i/>
                <w:w w:val="95"/>
                <w:sz w:val="22"/>
              </w:rPr>
              <w:t>多处臂丛神经根性撕脱</w:t>
            </w:r>
          </w:p>
        </w:tc>
        <w:tc>
          <w:tcPr>
            <w:tcW w:w="7838" w:type="dxa"/>
          </w:tcPr>
          <w:p>
            <w:pPr>
              <w:pStyle w:val="TableParagraph"/>
              <w:spacing w:line="280" w:lineRule="auto" w:before="166"/>
              <w:ind w:left="108" w:right="304"/>
              <w:jc w:val="both"/>
              <w:rPr>
                <w:sz w:val="21"/>
              </w:rPr>
            </w:pPr>
            <w:r>
              <w:rPr>
                <w:sz w:val="21"/>
              </w:rPr>
              <w:t>由于疾病或意外导致至少两根臂丛神经根性撕脱，所造成的手臂感觉功能与运动功能完全永久性丧失。该病必须由本公司认可的医院的专科医生确诊，并且有电生理检查结果证实。</w:t>
            </w:r>
          </w:p>
        </w:tc>
      </w:tr>
      <w:tr>
        <w:trPr>
          <w:trHeight w:val="458" w:hRule="atLeast"/>
        </w:trPr>
        <w:tc>
          <w:tcPr>
            <w:tcW w:w="1030" w:type="dxa"/>
          </w:tcPr>
          <w:p>
            <w:pPr>
              <w:pStyle w:val="TableParagraph"/>
              <w:spacing w:before="132"/>
              <w:ind w:left="166" w:right="163"/>
              <w:jc w:val="center"/>
              <w:rPr>
                <w:i/>
                <w:sz w:val="22"/>
              </w:rPr>
            </w:pPr>
            <w:r>
              <w:rPr>
                <w:i/>
                <w:sz w:val="22"/>
              </w:rPr>
              <w:t>3.2.84</w:t>
            </w:r>
          </w:p>
        </w:tc>
        <w:tc>
          <w:tcPr>
            <w:tcW w:w="1613" w:type="dxa"/>
          </w:tcPr>
          <w:p>
            <w:pPr>
              <w:pStyle w:val="TableParagraph"/>
              <w:spacing w:before="132"/>
              <w:ind w:right="151"/>
              <w:jc w:val="right"/>
              <w:rPr>
                <w:i/>
                <w:sz w:val="22"/>
              </w:rPr>
            </w:pPr>
            <w:r>
              <w:rPr>
                <w:i/>
                <w:w w:val="95"/>
                <w:sz w:val="22"/>
              </w:rPr>
              <w:t>严重面部烧伤</w:t>
            </w:r>
          </w:p>
        </w:tc>
        <w:tc>
          <w:tcPr>
            <w:tcW w:w="7838" w:type="dxa"/>
          </w:tcPr>
          <w:p>
            <w:pPr>
              <w:pStyle w:val="TableParagraph"/>
              <w:spacing w:line="271" w:lineRule="exact" w:before="168"/>
              <w:ind w:left="108"/>
              <w:rPr>
                <w:sz w:val="21"/>
              </w:rPr>
            </w:pPr>
            <w:r>
              <w:rPr>
                <w:sz w:val="21"/>
              </w:rPr>
              <w:t>指面部烧伤程度为Ⅲ度，且Ⅲ度烧伤的面积达到面部表面积的</w:t>
            </w:r>
            <w:r>
              <w:rPr>
                <w:rFonts w:ascii="Times New Roman" w:hAnsi="Times New Roman" w:eastAsia="Times New Roman"/>
                <w:sz w:val="21"/>
              </w:rPr>
              <w:t>80</w:t>
            </w:r>
            <w:r>
              <w:rPr>
                <w:sz w:val="21"/>
              </w:rPr>
              <w:t>％或者</w:t>
            </w:r>
            <w:r>
              <w:rPr>
                <w:rFonts w:ascii="Times New Roman" w:hAnsi="Times New Roman" w:eastAsia="Times New Roman"/>
                <w:sz w:val="21"/>
              </w:rPr>
              <w:t>80</w:t>
            </w:r>
            <w:r>
              <w:rPr>
                <w:sz w:val="21"/>
              </w:rPr>
              <w:t>％以上。</w:t>
            </w:r>
          </w:p>
        </w:tc>
      </w:tr>
    </w:tbl>
    <w:p>
      <w:pPr>
        <w:spacing w:after="0" w:line="271"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13"/>
        <w:gridCol w:w="7841"/>
      </w:tblGrid>
      <w:tr>
        <w:trPr>
          <w:trHeight w:val="2690" w:hRule="atLeast"/>
        </w:trPr>
        <w:tc>
          <w:tcPr>
            <w:tcW w:w="1030" w:type="dxa"/>
          </w:tcPr>
          <w:p>
            <w:pPr>
              <w:pStyle w:val="TableParagraph"/>
              <w:spacing w:line="222" w:lineRule="exact"/>
              <w:ind w:left="166" w:right="163"/>
              <w:jc w:val="center"/>
              <w:rPr>
                <w:i/>
                <w:sz w:val="22"/>
              </w:rPr>
            </w:pPr>
            <w:r>
              <w:rPr>
                <w:i/>
                <w:sz w:val="22"/>
              </w:rPr>
              <w:t>3.2.85</w:t>
            </w:r>
          </w:p>
        </w:tc>
        <w:tc>
          <w:tcPr>
            <w:tcW w:w="1613" w:type="dxa"/>
          </w:tcPr>
          <w:p>
            <w:pPr>
              <w:pStyle w:val="TableParagraph"/>
              <w:spacing w:line="222" w:lineRule="exact"/>
              <w:ind w:left="197"/>
              <w:rPr>
                <w:i/>
                <w:sz w:val="22"/>
              </w:rPr>
            </w:pPr>
            <w:r>
              <w:rPr>
                <w:i/>
                <w:w w:val="95"/>
                <w:sz w:val="22"/>
              </w:rPr>
              <w:t>骨髓纤维化</w:t>
            </w:r>
          </w:p>
        </w:tc>
        <w:tc>
          <w:tcPr>
            <w:tcW w:w="7841" w:type="dxa"/>
          </w:tcPr>
          <w:p>
            <w:pPr>
              <w:pStyle w:val="TableParagraph"/>
              <w:spacing w:line="245" w:lineRule="exact"/>
              <w:ind w:left="108"/>
              <w:rPr>
                <w:sz w:val="21"/>
              </w:rPr>
            </w:pPr>
            <w:r>
              <w:rPr>
                <w:sz w:val="21"/>
              </w:rPr>
              <w:t>骨髓纤维化为骨髓中成纤维细胞增殖，伴有髓外造血，表现为进行性贫血、脾肿</w:t>
            </w:r>
          </w:p>
          <w:p>
            <w:pPr>
              <w:pStyle w:val="TableParagraph"/>
              <w:spacing w:line="278" w:lineRule="auto" w:before="44"/>
              <w:ind w:left="108" w:right="308"/>
              <w:rPr>
                <w:sz w:val="21"/>
              </w:rPr>
            </w:pPr>
            <w:r>
              <w:rPr>
                <w:sz w:val="21"/>
              </w:rPr>
              <w:t>大等症状。本疾病须根据骨髓的活组织检查和周围血象检查由我们认可的医院血液科专科医生明确诊断，并至少符合下列条件中的三项，且符合条件的状态持续</w:t>
            </w:r>
          </w:p>
          <w:p>
            <w:pPr>
              <w:pStyle w:val="TableParagraph"/>
              <w:spacing w:before="13"/>
              <w:ind w:left="108"/>
              <w:rPr>
                <w:sz w:val="21"/>
              </w:rPr>
            </w:pPr>
            <w:r>
              <w:rPr>
                <w:rFonts w:ascii="Times New Roman" w:eastAsia="Times New Roman"/>
                <w:sz w:val="21"/>
              </w:rPr>
              <w:t>180  </w:t>
            </w:r>
            <w:r>
              <w:rPr>
                <w:sz w:val="21"/>
              </w:rPr>
              <w:t>天及以上，并已经实际实施了针对此症的治疗：</w:t>
            </w:r>
          </w:p>
          <w:p>
            <w:pPr>
              <w:pStyle w:val="TableParagraph"/>
              <w:spacing w:before="28"/>
              <w:ind w:left="108"/>
              <w:rPr>
                <w:sz w:val="21"/>
              </w:rPr>
            </w:pPr>
            <w:r>
              <w:rPr>
                <w:sz w:val="21"/>
              </w:rPr>
              <w:t>（</w:t>
            </w:r>
            <w:r>
              <w:rPr>
                <w:rFonts w:ascii="Times New Roman" w:eastAsia="Times New Roman"/>
                <w:sz w:val="21"/>
              </w:rPr>
              <w:t>1</w:t>
            </w:r>
            <w:r>
              <w:rPr>
                <w:sz w:val="21"/>
              </w:rPr>
              <w:t>） 血红蛋白</w:t>
            </w:r>
            <w:r>
              <w:rPr>
                <w:rFonts w:ascii="Times New Roman" w:eastAsia="Times New Roman"/>
                <w:sz w:val="21"/>
              </w:rPr>
              <w:t>&lt;100g/L</w:t>
            </w:r>
            <w:r>
              <w:rPr>
                <w:sz w:val="21"/>
              </w:rPr>
              <w:t>；</w:t>
            </w:r>
          </w:p>
          <w:p>
            <w:pPr>
              <w:pStyle w:val="TableParagraph"/>
              <w:spacing w:before="28"/>
              <w:ind w:left="108"/>
              <w:rPr>
                <w:sz w:val="21"/>
              </w:rPr>
            </w:pPr>
            <w:r>
              <w:rPr>
                <w:sz w:val="21"/>
              </w:rPr>
              <w:t>（</w:t>
            </w:r>
            <w:r>
              <w:rPr>
                <w:rFonts w:ascii="Times New Roman" w:eastAsia="Times New Roman"/>
                <w:sz w:val="21"/>
              </w:rPr>
              <w:t>2</w:t>
            </w:r>
            <w:r>
              <w:rPr>
                <w:sz w:val="21"/>
              </w:rPr>
              <w:t>） 白细胞计数</w:t>
            </w:r>
            <w:r>
              <w:rPr>
                <w:rFonts w:ascii="Times New Roman" w:eastAsia="Times New Roman"/>
                <w:sz w:val="21"/>
              </w:rPr>
              <w:t>&gt;25*10</w:t>
            </w:r>
            <w:r>
              <w:rPr>
                <w:rFonts w:ascii="Times New Roman" w:eastAsia="Times New Roman"/>
                <w:sz w:val="21"/>
                <w:vertAlign w:val="superscript"/>
              </w:rPr>
              <w:t>9</w:t>
            </w:r>
            <w:r>
              <w:rPr>
                <w:rFonts w:ascii="Times New Roman" w:eastAsia="Times New Roman"/>
                <w:sz w:val="21"/>
                <w:vertAlign w:val="baseline"/>
              </w:rPr>
              <w:t>/</w:t>
            </w:r>
            <w:r>
              <w:rPr>
                <w:rFonts w:ascii="Times New Roman" w:eastAsia="Times New Roman"/>
                <w:sz w:val="21"/>
                <w:vertAlign w:val="baseline"/>
              </w:rPr>
              <w:t>L</w:t>
            </w:r>
            <w:r>
              <w:rPr>
                <w:sz w:val="21"/>
                <w:vertAlign w:val="baseline"/>
              </w:rPr>
              <w:t>；</w:t>
            </w:r>
          </w:p>
          <w:p>
            <w:pPr>
              <w:pStyle w:val="TableParagraph"/>
              <w:spacing w:before="31"/>
              <w:ind w:left="108"/>
              <w:rPr>
                <w:sz w:val="21"/>
              </w:rPr>
            </w:pPr>
            <w:r>
              <w:rPr>
                <w:sz w:val="21"/>
              </w:rPr>
              <w:t>（</w:t>
            </w:r>
            <w:r>
              <w:rPr>
                <w:rFonts w:ascii="Times New Roman" w:hAnsi="Times New Roman" w:eastAsia="Times New Roman"/>
                <w:sz w:val="21"/>
              </w:rPr>
              <w:t>3</w:t>
            </w:r>
            <w:r>
              <w:rPr>
                <w:sz w:val="21"/>
              </w:rPr>
              <w:t>） 外周血原始细胞≥ </w:t>
            </w:r>
            <w:r>
              <w:rPr>
                <w:rFonts w:ascii="Times New Roman" w:hAnsi="Times New Roman" w:eastAsia="Times New Roman"/>
                <w:sz w:val="21"/>
              </w:rPr>
              <w:t>1%</w:t>
            </w:r>
            <w:r>
              <w:rPr>
                <w:sz w:val="21"/>
              </w:rPr>
              <w:t>；</w:t>
            </w:r>
          </w:p>
          <w:p>
            <w:pPr>
              <w:pStyle w:val="TableParagraph"/>
              <w:spacing w:before="28"/>
              <w:ind w:left="108"/>
              <w:rPr>
                <w:sz w:val="21"/>
              </w:rPr>
            </w:pPr>
            <w:r>
              <w:rPr>
                <w:sz w:val="21"/>
              </w:rPr>
              <w:t>（</w:t>
            </w:r>
            <w:r>
              <w:rPr>
                <w:rFonts w:ascii="Times New Roman" w:eastAsia="Times New Roman"/>
                <w:sz w:val="21"/>
              </w:rPr>
              <w:t>4</w:t>
            </w:r>
            <w:r>
              <w:rPr>
                <w:sz w:val="21"/>
              </w:rPr>
              <w:t>） 血小板计数</w:t>
            </w:r>
            <w:r>
              <w:rPr>
                <w:rFonts w:ascii="Times New Roman" w:eastAsia="Times New Roman"/>
                <w:sz w:val="21"/>
              </w:rPr>
              <w:t>&lt;100*10</w:t>
            </w:r>
            <w:r>
              <w:rPr>
                <w:rFonts w:ascii="Times New Roman" w:eastAsia="Times New Roman"/>
                <w:sz w:val="21"/>
                <w:vertAlign w:val="superscript"/>
              </w:rPr>
              <w:t>9</w:t>
            </w:r>
            <w:r>
              <w:rPr>
                <w:rFonts w:ascii="Times New Roman" w:eastAsia="Times New Roman"/>
                <w:sz w:val="21"/>
                <w:vertAlign w:val="baseline"/>
              </w:rPr>
              <w:t>/</w:t>
            </w:r>
            <w:r>
              <w:rPr>
                <w:rFonts w:ascii="Times New Roman" w:eastAsia="Times New Roman"/>
                <w:sz w:val="21"/>
                <w:vertAlign w:val="baseline"/>
              </w:rPr>
              <w:t>L</w:t>
            </w:r>
            <w:r>
              <w:rPr>
                <w:sz w:val="21"/>
                <w:vertAlign w:val="baseline"/>
              </w:rPr>
              <w:t>。</w:t>
            </w:r>
          </w:p>
        </w:tc>
      </w:tr>
      <w:tr>
        <w:trPr>
          <w:trHeight w:val="1920" w:hRule="atLeast"/>
        </w:trPr>
        <w:tc>
          <w:tcPr>
            <w:tcW w:w="1030" w:type="dxa"/>
          </w:tcPr>
          <w:p>
            <w:pPr>
              <w:pStyle w:val="TableParagraph"/>
              <w:spacing w:before="124"/>
              <w:ind w:left="166" w:right="163"/>
              <w:jc w:val="center"/>
              <w:rPr>
                <w:i/>
                <w:sz w:val="22"/>
              </w:rPr>
            </w:pPr>
            <w:r>
              <w:rPr>
                <w:i/>
                <w:sz w:val="22"/>
              </w:rPr>
              <w:t>3.2.86</w:t>
            </w:r>
          </w:p>
        </w:tc>
        <w:tc>
          <w:tcPr>
            <w:tcW w:w="1613" w:type="dxa"/>
          </w:tcPr>
          <w:p>
            <w:pPr>
              <w:pStyle w:val="TableParagraph"/>
              <w:spacing w:line="259" w:lineRule="auto" w:before="124"/>
              <w:ind w:left="197" w:right="103"/>
              <w:rPr>
                <w:i/>
                <w:sz w:val="22"/>
              </w:rPr>
            </w:pPr>
            <w:r>
              <w:rPr>
                <w:i/>
                <w:w w:val="95"/>
                <w:sz w:val="22"/>
              </w:rPr>
              <w:t>严重结核性脑膜炎</w:t>
            </w:r>
          </w:p>
        </w:tc>
        <w:tc>
          <w:tcPr>
            <w:tcW w:w="7841" w:type="dxa"/>
          </w:tcPr>
          <w:p>
            <w:pPr>
              <w:pStyle w:val="TableParagraph"/>
              <w:spacing w:before="160"/>
              <w:ind w:left="108"/>
              <w:rPr>
                <w:sz w:val="21"/>
              </w:rPr>
            </w:pPr>
            <w:r>
              <w:rPr>
                <w:sz w:val="21"/>
              </w:rPr>
              <w:t>由结核杆菌引起的脑膜和脊膜的非化脓性炎症性疾病。需满足以下全部条件：</w:t>
            </w:r>
          </w:p>
          <w:p>
            <w:pPr>
              <w:pStyle w:val="TableParagraph"/>
              <w:numPr>
                <w:ilvl w:val="0"/>
                <w:numId w:val="9"/>
              </w:numPr>
              <w:tabs>
                <w:tab w:pos="740" w:val="left" w:leader="none"/>
              </w:tabs>
              <w:spacing w:line="240" w:lineRule="auto" w:before="44" w:after="0"/>
              <w:ind w:left="739" w:right="0" w:hanging="631"/>
              <w:jc w:val="left"/>
              <w:rPr>
                <w:sz w:val="21"/>
              </w:rPr>
            </w:pPr>
            <w:r>
              <w:rPr>
                <w:spacing w:val="-3"/>
                <w:sz w:val="21"/>
              </w:rPr>
              <w:t>出现颅内压明显增高，表现头痛、呕吐和视乳头水肿；</w:t>
            </w:r>
          </w:p>
          <w:p>
            <w:pPr>
              <w:pStyle w:val="TableParagraph"/>
              <w:numPr>
                <w:ilvl w:val="0"/>
                <w:numId w:val="9"/>
              </w:numPr>
              <w:tabs>
                <w:tab w:pos="740" w:val="left" w:leader="none"/>
              </w:tabs>
              <w:spacing w:line="240" w:lineRule="auto" w:before="28" w:after="0"/>
              <w:ind w:left="739" w:right="0" w:hanging="631"/>
              <w:jc w:val="left"/>
              <w:rPr>
                <w:sz w:val="21"/>
              </w:rPr>
            </w:pPr>
            <w:r>
              <w:rPr>
                <w:spacing w:val="-3"/>
                <w:sz w:val="21"/>
              </w:rPr>
              <w:t>出现部分性、全身性癫痫发作或癫痫持续状态；</w:t>
            </w:r>
          </w:p>
          <w:p>
            <w:pPr>
              <w:pStyle w:val="TableParagraph"/>
              <w:numPr>
                <w:ilvl w:val="0"/>
                <w:numId w:val="9"/>
              </w:numPr>
              <w:tabs>
                <w:tab w:pos="740" w:val="left" w:leader="none"/>
              </w:tabs>
              <w:spacing w:line="240" w:lineRule="auto" w:before="31" w:after="0"/>
              <w:ind w:left="739" w:right="0" w:hanging="631"/>
              <w:jc w:val="left"/>
              <w:rPr>
                <w:sz w:val="21"/>
              </w:rPr>
            </w:pPr>
            <w:r>
              <w:rPr>
                <w:spacing w:val="-3"/>
                <w:sz w:val="21"/>
              </w:rPr>
              <w:t>昏睡或意识模糊；</w:t>
            </w:r>
          </w:p>
          <w:p>
            <w:pPr>
              <w:pStyle w:val="TableParagraph"/>
              <w:numPr>
                <w:ilvl w:val="0"/>
                <w:numId w:val="9"/>
              </w:numPr>
              <w:tabs>
                <w:tab w:pos="740" w:val="left" w:leader="none"/>
              </w:tabs>
              <w:spacing w:line="240" w:lineRule="auto" w:before="28" w:after="0"/>
              <w:ind w:left="739" w:right="0" w:hanging="631"/>
              <w:jc w:val="left"/>
              <w:rPr>
                <w:sz w:val="21"/>
              </w:rPr>
            </w:pPr>
            <w:r>
              <w:rPr>
                <w:spacing w:val="-3"/>
                <w:sz w:val="21"/>
              </w:rPr>
              <w:t>视力减退、复视和面神经麻痹。</w:t>
            </w:r>
          </w:p>
        </w:tc>
      </w:tr>
      <w:tr>
        <w:trPr>
          <w:trHeight w:val="2551" w:hRule="atLeast"/>
        </w:trPr>
        <w:tc>
          <w:tcPr>
            <w:tcW w:w="1030" w:type="dxa"/>
          </w:tcPr>
          <w:p>
            <w:pPr>
              <w:pStyle w:val="TableParagraph"/>
              <w:spacing w:before="124"/>
              <w:ind w:left="166" w:right="163"/>
              <w:jc w:val="center"/>
              <w:rPr>
                <w:i/>
                <w:sz w:val="22"/>
              </w:rPr>
            </w:pPr>
            <w:r>
              <w:rPr>
                <w:i/>
                <w:sz w:val="22"/>
              </w:rPr>
              <w:t>3.2.87</w:t>
            </w:r>
          </w:p>
        </w:tc>
        <w:tc>
          <w:tcPr>
            <w:tcW w:w="1613" w:type="dxa"/>
          </w:tcPr>
          <w:p>
            <w:pPr>
              <w:pStyle w:val="TableParagraph"/>
              <w:spacing w:line="259" w:lineRule="auto" w:before="124"/>
              <w:ind w:left="197" w:right="103"/>
              <w:rPr>
                <w:i/>
                <w:sz w:val="22"/>
              </w:rPr>
            </w:pPr>
            <w:r>
              <w:rPr>
                <w:i/>
                <w:w w:val="95"/>
                <w:sz w:val="22"/>
              </w:rPr>
              <w:t>湿性年龄相关性黄斑变性</w:t>
            </w:r>
          </w:p>
        </w:tc>
        <w:tc>
          <w:tcPr>
            <w:tcW w:w="7841" w:type="dxa"/>
          </w:tcPr>
          <w:p>
            <w:pPr>
              <w:pStyle w:val="TableParagraph"/>
              <w:spacing w:line="276" w:lineRule="auto" w:before="160"/>
              <w:ind w:left="108" w:right="307"/>
              <w:jc w:val="both"/>
              <w:rPr>
                <w:sz w:val="21"/>
              </w:rPr>
            </w:pPr>
            <w:r>
              <w:rPr>
                <w:sz w:val="21"/>
              </w:rPr>
              <w:t>指新生血管性年龄相关性黄斑变性或“渗出性”年龄相关性黄斑变性，发生脉络膜新生血管（</w:t>
            </w:r>
            <w:r>
              <w:rPr>
                <w:rFonts w:ascii="Times New Roman" w:hAnsi="Times New Roman" w:eastAsia="Times New Roman"/>
                <w:sz w:val="21"/>
              </w:rPr>
              <w:t>CNV</w:t>
            </w:r>
            <w:r>
              <w:rPr>
                <w:sz w:val="21"/>
              </w:rPr>
              <w:t>）异常生长穿透玻璃膜进入视网膜，新生血管渗漏，渗出及出血。该病必须由荧光素眼底血管造影检查提示黄斑区新生血管形成，并且必须由医院的眼科专科医生确诊为湿性年龄相关性黄斑变性，并且双眼中较好眼矫正视</w:t>
            </w:r>
            <w:r>
              <w:rPr>
                <w:spacing w:val="-7"/>
                <w:sz w:val="21"/>
              </w:rPr>
              <w:t>力低于 </w:t>
            </w:r>
            <w:r>
              <w:rPr>
                <w:sz w:val="21"/>
              </w:rPr>
              <w:t>0.02（</w:t>
            </w:r>
            <w:r>
              <w:rPr>
                <w:spacing w:val="-3"/>
                <w:sz w:val="21"/>
              </w:rPr>
              <w:t>采用国际标准视力表，如果使用其他视力表应进行换算</w:t>
            </w:r>
            <w:r>
              <w:rPr>
                <w:spacing w:val="-108"/>
                <w:sz w:val="21"/>
              </w:rPr>
              <w:t>）</w:t>
            </w:r>
            <w:r>
              <w:rPr>
                <w:sz w:val="21"/>
              </w:rPr>
              <w:t>。</w:t>
            </w:r>
          </w:p>
          <w:p>
            <w:pPr>
              <w:pStyle w:val="TableParagraph"/>
              <w:spacing w:line="266" w:lineRule="auto" w:before="13"/>
              <w:ind w:left="108" w:right="247"/>
              <w:jc w:val="both"/>
              <w:rPr>
                <w:b/>
                <w:sz w:val="21"/>
              </w:rPr>
            </w:pPr>
            <w:r>
              <w:rPr>
                <w:b/>
                <w:sz w:val="21"/>
              </w:rPr>
              <w:t>被保险人申请理赔时须提供近 </w:t>
            </w:r>
            <w:r>
              <w:rPr>
                <w:rFonts w:ascii="Times New Roman" w:eastAsia="Times New Roman"/>
                <w:b/>
                <w:sz w:val="21"/>
              </w:rPr>
              <w:t>3 </w:t>
            </w:r>
            <w:r>
              <w:rPr>
                <w:b/>
                <w:sz w:val="21"/>
              </w:rPr>
              <w:t>个月内视力改变显示病情恶化的相关检查报告、诊断证明及病历报告。</w:t>
            </w:r>
          </w:p>
        </w:tc>
      </w:tr>
      <w:tr>
        <w:trPr>
          <w:trHeight w:val="1920" w:hRule="atLeast"/>
        </w:trPr>
        <w:tc>
          <w:tcPr>
            <w:tcW w:w="1030" w:type="dxa"/>
          </w:tcPr>
          <w:p>
            <w:pPr>
              <w:pStyle w:val="TableParagraph"/>
              <w:spacing w:before="131"/>
              <w:ind w:left="166" w:right="163"/>
              <w:jc w:val="center"/>
              <w:rPr>
                <w:i/>
                <w:sz w:val="22"/>
              </w:rPr>
            </w:pPr>
            <w:r>
              <w:rPr>
                <w:i/>
                <w:sz w:val="22"/>
              </w:rPr>
              <w:t>3.2.88</w:t>
            </w:r>
          </w:p>
        </w:tc>
        <w:tc>
          <w:tcPr>
            <w:tcW w:w="1613" w:type="dxa"/>
          </w:tcPr>
          <w:p>
            <w:pPr>
              <w:pStyle w:val="TableParagraph"/>
              <w:spacing w:before="131"/>
              <w:ind w:left="197"/>
              <w:rPr>
                <w:i/>
                <w:sz w:val="22"/>
              </w:rPr>
            </w:pPr>
            <w:r>
              <w:rPr>
                <w:i/>
                <w:w w:val="95"/>
                <w:sz w:val="22"/>
              </w:rPr>
              <w:t>脊柱裂</w:t>
            </w:r>
          </w:p>
        </w:tc>
        <w:tc>
          <w:tcPr>
            <w:tcW w:w="7841" w:type="dxa"/>
          </w:tcPr>
          <w:p>
            <w:pPr>
              <w:pStyle w:val="TableParagraph"/>
              <w:spacing w:line="271" w:lineRule="auto" w:before="167"/>
              <w:ind w:left="108" w:right="305"/>
              <w:jc w:val="both"/>
              <w:rPr>
                <w:sz w:val="21"/>
              </w:rPr>
            </w:pPr>
            <w:r>
              <w:rPr>
                <w:sz w:val="21"/>
              </w:rPr>
              <w:t>指脊椎或颅骨不完全闭合，导致脊髓脊膜突出，脑（脊）膜突出或脑膨出，合并</w:t>
            </w:r>
            <w:r>
              <w:rPr>
                <w:spacing w:val="-10"/>
                <w:sz w:val="21"/>
              </w:rPr>
              <w:t>大小便失禁，部分或完全性下肢瘫痪或畸形等神经学上的异常，但不包括由 </w:t>
            </w:r>
            <w:r>
              <w:rPr>
                <w:rFonts w:ascii="Times New Roman" w:eastAsia="Times New Roman"/>
                <w:sz w:val="21"/>
              </w:rPr>
              <w:t>X </w:t>
            </w:r>
            <w:r>
              <w:rPr>
                <w:sz w:val="21"/>
              </w:rPr>
              <w:t>线</w:t>
            </w:r>
            <w:r>
              <w:rPr>
                <w:spacing w:val="-3"/>
                <w:sz w:val="21"/>
              </w:rPr>
              <w:t>摄片发现的没有合并脊椎脊膜突出或脑（</w:t>
            </w:r>
            <w:r>
              <w:rPr>
                <w:sz w:val="21"/>
              </w:rPr>
              <w:t>脊</w:t>
            </w:r>
            <w:r>
              <w:rPr>
                <w:spacing w:val="-3"/>
                <w:sz w:val="21"/>
              </w:rPr>
              <w:t>）膜突出的隐形脊椎裂。</w:t>
            </w:r>
          </w:p>
          <w:p>
            <w:pPr>
              <w:pStyle w:val="TableParagraph"/>
              <w:spacing w:line="280" w:lineRule="auto" w:before="17"/>
              <w:ind w:left="108" w:right="308"/>
              <w:jc w:val="both"/>
              <w:rPr>
                <w:b/>
                <w:sz w:val="21"/>
              </w:rPr>
            </w:pPr>
            <w:r>
              <w:rPr>
                <w:b/>
                <w:sz w:val="21"/>
              </w:rPr>
              <w:t>我们承担本项疾病责任不受本合同“责任免除”中“遗传性疾病，先天性畸形、疾病，先天性变形或染色体异常”的限制。</w:t>
            </w:r>
          </w:p>
        </w:tc>
      </w:tr>
      <w:tr>
        <w:trPr>
          <w:trHeight w:val="1927" w:hRule="atLeast"/>
        </w:trPr>
        <w:tc>
          <w:tcPr>
            <w:tcW w:w="1030" w:type="dxa"/>
          </w:tcPr>
          <w:p>
            <w:pPr>
              <w:pStyle w:val="TableParagraph"/>
              <w:spacing w:before="131"/>
              <w:ind w:left="166" w:right="163"/>
              <w:jc w:val="center"/>
              <w:rPr>
                <w:i/>
                <w:sz w:val="22"/>
              </w:rPr>
            </w:pPr>
            <w:r>
              <w:rPr>
                <w:i/>
                <w:sz w:val="22"/>
              </w:rPr>
              <w:t>3.2.89</w:t>
            </w:r>
          </w:p>
        </w:tc>
        <w:tc>
          <w:tcPr>
            <w:tcW w:w="1613" w:type="dxa"/>
          </w:tcPr>
          <w:p>
            <w:pPr>
              <w:pStyle w:val="TableParagraph"/>
              <w:spacing w:before="131"/>
              <w:ind w:left="197"/>
              <w:rPr>
                <w:i/>
                <w:sz w:val="22"/>
              </w:rPr>
            </w:pPr>
            <w:r>
              <w:rPr>
                <w:i/>
                <w:w w:val="95"/>
                <w:sz w:val="22"/>
              </w:rPr>
              <w:t>坏死性筋膜炎</w:t>
            </w:r>
          </w:p>
        </w:tc>
        <w:tc>
          <w:tcPr>
            <w:tcW w:w="7841" w:type="dxa"/>
          </w:tcPr>
          <w:p>
            <w:pPr>
              <w:pStyle w:val="TableParagraph"/>
              <w:spacing w:line="280" w:lineRule="auto" w:before="166"/>
              <w:ind w:left="108" w:right="161"/>
              <w:rPr>
                <w:sz w:val="21"/>
              </w:rPr>
            </w:pPr>
            <w:r>
              <w:rPr>
                <w:sz w:val="21"/>
              </w:rPr>
              <w:t>是一种由细菌侵入皮下组织和筋膜引起的急性坏死性软组织感染，可伴有毒血症、败血症、中毒性休克、弥漫性血管内凝血及多器官衰竭。必须满足以下所有条件：</w:t>
            </w:r>
          </w:p>
          <w:p>
            <w:pPr>
              <w:pStyle w:val="TableParagraph"/>
              <w:spacing w:before="8"/>
              <w:ind w:left="108"/>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8"/>
              <w:ind w:left="108"/>
              <w:rPr>
                <w:sz w:val="21"/>
              </w:rPr>
            </w:pPr>
            <w:r>
              <w:rPr>
                <w:sz w:val="21"/>
              </w:rPr>
              <w:t>（</w:t>
            </w:r>
            <w:r>
              <w:rPr>
                <w:rFonts w:ascii="Times New Roman" w:eastAsia="Times New Roman"/>
                <w:sz w:val="21"/>
              </w:rPr>
              <w:t>2</w:t>
            </w:r>
            <w:r>
              <w:rPr>
                <w:sz w:val="21"/>
              </w:rPr>
              <w:t>）病情迅速恶化，有脓毒血症表现；</w:t>
            </w:r>
          </w:p>
          <w:p>
            <w:pPr>
              <w:pStyle w:val="TableParagraph"/>
              <w:spacing w:before="30"/>
              <w:ind w:left="108"/>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2675" w:hRule="atLeast"/>
        </w:trPr>
        <w:tc>
          <w:tcPr>
            <w:tcW w:w="1030" w:type="dxa"/>
          </w:tcPr>
          <w:p>
            <w:pPr>
              <w:pStyle w:val="TableParagraph"/>
              <w:spacing w:before="123"/>
              <w:ind w:left="166" w:right="163"/>
              <w:jc w:val="center"/>
              <w:rPr>
                <w:i/>
                <w:sz w:val="22"/>
              </w:rPr>
            </w:pPr>
            <w:r>
              <w:rPr>
                <w:i/>
                <w:sz w:val="22"/>
              </w:rPr>
              <w:t>3.2.90</w:t>
            </w:r>
          </w:p>
        </w:tc>
        <w:tc>
          <w:tcPr>
            <w:tcW w:w="1613" w:type="dxa"/>
          </w:tcPr>
          <w:p>
            <w:pPr>
              <w:pStyle w:val="TableParagraph"/>
              <w:spacing w:line="259" w:lineRule="auto" w:before="123"/>
              <w:ind w:left="197" w:right="103"/>
              <w:rPr>
                <w:i/>
                <w:sz w:val="22"/>
              </w:rPr>
            </w:pPr>
            <w:r>
              <w:rPr>
                <w:i/>
                <w:w w:val="95"/>
                <w:sz w:val="22"/>
              </w:rPr>
              <w:t>亚急性硬化性全脑炎</w:t>
            </w:r>
          </w:p>
        </w:tc>
        <w:tc>
          <w:tcPr>
            <w:tcW w:w="7841" w:type="dxa"/>
          </w:tcPr>
          <w:p>
            <w:pPr>
              <w:pStyle w:val="TableParagraph"/>
              <w:spacing w:line="278" w:lineRule="auto" w:before="158"/>
              <w:ind w:left="108" w:right="308"/>
              <w:jc w:val="both"/>
              <w:rPr>
                <w:sz w:val="21"/>
              </w:rPr>
            </w:pPr>
            <w:r>
              <w:rPr>
                <w:sz w:val="21"/>
              </w:rPr>
              <w:t>指一种以大脑白质和灰质损害为主的全脑炎。本病的发生是由于缺损型麻疹病毒慢性持续感染所致的一种罕见的致命性中枢神经系统退变性疾病。早期以炎症性病变为主，晚期主要为神经元坏死和胶质增生，核内包涵体是本病的特征性改变之一。疾病确诊 </w:t>
            </w:r>
            <w:r>
              <w:rPr>
                <w:rFonts w:ascii="Times New Roman" w:eastAsia="Times New Roman"/>
                <w:sz w:val="21"/>
              </w:rPr>
              <w:t>180  </w:t>
            </w:r>
            <w:r>
              <w:rPr>
                <w:sz w:val="21"/>
              </w:rPr>
              <w:t>天后，仍遗留下列一种或一种以上障碍：</w:t>
            </w:r>
          </w:p>
          <w:p>
            <w:pPr>
              <w:pStyle w:val="TableParagraph"/>
              <w:numPr>
                <w:ilvl w:val="0"/>
                <w:numId w:val="10"/>
              </w:numPr>
              <w:tabs>
                <w:tab w:pos="740" w:val="left" w:leader="none"/>
              </w:tabs>
              <w:spacing w:line="284" w:lineRule="exact" w:before="0" w:after="0"/>
              <w:ind w:left="107" w:right="0" w:firstLine="1"/>
              <w:jc w:val="left"/>
              <w:rPr>
                <w:sz w:val="21"/>
              </w:rPr>
            </w:pPr>
            <w:r>
              <w:rPr>
                <w:spacing w:val="-3"/>
                <w:sz w:val="21"/>
              </w:rPr>
              <w:t>一肢或一肢以上肢体机能完全丧失；</w:t>
            </w:r>
          </w:p>
          <w:p>
            <w:pPr>
              <w:pStyle w:val="TableParagraph"/>
              <w:numPr>
                <w:ilvl w:val="0"/>
                <w:numId w:val="10"/>
              </w:numPr>
              <w:tabs>
                <w:tab w:pos="740" w:val="left" w:leader="none"/>
              </w:tabs>
              <w:spacing w:line="240" w:lineRule="auto" w:before="29" w:after="0"/>
              <w:ind w:left="107" w:right="0" w:firstLine="1"/>
              <w:jc w:val="left"/>
              <w:rPr>
                <w:sz w:val="21"/>
              </w:rPr>
            </w:pPr>
            <w:r>
              <w:rPr>
                <w:spacing w:val="-3"/>
                <w:sz w:val="21"/>
              </w:rPr>
              <w:t>语言能力或咀嚼吞咽能力完全丧失；</w:t>
            </w:r>
          </w:p>
          <w:p>
            <w:pPr>
              <w:pStyle w:val="TableParagraph"/>
              <w:numPr>
                <w:ilvl w:val="0"/>
                <w:numId w:val="10"/>
              </w:numPr>
              <w:tabs>
                <w:tab w:pos="747" w:val="left" w:leader="none"/>
              </w:tabs>
              <w:spacing w:line="300" w:lineRule="atLeast" w:before="19" w:after="0"/>
              <w:ind w:left="107" w:right="306" w:firstLine="1"/>
              <w:jc w:val="left"/>
              <w:rPr>
                <w:sz w:val="21"/>
              </w:rPr>
            </w:pPr>
            <w:r>
              <w:rPr>
                <w:sz w:val="21"/>
              </w:rPr>
              <w:t>自主生活能力完全丧失，无法独立完成六项基本日常生活活动中的三项或</w:t>
            </w:r>
            <w:r>
              <w:rPr>
                <w:spacing w:val="-1"/>
                <w:sz w:val="21"/>
              </w:rPr>
              <w:t>三项以上。</w:t>
            </w:r>
          </w:p>
        </w:tc>
      </w:tr>
    </w:tbl>
    <w:p>
      <w:pPr>
        <w:spacing w:after="0" w:line="300" w:lineRule="atLeast"/>
        <w:jc w:val="left"/>
        <w:rPr>
          <w:sz w:val="21"/>
        </w:rPr>
        <w:sectPr>
          <w:pgSz w:w="11910" w:h="16840"/>
          <w:pgMar w:header="892" w:footer="917" w:top="1080" w:bottom="1100" w:left="820" w:right="38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590"/>
        <w:gridCol w:w="7860"/>
      </w:tblGrid>
      <w:tr>
        <w:trPr>
          <w:trHeight w:val="2050" w:hRule="atLeast"/>
        </w:trPr>
        <w:tc>
          <w:tcPr>
            <w:tcW w:w="1030" w:type="dxa"/>
          </w:tcPr>
          <w:p>
            <w:pPr>
              <w:pStyle w:val="TableParagraph"/>
              <w:spacing w:line="222" w:lineRule="exact"/>
              <w:ind w:left="166" w:right="163"/>
              <w:jc w:val="center"/>
              <w:rPr>
                <w:i/>
                <w:sz w:val="22"/>
              </w:rPr>
            </w:pPr>
            <w:r>
              <w:rPr>
                <w:i/>
                <w:sz w:val="22"/>
              </w:rPr>
              <w:t>3.2.91</w:t>
            </w:r>
          </w:p>
        </w:tc>
        <w:tc>
          <w:tcPr>
            <w:tcW w:w="1590" w:type="dxa"/>
          </w:tcPr>
          <w:p>
            <w:pPr>
              <w:pStyle w:val="TableParagraph"/>
              <w:spacing w:line="222" w:lineRule="exact"/>
              <w:ind w:left="197"/>
              <w:rPr>
                <w:i/>
                <w:sz w:val="22"/>
              </w:rPr>
            </w:pPr>
            <w:r>
              <w:rPr>
                <w:i/>
                <w:w w:val="95"/>
                <w:sz w:val="22"/>
              </w:rPr>
              <w:t>肺淋巴管肌瘤</w:t>
            </w:r>
          </w:p>
          <w:p>
            <w:pPr>
              <w:pStyle w:val="TableParagraph"/>
              <w:spacing w:before="24"/>
              <w:ind w:left="197"/>
              <w:rPr>
                <w:i/>
                <w:sz w:val="22"/>
              </w:rPr>
            </w:pPr>
            <w:r>
              <w:rPr>
                <w:i/>
                <w:w w:val="95"/>
                <w:sz w:val="22"/>
              </w:rPr>
              <w:t>病</w:t>
            </w:r>
          </w:p>
        </w:tc>
        <w:tc>
          <w:tcPr>
            <w:tcW w:w="7860" w:type="dxa"/>
          </w:tcPr>
          <w:p>
            <w:pPr>
              <w:pStyle w:val="TableParagraph"/>
              <w:spacing w:line="245" w:lineRule="exact"/>
              <w:ind w:left="131"/>
              <w:rPr>
                <w:sz w:val="21"/>
              </w:rPr>
            </w:pPr>
            <w:r>
              <w:rPr>
                <w:sz w:val="21"/>
              </w:rPr>
              <w:t>是一种弥漫性肺部疾病，主要病理改变为肺间质、支气管、血管和淋巴管内出现</w:t>
            </w:r>
          </w:p>
          <w:p>
            <w:pPr>
              <w:pStyle w:val="TableParagraph"/>
              <w:spacing w:before="44"/>
              <w:ind w:left="131"/>
              <w:rPr>
                <w:sz w:val="21"/>
              </w:rPr>
            </w:pPr>
            <w:r>
              <w:rPr>
                <w:sz w:val="21"/>
              </w:rPr>
              <w:t>未成熟的平滑肌异常增生，同时需满足下列全部条件：</w:t>
            </w:r>
          </w:p>
          <w:p>
            <w:pPr>
              <w:pStyle w:val="TableParagraph"/>
              <w:spacing w:before="46"/>
              <w:ind w:left="131"/>
              <w:rPr>
                <w:sz w:val="21"/>
              </w:rPr>
            </w:pPr>
            <w:r>
              <w:rPr>
                <w:sz w:val="21"/>
              </w:rPr>
              <w:t>（</w:t>
            </w:r>
            <w:r>
              <w:rPr>
                <w:rFonts w:ascii="Times New Roman" w:eastAsia="Times New Roman"/>
                <w:sz w:val="21"/>
              </w:rPr>
              <w:t>1</w:t>
            </w:r>
            <w:r>
              <w:rPr>
                <w:sz w:val="21"/>
              </w:rPr>
              <w:t>）经组织病理学诊断；</w:t>
            </w:r>
          </w:p>
          <w:p>
            <w:pPr>
              <w:pStyle w:val="TableParagraph"/>
              <w:spacing w:before="28"/>
              <w:ind w:left="131"/>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8"/>
              <w:ind w:left="131"/>
              <w:rPr>
                <w:sz w:val="21"/>
              </w:rPr>
            </w:pPr>
            <w:r>
              <w:rPr>
                <w:sz w:val="21"/>
              </w:rPr>
              <w:t>（</w:t>
            </w:r>
            <w:r>
              <w:rPr>
                <w:rFonts w:ascii="Times New Roman" w:eastAsia="Times New Roman"/>
                <w:sz w:val="21"/>
              </w:rPr>
              <w:t>3</w:t>
            </w:r>
            <w:r>
              <w:rPr>
                <w:sz w:val="21"/>
              </w:rPr>
              <w:t>）休息时出现呼吸困难；</w:t>
            </w:r>
          </w:p>
          <w:p>
            <w:pPr>
              <w:pStyle w:val="TableParagraph"/>
              <w:spacing w:before="30"/>
              <w:ind w:left="131"/>
              <w:rPr>
                <w:sz w:val="21"/>
              </w:rPr>
            </w:pPr>
            <w:r>
              <w:rPr>
                <w:sz w:val="21"/>
              </w:rPr>
              <w:t>（</w:t>
            </w:r>
            <w:r>
              <w:rPr>
                <w:rFonts w:ascii="Times New Roman" w:eastAsia="Times New Roman"/>
                <w:sz w:val="21"/>
              </w:rPr>
              <w:t>4</w:t>
            </w:r>
            <w:r>
              <w:rPr>
                <w:sz w:val="21"/>
              </w:rPr>
              <w:t>）经本公司认可医院的专科医生认可有必要进行肺移植手术。</w:t>
            </w:r>
          </w:p>
        </w:tc>
      </w:tr>
      <w:tr>
        <w:trPr>
          <w:trHeight w:val="952" w:hRule="atLeast"/>
        </w:trPr>
        <w:tc>
          <w:tcPr>
            <w:tcW w:w="1030" w:type="dxa"/>
          </w:tcPr>
          <w:p>
            <w:pPr>
              <w:pStyle w:val="TableParagraph"/>
              <w:spacing w:before="123"/>
              <w:ind w:left="166" w:right="163"/>
              <w:jc w:val="center"/>
              <w:rPr>
                <w:i/>
                <w:sz w:val="22"/>
              </w:rPr>
            </w:pPr>
            <w:r>
              <w:rPr>
                <w:i/>
                <w:sz w:val="22"/>
              </w:rPr>
              <w:t>3.2.92</w:t>
            </w:r>
          </w:p>
        </w:tc>
        <w:tc>
          <w:tcPr>
            <w:tcW w:w="1590" w:type="dxa"/>
          </w:tcPr>
          <w:p>
            <w:pPr>
              <w:pStyle w:val="TableParagraph"/>
              <w:spacing w:before="123"/>
              <w:ind w:left="197"/>
              <w:rPr>
                <w:i/>
                <w:sz w:val="22"/>
              </w:rPr>
            </w:pPr>
            <w:r>
              <w:rPr>
                <w:i/>
                <w:w w:val="95"/>
                <w:sz w:val="22"/>
              </w:rPr>
              <w:t>独立能力丧失</w:t>
            </w:r>
          </w:p>
        </w:tc>
        <w:tc>
          <w:tcPr>
            <w:tcW w:w="7860" w:type="dxa"/>
          </w:tcPr>
          <w:p>
            <w:pPr>
              <w:pStyle w:val="TableParagraph"/>
              <w:spacing w:line="266" w:lineRule="auto" w:before="158"/>
              <w:ind w:left="131" w:right="298"/>
              <w:rPr>
                <w:sz w:val="21"/>
              </w:rPr>
            </w:pPr>
            <w:r>
              <w:rPr>
                <w:sz w:val="21"/>
              </w:rPr>
              <w:t>指疾病或外伤造成被保险人至少持续 </w:t>
            </w:r>
            <w:r>
              <w:rPr>
                <w:rFonts w:ascii="Times New Roman" w:eastAsia="Times New Roman"/>
                <w:sz w:val="21"/>
              </w:rPr>
              <w:t>6 </w:t>
            </w:r>
            <w:r>
              <w:rPr>
                <w:sz w:val="21"/>
              </w:rPr>
              <w:t>个月以上完全无法独立完成全部六项基本日常生活活动。被保险人的日常生活活动能力丧失必须是永久性的。</w:t>
            </w:r>
          </w:p>
        </w:tc>
      </w:tr>
      <w:tr>
        <w:trPr>
          <w:trHeight w:val="2240" w:hRule="atLeast"/>
        </w:trPr>
        <w:tc>
          <w:tcPr>
            <w:tcW w:w="1030" w:type="dxa"/>
          </w:tcPr>
          <w:p>
            <w:pPr>
              <w:pStyle w:val="TableParagraph"/>
              <w:spacing w:before="131"/>
              <w:ind w:left="166" w:right="163"/>
              <w:jc w:val="center"/>
              <w:rPr>
                <w:i/>
                <w:sz w:val="22"/>
              </w:rPr>
            </w:pPr>
            <w:r>
              <w:rPr>
                <w:i/>
                <w:sz w:val="22"/>
              </w:rPr>
              <w:t>3.2.93</w:t>
            </w:r>
          </w:p>
        </w:tc>
        <w:tc>
          <w:tcPr>
            <w:tcW w:w="1590" w:type="dxa"/>
          </w:tcPr>
          <w:p>
            <w:pPr>
              <w:pStyle w:val="TableParagraph"/>
              <w:spacing w:before="131"/>
              <w:ind w:left="197"/>
              <w:rPr>
                <w:i/>
                <w:sz w:val="22"/>
              </w:rPr>
            </w:pPr>
            <w:r>
              <w:rPr>
                <w:i/>
                <w:w w:val="95"/>
                <w:sz w:val="22"/>
              </w:rPr>
              <w:t>血管性痴呆</w:t>
            </w:r>
          </w:p>
        </w:tc>
        <w:tc>
          <w:tcPr>
            <w:tcW w:w="7860" w:type="dxa"/>
          </w:tcPr>
          <w:p>
            <w:pPr>
              <w:pStyle w:val="TableParagraph"/>
              <w:spacing w:line="280" w:lineRule="auto" w:before="166"/>
              <w:ind w:left="131" w:right="304"/>
              <w:jc w:val="both"/>
              <w:rPr>
                <w:sz w:val="21"/>
              </w:rPr>
            </w:pPr>
            <w:r>
              <w:rPr>
                <w:sz w:val="21"/>
              </w:rPr>
              <w:t>指由缺血性卒中、出血性卒中和造成记忆、认知和行为等脑区低灌注的脑血管疾病所致的严重认知功能障碍综合征。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TableParagraph"/>
              <w:spacing w:before="8"/>
              <w:ind w:left="131"/>
              <w:jc w:val="both"/>
              <w:rPr>
                <w:b/>
                <w:sz w:val="21"/>
              </w:rPr>
            </w:pPr>
            <w:r>
              <w:rPr>
                <w:b/>
                <w:sz w:val="21"/>
              </w:rPr>
              <w:t>神经官能症，精神疾病及酒精中毒所致脑损害不在保障范围内。</w:t>
            </w:r>
          </w:p>
        </w:tc>
      </w:tr>
      <w:tr>
        <w:trPr>
          <w:trHeight w:val="2543" w:hRule="atLeast"/>
        </w:trPr>
        <w:tc>
          <w:tcPr>
            <w:tcW w:w="1030" w:type="dxa"/>
          </w:tcPr>
          <w:p>
            <w:pPr>
              <w:pStyle w:val="TableParagraph"/>
              <w:spacing w:before="132"/>
              <w:ind w:left="166" w:right="163"/>
              <w:jc w:val="center"/>
              <w:rPr>
                <w:i/>
                <w:sz w:val="22"/>
              </w:rPr>
            </w:pPr>
            <w:r>
              <w:rPr>
                <w:i/>
                <w:sz w:val="22"/>
              </w:rPr>
              <w:t>3.2.94</w:t>
            </w:r>
          </w:p>
        </w:tc>
        <w:tc>
          <w:tcPr>
            <w:tcW w:w="1590" w:type="dxa"/>
          </w:tcPr>
          <w:p>
            <w:pPr>
              <w:pStyle w:val="TableParagraph"/>
              <w:spacing w:line="259" w:lineRule="auto" w:before="132"/>
              <w:ind w:left="197" w:right="128"/>
              <w:jc w:val="both"/>
              <w:rPr>
                <w:i/>
                <w:sz w:val="22"/>
              </w:rPr>
            </w:pPr>
            <w:r>
              <w:rPr>
                <w:i/>
                <w:w w:val="95"/>
                <w:sz w:val="22"/>
              </w:rPr>
              <w:t>面部皮肤烧伤导致的瘢痕形</w:t>
            </w:r>
            <w:r>
              <w:rPr>
                <w:i/>
                <w:sz w:val="22"/>
              </w:rPr>
              <w:t>成</w:t>
            </w:r>
          </w:p>
        </w:tc>
        <w:tc>
          <w:tcPr>
            <w:tcW w:w="7860" w:type="dxa"/>
          </w:tcPr>
          <w:p>
            <w:pPr>
              <w:pStyle w:val="TableParagraph"/>
              <w:spacing w:before="168"/>
              <w:ind w:left="131"/>
              <w:rPr>
                <w:sz w:val="21"/>
              </w:rPr>
            </w:pPr>
            <w:r>
              <w:rPr>
                <w:sz w:val="21"/>
              </w:rPr>
              <w:t>面部皮肤烧伤导致瘢痕形成，且瘢痕面积大于等于面部皮肤面积的 </w:t>
            </w:r>
            <w:r>
              <w:rPr>
                <w:rFonts w:ascii="Times New Roman" w:eastAsia="Times New Roman"/>
                <w:sz w:val="21"/>
              </w:rPr>
              <w:t>90%</w:t>
            </w:r>
            <w:r>
              <w:rPr>
                <w:sz w:val="21"/>
              </w:rPr>
              <w:t>。</w:t>
            </w:r>
          </w:p>
          <w:p>
            <w:pPr>
              <w:pStyle w:val="TableParagraph"/>
              <w:spacing w:line="256" w:lineRule="auto" w:before="4"/>
              <w:ind w:left="131" w:right="302"/>
              <w:jc w:val="both"/>
              <w:rPr>
                <w:sz w:val="21"/>
              </w:rPr>
            </w:pPr>
            <w:r>
              <w:rPr>
                <w:sz w:val="21"/>
              </w:rPr>
              <w:t>（</w:t>
            </w:r>
            <w:r>
              <w:rPr>
                <w:rFonts w:ascii="Times New Roman" w:eastAsia="Times New Roman"/>
                <w:sz w:val="21"/>
              </w:rPr>
              <w:t>1</w:t>
            </w:r>
            <w:r>
              <w:rPr>
                <w:sz w:val="21"/>
              </w:rPr>
              <w:t>） 瘢痕：指创面愈合后的增生性瘢痕，不包括皮肤平整、无明显质地改变的萎缩性瘢痕或疤痕。</w:t>
            </w:r>
          </w:p>
          <w:p>
            <w:pPr>
              <w:pStyle w:val="TableParagraph"/>
              <w:spacing w:line="268" w:lineRule="auto" w:before="46"/>
              <w:ind w:left="131" w:right="298"/>
              <w:jc w:val="both"/>
              <w:rPr>
                <w:sz w:val="21"/>
              </w:rPr>
            </w:pPr>
            <w:r>
              <w:rPr>
                <w:spacing w:val="-4"/>
                <w:sz w:val="21"/>
              </w:rPr>
              <w:t>（</w:t>
            </w:r>
            <w:r>
              <w:rPr>
                <w:rFonts w:ascii="Times New Roman" w:eastAsia="Times New Roman"/>
                <w:spacing w:val="-4"/>
                <w:sz w:val="21"/>
              </w:rPr>
              <w:t>2</w:t>
            </w:r>
            <w:r>
              <w:rPr>
                <w:spacing w:val="-4"/>
                <w:sz w:val="21"/>
              </w:rPr>
              <w:t>）</w:t>
            </w:r>
            <w:r>
              <w:rPr>
                <w:spacing w:val="-6"/>
                <w:sz w:val="21"/>
              </w:rPr>
              <w:t>面部的范围和瘢痕面积的计算：面部的范围指上至发际、下至下颌下缘、两侧至下颌支后缘之间的区域，包括额部、眼部、眶部、鼻部、口唇部、颏部、颧</w:t>
            </w:r>
            <w:r>
              <w:rPr>
                <w:spacing w:val="-5"/>
                <w:sz w:val="21"/>
              </w:rPr>
              <w:t>部、颊部和腮腺咬肌部。面部瘢痕面积的计算采用全面部和 </w:t>
            </w:r>
            <w:r>
              <w:rPr>
                <w:rFonts w:ascii="Times New Roman" w:eastAsia="Times New Roman"/>
                <w:sz w:val="21"/>
              </w:rPr>
              <w:t>5 </w:t>
            </w:r>
            <w:r>
              <w:rPr>
                <w:spacing w:val="-3"/>
                <w:sz w:val="21"/>
              </w:rPr>
              <w:t>等分面部以及实测瘢痕面积的方法，分别计算瘢痕面积。面部多处瘢痕，其面积可以累加计算。</w:t>
            </w:r>
          </w:p>
        </w:tc>
      </w:tr>
      <w:tr>
        <w:trPr>
          <w:trHeight w:val="2572" w:hRule="atLeast"/>
        </w:trPr>
        <w:tc>
          <w:tcPr>
            <w:tcW w:w="1030" w:type="dxa"/>
          </w:tcPr>
          <w:p>
            <w:pPr>
              <w:pStyle w:val="TableParagraph"/>
              <w:spacing w:before="132"/>
              <w:ind w:left="166" w:right="163"/>
              <w:jc w:val="center"/>
              <w:rPr>
                <w:i/>
                <w:sz w:val="22"/>
              </w:rPr>
            </w:pPr>
            <w:r>
              <w:rPr>
                <w:i/>
                <w:sz w:val="22"/>
              </w:rPr>
              <w:t>3.2.95</w:t>
            </w:r>
          </w:p>
        </w:tc>
        <w:tc>
          <w:tcPr>
            <w:tcW w:w="1590" w:type="dxa"/>
          </w:tcPr>
          <w:p>
            <w:pPr>
              <w:pStyle w:val="TableParagraph"/>
              <w:spacing w:line="259" w:lineRule="auto" w:before="132"/>
              <w:ind w:left="197" w:right="130" w:hanging="1"/>
              <w:rPr>
                <w:i/>
                <w:sz w:val="22"/>
              </w:rPr>
            </w:pPr>
            <w:r>
              <w:rPr>
                <w:i/>
                <w:w w:val="95"/>
                <w:sz w:val="22"/>
              </w:rPr>
              <w:t>皮肤烧伤导致的瘢痕形成</w:t>
            </w:r>
          </w:p>
        </w:tc>
        <w:tc>
          <w:tcPr>
            <w:tcW w:w="7860" w:type="dxa"/>
          </w:tcPr>
          <w:p>
            <w:pPr>
              <w:pStyle w:val="TableParagraph"/>
              <w:spacing w:line="264" w:lineRule="auto" w:before="168"/>
              <w:ind w:left="131" w:right="300"/>
              <w:rPr>
                <w:sz w:val="21"/>
              </w:rPr>
            </w:pPr>
            <w:r>
              <w:rPr>
                <w:sz w:val="21"/>
              </w:rPr>
              <w:t>皮肤烧伤导致瘢痕形成，且瘢痕面积大于等于全身体表面积的 </w:t>
            </w:r>
            <w:r>
              <w:rPr>
                <w:rFonts w:ascii="Times New Roman" w:eastAsia="Times New Roman"/>
                <w:sz w:val="21"/>
              </w:rPr>
              <w:t>80%</w:t>
            </w:r>
            <w:r>
              <w:rPr>
                <w:sz w:val="21"/>
              </w:rPr>
              <w:t>。全身皮肤瘢痕面积的计算：</w:t>
            </w:r>
          </w:p>
          <w:p>
            <w:pPr>
              <w:pStyle w:val="TableParagraph"/>
              <w:spacing w:line="266" w:lineRule="auto" w:before="23"/>
              <w:ind w:left="131" w:right="225"/>
              <w:rPr>
                <w:rFonts w:ascii="Times New Roman" w:hAnsi="Times New Roman" w:eastAsia="Times New Roman"/>
                <w:sz w:val="21"/>
              </w:rPr>
            </w:pPr>
            <w:r>
              <w:rPr>
                <w:spacing w:val="-7"/>
                <w:sz w:val="21"/>
              </w:rPr>
              <w:t>按皮肤瘢痕面积占全身体表面积的百分数来计算，即中国新九分法：在 </w:t>
            </w:r>
            <w:r>
              <w:rPr>
                <w:rFonts w:ascii="Times New Roman" w:hAnsi="Times New Roman" w:eastAsia="Times New Roman"/>
                <w:sz w:val="21"/>
              </w:rPr>
              <w:t>100%</w:t>
            </w:r>
            <w:r>
              <w:rPr>
                <w:sz w:val="21"/>
              </w:rPr>
              <w:t>的体</w:t>
            </w:r>
            <w:r>
              <w:rPr>
                <w:spacing w:val="-3"/>
                <w:w w:val="100"/>
                <w:sz w:val="21"/>
              </w:rPr>
              <w:t>表总面积中：头颈部占</w:t>
            </w:r>
            <w:r>
              <w:rPr>
                <w:spacing w:val="-3"/>
                <w:sz w:val="21"/>
              </w:rPr>
              <w:t> </w:t>
            </w:r>
            <w:r>
              <w:rPr>
                <w:rFonts w:ascii="Times New Roman" w:hAnsi="Times New Roman" w:eastAsia="Times New Roman"/>
                <w:w w:val="100"/>
                <w:sz w:val="21"/>
              </w:rPr>
              <w:t>9</w:t>
            </w:r>
            <w:r>
              <w:rPr>
                <w:rFonts w:ascii="Times New Roman" w:hAnsi="Times New Roman" w:eastAsia="Times New Roman"/>
                <w:spacing w:val="-4"/>
                <w:w w:val="100"/>
                <w:sz w:val="21"/>
              </w:rPr>
              <w:t>%</w:t>
            </w:r>
            <w:r>
              <w:rPr>
                <w:w w:val="100"/>
                <w:sz w:val="21"/>
              </w:rPr>
              <w:t>（</w:t>
            </w:r>
            <w:r>
              <w:rPr>
                <w:rFonts w:ascii="Times New Roman" w:hAnsi="Times New Roman" w:eastAsia="Times New Roman"/>
                <w:w w:val="100"/>
                <w:sz w:val="21"/>
              </w:rPr>
              <w:t>9</w:t>
            </w:r>
            <w:r>
              <w:rPr>
                <w:w w:val="100"/>
                <w:sz w:val="21"/>
              </w:rPr>
              <w:t>×</w:t>
            </w:r>
            <w:r>
              <w:rPr>
                <w:rFonts w:ascii="Times New Roman" w:hAnsi="Times New Roman" w:eastAsia="Times New Roman"/>
                <w:spacing w:val="-3"/>
                <w:w w:val="100"/>
                <w:sz w:val="21"/>
              </w:rPr>
              <w:t>1</w:t>
            </w:r>
            <w:r>
              <w:rPr>
                <w:spacing w:val="-106"/>
                <w:w w:val="100"/>
                <w:sz w:val="21"/>
              </w:rPr>
              <w:t>）</w:t>
            </w:r>
            <w:r>
              <w:rPr>
                <w:spacing w:val="-3"/>
                <w:w w:val="100"/>
                <w:sz w:val="21"/>
              </w:rPr>
              <w:t>（头部、面部、颈部各占</w:t>
            </w:r>
            <w:r>
              <w:rPr>
                <w:spacing w:val="-3"/>
                <w:sz w:val="21"/>
              </w:rPr>
              <w:t> </w:t>
            </w:r>
            <w:r>
              <w:rPr>
                <w:rFonts w:ascii="Times New Roman" w:hAnsi="Times New Roman" w:eastAsia="Times New Roman"/>
                <w:w w:val="100"/>
                <w:sz w:val="21"/>
              </w:rPr>
              <w:t>3</w:t>
            </w:r>
            <w:r>
              <w:rPr>
                <w:rFonts w:ascii="Times New Roman" w:hAnsi="Times New Roman" w:eastAsia="Times New Roman"/>
                <w:spacing w:val="-1"/>
                <w:w w:val="100"/>
                <w:sz w:val="21"/>
              </w:rPr>
              <w:t>%</w:t>
            </w:r>
            <w:r>
              <w:rPr>
                <w:spacing w:val="-108"/>
                <w:w w:val="100"/>
                <w:sz w:val="21"/>
              </w:rPr>
              <w:t>）</w:t>
            </w:r>
            <w:r>
              <w:rPr>
                <w:spacing w:val="-3"/>
                <w:w w:val="100"/>
                <w:sz w:val="21"/>
              </w:rPr>
              <w:t>；双上肢占</w:t>
            </w:r>
            <w:r>
              <w:rPr>
                <w:spacing w:val="-3"/>
                <w:sz w:val="21"/>
              </w:rPr>
              <w:t> </w:t>
            </w:r>
            <w:r>
              <w:rPr>
                <w:rFonts w:ascii="Times New Roman" w:hAnsi="Times New Roman" w:eastAsia="Times New Roman"/>
                <w:w w:val="100"/>
                <w:sz w:val="21"/>
              </w:rPr>
              <w:t>1</w:t>
            </w:r>
            <w:r>
              <w:rPr>
                <w:rFonts w:ascii="Times New Roman" w:hAnsi="Times New Roman" w:eastAsia="Times New Roman"/>
                <w:spacing w:val="-3"/>
                <w:w w:val="100"/>
                <w:sz w:val="21"/>
              </w:rPr>
              <w:t>8%</w:t>
            </w:r>
          </w:p>
          <w:p>
            <w:pPr>
              <w:pStyle w:val="TableParagraph"/>
              <w:spacing w:before="2"/>
              <w:ind w:left="131"/>
              <w:rPr>
                <w:sz w:val="21"/>
              </w:rPr>
            </w:pPr>
            <w:r>
              <w:rPr>
                <w:w w:val="100"/>
                <w:sz w:val="21"/>
              </w:rPr>
              <w:t>（</w:t>
            </w:r>
            <w:r>
              <w:rPr>
                <w:rFonts w:ascii="Times New Roman" w:hAnsi="Times New Roman" w:eastAsia="Times New Roman"/>
                <w:w w:val="100"/>
                <w:sz w:val="21"/>
              </w:rPr>
              <w:t>9</w:t>
            </w:r>
            <w:r>
              <w:rPr>
                <w:w w:val="100"/>
                <w:sz w:val="21"/>
              </w:rPr>
              <w:t>×</w:t>
            </w:r>
            <w:r>
              <w:rPr>
                <w:rFonts w:ascii="Times New Roman" w:hAnsi="Times New Roman" w:eastAsia="Times New Roman"/>
                <w:spacing w:val="-3"/>
                <w:w w:val="100"/>
                <w:sz w:val="21"/>
              </w:rPr>
              <w:t>2</w:t>
            </w:r>
            <w:r>
              <w:rPr>
                <w:spacing w:val="-106"/>
                <w:w w:val="100"/>
                <w:sz w:val="21"/>
              </w:rPr>
              <w:t>）</w:t>
            </w:r>
            <w:r>
              <w:rPr>
                <w:spacing w:val="-3"/>
                <w:w w:val="100"/>
                <w:sz w:val="21"/>
              </w:rPr>
              <w:t>（</w:t>
            </w:r>
            <w:r>
              <w:rPr>
                <w:spacing w:val="-2"/>
                <w:w w:val="100"/>
                <w:sz w:val="21"/>
              </w:rPr>
              <w:t>双上臂</w:t>
            </w:r>
            <w:r>
              <w:rPr>
                <w:spacing w:val="-53"/>
                <w:sz w:val="21"/>
              </w:rPr>
              <w:t> </w:t>
            </w:r>
            <w:r>
              <w:rPr>
                <w:rFonts w:ascii="Times New Roman" w:hAnsi="Times New Roman" w:eastAsia="Times New Roman"/>
                <w:w w:val="100"/>
                <w:sz w:val="21"/>
              </w:rPr>
              <w:t>7</w:t>
            </w:r>
            <w:r>
              <w:rPr>
                <w:rFonts w:ascii="Times New Roman" w:hAnsi="Times New Roman" w:eastAsia="Times New Roman"/>
                <w:spacing w:val="-1"/>
                <w:w w:val="100"/>
                <w:sz w:val="21"/>
              </w:rPr>
              <w:t>%</w:t>
            </w:r>
            <w:r>
              <w:rPr>
                <w:spacing w:val="-2"/>
                <w:w w:val="100"/>
                <w:sz w:val="21"/>
              </w:rPr>
              <w:t>，双前臂</w:t>
            </w:r>
            <w:r>
              <w:rPr>
                <w:spacing w:val="-53"/>
                <w:sz w:val="21"/>
              </w:rPr>
              <w:t> </w:t>
            </w:r>
            <w:r>
              <w:rPr>
                <w:rFonts w:ascii="Times New Roman" w:hAnsi="Times New Roman" w:eastAsia="Times New Roman"/>
                <w:w w:val="100"/>
                <w:sz w:val="21"/>
              </w:rPr>
              <w:t>6</w:t>
            </w:r>
            <w:r>
              <w:rPr>
                <w:rFonts w:ascii="Times New Roman" w:hAnsi="Times New Roman" w:eastAsia="Times New Roman"/>
                <w:spacing w:val="-4"/>
                <w:w w:val="100"/>
                <w:sz w:val="21"/>
              </w:rPr>
              <w:t>%</w:t>
            </w:r>
            <w:r>
              <w:rPr>
                <w:spacing w:val="-2"/>
                <w:w w:val="100"/>
                <w:sz w:val="21"/>
              </w:rPr>
              <w:t>，双手</w:t>
            </w:r>
            <w:r>
              <w:rPr>
                <w:spacing w:val="-53"/>
                <w:sz w:val="21"/>
              </w:rPr>
              <w:t> </w:t>
            </w:r>
            <w:r>
              <w:rPr>
                <w:rFonts w:ascii="Times New Roman" w:hAnsi="Times New Roman" w:eastAsia="Times New Roman"/>
                <w:w w:val="100"/>
                <w:sz w:val="21"/>
              </w:rPr>
              <w:t>5</w:t>
            </w:r>
            <w:r>
              <w:rPr>
                <w:rFonts w:ascii="Times New Roman" w:hAnsi="Times New Roman" w:eastAsia="Times New Roman"/>
                <w:spacing w:val="-1"/>
                <w:w w:val="100"/>
                <w:sz w:val="21"/>
              </w:rPr>
              <w:t>%</w:t>
            </w:r>
            <w:r>
              <w:rPr>
                <w:spacing w:val="-108"/>
                <w:w w:val="100"/>
                <w:sz w:val="21"/>
              </w:rPr>
              <w:t>）</w:t>
            </w:r>
            <w:r>
              <w:rPr>
                <w:spacing w:val="-3"/>
                <w:w w:val="100"/>
                <w:sz w:val="21"/>
              </w:rPr>
              <w:t>；躯干前后包括会阴占</w:t>
            </w:r>
            <w:r>
              <w:rPr>
                <w:spacing w:val="-55"/>
                <w:sz w:val="21"/>
              </w:rPr>
              <w:t> </w:t>
            </w:r>
            <w:r>
              <w:rPr>
                <w:rFonts w:ascii="Times New Roman" w:hAnsi="Times New Roman" w:eastAsia="Times New Roman"/>
                <w:w w:val="100"/>
                <w:sz w:val="21"/>
              </w:rPr>
              <w:t>27</w:t>
            </w:r>
            <w:r>
              <w:rPr>
                <w:rFonts w:ascii="Times New Roman" w:hAnsi="Times New Roman" w:eastAsia="Times New Roman"/>
                <w:spacing w:val="-1"/>
                <w:w w:val="100"/>
                <w:sz w:val="21"/>
              </w:rPr>
              <w:t>%</w:t>
            </w:r>
            <w:r>
              <w:rPr>
                <w:spacing w:val="-3"/>
                <w:w w:val="100"/>
                <w:sz w:val="21"/>
              </w:rPr>
              <w:t>（</w:t>
            </w:r>
            <w:r>
              <w:rPr>
                <w:rFonts w:ascii="Times New Roman" w:hAnsi="Times New Roman" w:eastAsia="Times New Roman"/>
                <w:w w:val="100"/>
                <w:sz w:val="21"/>
              </w:rPr>
              <w:t>9</w:t>
            </w:r>
            <w:r>
              <w:rPr>
                <w:spacing w:val="-3"/>
                <w:w w:val="100"/>
                <w:sz w:val="21"/>
              </w:rPr>
              <w:t>×</w:t>
            </w:r>
            <w:r>
              <w:rPr>
                <w:rFonts w:ascii="Times New Roman" w:hAnsi="Times New Roman" w:eastAsia="Times New Roman"/>
                <w:spacing w:val="-1"/>
                <w:w w:val="100"/>
                <w:sz w:val="21"/>
              </w:rPr>
              <w:t>3</w:t>
            </w:r>
            <w:r>
              <w:rPr>
                <w:w w:val="100"/>
                <w:sz w:val="21"/>
              </w:rPr>
              <w:t>）</w:t>
            </w:r>
          </w:p>
          <w:p>
            <w:pPr>
              <w:pStyle w:val="TableParagraph"/>
              <w:spacing w:line="266" w:lineRule="auto" w:before="28"/>
              <w:ind w:left="131" w:right="303"/>
              <w:rPr>
                <w:sz w:val="21"/>
              </w:rPr>
            </w:pPr>
            <w:r>
              <w:rPr>
                <w:w w:val="100"/>
                <w:sz w:val="21"/>
              </w:rPr>
              <w:t>（前躯</w:t>
            </w:r>
            <w:r>
              <w:rPr>
                <w:spacing w:val="-36"/>
                <w:sz w:val="21"/>
              </w:rPr>
              <w:t> </w:t>
            </w:r>
            <w:r>
              <w:rPr>
                <w:rFonts w:ascii="Times New Roman" w:hAnsi="Times New Roman" w:eastAsia="Times New Roman"/>
                <w:spacing w:val="-3"/>
                <w:w w:val="100"/>
                <w:sz w:val="21"/>
              </w:rPr>
              <w:t>1</w:t>
            </w:r>
            <w:r>
              <w:rPr>
                <w:rFonts w:ascii="Times New Roman" w:hAnsi="Times New Roman" w:eastAsia="Times New Roman"/>
                <w:w w:val="100"/>
                <w:sz w:val="21"/>
              </w:rPr>
              <w:t>3</w:t>
            </w:r>
            <w:r>
              <w:rPr>
                <w:rFonts w:ascii="Times New Roman" w:hAnsi="Times New Roman" w:eastAsia="Times New Roman"/>
                <w:spacing w:val="-1"/>
                <w:w w:val="100"/>
                <w:sz w:val="21"/>
              </w:rPr>
              <w:t>%</w:t>
            </w:r>
            <w:r>
              <w:rPr>
                <w:spacing w:val="-2"/>
                <w:w w:val="100"/>
                <w:sz w:val="21"/>
              </w:rPr>
              <w:t>，后躯</w:t>
            </w:r>
            <w:r>
              <w:rPr>
                <w:spacing w:val="-36"/>
                <w:sz w:val="21"/>
              </w:rPr>
              <w:t> </w:t>
            </w:r>
            <w:r>
              <w:rPr>
                <w:rFonts w:ascii="Times New Roman" w:hAnsi="Times New Roman" w:eastAsia="Times New Roman"/>
                <w:w w:val="100"/>
                <w:sz w:val="21"/>
              </w:rPr>
              <w:t>13</w:t>
            </w:r>
            <w:r>
              <w:rPr>
                <w:rFonts w:ascii="Times New Roman" w:hAnsi="Times New Roman" w:eastAsia="Times New Roman"/>
                <w:spacing w:val="-4"/>
                <w:w w:val="100"/>
                <w:sz w:val="21"/>
              </w:rPr>
              <w:t>%</w:t>
            </w:r>
            <w:r>
              <w:rPr>
                <w:spacing w:val="-2"/>
                <w:w w:val="100"/>
                <w:sz w:val="21"/>
              </w:rPr>
              <w:t>，会阴</w:t>
            </w:r>
            <w:r>
              <w:rPr>
                <w:spacing w:val="-36"/>
                <w:sz w:val="21"/>
              </w:rPr>
              <w:t> </w:t>
            </w:r>
            <w:r>
              <w:rPr>
                <w:rFonts w:ascii="Times New Roman" w:hAnsi="Times New Roman" w:eastAsia="Times New Roman"/>
                <w:w w:val="100"/>
                <w:sz w:val="21"/>
              </w:rPr>
              <w:t>1</w:t>
            </w:r>
            <w:r>
              <w:rPr>
                <w:rFonts w:ascii="Times New Roman" w:hAnsi="Times New Roman" w:eastAsia="Times New Roman"/>
                <w:spacing w:val="-1"/>
                <w:w w:val="100"/>
                <w:sz w:val="21"/>
              </w:rPr>
              <w:t>%</w:t>
            </w:r>
            <w:r>
              <w:rPr>
                <w:spacing w:val="-108"/>
                <w:w w:val="100"/>
                <w:sz w:val="21"/>
              </w:rPr>
              <w:t>）</w:t>
            </w:r>
            <w:r>
              <w:rPr>
                <w:spacing w:val="-3"/>
                <w:w w:val="100"/>
                <w:sz w:val="21"/>
              </w:rPr>
              <w:t>；双下肢</w:t>
            </w:r>
            <w:r>
              <w:rPr>
                <w:w w:val="100"/>
                <w:sz w:val="21"/>
              </w:rPr>
              <w:t>（</w:t>
            </w:r>
            <w:r>
              <w:rPr>
                <w:spacing w:val="-2"/>
                <w:w w:val="100"/>
                <w:sz w:val="21"/>
              </w:rPr>
              <w:t>含臀部</w:t>
            </w:r>
            <w:r>
              <w:rPr>
                <w:w w:val="100"/>
                <w:sz w:val="21"/>
              </w:rPr>
              <w:t>）占</w:t>
            </w:r>
            <w:r>
              <w:rPr>
                <w:spacing w:val="-36"/>
                <w:sz w:val="21"/>
              </w:rPr>
              <w:t> </w:t>
            </w:r>
            <w:r>
              <w:rPr>
                <w:rFonts w:ascii="Times New Roman" w:hAnsi="Times New Roman" w:eastAsia="Times New Roman"/>
                <w:spacing w:val="-3"/>
                <w:w w:val="100"/>
                <w:sz w:val="21"/>
              </w:rPr>
              <w:t>4</w:t>
            </w:r>
            <w:r>
              <w:rPr>
                <w:rFonts w:ascii="Times New Roman" w:hAnsi="Times New Roman" w:eastAsia="Times New Roman"/>
                <w:w w:val="100"/>
                <w:sz w:val="21"/>
              </w:rPr>
              <w:t>6</w:t>
            </w:r>
            <w:r>
              <w:rPr>
                <w:rFonts w:ascii="Times New Roman" w:hAnsi="Times New Roman" w:eastAsia="Times New Roman"/>
                <w:spacing w:val="-1"/>
                <w:w w:val="100"/>
                <w:sz w:val="21"/>
              </w:rPr>
              <w:t>%</w:t>
            </w:r>
            <w:r>
              <w:rPr>
                <w:spacing w:val="-3"/>
                <w:w w:val="100"/>
                <w:sz w:val="21"/>
              </w:rPr>
              <w:t>（</w:t>
            </w:r>
            <w:r>
              <w:rPr>
                <w:w w:val="100"/>
                <w:sz w:val="21"/>
              </w:rPr>
              <w:t>双臀</w:t>
            </w:r>
            <w:r>
              <w:rPr>
                <w:spacing w:val="-36"/>
                <w:sz w:val="21"/>
              </w:rPr>
              <w:t> </w:t>
            </w:r>
            <w:r>
              <w:rPr>
                <w:rFonts w:ascii="Times New Roman" w:hAnsi="Times New Roman" w:eastAsia="Times New Roman"/>
                <w:w w:val="100"/>
                <w:sz w:val="21"/>
              </w:rPr>
              <w:t>5</w:t>
            </w:r>
            <w:r>
              <w:rPr>
                <w:rFonts w:ascii="Times New Roman" w:hAnsi="Times New Roman" w:eastAsia="Times New Roman"/>
                <w:spacing w:val="-4"/>
                <w:w w:val="100"/>
                <w:sz w:val="21"/>
              </w:rPr>
              <w:t>%</w:t>
            </w:r>
            <w:r>
              <w:rPr>
                <w:spacing w:val="-2"/>
                <w:w w:val="100"/>
                <w:sz w:val="21"/>
              </w:rPr>
              <w:t>，双大腿</w:t>
            </w:r>
            <w:r>
              <w:rPr>
                <w:spacing w:val="-53"/>
                <w:sz w:val="21"/>
              </w:rPr>
              <w:t> </w:t>
            </w:r>
            <w:r>
              <w:rPr>
                <w:rFonts w:ascii="Times New Roman" w:hAnsi="Times New Roman" w:eastAsia="Times New Roman"/>
                <w:w w:val="100"/>
                <w:sz w:val="21"/>
              </w:rPr>
              <w:t>21</w:t>
            </w:r>
            <w:r>
              <w:rPr>
                <w:rFonts w:ascii="Times New Roman" w:hAnsi="Times New Roman" w:eastAsia="Times New Roman"/>
                <w:spacing w:val="-4"/>
                <w:w w:val="100"/>
                <w:sz w:val="21"/>
              </w:rPr>
              <w:t>%</w:t>
            </w:r>
            <w:r>
              <w:rPr>
                <w:spacing w:val="-2"/>
                <w:w w:val="100"/>
                <w:sz w:val="21"/>
              </w:rPr>
              <w:t>，双小腿</w:t>
            </w:r>
            <w:r>
              <w:rPr>
                <w:spacing w:val="-55"/>
                <w:sz w:val="21"/>
              </w:rPr>
              <w:t> </w:t>
            </w:r>
            <w:r>
              <w:rPr>
                <w:rFonts w:ascii="Times New Roman" w:hAnsi="Times New Roman" w:eastAsia="Times New Roman"/>
                <w:w w:val="100"/>
                <w:sz w:val="21"/>
              </w:rPr>
              <w:t>13</w:t>
            </w:r>
            <w:r>
              <w:rPr>
                <w:rFonts w:ascii="Times New Roman" w:hAnsi="Times New Roman" w:eastAsia="Times New Roman"/>
                <w:spacing w:val="-1"/>
                <w:w w:val="100"/>
                <w:sz w:val="21"/>
              </w:rPr>
              <w:t>%</w:t>
            </w:r>
            <w:r>
              <w:rPr>
                <w:spacing w:val="-2"/>
                <w:w w:val="100"/>
                <w:sz w:val="21"/>
              </w:rPr>
              <w:t>，双足</w:t>
            </w:r>
            <w:r>
              <w:rPr>
                <w:spacing w:val="-53"/>
                <w:sz w:val="21"/>
              </w:rPr>
              <w:t> </w:t>
            </w:r>
            <w:r>
              <w:rPr>
                <w:rFonts w:ascii="Times New Roman" w:hAnsi="Times New Roman" w:eastAsia="Times New Roman"/>
                <w:w w:val="100"/>
                <w:sz w:val="21"/>
              </w:rPr>
              <w:t>7</w:t>
            </w:r>
            <w:r>
              <w:rPr>
                <w:rFonts w:ascii="Times New Roman" w:hAnsi="Times New Roman" w:eastAsia="Times New Roman"/>
                <w:spacing w:val="-1"/>
                <w:w w:val="100"/>
                <w:sz w:val="21"/>
              </w:rPr>
              <w:t>%</w:t>
            </w:r>
            <w:r>
              <w:rPr>
                <w:spacing w:val="-108"/>
                <w:w w:val="100"/>
                <w:sz w:val="21"/>
              </w:rPr>
              <w:t>）</w:t>
            </w:r>
            <w:r>
              <w:rPr>
                <w:spacing w:val="-1"/>
                <w:w w:val="100"/>
                <w:sz w:val="21"/>
              </w:rPr>
              <w:t>（</w:t>
            </w:r>
            <w:r>
              <w:rPr>
                <w:rFonts w:ascii="Times New Roman" w:hAnsi="Times New Roman" w:eastAsia="Times New Roman"/>
                <w:w w:val="100"/>
                <w:sz w:val="21"/>
              </w:rPr>
              <w:t>9</w:t>
            </w:r>
            <w:r>
              <w:rPr>
                <w:spacing w:val="-3"/>
                <w:w w:val="100"/>
                <w:sz w:val="21"/>
              </w:rPr>
              <w:t>×</w:t>
            </w:r>
            <w:r>
              <w:rPr>
                <w:rFonts w:ascii="Times New Roman" w:hAnsi="Times New Roman" w:eastAsia="Times New Roman"/>
                <w:w w:val="100"/>
                <w:sz w:val="21"/>
              </w:rPr>
              <w:t>5</w:t>
            </w:r>
            <w:r>
              <w:rPr>
                <w:rFonts w:ascii="Times New Roman" w:hAnsi="Times New Roman" w:eastAsia="Times New Roman"/>
                <w:spacing w:val="-2"/>
                <w:w w:val="100"/>
                <w:sz w:val="21"/>
              </w:rPr>
              <w:t>+</w:t>
            </w:r>
            <w:r>
              <w:rPr>
                <w:rFonts w:ascii="Times New Roman" w:hAnsi="Times New Roman" w:eastAsia="Times New Roman"/>
                <w:spacing w:val="-1"/>
                <w:w w:val="100"/>
                <w:sz w:val="21"/>
              </w:rPr>
              <w:t>1</w:t>
            </w:r>
            <w:r>
              <w:rPr>
                <w:spacing w:val="-106"/>
                <w:w w:val="100"/>
                <w:sz w:val="21"/>
              </w:rPr>
              <w:t>）</w:t>
            </w:r>
            <w:r>
              <w:rPr>
                <w:spacing w:val="-3"/>
                <w:w w:val="100"/>
                <w:sz w:val="21"/>
              </w:rPr>
              <w:t>（女性双足和臀各占</w:t>
            </w:r>
            <w:r>
              <w:rPr>
                <w:spacing w:val="-53"/>
                <w:sz w:val="21"/>
              </w:rPr>
              <w:t> </w:t>
            </w:r>
            <w:r>
              <w:rPr>
                <w:rFonts w:ascii="Times New Roman" w:hAnsi="Times New Roman" w:eastAsia="Times New Roman"/>
                <w:w w:val="100"/>
                <w:sz w:val="21"/>
              </w:rPr>
              <w:t>6</w:t>
            </w:r>
            <w:r>
              <w:rPr>
                <w:rFonts w:ascii="Times New Roman" w:hAnsi="Times New Roman" w:eastAsia="Times New Roman"/>
                <w:spacing w:val="-1"/>
                <w:w w:val="100"/>
                <w:sz w:val="21"/>
              </w:rPr>
              <w:t>%</w:t>
            </w:r>
            <w:r>
              <w:rPr>
                <w:spacing w:val="-108"/>
                <w:w w:val="100"/>
                <w:sz w:val="21"/>
              </w:rPr>
              <w:t>）。</w:t>
            </w:r>
          </w:p>
        </w:tc>
      </w:tr>
      <w:tr>
        <w:trPr>
          <w:trHeight w:val="2900" w:hRule="atLeast"/>
        </w:trPr>
        <w:tc>
          <w:tcPr>
            <w:tcW w:w="1030" w:type="dxa"/>
          </w:tcPr>
          <w:p>
            <w:pPr>
              <w:pStyle w:val="TableParagraph"/>
              <w:rPr>
                <w:rFonts w:ascii="Times New Roman"/>
                <w:sz w:val="20"/>
              </w:rPr>
            </w:pPr>
          </w:p>
        </w:tc>
        <w:tc>
          <w:tcPr>
            <w:tcW w:w="1590" w:type="dxa"/>
          </w:tcPr>
          <w:p>
            <w:pPr>
              <w:pStyle w:val="TableParagraph"/>
              <w:rPr>
                <w:rFonts w:ascii="Times New Roman"/>
                <w:sz w:val="20"/>
              </w:rPr>
            </w:pPr>
          </w:p>
        </w:tc>
        <w:tc>
          <w:tcPr>
            <w:tcW w:w="7860" w:type="dxa"/>
          </w:tcPr>
          <w:p>
            <w:pPr>
              <w:pStyle w:val="TableParagraph"/>
              <w:spacing w:before="130"/>
              <w:ind w:left="131"/>
              <w:rPr>
                <w:sz w:val="21"/>
              </w:rPr>
            </w:pPr>
            <w:r>
              <w:rPr>
                <w:sz w:val="21"/>
              </w:rPr>
              <w:t>注：1、六项基本日常生活活动</w:t>
            </w:r>
          </w:p>
          <w:p>
            <w:pPr>
              <w:pStyle w:val="TableParagraph"/>
              <w:spacing w:line="273" w:lineRule="auto" w:before="37"/>
              <w:ind w:left="131" w:right="198" w:firstLine="420"/>
              <w:rPr>
                <w:sz w:val="21"/>
              </w:rPr>
            </w:pPr>
            <w:r>
              <w:rPr>
                <w:spacing w:val="-9"/>
                <w:w w:val="100"/>
                <w:sz w:val="21"/>
              </w:rPr>
              <w:t>六项基本日常生活活动是指：</w:t>
            </w:r>
            <w:r>
              <w:rPr>
                <w:spacing w:val="1"/>
                <w:w w:val="100"/>
                <w:sz w:val="21"/>
              </w:rPr>
              <w:t>（</w:t>
            </w:r>
            <w:r>
              <w:rPr>
                <w:w w:val="100"/>
                <w:sz w:val="21"/>
              </w:rPr>
              <w:t>1</w:t>
            </w:r>
            <w:r>
              <w:rPr>
                <w:spacing w:val="1"/>
                <w:w w:val="100"/>
                <w:sz w:val="21"/>
              </w:rPr>
              <w:t>）</w:t>
            </w:r>
            <w:r>
              <w:rPr>
                <w:spacing w:val="-9"/>
                <w:w w:val="100"/>
                <w:sz w:val="21"/>
              </w:rPr>
              <w:t>穿衣：自己能够穿衣及脱衣；</w:t>
            </w:r>
            <w:r>
              <w:rPr>
                <w:spacing w:val="1"/>
                <w:w w:val="100"/>
                <w:sz w:val="21"/>
              </w:rPr>
              <w:t>（</w:t>
            </w:r>
            <w:r>
              <w:rPr>
                <w:w w:val="100"/>
                <w:sz w:val="21"/>
              </w:rPr>
              <w:t>2）移动：</w:t>
            </w:r>
            <w:r>
              <w:rPr>
                <w:spacing w:val="-8"/>
                <w:w w:val="100"/>
                <w:sz w:val="21"/>
              </w:rPr>
              <w:t>自己从一个房间到另一个房间；</w:t>
            </w:r>
            <w:r>
              <w:rPr>
                <w:w w:val="100"/>
                <w:sz w:val="21"/>
              </w:rPr>
              <w:t>（</w:t>
            </w:r>
            <w:r>
              <w:rPr>
                <w:spacing w:val="1"/>
                <w:w w:val="100"/>
                <w:sz w:val="21"/>
              </w:rPr>
              <w:t>3</w:t>
            </w:r>
            <w:r>
              <w:rPr>
                <w:w w:val="100"/>
                <w:sz w:val="21"/>
              </w:rPr>
              <w:t>）</w:t>
            </w:r>
            <w:r>
              <w:rPr>
                <w:spacing w:val="-8"/>
                <w:w w:val="100"/>
                <w:sz w:val="21"/>
              </w:rPr>
              <w:t>行动：自己上下床或上下轮椅；</w:t>
            </w:r>
            <w:r>
              <w:rPr>
                <w:spacing w:val="1"/>
                <w:w w:val="100"/>
                <w:sz w:val="21"/>
              </w:rPr>
              <w:t>（</w:t>
            </w:r>
            <w:r>
              <w:rPr>
                <w:w w:val="100"/>
                <w:sz w:val="21"/>
              </w:rPr>
              <w:t>4</w:t>
            </w:r>
            <w:r>
              <w:rPr>
                <w:spacing w:val="1"/>
                <w:w w:val="100"/>
                <w:sz w:val="21"/>
              </w:rPr>
              <w:t>）</w:t>
            </w:r>
            <w:r>
              <w:rPr>
                <w:w w:val="100"/>
                <w:sz w:val="21"/>
              </w:rPr>
              <w:t>如厕：</w:t>
            </w:r>
            <w:r>
              <w:rPr>
                <w:spacing w:val="-3"/>
                <w:w w:val="100"/>
                <w:sz w:val="21"/>
              </w:rPr>
              <w:t>自己控制进行大小便</w:t>
            </w:r>
            <w:r>
              <w:rPr>
                <w:spacing w:val="-166"/>
                <w:w w:val="100"/>
                <w:sz w:val="21"/>
              </w:rPr>
              <w:t>；</w:t>
            </w:r>
            <w:r>
              <w:rPr>
                <w:spacing w:val="-3"/>
                <w:w w:val="100"/>
                <w:sz w:val="21"/>
              </w:rPr>
              <w:t>（5</w:t>
            </w:r>
            <w:r>
              <w:rPr>
                <w:spacing w:val="-63"/>
                <w:w w:val="100"/>
                <w:sz w:val="21"/>
              </w:rPr>
              <w:t>）</w:t>
            </w:r>
            <w:r>
              <w:rPr>
                <w:spacing w:val="-10"/>
                <w:w w:val="100"/>
                <w:sz w:val="21"/>
              </w:rPr>
              <w:t>进食：自己从已准备好的碗或碟中取食物放入口中</w:t>
            </w:r>
            <w:r>
              <w:rPr>
                <w:spacing w:val="-168"/>
                <w:w w:val="100"/>
                <w:sz w:val="21"/>
              </w:rPr>
              <w:t>；</w:t>
            </w:r>
            <w:r>
              <w:rPr>
                <w:spacing w:val="-2"/>
                <w:w w:val="100"/>
                <w:sz w:val="21"/>
              </w:rPr>
              <w:t>（</w:t>
            </w:r>
            <w:r>
              <w:rPr>
                <w:w w:val="100"/>
                <w:sz w:val="21"/>
              </w:rPr>
              <w:t>6）</w:t>
            </w:r>
            <w:r>
              <w:rPr>
                <w:spacing w:val="-3"/>
                <w:sz w:val="21"/>
              </w:rPr>
              <w:t>洗澡：自己进行淋浴或盆浴。</w:t>
            </w:r>
          </w:p>
          <w:p>
            <w:pPr>
              <w:pStyle w:val="TableParagraph"/>
              <w:spacing w:before="7"/>
              <w:ind w:left="551"/>
              <w:rPr>
                <w:sz w:val="21"/>
              </w:rPr>
            </w:pPr>
            <w:r>
              <w:rPr>
                <w:sz w:val="21"/>
              </w:rPr>
              <w:t>2、肢体机能完全丧失</w:t>
            </w:r>
          </w:p>
          <w:p>
            <w:pPr>
              <w:pStyle w:val="TableParagraph"/>
              <w:spacing w:line="273" w:lineRule="auto" w:before="36"/>
              <w:ind w:left="131" w:right="302" w:firstLine="420"/>
              <w:rPr>
                <w:sz w:val="21"/>
              </w:rPr>
            </w:pPr>
            <w:r>
              <w:rPr>
                <w:sz w:val="21"/>
              </w:rPr>
              <w:t>指肢体的三大关节中的两大关节僵硬，或不能随意识活动。肢体是指包括肩关节的整个上肢或包括髋关节的整个下肢。</w:t>
            </w:r>
          </w:p>
          <w:p>
            <w:pPr>
              <w:pStyle w:val="TableParagraph"/>
              <w:spacing w:line="255" w:lineRule="exact" w:before="7"/>
              <w:ind w:left="551"/>
              <w:rPr>
                <w:sz w:val="21"/>
              </w:rPr>
            </w:pPr>
            <w:r>
              <w:rPr>
                <w:sz w:val="21"/>
              </w:rPr>
              <w:t>3、语言能力或咀嚼吞咽能力完全丧失</w:t>
            </w:r>
          </w:p>
        </w:tc>
      </w:tr>
    </w:tbl>
    <w:p>
      <w:pPr>
        <w:spacing w:after="0" w:line="255"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8"/>
        <w:gridCol w:w="1667"/>
        <w:gridCol w:w="7840"/>
      </w:tblGrid>
      <w:tr>
        <w:trPr>
          <w:trHeight w:val="2289" w:hRule="atLeast"/>
        </w:trPr>
        <w:tc>
          <w:tcPr>
            <w:tcW w:w="978" w:type="dxa"/>
          </w:tcPr>
          <w:p>
            <w:pPr>
              <w:pStyle w:val="TableParagraph"/>
              <w:rPr>
                <w:rFonts w:ascii="Times New Roman"/>
                <w:sz w:val="20"/>
              </w:rPr>
            </w:pPr>
          </w:p>
        </w:tc>
        <w:tc>
          <w:tcPr>
            <w:tcW w:w="1667" w:type="dxa"/>
          </w:tcPr>
          <w:p>
            <w:pPr>
              <w:pStyle w:val="TableParagraph"/>
              <w:rPr>
                <w:rFonts w:ascii="Times New Roman"/>
                <w:sz w:val="20"/>
              </w:rPr>
            </w:pPr>
          </w:p>
        </w:tc>
        <w:tc>
          <w:tcPr>
            <w:tcW w:w="7840" w:type="dxa"/>
          </w:tcPr>
          <w:p>
            <w:pPr>
              <w:pStyle w:val="TableParagraph"/>
              <w:spacing w:line="211" w:lineRule="exact"/>
              <w:ind w:left="526"/>
              <w:rPr>
                <w:sz w:val="21"/>
              </w:rPr>
            </w:pPr>
            <w:r>
              <w:rPr>
                <w:sz w:val="21"/>
              </w:rPr>
              <w:t>语言能力完全丧失，指无法发出四种语音（包括口唇音、齿舌音、口盖音和</w:t>
            </w:r>
          </w:p>
          <w:p>
            <w:pPr>
              <w:pStyle w:val="TableParagraph"/>
              <w:spacing w:line="273" w:lineRule="auto" w:before="37"/>
              <w:ind w:left="526" w:right="199" w:hanging="421"/>
              <w:rPr>
                <w:sz w:val="21"/>
              </w:rPr>
            </w:pPr>
            <w:r>
              <w:rPr>
                <w:spacing w:val="-1"/>
                <w:sz w:val="21"/>
              </w:rPr>
              <w:t>喉头音</w:t>
            </w:r>
            <w:r>
              <w:rPr>
                <w:spacing w:val="-13"/>
                <w:sz w:val="21"/>
              </w:rPr>
              <w:t>）</w:t>
            </w:r>
            <w:r>
              <w:rPr>
                <w:spacing w:val="-6"/>
                <w:sz w:val="21"/>
              </w:rPr>
              <w:t>中的任何三种、或声带全部切除，或因大脑语言中枢受伤害而患失语症。咀嚼吞咽能力完全丧失，指因牙齿以外的原因导致器质障碍或机能障碍，以</w:t>
            </w:r>
          </w:p>
          <w:p>
            <w:pPr>
              <w:pStyle w:val="TableParagraph"/>
              <w:spacing w:before="7"/>
              <w:ind w:left="106"/>
              <w:rPr>
                <w:sz w:val="21"/>
              </w:rPr>
            </w:pPr>
            <w:r>
              <w:rPr>
                <w:sz w:val="21"/>
              </w:rPr>
              <w:t>致不能作咀嚼吞咽运动，除流质食物外不能摄取或吞咽的状态。</w:t>
            </w:r>
          </w:p>
          <w:p>
            <w:pPr>
              <w:pStyle w:val="TableParagraph"/>
              <w:spacing w:before="36"/>
              <w:ind w:left="526"/>
              <w:rPr>
                <w:sz w:val="21"/>
              </w:rPr>
            </w:pPr>
            <w:r>
              <w:rPr>
                <w:sz w:val="21"/>
              </w:rPr>
              <w:t>4、永久不可逆</w:t>
            </w:r>
          </w:p>
          <w:p>
            <w:pPr>
              <w:pStyle w:val="TableParagraph"/>
              <w:spacing w:line="273" w:lineRule="auto" w:before="36"/>
              <w:ind w:left="106" w:right="250" w:firstLine="420"/>
              <w:rPr>
                <w:sz w:val="21"/>
              </w:rPr>
            </w:pPr>
            <w:r>
              <w:rPr>
                <w:sz w:val="21"/>
              </w:rPr>
              <w:t>指自疾病确诊或意外伤害发生之日起，经过积极治疗 180 天后，仍无法通过现有医疗手段恢复。</w:t>
            </w:r>
          </w:p>
        </w:tc>
      </w:tr>
      <w:tr>
        <w:trPr>
          <w:trHeight w:val="931" w:hRule="atLeast"/>
        </w:trPr>
        <w:tc>
          <w:tcPr>
            <w:tcW w:w="978" w:type="dxa"/>
          </w:tcPr>
          <w:p>
            <w:pPr>
              <w:pStyle w:val="TableParagraph"/>
              <w:spacing w:before="142"/>
              <w:ind w:left="200"/>
              <w:rPr>
                <w:b/>
                <w:sz w:val="21"/>
              </w:rPr>
            </w:pPr>
            <w:r>
              <w:rPr>
                <w:b/>
                <w:sz w:val="21"/>
              </w:rPr>
              <w:t>3.3</w:t>
            </w:r>
          </w:p>
        </w:tc>
        <w:tc>
          <w:tcPr>
            <w:tcW w:w="1667" w:type="dxa"/>
          </w:tcPr>
          <w:p>
            <w:pPr>
              <w:pStyle w:val="TableParagraph"/>
              <w:spacing w:line="273" w:lineRule="auto" w:before="142"/>
              <w:ind w:left="249" w:right="148"/>
              <w:rPr>
                <w:b/>
                <w:sz w:val="21"/>
              </w:rPr>
            </w:pPr>
            <w:r>
              <w:rPr>
                <w:b/>
                <w:sz w:val="21"/>
              </w:rPr>
              <w:t>轻症重疾的定义</w:t>
            </w:r>
          </w:p>
        </w:tc>
        <w:tc>
          <w:tcPr>
            <w:tcW w:w="7840" w:type="dxa"/>
          </w:tcPr>
          <w:p>
            <w:pPr>
              <w:pStyle w:val="TableParagraph"/>
              <w:spacing w:line="273" w:lineRule="auto" w:before="142"/>
              <w:ind w:left="106" w:right="306"/>
              <w:rPr>
                <w:b/>
                <w:sz w:val="21"/>
              </w:rPr>
            </w:pPr>
            <w:r>
              <w:rPr>
                <w:b/>
                <w:sz w:val="21"/>
              </w:rPr>
              <w:t>投保人投保本合同即表明其认可并遵从本合同中对各类轻症重疾的定义。各轻症重疾须经我们指定或认可的医院专科医生明确诊断，符合以下定义：</w:t>
            </w:r>
          </w:p>
        </w:tc>
      </w:tr>
      <w:tr>
        <w:trPr>
          <w:trHeight w:val="3743" w:hRule="atLeast"/>
        </w:trPr>
        <w:tc>
          <w:tcPr>
            <w:tcW w:w="978" w:type="dxa"/>
          </w:tcPr>
          <w:p>
            <w:pPr>
              <w:pStyle w:val="TableParagraph"/>
              <w:spacing w:before="136"/>
              <w:ind w:left="200"/>
              <w:rPr>
                <w:i/>
                <w:sz w:val="22"/>
              </w:rPr>
            </w:pPr>
            <w:r>
              <w:rPr>
                <w:i/>
                <w:sz w:val="22"/>
              </w:rPr>
              <w:t>3.3.1</w:t>
            </w:r>
          </w:p>
        </w:tc>
        <w:tc>
          <w:tcPr>
            <w:tcW w:w="1667" w:type="dxa"/>
          </w:tcPr>
          <w:p>
            <w:pPr>
              <w:pStyle w:val="TableParagraph"/>
              <w:spacing w:before="136"/>
              <w:ind w:left="249"/>
              <w:rPr>
                <w:i/>
                <w:sz w:val="22"/>
              </w:rPr>
            </w:pPr>
            <w:r>
              <w:rPr>
                <w:i/>
                <w:w w:val="95"/>
                <w:sz w:val="22"/>
              </w:rPr>
              <w:t>非危及生命的</w:t>
            </w:r>
          </w:p>
          <w:p>
            <w:pPr>
              <w:pStyle w:val="TableParagraph"/>
              <w:spacing w:line="259" w:lineRule="auto" w:before="24"/>
              <w:ind w:left="249" w:right="105"/>
              <w:rPr>
                <w:i/>
                <w:sz w:val="22"/>
              </w:rPr>
            </w:pPr>
            <w:r>
              <w:rPr>
                <w:i/>
                <w:w w:val="95"/>
                <w:sz w:val="22"/>
              </w:rPr>
              <w:t>（极早期的） 恶性病变</w:t>
            </w:r>
          </w:p>
        </w:tc>
        <w:tc>
          <w:tcPr>
            <w:tcW w:w="7840" w:type="dxa"/>
          </w:tcPr>
          <w:p>
            <w:pPr>
              <w:pStyle w:val="TableParagraph"/>
              <w:spacing w:line="273" w:lineRule="auto" w:before="147"/>
              <w:ind w:left="118" w:right="304"/>
              <w:jc w:val="both"/>
              <w:rPr>
                <w:sz w:val="21"/>
              </w:rPr>
            </w:pPr>
            <w:r>
              <w:rPr>
                <w:sz w:val="21"/>
              </w:rPr>
              <w:t>指被保险人生前经组织病理学检查被明确诊断为下列恶性病变，并且接受了相应的治疗。</w:t>
            </w:r>
          </w:p>
          <w:p>
            <w:pPr>
              <w:pStyle w:val="TableParagraph"/>
              <w:spacing w:before="7"/>
              <w:ind w:left="326"/>
              <w:rPr>
                <w:sz w:val="21"/>
              </w:rPr>
            </w:pPr>
            <w:r>
              <w:rPr>
                <w:sz w:val="21"/>
              </w:rPr>
              <w:t>（1）原位癌*；</w:t>
            </w:r>
          </w:p>
          <w:p>
            <w:pPr>
              <w:pStyle w:val="TableParagraph"/>
              <w:spacing w:before="37"/>
              <w:ind w:left="326"/>
              <w:rPr>
                <w:sz w:val="21"/>
              </w:rPr>
            </w:pPr>
            <w:r>
              <w:rPr>
                <w:sz w:val="21"/>
              </w:rPr>
              <w:t>（2）相当于 Binet 分期方案 A 期程度的慢性淋巴细胞白血病；</w:t>
            </w:r>
          </w:p>
          <w:p>
            <w:pPr>
              <w:pStyle w:val="TableParagraph"/>
              <w:spacing w:before="37"/>
              <w:ind w:left="326"/>
              <w:rPr>
                <w:sz w:val="21"/>
              </w:rPr>
            </w:pPr>
            <w:r>
              <w:rPr>
                <w:sz w:val="21"/>
              </w:rPr>
              <w:t>（3）相当于 Ann Arbor 分期方案 I 期程度的何杰金氏病；</w:t>
            </w:r>
          </w:p>
          <w:p>
            <w:pPr>
              <w:pStyle w:val="TableParagraph"/>
              <w:spacing w:before="37"/>
              <w:ind w:left="326"/>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7"/>
                <w:w w:val="100"/>
                <w:sz w:val="21"/>
              </w:rPr>
              <w:t>）</w:t>
            </w:r>
            <w:r>
              <w:rPr>
                <w:w w:val="100"/>
                <w:sz w:val="21"/>
              </w:rPr>
              <w:t>；</w:t>
            </w:r>
          </w:p>
          <w:p>
            <w:pPr>
              <w:pStyle w:val="TableParagraph"/>
              <w:spacing w:before="37"/>
              <w:ind w:left="326"/>
              <w:rPr>
                <w:sz w:val="21"/>
              </w:rPr>
            </w:pPr>
            <w:r>
              <w:rPr>
                <w:sz w:val="21"/>
              </w:rPr>
              <w:t>（5）TNM 分期为 T1N0M0 期或更轻分期的前列腺癌。</w:t>
            </w:r>
          </w:p>
          <w:p>
            <w:pPr>
              <w:pStyle w:val="TableParagraph"/>
              <w:spacing w:before="37"/>
              <w:ind w:left="420"/>
              <w:rPr>
                <w:sz w:val="21"/>
              </w:rPr>
            </w:pPr>
            <w:r>
              <w:rPr>
                <w:sz w:val="21"/>
              </w:rPr>
              <w:t>*原位癌</w:t>
            </w:r>
          </w:p>
          <w:p>
            <w:pPr>
              <w:pStyle w:val="TableParagraph"/>
              <w:spacing w:line="273" w:lineRule="auto" w:before="37"/>
              <w:ind w:left="105" w:right="309"/>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248" w:hRule="atLeast"/>
        </w:trPr>
        <w:tc>
          <w:tcPr>
            <w:tcW w:w="978" w:type="dxa"/>
          </w:tcPr>
          <w:p>
            <w:pPr>
              <w:pStyle w:val="TableParagraph"/>
              <w:spacing w:before="136"/>
              <w:ind w:left="200"/>
              <w:rPr>
                <w:i/>
                <w:sz w:val="22"/>
              </w:rPr>
            </w:pPr>
            <w:r>
              <w:rPr>
                <w:i/>
                <w:sz w:val="22"/>
              </w:rPr>
              <w:t>3.3.2</w:t>
            </w:r>
          </w:p>
        </w:tc>
        <w:tc>
          <w:tcPr>
            <w:tcW w:w="1667" w:type="dxa"/>
          </w:tcPr>
          <w:p>
            <w:pPr>
              <w:pStyle w:val="TableParagraph"/>
              <w:spacing w:line="259" w:lineRule="auto" w:before="136"/>
              <w:ind w:left="249" w:right="105"/>
              <w:rPr>
                <w:i/>
                <w:sz w:val="22"/>
              </w:rPr>
            </w:pPr>
            <w:r>
              <w:rPr>
                <w:i/>
                <w:w w:val="95"/>
                <w:sz w:val="22"/>
              </w:rPr>
              <w:t>冠状动脉介入手术</w:t>
            </w:r>
          </w:p>
        </w:tc>
        <w:tc>
          <w:tcPr>
            <w:tcW w:w="7840" w:type="dxa"/>
          </w:tcPr>
          <w:p>
            <w:pPr>
              <w:pStyle w:val="TableParagraph"/>
              <w:spacing w:line="273" w:lineRule="auto" w:before="148"/>
              <w:ind w:left="106" w:right="309"/>
              <w:jc w:val="both"/>
              <w:rPr>
                <w:sz w:val="21"/>
              </w:rPr>
            </w:pPr>
            <w:r>
              <w:rPr>
                <w:sz w:val="21"/>
              </w:rPr>
              <w:t>指被保险人为了治疗明显的冠状动脉狭窄性疾病，首次实际实施了冠状动脉球囊扩张成形术、冠状动脉支架植入术、冠状动脉粥肿斑块切除术或激光冠状动脉成形术。</w:t>
            </w:r>
          </w:p>
        </w:tc>
      </w:tr>
      <w:tr>
        <w:trPr>
          <w:trHeight w:val="1559" w:hRule="atLeast"/>
        </w:trPr>
        <w:tc>
          <w:tcPr>
            <w:tcW w:w="978" w:type="dxa"/>
          </w:tcPr>
          <w:p>
            <w:pPr>
              <w:pStyle w:val="TableParagraph"/>
              <w:spacing w:before="136"/>
              <w:ind w:left="200"/>
              <w:rPr>
                <w:i/>
                <w:sz w:val="22"/>
              </w:rPr>
            </w:pPr>
            <w:r>
              <w:rPr>
                <w:i/>
                <w:sz w:val="22"/>
              </w:rPr>
              <w:t>3.3.3</w:t>
            </w:r>
          </w:p>
        </w:tc>
        <w:tc>
          <w:tcPr>
            <w:tcW w:w="1667" w:type="dxa"/>
          </w:tcPr>
          <w:p>
            <w:pPr>
              <w:pStyle w:val="TableParagraph"/>
              <w:spacing w:before="136"/>
              <w:ind w:left="249"/>
              <w:rPr>
                <w:i/>
                <w:sz w:val="22"/>
              </w:rPr>
            </w:pPr>
            <w:r>
              <w:rPr>
                <w:i/>
                <w:w w:val="95"/>
                <w:sz w:val="22"/>
              </w:rPr>
              <w:t>轻微脑中风</w:t>
            </w:r>
          </w:p>
        </w:tc>
        <w:tc>
          <w:tcPr>
            <w:tcW w:w="7840" w:type="dxa"/>
          </w:tcPr>
          <w:p>
            <w:pPr>
              <w:pStyle w:val="TableParagraph"/>
              <w:spacing w:line="273" w:lineRule="auto" w:before="147"/>
              <w:ind w:left="106" w:right="374"/>
              <w:jc w:val="both"/>
              <w:rPr>
                <w:sz w:val="21"/>
              </w:rPr>
            </w:pPr>
            <w:r>
              <w:rPr>
                <w:spacing w:val="-3"/>
                <w:sz w:val="21"/>
              </w:rPr>
              <w:t>指被保险人因非意外原因实际发生了脑血管的突发病变出现神经系统功能障碍表</w:t>
            </w:r>
            <w:r>
              <w:rPr>
                <w:spacing w:val="-3"/>
                <w:w w:val="100"/>
                <w:sz w:val="21"/>
              </w:rPr>
              <w:t>现，头颅断层扫描（</w:t>
            </w:r>
            <w:r>
              <w:rPr>
                <w:w w:val="100"/>
                <w:sz w:val="21"/>
              </w:rPr>
              <w:t>CT</w:t>
            </w:r>
            <w:r>
              <w:rPr>
                <w:spacing w:val="-108"/>
                <w:w w:val="100"/>
                <w:sz w:val="21"/>
              </w:rPr>
              <w:t>）</w:t>
            </w:r>
            <w:r>
              <w:rPr>
                <w:spacing w:val="-3"/>
                <w:w w:val="100"/>
                <w:sz w:val="21"/>
              </w:rPr>
              <w:t>、核磁共振（</w:t>
            </w:r>
            <w:r>
              <w:rPr>
                <w:w w:val="100"/>
                <w:sz w:val="21"/>
              </w:rPr>
              <w:t>MR</w:t>
            </w:r>
            <w:r>
              <w:rPr>
                <w:spacing w:val="-3"/>
                <w:w w:val="100"/>
                <w:sz w:val="21"/>
              </w:rPr>
              <w:t>I</w:t>
            </w:r>
            <w:r>
              <w:rPr>
                <w:w w:val="100"/>
                <w:sz w:val="21"/>
              </w:rPr>
              <w:t>）</w:t>
            </w:r>
            <w:r>
              <w:rPr>
                <w:spacing w:val="-3"/>
                <w:w w:val="100"/>
                <w:sz w:val="21"/>
              </w:rPr>
              <w:t>等影像学检查证实存在对应病灶，确</w:t>
            </w:r>
            <w:r>
              <w:rPr>
                <w:spacing w:val="-5"/>
                <w:sz w:val="21"/>
              </w:rPr>
              <w:t>诊为脑出血、脑栓塞或脑梗塞，在确诊 </w:t>
            </w:r>
            <w:r>
              <w:rPr>
                <w:sz w:val="21"/>
              </w:rPr>
              <w:t>180</w:t>
            </w:r>
            <w:r>
              <w:rPr>
                <w:spacing w:val="-8"/>
                <w:sz w:val="21"/>
              </w:rPr>
              <w:t> 天后仍然遗留一肢或一肢以上肢体肌</w:t>
            </w:r>
            <w:r>
              <w:rPr>
                <w:spacing w:val="-28"/>
                <w:sz w:val="21"/>
              </w:rPr>
              <w:t>力 </w:t>
            </w:r>
            <w:r>
              <w:rPr>
                <w:sz w:val="21"/>
              </w:rPr>
              <w:t>III</w:t>
            </w:r>
            <w:r>
              <w:rPr>
                <w:spacing w:val="-26"/>
                <w:sz w:val="21"/>
              </w:rPr>
              <w:t> 级或 </w:t>
            </w:r>
            <w:r>
              <w:rPr>
                <w:sz w:val="21"/>
              </w:rPr>
              <w:t>III</w:t>
            </w:r>
            <w:r>
              <w:rPr>
                <w:spacing w:val="-8"/>
                <w:sz w:val="21"/>
              </w:rPr>
              <w:t> 级以下的运动功能障碍。</w:t>
            </w:r>
          </w:p>
        </w:tc>
      </w:tr>
      <w:tr>
        <w:trPr>
          <w:trHeight w:val="936" w:hRule="atLeast"/>
        </w:trPr>
        <w:tc>
          <w:tcPr>
            <w:tcW w:w="978" w:type="dxa"/>
          </w:tcPr>
          <w:p>
            <w:pPr>
              <w:pStyle w:val="TableParagraph"/>
              <w:spacing w:before="136"/>
              <w:ind w:left="200"/>
              <w:rPr>
                <w:i/>
                <w:sz w:val="22"/>
              </w:rPr>
            </w:pPr>
            <w:r>
              <w:rPr>
                <w:i/>
                <w:sz w:val="22"/>
              </w:rPr>
              <w:t>3.3.4</w:t>
            </w:r>
          </w:p>
        </w:tc>
        <w:tc>
          <w:tcPr>
            <w:tcW w:w="1667" w:type="dxa"/>
          </w:tcPr>
          <w:p>
            <w:pPr>
              <w:pStyle w:val="TableParagraph"/>
              <w:spacing w:line="259" w:lineRule="auto" w:before="136"/>
              <w:ind w:left="249" w:right="105"/>
              <w:rPr>
                <w:i/>
                <w:sz w:val="22"/>
              </w:rPr>
            </w:pPr>
            <w:r>
              <w:rPr>
                <w:i/>
                <w:w w:val="95"/>
                <w:sz w:val="22"/>
              </w:rPr>
              <w:t>心脏瓣膜介入手术</w:t>
            </w:r>
          </w:p>
        </w:tc>
        <w:tc>
          <w:tcPr>
            <w:tcW w:w="7840" w:type="dxa"/>
          </w:tcPr>
          <w:p>
            <w:pPr>
              <w:pStyle w:val="TableParagraph"/>
              <w:spacing w:line="273" w:lineRule="auto" w:before="147"/>
              <w:ind w:left="106" w:right="309"/>
              <w:rPr>
                <w:sz w:val="21"/>
              </w:rPr>
            </w:pPr>
            <w:r>
              <w:rPr>
                <w:sz w:val="21"/>
              </w:rPr>
              <w:t>为了治疗心脏瓣膜疾病，被保险人实际接受了非开胸的经胸壁打孔内镜手术或经皮经导管介入手术进行的心脏瓣膜置换或修复手术。</w:t>
            </w:r>
          </w:p>
        </w:tc>
      </w:tr>
      <w:tr>
        <w:trPr>
          <w:trHeight w:val="2495" w:hRule="atLeast"/>
        </w:trPr>
        <w:tc>
          <w:tcPr>
            <w:tcW w:w="978" w:type="dxa"/>
          </w:tcPr>
          <w:p>
            <w:pPr>
              <w:pStyle w:val="TableParagraph"/>
              <w:spacing w:before="135"/>
              <w:ind w:left="200"/>
              <w:rPr>
                <w:i/>
                <w:sz w:val="22"/>
              </w:rPr>
            </w:pPr>
            <w:r>
              <w:rPr>
                <w:i/>
                <w:sz w:val="22"/>
              </w:rPr>
              <w:t>3.3.5</w:t>
            </w:r>
          </w:p>
        </w:tc>
        <w:tc>
          <w:tcPr>
            <w:tcW w:w="1667" w:type="dxa"/>
          </w:tcPr>
          <w:p>
            <w:pPr>
              <w:pStyle w:val="TableParagraph"/>
              <w:spacing w:line="259" w:lineRule="auto" w:before="135"/>
              <w:ind w:left="249" w:right="105"/>
              <w:jc w:val="both"/>
              <w:rPr>
                <w:i/>
                <w:sz w:val="22"/>
              </w:rPr>
            </w:pPr>
            <w:r>
              <w:rPr>
                <w:i/>
                <w:w w:val="95"/>
                <w:sz w:val="22"/>
              </w:rPr>
              <w:t>脑垂体瘤、脑囊肿、脑动脉瘤及脑血管瘤</w:t>
            </w:r>
          </w:p>
        </w:tc>
        <w:tc>
          <w:tcPr>
            <w:tcW w:w="7840" w:type="dxa"/>
          </w:tcPr>
          <w:p>
            <w:pPr>
              <w:pStyle w:val="TableParagraph"/>
              <w:spacing w:line="273" w:lineRule="auto" w:before="146"/>
              <w:ind w:left="106" w:right="308"/>
              <w:rPr>
                <w:sz w:val="21"/>
              </w:rPr>
            </w:pPr>
            <w:r>
              <w:rPr>
                <w:w w:val="100"/>
                <w:sz w:val="21"/>
              </w:rPr>
              <w:t>指被保险人经头颅断层扫描</w:t>
            </w:r>
            <w:r>
              <w:rPr>
                <w:spacing w:val="1"/>
                <w:w w:val="100"/>
                <w:sz w:val="21"/>
              </w:rPr>
              <w:t>（</w:t>
            </w:r>
            <w:r>
              <w:rPr>
                <w:spacing w:val="-3"/>
                <w:w w:val="100"/>
                <w:sz w:val="21"/>
              </w:rPr>
              <w:t>C</w:t>
            </w:r>
            <w:r>
              <w:rPr>
                <w:spacing w:val="1"/>
                <w:w w:val="100"/>
                <w:sz w:val="21"/>
              </w:rPr>
              <w:t>T</w:t>
            </w:r>
            <w:r>
              <w:rPr>
                <w:spacing w:val="-106"/>
                <w:w w:val="100"/>
                <w:sz w:val="21"/>
              </w:rPr>
              <w:t>）</w:t>
            </w:r>
            <w:r>
              <w:rPr>
                <w:w w:val="100"/>
                <w:sz w:val="21"/>
              </w:rPr>
              <w:t>、核磁共振</w:t>
            </w:r>
            <w:r>
              <w:rPr>
                <w:spacing w:val="1"/>
                <w:w w:val="100"/>
                <w:sz w:val="21"/>
              </w:rPr>
              <w:t>（</w:t>
            </w:r>
            <w:r>
              <w:rPr>
                <w:w w:val="100"/>
                <w:sz w:val="21"/>
              </w:rPr>
              <w:t>M</w:t>
            </w:r>
            <w:r>
              <w:rPr>
                <w:spacing w:val="-3"/>
                <w:w w:val="100"/>
                <w:sz w:val="21"/>
              </w:rPr>
              <w:t>R</w:t>
            </w:r>
            <w:r>
              <w:rPr>
                <w:w w:val="100"/>
                <w:sz w:val="21"/>
              </w:rPr>
              <w:t>I</w:t>
            </w:r>
            <w:r>
              <w:rPr>
                <w:spacing w:val="1"/>
                <w:w w:val="100"/>
                <w:sz w:val="21"/>
              </w:rPr>
              <w:t>）</w:t>
            </w:r>
            <w:r>
              <w:rPr>
                <w:w w:val="100"/>
                <w:sz w:val="21"/>
              </w:rPr>
              <w:t>或其他影像学检查被确诊为</w:t>
            </w:r>
            <w:r>
              <w:rPr>
                <w:spacing w:val="-3"/>
                <w:sz w:val="21"/>
              </w:rPr>
              <w:t>下列病变，并针对下列病变实际接受了手术或放射治疗。</w:t>
            </w:r>
          </w:p>
          <w:p>
            <w:pPr>
              <w:pStyle w:val="TableParagraph"/>
              <w:spacing w:before="7"/>
              <w:ind w:left="326"/>
              <w:rPr>
                <w:sz w:val="21"/>
              </w:rPr>
            </w:pPr>
            <w:r>
              <w:rPr>
                <w:sz w:val="21"/>
              </w:rPr>
              <w:t>（1）脑垂体瘤；</w:t>
            </w:r>
          </w:p>
          <w:p>
            <w:pPr>
              <w:pStyle w:val="TableParagraph"/>
              <w:spacing w:before="37"/>
              <w:ind w:left="326"/>
              <w:rPr>
                <w:sz w:val="21"/>
              </w:rPr>
            </w:pPr>
            <w:r>
              <w:rPr>
                <w:sz w:val="21"/>
              </w:rPr>
              <w:t>（2）脑囊肿；</w:t>
            </w:r>
          </w:p>
          <w:p>
            <w:pPr>
              <w:pStyle w:val="TableParagraph"/>
              <w:spacing w:before="37"/>
              <w:ind w:left="326"/>
              <w:rPr>
                <w:sz w:val="21"/>
              </w:rPr>
            </w:pPr>
            <w:r>
              <w:rPr>
                <w:sz w:val="21"/>
              </w:rPr>
              <w:t>（3）脑动脉瘤、脑血管瘤。</w:t>
            </w:r>
          </w:p>
          <w:p>
            <w:pPr>
              <w:pStyle w:val="TableParagraph"/>
              <w:spacing w:line="273" w:lineRule="auto" w:before="37"/>
              <w:ind w:left="106" w:right="309"/>
              <w:rPr>
                <w:b/>
                <w:sz w:val="21"/>
              </w:rPr>
            </w:pPr>
            <w:r>
              <w:rPr>
                <w:b/>
                <w:sz w:val="21"/>
              </w:rPr>
              <w:t>若被保险人因同一原因导致其满足脑垂体瘤、脑囊肿、脑动脉瘤及脑血管瘤的， 仅按其中一项给付。</w:t>
            </w:r>
          </w:p>
        </w:tc>
      </w:tr>
      <w:tr>
        <w:trPr>
          <w:trHeight w:val="424" w:hRule="atLeast"/>
        </w:trPr>
        <w:tc>
          <w:tcPr>
            <w:tcW w:w="978" w:type="dxa"/>
          </w:tcPr>
          <w:p>
            <w:pPr>
              <w:pStyle w:val="TableParagraph"/>
              <w:spacing w:line="268" w:lineRule="exact" w:before="136"/>
              <w:ind w:left="200"/>
              <w:rPr>
                <w:i/>
                <w:sz w:val="22"/>
              </w:rPr>
            </w:pPr>
            <w:r>
              <w:rPr>
                <w:i/>
                <w:sz w:val="22"/>
              </w:rPr>
              <w:t>3.3.6</w:t>
            </w:r>
          </w:p>
        </w:tc>
        <w:tc>
          <w:tcPr>
            <w:tcW w:w="1667" w:type="dxa"/>
          </w:tcPr>
          <w:p>
            <w:pPr>
              <w:pStyle w:val="TableParagraph"/>
              <w:spacing w:line="268" w:lineRule="exact" w:before="136"/>
              <w:ind w:left="249"/>
              <w:rPr>
                <w:b/>
                <w:i/>
                <w:sz w:val="22"/>
              </w:rPr>
            </w:pPr>
            <w:r>
              <w:rPr>
                <w:b/>
                <w:i/>
                <w:w w:val="95"/>
                <w:sz w:val="22"/>
              </w:rPr>
              <w:t>视力严重受损</w:t>
            </w:r>
          </w:p>
        </w:tc>
        <w:tc>
          <w:tcPr>
            <w:tcW w:w="7840" w:type="dxa"/>
          </w:tcPr>
          <w:p>
            <w:pPr>
              <w:pStyle w:val="TableParagraph"/>
              <w:spacing w:line="257" w:lineRule="exact" w:before="147"/>
              <w:ind w:left="106"/>
              <w:rPr>
                <w:sz w:val="21"/>
              </w:rPr>
            </w:pPr>
            <w:r>
              <w:rPr>
                <w:sz w:val="21"/>
              </w:rPr>
              <w:t>指被保险人因疾病或意外伤害导致双目视力永久不可逆性丧失，虽然未达到重大</w:t>
            </w:r>
          </w:p>
        </w:tc>
      </w:tr>
    </w:tbl>
    <w:p>
      <w:pPr>
        <w:spacing w:after="0" w:line="257" w:lineRule="exact"/>
        <w:rPr>
          <w:sz w:val="21"/>
        </w:rPr>
        <w:sectPr>
          <w:pgSz w:w="11910" w:h="16840"/>
          <w:pgMar w:header="892" w:footer="917" w:top="1080" w:bottom="1100" w:left="820" w:right="3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41"/>
        <w:gridCol w:w="7707"/>
      </w:tblGrid>
      <w:tr>
        <w:trPr>
          <w:trHeight w:val="1982" w:hRule="atLeast"/>
        </w:trPr>
        <w:tc>
          <w:tcPr>
            <w:tcW w:w="1030" w:type="dxa"/>
          </w:tcPr>
          <w:p>
            <w:pPr>
              <w:pStyle w:val="TableParagraph"/>
              <w:rPr>
                <w:rFonts w:ascii="Times New Roman"/>
                <w:sz w:val="20"/>
              </w:rPr>
            </w:pPr>
          </w:p>
        </w:tc>
        <w:tc>
          <w:tcPr>
            <w:tcW w:w="1641" w:type="dxa"/>
          </w:tcPr>
          <w:p>
            <w:pPr>
              <w:pStyle w:val="TableParagraph"/>
              <w:spacing w:line="222" w:lineRule="exact"/>
              <w:ind w:left="197"/>
              <w:rPr>
                <w:b/>
                <w:i/>
                <w:sz w:val="22"/>
              </w:rPr>
            </w:pPr>
            <w:r>
              <w:rPr>
                <w:b/>
                <w:i/>
                <w:w w:val="95"/>
                <w:sz w:val="22"/>
              </w:rPr>
              <w:t>（三周岁以上</w:t>
            </w:r>
          </w:p>
          <w:p>
            <w:pPr>
              <w:pStyle w:val="TableParagraph"/>
              <w:spacing w:before="24"/>
              <w:ind w:left="197"/>
              <w:rPr>
                <w:b/>
                <w:i/>
                <w:sz w:val="22"/>
              </w:rPr>
            </w:pPr>
            <w:r>
              <w:rPr>
                <w:b/>
                <w:i/>
                <w:w w:val="95"/>
                <w:sz w:val="22"/>
              </w:rPr>
              <w:t>理赔）</w:t>
            </w:r>
          </w:p>
        </w:tc>
        <w:tc>
          <w:tcPr>
            <w:tcW w:w="7707" w:type="dxa"/>
          </w:tcPr>
          <w:p>
            <w:pPr>
              <w:pStyle w:val="TableParagraph"/>
              <w:spacing w:line="221" w:lineRule="exact"/>
              <w:ind w:left="80"/>
              <w:rPr>
                <w:sz w:val="21"/>
              </w:rPr>
            </w:pPr>
            <w:r>
              <w:rPr>
                <w:sz w:val="21"/>
              </w:rPr>
              <w:t>疾病“双目失明”的给付标准，但满足下列条件之一：</w:t>
            </w:r>
          </w:p>
          <w:p>
            <w:pPr>
              <w:pStyle w:val="TableParagraph"/>
              <w:spacing w:line="273" w:lineRule="auto" w:before="37"/>
              <w:ind w:left="80" w:right="198"/>
              <w:rPr>
                <w:sz w:val="21"/>
              </w:rPr>
            </w:pPr>
            <w:r>
              <w:rPr>
                <w:sz w:val="21"/>
              </w:rPr>
              <w:t>（1）</w:t>
            </w:r>
            <w:r>
              <w:rPr>
                <w:spacing w:val="-4"/>
                <w:sz w:val="21"/>
              </w:rPr>
              <w:t>双眼中较好眼矫正视力低于 </w:t>
            </w:r>
            <w:r>
              <w:rPr>
                <w:sz w:val="21"/>
              </w:rPr>
              <w:t>0.1（</w:t>
            </w:r>
            <w:r>
              <w:rPr>
                <w:spacing w:val="-3"/>
                <w:sz w:val="21"/>
              </w:rPr>
              <w:t>采用国际标准视力表，如果使用其他视力</w:t>
            </w:r>
            <w:r>
              <w:rPr>
                <w:spacing w:val="-3"/>
                <w:w w:val="100"/>
                <w:sz w:val="21"/>
              </w:rPr>
              <w:t>表应进行换算</w:t>
            </w:r>
            <w:r>
              <w:rPr>
                <w:spacing w:val="-108"/>
                <w:w w:val="100"/>
                <w:sz w:val="21"/>
              </w:rPr>
              <w:t>）</w:t>
            </w:r>
            <w:r>
              <w:rPr>
                <w:w w:val="100"/>
                <w:sz w:val="21"/>
              </w:rPr>
              <w:t>；</w:t>
            </w:r>
          </w:p>
          <w:p>
            <w:pPr>
              <w:pStyle w:val="TableParagraph"/>
              <w:spacing w:before="7"/>
              <w:ind w:left="80"/>
              <w:rPr>
                <w:sz w:val="21"/>
              </w:rPr>
            </w:pPr>
            <w:r>
              <w:rPr>
                <w:sz w:val="21"/>
              </w:rPr>
              <w:t>（2）双眼中较好眼视野半径小于 20 度。</w:t>
            </w:r>
          </w:p>
          <w:p>
            <w:pPr>
              <w:pStyle w:val="TableParagraph"/>
              <w:spacing w:line="273" w:lineRule="auto" w:before="36"/>
              <w:ind w:left="80" w:right="202"/>
              <w:rPr>
                <w:b/>
                <w:sz w:val="21"/>
              </w:rPr>
            </w:pPr>
            <w:r>
              <w:rPr>
                <w:b/>
                <w:sz w:val="21"/>
              </w:rPr>
              <w:t>被保险人申请理赔时年龄必须在三周岁以上，并且提供理赔当时的视力丧失诊断及检查证据。</w:t>
            </w:r>
          </w:p>
        </w:tc>
      </w:tr>
      <w:tr>
        <w:trPr>
          <w:trHeight w:val="936" w:hRule="atLeast"/>
        </w:trPr>
        <w:tc>
          <w:tcPr>
            <w:tcW w:w="1030" w:type="dxa"/>
          </w:tcPr>
          <w:p>
            <w:pPr>
              <w:pStyle w:val="TableParagraph"/>
              <w:spacing w:before="136"/>
              <w:ind w:left="200"/>
              <w:rPr>
                <w:i/>
                <w:sz w:val="22"/>
              </w:rPr>
            </w:pPr>
            <w:r>
              <w:rPr>
                <w:i/>
                <w:sz w:val="22"/>
              </w:rPr>
              <w:t>3.3.7</w:t>
            </w:r>
          </w:p>
        </w:tc>
        <w:tc>
          <w:tcPr>
            <w:tcW w:w="1641" w:type="dxa"/>
          </w:tcPr>
          <w:p>
            <w:pPr>
              <w:pStyle w:val="TableParagraph"/>
              <w:spacing w:line="259" w:lineRule="auto" w:before="136"/>
              <w:ind w:left="197" w:right="131"/>
              <w:rPr>
                <w:i/>
                <w:sz w:val="22"/>
              </w:rPr>
            </w:pPr>
            <w:r>
              <w:rPr>
                <w:i/>
                <w:w w:val="95"/>
                <w:sz w:val="22"/>
              </w:rPr>
              <w:t>主动脉内介入手术</w:t>
            </w:r>
          </w:p>
        </w:tc>
        <w:tc>
          <w:tcPr>
            <w:tcW w:w="7707" w:type="dxa"/>
          </w:tcPr>
          <w:p>
            <w:pPr>
              <w:pStyle w:val="TableParagraph"/>
              <w:spacing w:line="273" w:lineRule="auto" w:before="147"/>
              <w:ind w:left="80" w:right="202"/>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936" w:hRule="atLeast"/>
        </w:trPr>
        <w:tc>
          <w:tcPr>
            <w:tcW w:w="1030" w:type="dxa"/>
          </w:tcPr>
          <w:p>
            <w:pPr>
              <w:pStyle w:val="TableParagraph"/>
              <w:spacing w:before="135"/>
              <w:ind w:left="200"/>
              <w:rPr>
                <w:i/>
                <w:sz w:val="22"/>
              </w:rPr>
            </w:pPr>
            <w:r>
              <w:rPr>
                <w:i/>
                <w:sz w:val="22"/>
              </w:rPr>
              <w:t>3.3.8</w:t>
            </w:r>
          </w:p>
        </w:tc>
        <w:tc>
          <w:tcPr>
            <w:tcW w:w="1641" w:type="dxa"/>
          </w:tcPr>
          <w:p>
            <w:pPr>
              <w:pStyle w:val="TableParagraph"/>
              <w:spacing w:before="135"/>
              <w:ind w:left="197"/>
              <w:rPr>
                <w:i/>
                <w:sz w:val="22"/>
              </w:rPr>
            </w:pPr>
            <w:r>
              <w:rPr>
                <w:i/>
                <w:sz w:val="22"/>
              </w:rPr>
              <w:t>较小面积 III</w:t>
            </w:r>
          </w:p>
          <w:p>
            <w:pPr>
              <w:pStyle w:val="TableParagraph"/>
              <w:spacing w:before="24"/>
              <w:ind w:left="197"/>
              <w:rPr>
                <w:i/>
                <w:sz w:val="22"/>
              </w:rPr>
            </w:pPr>
            <w:r>
              <w:rPr>
                <w:i/>
                <w:w w:val="95"/>
                <w:sz w:val="22"/>
              </w:rPr>
              <w:t>度烧伤（10%）</w:t>
            </w:r>
          </w:p>
        </w:tc>
        <w:tc>
          <w:tcPr>
            <w:tcW w:w="7707" w:type="dxa"/>
          </w:tcPr>
          <w:p>
            <w:pPr>
              <w:pStyle w:val="TableParagraph"/>
              <w:spacing w:before="146"/>
              <w:ind w:left="80"/>
              <w:rPr>
                <w:sz w:val="21"/>
              </w:rPr>
            </w:pPr>
            <w:r>
              <w:rPr>
                <w:sz w:val="21"/>
              </w:rPr>
              <w:t>指被保险人的烧伤程度为Ⅲ度，且Ⅲ度烧伤的面积大于全身体表面积的 10%但小于</w:t>
            </w:r>
          </w:p>
          <w:p>
            <w:pPr>
              <w:pStyle w:val="TableParagraph"/>
              <w:spacing w:before="36"/>
              <w:ind w:left="80"/>
              <w:rPr>
                <w:sz w:val="21"/>
              </w:rPr>
            </w:pPr>
            <w:r>
              <w:rPr>
                <w:sz w:val="21"/>
              </w:rPr>
              <w:t>20％。体表面积根据 《中国新九分法》计算。</w:t>
            </w:r>
          </w:p>
        </w:tc>
      </w:tr>
      <w:tr>
        <w:trPr>
          <w:trHeight w:val="1871" w:hRule="atLeast"/>
        </w:trPr>
        <w:tc>
          <w:tcPr>
            <w:tcW w:w="1030" w:type="dxa"/>
          </w:tcPr>
          <w:p>
            <w:pPr>
              <w:pStyle w:val="TableParagraph"/>
              <w:spacing w:before="135"/>
              <w:ind w:left="200"/>
              <w:rPr>
                <w:i/>
                <w:sz w:val="22"/>
              </w:rPr>
            </w:pPr>
            <w:r>
              <w:rPr>
                <w:i/>
                <w:sz w:val="22"/>
              </w:rPr>
              <w:t>3.3.9</w:t>
            </w:r>
          </w:p>
        </w:tc>
        <w:tc>
          <w:tcPr>
            <w:tcW w:w="1641" w:type="dxa"/>
          </w:tcPr>
          <w:p>
            <w:pPr>
              <w:pStyle w:val="TableParagraph"/>
              <w:spacing w:line="259" w:lineRule="auto" w:before="135"/>
              <w:ind w:left="196" w:right="124"/>
              <w:jc w:val="both"/>
              <w:rPr>
                <w:i/>
                <w:sz w:val="22"/>
              </w:rPr>
            </w:pPr>
            <w:r>
              <w:rPr>
                <w:i/>
                <w:w w:val="95"/>
                <w:sz w:val="22"/>
              </w:rPr>
              <w:t>慢性肾功能损</w:t>
            </w:r>
            <w:r>
              <w:rPr>
                <w:i/>
                <w:sz w:val="22"/>
              </w:rPr>
              <w:t>害 – 肾功能</w:t>
            </w:r>
            <w:r>
              <w:rPr>
                <w:i/>
                <w:w w:val="95"/>
                <w:sz w:val="22"/>
              </w:rPr>
              <w:t>衰竭期</w:t>
            </w:r>
          </w:p>
        </w:tc>
        <w:tc>
          <w:tcPr>
            <w:tcW w:w="7707" w:type="dxa"/>
          </w:tcPr>
          <w:p>
            <w:pPr>
              <w:pStyle w:val="TableParagraph"/>
              <w:spacing w:line="273" w:lineRule="auto" w:before="146"/>
              <w:ind w:left="80" w:right="202"/>
              <w:rPr>
                <w:sz w:val="21"/>
              </w:rPr>
            </w:pPr>
            <w:r>
              <w:rPr>
                <w:sz w:val="21"/>
              </w:rPr>
              <w:t>指被保险人因双肾功能慢性不可逆性损害达到肾功能衰竭期，诊断必须满足所有以下标准。</w:t>
            </w:r>
          </w:p>
          <w:p>
            <w:pPr>
              <w:pStyle w:val="TableParagraph"/>
              <w:spacing w:before="7"/>
              <w:ind w:left="80"/>
              <w:rPr>
                <w:sz w:val="21"/>
              </w:rPr>
            </w:pPr>
            <w:r>
              <w:rPr>
                <w:sz w:val="21"/>
              </w:rPr>
              <w:t>（1）GFR &lt; 25%</w:t>
            </w:r>
          </w:p>
          <w:p>
            <w:pPr>
              <w:pStyle w:val="TableParagraph"/>
              <w:spacing w:before="37"/>
              <w:ind w:left="80"/>
              <w:rPr>
                <w:sz w:val="21"/>
              </w:rPr>
            </w:pPr>
            <w:r>
              <w:rPr>
                <w:sz w:val="21"/>
              </w:rPr>
              <w:t>（2）Scr &gt; 5mg/dl 或&gt;442umol/L</w:t>
            </w:r>
          </w:p>
          <w:p>
            <w:pPr>
              <w:pStyle w:val="TableParagraph"/>
              <w:spacing w:before="37"/>
              <w:ind w:left="80"/>
              <w:rPr>
                <w:sz w:val="21"/>
              </w:rPr>
            </w:pPr>
            <w:r>
              <w:rPr>
                <w:sz w:val="21"/>
              </w:rPr>
              <w:t>（3）持续 180 天</w:t>
            </w:r>
          </w:p>
        </w:tc>
      </w:tr>
      <w:tr>
        <w:trPr>
          <w:trHeight w:val="2495" w:hRule="atLeast"/>
        </w:trPr>
        <w:tc>
          <w:tcPr>
            <w:tcW w:w="1030" w:type="dxa"/>
          </w:tcPr>
          <w:p>
            <w:pPr>
              <w:pStyle w:val="TableParagraph"/>
              <w:spacing w:before="136"/>
              <w:ind w:left="200"/>
              <w:rPr>
                <w:i/>
                <w:sz w:val="22"/>
              </w:rPr>
            </w:pPr>
            <w:r>
              <w:rPr>
                <w:i/>
                <w:sz w:val="22"/>
              </w:rPr>
              <w:t>3.3.10</w:t>
            </w:r>
          </w:p>
        </w:tc>
        <w:tc>
          <w:tcPr>
            <w:tcW w:w="1641" w:type="dxa"/>
          </w:tcPr>
          <w:p>
            <w:pPr>
              <w:pStyle w:val="TableParagraph"/>
              <w:spacing w:before="136"/>
              <w:ind w:right="179"/>
              <w:jc w:val="right"/>
              <w:rPr>
                <w:i/>
                <w:sz w:val="22"/>
              </w:rPr>
            </w:pPr>
            <w:r>
              <w:rPr>
                <w:i/>
                <w:w w:val="95"/>
                <w:sz w:val="22"/>
              </w:rPr>
              <w:t>重症头部外伤</w:t>
            </w:r>
          </w:p>
        </w:tc>
        <w:tc>
          <w:tcPr>
            <w:tcW w:w="7707" w:type="dxa"/>
          </w:tcPr>
          <w:p>
            <w:pPr>
              <w:pStyle w:val="TableParagraph"/>
              <w:spacing w:line="273" w:lineRule="auto" w:before="147"/>
              <w:ind w:left="80" w:right="197"/>
              <w:jc w:val="both"/>
              <w:rPr>
                <w:sz w:val="21"/>
              </w:rPr>
            </w:pPr>
            <w:r>
              <w:rPr>
                <w:spacing w:val="-11"/>
                <w:w w:val="100"/>
                <w:sz w:val="21"/>
              </w:rPr>
              <w:t>指因头部遭受机械性外力伤害，引起脑重要部位损伤，并且由头颅断层扫描</w:t>
            </w:r>
            <w:r>
              <w:rPr>
                <w:spacing w:val="-3"/>
                <w:w w:val="100"/>
                <w:sz w:val="21"/>
              </w:rPr>
              <w:t>（</w:t>
            </w:r>
            <w:r>
              <w:rPr>
                <w:w w:val="100"/>
                <w:sz w:val="21"/>
              </w:rPr>
              <w:t>CT</w:t>
            </w:r>
            <w:r>
              <w:rPr>
                <w:spacing w:val="-106"/>
                <w:w w:val="100"/>
                <w:sz w:val="21"/>
              </w:rPr>
              <w:t>）、</w:t>
            </w:r>
            <w:r>
              <w:rPr>
                <w:sz w:val="21"/>
              </w:rPr>
              <w:t>核磁共振检查（MRI）或正电子发射断层扫描（PET）等影像学检查证实。头部外伤导致神经系统功能障碍，虽然未达到重大疾病“严重脑损伤”的给付标准，但</w:t>
            </w:r>
            <w:r>
              <w:rPr>
                <w:spacing w:val="-3"/>
                <w:sz w:val="21"/>
              </w:rPr>
              <w:t>是符合以下条件之一：</w:t>
            </w:r>
          </w:p>
          <w:p>
            <w:pPr>
              <w:pStyle w:val="TableParagraph"/>
              <w:spacing w:before="7"/>
              <w:ind w:left="80"/>
              <w:rPr>
                <w:sz w:val="21"/>
              </w:rPr>
            </w:pPr>
            <w:r>
              <w:rPr>
                <w:w w:val="100"/>
                <w:sz w:val="21"/>
              </w:rPr>
              <w:t>（1</w:t>
            </w:r>
            <w:r>
              <w:rPr>
                <w:spacing w:val="-3"/>
                <w:w w:val="100"/>
                <w:sz w:val="21"/>
              </w:rPr>
              <w:t>）被保险人接受了全麻下颅骨切开颅内血肿清除术</w:t>
            </w:r>
            <w:r>
              <w:rPr>
                <w:w w:val="100"/>
                <w:sz w:val="21"/>
              </w:rPr>
              <w:t>（</w:t>
            </w:r>
            <w:r>
              <w:rPr>
                <w:spacing w:val="-3"/>
                <w:w w:val="100"/>
                <w:sz w:val="21"/>
              </w:rPr>
              <w:t>颅骨钻孔术除外</w:t>
            </w:r>
            <w:r>
              <w:rPr>
                <w:spacing w:val="-106"/>
                <w:w w:val="100"/>
                <w:sz w:val="21"/>
              </w:rPr>
              <w:t>）</w:t>
            </w:r>
            <w:r>
              <w:rPr>
                <w:w w:val="100"/>
                <w:sz w:val="21"/>
              </w:rPr>
              <w:t>；</w:t>
            </w:r>
          </w:p>
          <w:p>
            <w:pPr>
              <w:pStyle w:val="TableParagraph"/>
              <w:spacing w:line="273" w:lineRule="auto" w:before="37"/>
              <w:ind w:left="80" w:right="196" w:hanging="1"/>
              <w:jc w:val="both"/>
              <w:rPr>
                <w:sz w:val="21"/>
              </w:rPr>
            </w:pPr>
            <w:r>
              <w:rPr>
                <w:spacing w:val="-12"/>
                <w:sz w:val="21"/>
              </w:rPr>
              <w:t>（2）</w:t>
            </w:r>
            <w:r>
              <w:rPr>
                <w:spacing w:val="-14"/>
                <w:sz w:val="21"/>
              </w:rPr>
              <w:t>在外伤 </w:t>
            </w:r>
            <w:r>
              <w:rPr>
                <w:sz w:val="21"/>
              </w:rPr>
              <w:t>180</w:t>
            </w:r>
            <w:r>
              <w:rPr>
                <w:spacing w:val="-11"/>
                <w:sz w:val="21"/>
              </w:rPr>
              <w:t> 天后仍然遗留一肢或一肢以上肢体肌力 </w:t>
            </w:r>
            <w:r>
              <w:rPr>
                <w:sz w:val="21"/>
              </w:rPr>
              <w:t>III</w:t>
            </w:r>
            <w:r>
              <w:rPr>
                <w:spacing w:val="-26"/>
                <w:sz w:val="21"/>
              </w:rPr>
              <w:t> 级或 </w:t>
            </w:r>
            <w:r>
              <w:rPr>
                <w:sz w:val="21"/>
              </w:rPr>
              <w:t>III</w:t>
            </w:r>
            <w:r>
              <w:rPr>
                <w:spacing w:val="-10"/>
                <w:sz w:val="21"/>
              </w:rPr>
              <w:t> 级以下的运</w:t>
            </w:r>
            <w:r>
              <w:rPr>
                <w:spacing w:val="-5"/>
                <w:sz w:val="21"/>
              </w:rPr>
              <w:t>动功能障碍。</w:t>
            </w:r>
          </w:p>
        </w:tc>
      </w:tr>
      <w:tr>
        <w:trPr>
          <w:trHeight w:val="936" w:hRule="atLeast"/>
        </w:trPr>
        <w:tc>
          <w:tcPr>
            <w:tcW w:w="1030" w:type="dxa"/>
          </w:tcPr>
          <w:p>
            <w:pPr>
              <w:pStyle w:val="TableParagraph"/>
              <w:spacing w:before="136"/>
              <w:ind w:left="200"/>
              <w:rPr>
                <w:i/>
                <w:sz w:val="22"/>
              </w:rPr>
            </w:pPr>
            <w:r>
              <w:rPr>
                <w:i/>
                <w:sz w:val="22"/>
              </w:rPr>
              <w:t>3.3.11</w:t>
            </w:r>
          </w:p>
        </w:tc>
        <w:tc>
          <w:tcPr>
            <w:tcW w:w="1641" w:type="dxa"/>
          </w:tcPr>
          <w:p>
            <w:pPr>
              <w:pStyle w:val="TableParagraph"/>
              <w:spacing w:before="136"/>
              <w:ind w:right="179"/>
              <w:jc w:val="right"/>
              <w:rPr>
                <w:i/>
                <w:sz w:val="22"/>
              </w:rPr>
            </w:pPr>
            <w:r>
              <w:rPr>
                <w:i/>
                <w:w w:val="95"/>
                <w:sz w:val="22"/>
              </w:rPr>
              <w:t>单个肢体缺失</w:t>
            </w:r>
          </w:p>
        </w:tc>
        <w:tc>
          <w:tcPr>
            <w:tcW w:w="7707" w:type="dxa"/>
          </w:tcPr>
          <w:p>
            <w:pPr>
              <w:pStyle w:val="TableParagraph"/>
              <w:spacing w:line="273" w:lineRule="auto" w:before="147"/>
              <w:ind w:left="80" w:right="202"/>
              <w:rPr>
                <w:sz w:val="21"/>
              </w:rPr>
            </w:pPr>
            <w:r>
              <w:rPr>
                <w:sz w:val="21"/>
              </w:rPr>
              <w:t>指因疾病或意外伤害导致一个肢体自腕关节或踝关节近端（靠近躯干端）以上完全性断离。</w:t>
            </w:r>
          </w:p>
        </w:tc>
      </w:tr>
      <w:tr>
        <w:trPr>
          <w:trHeight w:val="1906" w:hRule="atLeast"/>
        </w:trPr>
        <w:tc>
          <w:tcPr>
            <w:tcW w:w="1030" w:type="dxa"/>
          </w:tcPr>
          <w:p>
            <w:pPr>
              <w:pStyle w:val="TableParagraph"/>
              <w:spacing w:before="136"/>
              <w:ind w:left="200"/>
              <w:rPr>
                <w:i/>
                <w:sz w:val="22"/>
              </w:rPr>
            </w:pPr>
            <w:r>
              <w:rPr>
                <w:i/>
                <w:sz w:val="22"/>
              </w:rPr>
              <w:t>3.3.12</w:t>
            </w:r>
          </w:p>
        </w:tc>
        <w:tc>
          <w:tcPr>
            <w:tcW w:w="1641" w:type="dxa"/>
          </w:tcPr>
          <w:p>
            <w:pPr>
              <w:pStyle w:val="TableParagraph"/>
              <w:spacing w:before="136"/>
              <w:ind w:right="179"/>
              <w:jc w:val="right"/>
              <w:rPr>
                <w:i/>
                <w:sz w:val="22"/>
              </w:rPr>
            </w:pPr>
            <w:r>
              <w:rPr>
                <w:i/>
                <w:w w:val="95"/>
                <w:sz w:val="22"/>
              </w:rPr>
              <w:t>单侧肺脏切除</w:t>
            </w:r>
          </w:p>
        </w:tc>
        <w:tc>
          <w:tcPr>
            <w:tcW w:w="7707" w:type="dxa"/>
          </w:tcPr>
          <w:p>
            <w:pPr>
              <w:pStyle w:val="TableParagraph"/>
              <w:spacing w:line="278" w:lineRule="auto" w:before="171"/>
              <w:ind w:left="80" w:right="2368"/>
              <w:rPr>
                <w:b/>
                <w:sz w:val="21"/>
              </w:rPr>
            </w:pPr>
            <w:r>
              <w:rPr>
                <w:sz w:val="21"/>
              </w:rPr>
              <w:t>因疾病或意外事故实际实施的肺脏左叶或右叶全部切除。</w:t>
            </w:r>
            <w:r>
              <w:rPr>
                <w:b/>
                <w:sz w:val="21"/>
              </w:rPr>
              <w:t>以下的肺脏切除不在本合同保障范围之列：</w:t>
            </w:r>
          </w:p>
          <w:p>
            <w:pPr>
              <w:pStyle w:val="TableParagraph"/>
              <w:spacing w:before="10"/>
              <w:ind w:left="80"/>
              <w:rPr>
                <w:b/>
                <w:sz w:val="21"/>
              </w:rPr>
            </w:pPr>
            <w:r>
              <w:rPr>
                <w:b/>
                <w:sz w:val="21"/>
              </w:rPr>
              <w:t>（1）肺脏左叶或右叶部分切除；</w:t>
            </w:r>
          </w:p>
          <w:p>
            <w:pPr>
              <w:pStyle w:val="TableParagraph"/>
              <w:spacing w:before="46"/>
              <w:ind w:left="80"/>
              <w:rPr>
                <w:b/>
                <w:sz w:val="21"/>
              </w:rPr>
            </w:pPr>
            <w:r>
              <w:rPr>
                <w:b/>
                <w:sz w:val="21"/>
              </w:rPr>
              <w:t>（2）因患有符合本合同条款定义的恶性肿瘤的原因所致单侧肺脏切除；</w:t>
            </w:r>
          </w:p>
          <w:p>
            <w:pPr>
              <w:pStyle w:val="TableParagraph"/>
              <w:spacing w:before="20"/>
              <w:ind w:left="80"/>
              <w:rPr>
                <w:b/>
                <w:sz w:val="21"/>
              </w:rPr>
            </w:pPr>
            <w:r>
              <w:rPr>
                <w:b/>
                <w:sz w:val="21"/>
              </w:rPr>
              <w:t>（3）因捐献肺脏引起的肺脏左叶或右叶全部切除。</w:t>
            </w:r>
          </w:p>
        </w:tc>
      </w:tr>
      <w:tr>
        <w:trPr>
          <w:trHeight w:val="2248" w:hRule="atLeast"/>
        </w:trPr>
        <w:tc>
          <w:tcPr>
            <w:tcW w:w="1030" w:type="dxa"/>
          </w:tcPr>
          <w:p>
            <w:pPr>
              <w:pStyle w:val="TableParagraph"/>
              <w:spacing w:before="139"/>
              <w:ind w:left="200"/>
              <w:rPr>
                <w:i/>
                <w:sz w:val="22"/>
              </w:rPr>
            </w:pPr>
            <w:r>
              <w:rPr>
                <w:i/>
                <w:sz w:val="22"/>
              </w:rPr>
              <w:t>3.3.13</w:t>
            </w:r>
          </w:p>
        </w:tc>
        <w:tc>
          <w:tcPr>
            <w:tcW w:w="1641" w:type="dxa"/>
          </w:tcPr>
          <w:p>
            <w:pPr>
              <w:pStyle w:val="TableParagraph"/>
              <w:spacing w:before="139"/>
              <w:ind w:right="179"/>
              <w:jc w:val="right"/>
              <w:rPr>
                <w:i/>
                <w:sz w:val="22"/>
              </w:rPr>
            </w:pPr>
            <w:r>
              <w:rPr>
                <w:i/>
                <w:w w:val="95"/>
                <w:sz w:val="22"/>
              </w:rPr>
              <w:t>肝脏整叶切除</w:t>
            </w:r>
          </w:p>
        </w:tc>
        <w:tc>
          <w:tcPr>
            <w:tcW w:w="7707" w:type="dxa"/>
          </w:tcPr>
          <w:p>
            <w:pPr>
              <w:pStyle w:val="TableParagraph"/>
              <w:spacing w:line="280" w:lineRule="auto" w:before="175"/>
              <w:ind w:left="80" w:right="202"/>
              <w:rPr>
                <w:sz w:val="21"/>
              </w:rPr>
            </w:pPr>
            <w:r>
              <w:rPr>
                <w:sz w:val="21"/>
              </w:rPr>
              <w:t>指因疾病或意外事故实际实施的肝脏部分切除术，手术切除最少一整叶左肝脏或一整叶右肝脏。</w:t>
            </w:r>
          </w:p>
          <w:p>
            <w:pPr>
              <w:pStyle w:val="TableParagraph"/>
              <w:spacing w:before="8"/>
              <w:ind w:left="80"/>
              <w:rPr>
                <w:b/>
                <w:sz w:val="21"/>
              </w:rPr>
            </w:pPr>
            <w:r>
              <w:rPr>
                <w:b/>
                <w:sz w:val="21"/>
              </w:rPr>
              <w:t>以下的肝脏切除不在本合同保障范围之列：</w:t>
            </w:r>
          </w:p>
          <w:p>
            <w:pPr>
              <w:pStyle w:val="TableParagraph"/>
              <w:spacing w:before="44"/>
              <w:ind w:left="80"/>
              <w:rPr>
                <w:b/>
                <w:sz w:val="21"/>
              </w:rPr>
            </w:pPr>
            <w:r>
              <w:rPr>
                <w:b/>
                <w:sz w:val="21"/>
              </w:rPr>
              <w:t>（1）因治疗酒精或滥用药物导致的疾病或肝脏紊乱所致的肝脏整叶切除；</w:t>
            </w:r>
          </w:p>
          <w:p>
            <w:pPr>
              <w:pStyle w:val="TableParagraph"/>
              <w:spacing w:before="47"/>
              <w:ind w:left="80"/>
              <w:rPr>
                <w:b/>
                <w:sz w:val="21"/>
              </w:rPr>
            </w:pPr>
            <w:r>
              <w:rPr>
                <w:b/>
                <w:sz w:val="21"/>
              </w:rPr>
              <w:t>（2）因患有符合本合同条款定义的恶性肿瘤的原因所致的肝脏整叶切除；</w:t>
            </w:r>
          </w:p>
          <w:p>
            <w:pPr>
              <w:pStyle w:val="TableParagraph"/>
              <w:spacing w:before="44"/>
              <w:ind w:left="80"/>
              <w:rPr>
                <w:b/>
                <w:sz w:val="21"/>
              </w:rPr>
            </w:pPr>
            <w:r>
              <w:rPr>
                <w:b/>
                <w:sz w:val="21"/>
              </w:rPr>
              <w:t>（3）因捐赠肝脏而所需的肝脏手术不在保障范围内。</w:t>
            </w:r>
          </w:p>
        </w:tc>
      </w:tr>
      <w:tr>
        <w:trPr>
          <w:trHeight w:val="442" w:hRule="atLeast"/>
        </w:trPr>
        <w:tc>
          <w:tcPr>
            <w:tcW w:w="1030" w:type="dxa"/>
          </w:tcPr>
          <w:p>
            <w:pPr>
              <w:pStyle w:val="TableParagraph"/>
              <w:spacing w:before="132"/>
              <w:ind w:left="200"/>
              <w:rPr>
                <w:i/>
                <w:sz w:val="22"/>
              </w:rPr>
            </w:pPr>
            <w:r>
              <w:rPr>
                <w:i/>
                <w:sz w:val="22"/>
              </w:rPr>
              <w:t>3.3.14</w:t>
            </w:r>
          </w:p>
        </w:tc>
        <w:tc>
          <w:tcPr>
            <w:tcW w:w="1641" w:type="dxa"/>
          </w:tcPr>
          <w:p>
            <w:pPr>
              <w:pStyle w:val="TableParagraph"/>
              <w:spacing w:before="132"/>
              <w:ind w:right="131"/>
              <w:jc w:val="right"/>
              <w:rPr>
                <w:i/>
                <w:sz w:val="22"/>
              </w:rPr>
            </w:pPr>
            <w:r>
              <w:rPr>
                <w:i/>
                <w:w w:val="95"/>
                <w:sz w:val="22"/>
              </w:rPr>
              <w:t>轻度脑炎或脑</w:t>
            </w:r>
          </w:p>
        </w:tc>
        <w:tc>
          <w:tcPr>
            <w:tcW w:w="7707" w:type="dxa"/>
          </w:tcPr>
          <w:p>
            <w:pPr>
              <w:pStyle w:val="TableParagraph"/>
              <w:spacing w:line="255" w:lineRule="exact" w:before="168"/>
              <w:ind w:left="80"/>
              <w:rPr>
                <w:sz w:val="21"/>
              </w:rPr>
            </w:pPr>
            <w:r>
              <w:rPr>
                <w:sz w:val="21"/>
              </w:rPr>
              <w:t>指因患脑炎或脑膜炎导致的神经系统的永久功能障碍。神经系统永久性的功能障</w:t>
            </w:r>
          </w:p>
        </w:tc>
      </w:tr>
    </w:tbl>
    <w:p>
      <w:pPr>
        <w:spacing w:after="0" w:line="255" w:lineRule="exact"/>
        <w:rPr>
          <w:sz w:val="21"/>
        </w:rPr>
        <w:sectPr>
          <w:pgSz w:w="11910" w:h="16840"/>
          <w:pgMar w:header="892" w:footer="917" w:top="1080" w:bottom="1100" w:left="820" w:right="480"/>
        </w:sectPr>
      </w:pPr>
    </w:p>
    <w:p>
      <w:pPr>
        <w:pStyle w:val="BodyText"/>
        <w:rPr>
          <w:rFonts w:ascii="Times New Roman"/>
          <w:sz w:val="20"/>
        </w:rPr>
      </w:pPr>
    </w:p>
    <w:p>
      <w:pPr>
        <w:pStyle w:val="BodyText"/>
        <w:spacing w:before="1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0"/>
        <w:gridCol w:w="1617"/>
        <w:gridCol w:w="7838"/>
      </w:tblGrid>
      <w:tr>
        <w:trPr>
          <w:trHeight w:val="1401" w:hRule="atLeast"/>
        </w:trPr>
        <w:tc>
          <w:tcPr>
            <w:tcW w:w="1030" w:type="dxa"/>
          </w:tcPr>
          <w:p>
            <w:pPr>
              <w:pStyle w:val="TableParagraph"/>
              <w:rPr>
                <w:rFonts w:ascii="Times New Roman"/>
                <w:sz w:val="20"/>
              </w:rPr>
            </w:pPr>
          </w:p>
        </w:tc>
        <w:tc>
          <w:tcPr>
            <w:tcW w:w="1617" w:type="dxa"/>
          </w:tcPr>
          <w:p>
            <w:pPr>
              <w:pStyle w:val="TableParagraph"/>
              <w:spacing w:line="222" w:lineRule="exact"/>
              <w:ind w:left="197"/>
              <w:rPr>
                <w:i/>
                <w:sz w:val="22"/>
              </w:rPr>
            </w:pPr>
            <w:r>
              <w:rPr>
                <w:i/>
                <w:w w:val="95"/>
                <w:sz w:val="22"/>
              </w:rPr>
              <w:t>膜炎后遗症</w:t>
            </w:r>
          </w:p>
        </w:tc>
        <w:tc>
          <w:tcPr>
            <w:tcW w:w="7838" w:type="dxa"/>
          </w:tcPr>
          <w:p>
            <w:pPr>
              <w:pStyle w:val="TableParagraph"/>
              <w:spacing w:line="245" w:lineRule="exact"/>
              <w:ind w:left="104"/>
              <w:rPr>
                <w:sz w:val="21"/>
              </w:rPr>
            </w:pPr>
            <w:r>
              <w:rPr>
                <w:sz w:val="21"/>
              </w:rPr>
              <w:t>碍， 指疾病确诊 180 天后，仍存在自主活动能力完全丧失， 无法独立完成六项</w:t>
            </w:r>
          </w:p>
          <w:p>
            <w:pPr>
              <w:pStyle w:val="TableParagraph"/>
              <w:spacing w:before="44"/>
              <w:ind w:left="104"/>
              <w:rPr>
                <w:sz w:val="21"/>
              </w:rPr>
            </w:pPr>
            <w:r>
              <w:rPr>
                <w:sz w:val="21"/>
              </w:rPr>
              <w:t>基本日常生活活动中的两项。</w:t>
            </w:r>
          </w:p>
          <w:p>
            <w:pPr>
              <w:pStyle w:val="TableParagraph"/>
              <w:spacing w:line="280" w:lineRule="auto" w:before="44"/>
              <w:ind w:left="104" w:right="309"/>
              <w:rPr>
                <w:b/>
                <w:sz w:val="21"/>
              </w:rPr>
            </w:pPr>
            <w:r>
              <w:rPr>
                <w:b/>
                <w:sz w:val="21"/>
              </w:rPr>
              <w:t>若被保险人因同一原因导致其满足轻度脑炎或脑膜炎后遗症的，仅按其中一项给付。</w:t>
            </w:r>
          </w:p>
        </w:tc>
      </w:tr>
      <w:tr>
        <w:trPr>
          <w:trHeight w:val="1280" w:hRule="atLeast"/>
        </w:trPr>
        <w:tc>
          <w:tcPr>
            <w:tcW w:w="1030" w:type="dxa"/>
          </w:tcPr>
          <w:p>
            <w:pPr>
              <w:pStyle w:val="TableParagraph"/>
              <w:spacing w:before="131"/>
              <w:ind w:left="166" w:right="163"/>
              <w:jc w:val="center"/>
              <w:rPr>
                <w:i/>
                <w:sz w:val="22"/>
              </w:rPr>
            </w:pPr>
            <w:r>
              <w:rPr>
                <w:i/>
                <w:sz w:val="22"/>
              </w:rPr>
              <w:t>3.3.15</w:t>
            </w:r>
          </w:p>
        </w:tc>
        <w:tc>
          <w:tcPr>
            <w:tcW w:w="1617" w:type="dxa"/>
          </w:tcPr>
          <w:p>
            <w:pPr>
              <w:pStyle w:val="TableParagraph"/>
              <w:spacing w:line="259" w:lineRule="auto" w:before="131"/>
              <w:ind w:left="197" w:right="107"/>
              <w:rPr>
                <w:i/>
                <w:sz w:val="22"/>
              </w:rPr>
            </w:pPr>
            <w:r>
              <w:rPr>
                <w:i/>
                <w:w w:val="95"/>
                <w:sz w:val="22"/>
              </w:rPr>
              <w:t>肺泡蛋白质沉积症</w:t>
            </w:r>
          </w:p>
        </w:tc>
        <w:tc>
          <w:tcPr>
            <w:tcW w:w="7838" w:type="dxa"/>
          </w:tcPr>
          <w:p>
            <w:pPr>
              <w:pStyle w:val="TableParagraph"/>
              <w:spacing w:line="264" w:lineRule="auto" w:before="166"/>
              <w:ind w:left="103" w:right="303"/>
              <w:jc w:val="both"/>
              <w:rPr>
                <w:sz w:val="21"/>
              </w:rPr>
            </w:pPr>
            <w:r>
              <w:rPr>
                <w:spacing w:val="-4"/>
                <w:sz w:val="21"/>
              </w:rPr>
              <w:t>指肺泡和细支气管腔内充满不可溶性富磷脂蛋白的疾病，胸部 </w:t>
            </w:r>
            <w:r>
              <w:rPr>
                <w:rFonts w:ascii="Times New Roman" w:eastAsia="Times New Roman"/>
                <w:sz w:val="21"/>
              </w:rPr>
              <w:t>X </w:t>
            </w:r>
            <w:r>
              <w:rPr>
                <w:spacing w:val="-3"/>
                <w:sz w:val="21"/>
              </w:rPr>
              <w:t>线呈双肺弥漫性</w:t>
            </w:r>
            <w:r>
              <w:rPr>
                <w:spacing w:val="-8"/>
                <w:sz w:val="21"/>
              </w:rPr>
              <w:t>肺部磨玻璃影，病理学检查肺泡内充满有过碘酸雪夫</w:t>
            </w:r>
            <w:r>
              <w:rPr>
                <w:spacing w:val="-12"/>
                <w:sz w:val="21"/>
              </w:rPr>
              <w:t>（</w:t>
            </w:r>
            <w:r>
              <w:rPr>
                <w:rFonts w:ascii="Times New Roman" w:eastAsia="Times New Roman"/>
                <w:spacing w:val="-12"/>
                <w:sz w:val="21"/>
              </w:rPr>
              <w:t>PAS</w:t>
            </w:r>
            <w:r>
              <w:rPr>
                <w:spacing w:val="-12"/>
                <w:sz w:val="21"/>
              </w:rPr>
              <w:t>）</w:t>
            </w:r>
            <w:r>
              <w:rPr>
                <w:spacing w:val="-3"/>
                <w:sz w:val="21"/>
              </w:rPr>
              <w:t>染色阳性的蛋白样物质，并且接受了肺灌洗治疗。</w:t>
            </w:r>
          </w:p>
        </w:tc>
      </w:tr>
      <w:tr>
        <w:trPr>
          <w:trHeight w:val="1920" w:hRule="atLeast"/>
        </w:trPr>
        <w:tc>
          <w:tcPr>
            <w:tcW w:w="1030" w:type="dxa"/>
          </w:tcPr>
          <w:p>
            <w:pPr>
              <w:pStyle w:val="TableParagraph"/>
              <w:spacing w:before="132"/>
              <w:ind w:left="166" w:right="163"/>
              <w:jc w:val="center"/>
              <w:rPr>
                <w:i/>
                <w:sz w:val="22"/>
              </w:rPr>
            </w:pPr>
            <w:r>
              <w:rPr>
                <w:i/>
                <w:sz w:val="22"/>
              </w:rPr>
              <w:t>3.3.16</w:t>
            </w:r>
          </w:p>
        </w:tc>
        <w:tc>
          <w:tcPr>
            <w:tcW w:w="1617" w:type="dxa"/>
          </w:tcPr>
          <w:p>
            <w:pPr>
              <w:pStyle w:val="TableParagraph"/>
              <w:spacing w:before="132"/>
              <w:ind w:left="197"/>
              <w:rPr>
                <w:i/>
                <w:sz w:val="22"/>
              </w:rPr>
            </w:pPr>
            <w:r>
              <w:rPr>
                <w:i/>
                <w:w w:val="95"/>
                <w:sz w:val="22"/>
              </w:rPr>
              <w:t>中度听力受损</w:t>
            </w:r>
          </w:p>
          <w:p>
            <w:pPr>
              <w:pStyle w:val="TableParagraph"/>
              <w:spacing w:line="259" w:lineRule="auto" w:before="23"/>
              <w:ind w:left="197" w:right="107"/>
              <w:rPr>
                <w:i/>
                <w:sz w:val="22"/>
              </w:rPr>
            </w:pPr>
            <w:r>
              <w:rPr>
                <w:i/>
                <w:w w:val="95"/>
                <w:sz w:val="22"/>
              </w:rPr>
              <w:t>（三周岁以上理赔）</w:t>
            </w:r>
          </w:p>
        </w:tc>
        <w:tc>
          <w:tcPr>
            <w:tcW w:w="7838" w:type="dxa"/>
          </w:tcPr>
          <w:p>
            <w:pPr>
              <w:pStyle w:val="TableParagraph"/>
              <w:spacing w:before="168"/>
              <w:ind w:left="104"/>
              <w:rPr>
                <w:sz w:val="21"/>
              </w:rPr>
            </w:pPr>
            <w:r>
              <w:rPr>
                <w:sz w:val="21"/>
              </w:rPr>
              <w:t>指因疾病或意外伤害导致双耳听力永久不可逆性丧失，在 500 赫兹，1000 赫兹和</w:t>
            </w:r>
          </w:p>
          <w:p>
            <w:pPr>
              <w:pStyle w:val="TableParagraph"/>
              <w:spacing w:line="278" w:lineRule="auto" w:before="44"/>
              <w:ind w:left="104" w:right="306" w:hanging="1"/>
              <w:rPr>
                <w:sz w:val="21"/>
              </w:rPr>
            </w:pPr>
            <w:r>
              <w:rPr>
                <w:sz w:val="21"/>
              </w:rPr>
              <w:t>2000</w:t>
            </w:r>
            <w:r>
              <w:rPr>
                <w:spacing w:val="-12"/>
                <w:sz w:val="21"/>
              </w:rPr>
              <w:t> 赫兹语音频率下，平均听阈大于 </w:t>
            </w:r>
            <w:r>
              <w:rPr>
                <w:sz w:val="21"/>
              </w:rPr>
              <w:t>80</w:t>
            </w:r>
            <w:r>
              <w:rPr>
                <w:spacing w:val="-12"/>
                <w:sz w:val="21"/>
              </w:rPr>
              <w:t> 分贝。需有纯音听力测试、声阻抗检测或</w:t>
            </w:r>
            <w:r>
              <w:rPr>
                <w:spacing w:val="-6"/>
                <w:sz w:val="21"/>
              </w:rPr>
              <w:t>听觉诱发电位检测等证实。</w:t>
            </w:r>
          </w:p>
          <w:p>
            <w:pPr>
              <w:pStyle w:val="TableParagraph"/>
              <w:spacing w:line="278" w:lineRule="auto" w:before="13"/>
              <w:ind w:left="104" w:right="309"/>
              <w:rPr>
                <w:b/>
                <w:sz w:val="21"/>
              </w:rPr>
            </w:pPr>
            <w:r>
              <w:rPr>
                <w:b/>
                <w:sz w:val="21"/>
              </w:rPr>
              <w:t>被保险人申请理赔时年龄必须在三周岁以上，并且提供理赔当时的听力丧失诊断及检查证据。</w:t>
            </w:r>
          </w:p>
        </w:tc>
      </w:tr>
      <w:tr>
        <w:trPr>
          <w:trHeight w:val="959" w:hRule="atLeast"/>
        </w:trPr>
        <w:tc>
          <w:tcPr>
            <w:tcW w:w="1030" w:type="dxa"/>
          </w:tcPr>
          <w:p>
            <w:pPr>
              <w:pStyle w:val="TableParagraph"/>
              <w:spacing w:before="132"/>
              <w:ind w:left="166" w:right="163"/>
              <w:jc w:val="center"/>
              <w:rPr>
                <w:i/>
                <w:sz w:val="22"/>
              </w:rPr>
            </w:pPr>
            <w:r>
              <w:rPr>
                <w:i/>
                <w:sz w:val="22"/>
              </w:rPr>
              <w:t>3.3.17</w:t>
            </w:r>
          </w:p>
        </w:tc>
        <w:tc>
          <w:tcPr>
            <w:tcW w:w="1617" w:type="dxa"/>
          </w:tcPr>
          <w:p>
            <w:pPr>
              <w:pStyle w:val="TableParagraph"/>
              <w:spacing w:before="132"/>
              <w:ind w:left="197"/>
              <w:rPr>
                <w:i/>
                <w:sz w:val="22"/>
              </w:rPr>
            </w:pPr>
            <w:r>
              <w:rPr>
                <w:i/>
                <w:w w:val="95"/>
                <w:sz w:val="22"/>
              </w:rPr>
              <w:t>多根肋骨骨折</w:t>
            </w:r>
          </w:p>
        </w:tc>
        <w:tc>
          <w:tcPr>
            <w:tcW w:w="7838" w:type="dxa"/>
          </w:tcPr>
          <w:p>
            <w:pPr>
              <w:pStyle w:val="TableParagraph"/>
              <w:spacing w:line="278" w:lineRule="auto" w:before="168"/>
              <w:ind w:left="104" w:right="305"/>
              <w:rPr>
                <w:sz w:val="21"/>
              </w:rPr>
            </w:pPr>
            <w:r>
              <w:rPr>
                <w:spacing w:val="-5"/>
                <w:sz w:val="21"/>
              </w:rPr>
              <w:t>因一次意外伤害事故导致胸部损伤同时大于等于 </w:t>
            </w:r>
            <w:r>
              <w:rPr>
                <w:sz w:val="21"/>
              </w:rPr>
              <w:t>12</w:t>
            </w:r>
            <w:r>
              <w:rPr>
                <w:spacing w:val="-10"/>
                <w:sz w:val="21"/>
              </w:rPr>
              <w:t> 根肋骨骨折，陈旧性骨折不在</w:t>
            </w:r>
            <w:r>
              <w:rPr>
                <w:spacing w:val="-5"/>
                <w:sz w:val="21"/>
              </w:rPr>
              <w:t>保障范围之内。</w:t>
            </w:r>
          </w:p>
        </w:tc>
      </w:tr>
      <w:tr>
        <w:trPr>
          <w:trHeight w:val="960" w:hRule="atLeast"/>
        </w:trPr>
        <w:tc>
          <w:tcPr>
            <w:tcW w:w="1030" w:type="dxa"/>
          </w:tcPr>
          <w:p>
            <w:pPr>
              <w:pStyle w:val="TableParagraph"/>
              <w:spacing w:before="132"/>
              <w:ind w:left="166" w:right="163"/>
              <w:jc w:val="center"/>
              <w:rPr>
                <w:i/>
                <w:sz w:val="22"/>
              </w:rPr>
            </w:pPr>
            <w:r>
              <w:rPr>
                <w:i/>
                <w:sz w:val="22"/>
              </w:rPr>
              <w:t>3.3.18</w:t>
            </w:r>
          </w:p>
        </w:tc>
        <w:tc>
          <w:tcPr>
            <w:tcW w:w="1617" w:type="dxa"/>
          </w:tcPr>
          <w:p>
            <w:pPr>
              <w:pStyle w:val="TableParagraph"/>
              <w:spacing w:before="132"/>
              <w:ind w:left="197"/>
              <w:rPr>
                <w:i/>
                <w:sz w:val="22"/>
              </w:rPr>
            </w:pPr>
            <w:r>
              <w:rPr>
                <w:i/>
                <w:w w:val="95"/>
                <w:sz w:val="22"/>
              </w:rPr>
              <w:t>肾脏切除</w:t>
            </w:r>
          </w:p>
        </w:tc>
        <w:tc>
          <w:tcPr>
            <w:tcW w:w="7838" w:type="dxa"/>
          </w:tcPr>
          <w:p>
            <w:pPr>
              <w:pStyle w:val="TableParagraph"/>
              <w:spacing w:line="278" w:lineRule="auto" w:before="168"/>
              <w:ind w:left="104" w:right="374"/>
              <w:rPr>
                <w:sz w:val="21"/>
              </w:rPr>
            </w:pPr>
            <w:r>
              <w:rPr>
                <w:sz w:val="21"/>
              </w:rPr>
              <w:t>因疾病或者意外伤害进行手术治疗导致至少单侧肾脏全部切除，部分肾脏切除不在保障范围内。因捐赠肾脏而所需的肾脏切除不在保障范围内。</w:t>
            </w:r>
          </w:p>
        </w:tc>
      </w:tr>
      <w:tr>
        <w:trPr>
          <w:trHeight w:val="1279" w:hRule="atLeast"/>
        </w:trPr>
        <w:tc>
          <w:tcPr>
            <w:tcW w:w="1030" w:type="dxa"/>
          </w:tcPr>
          <w:p>
            <w:pPr>
              <w:pStyle w:val="TableParagraph"/>
              <w:spacing w:before="132"/>
              <w:ind w:left="166" w:right="163"/>
              <w:jc w:val="center"/>
              <w:rPr>
                <w:i/>
                <w:sz w:val="22"/>
              </w:rPr>
            </w:pPr>
            <w:r>
              <w:rPr>
                <w:i/>
                <w:sz w:val="22"/>
              </w:rPr>
              <w:t>3.3.19</w:t>
            </w:r>
          </w:p>
        </w:tc>
        <w:tc>
          <w:tcPr>
            <w:tcW w:w="1617" w:type="dxa"/>
          </w:tcPr>
          <w:p>
            <w:pPr>
              <w:pStyle w:val="TableParagraph"/>
              <w:spacing w:line="259" w:lineRule="auto" w:before="132"/>
              <w:ind w:left="197" w:right="107"/>
              <w:rPr>
                <w:i/>
                <w:sz w:val="22"/>
              </w:rPr>
            </w:pPr>
            <w:r>
              <w:rPr>
                <w:i/>
                <w:w w:val="95"/>
                <w:sz w:val="22"/>
              </w:rPr>
              <w:t>早期运动神经性疾病</w:t>
            </w:r>
          </w:p>
        </w:tc>
        <w:tc>
          <w:tcPr>
            <w:tcW w:w="7838" w:type="dxa"/>
          </w:tcPr>
          <w:p>
            <w:pPr>
              <w:pStyle w:val="TableParagraph"/>
              <w:spacing w:line="278" w:lineRule="auto" w:before="168"/>
              <w:ind w:left="104" w:right="374"/>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六项基本日常生活活动中的两项。</w:t>
            </w:r>
          </w:p>
        </w:tc>
      </w:tr>
      <w:tr>
        <w:trPr>
          <w:trHeight w:val="1920" w:hRule="atLeast"/>
        </w:trPr>
        <w:tc>
          <w:tcPr>
            <w:tcW w:w="1030" w:type="dxa"/>
          </w:tcPr>
          <w:p>
            <w:pPr>
              <w:pStyle w:val="TableParagraph"/>
              <w:spacing w:before="132"/>
              <w:ind w:left="166" w:right="163"/>
              <w:jc w:val="center"/>
              <w:rPr>
                <w:i/>
                <w:sz w:val="22"/>
              </w:rPr>
            </w:pPr>
            <w:r>
              <w:rPr>
                <w:i/>
                <w:sz w:val="22"/>
              </w:rPr>
              <w:t>3.3.20</w:t>
            </w:r>
          </w:p>
        </w:tc>
        <w:tc>
          <w:tcPr>
            <w:tcW w:w="1617" w:type="dxa"/>
          </w:tcPr>
          <w:p>
            <w:pPr>
              <w:pStyle w:val="TableParagraph"/>
              <w:spacing w:line="259" w:lineRule="auto" w:before="132"/>
              <w:ind w:left="197" w:right="107"/>
              <w:rPr>
                <w:i/>
                <w:sz w:val="22"/>
              </w:rPr>
            </w:pPr>
            <w:r>
              <w:rPr>
                <w:i/>
                <w:w w:val="95"/>
                <w:sz w:val="22"/>
              </w:rPr>
              <w:t>可逆性再生障碍性贫血</w:t>
            </w:r>
          </w:p>
        </w:tc>
        <w:tc>
          <w:tcPr>
            <w:tcW w:w="7838" w:type="dxa"/>
          </w:tcPr>
          <w:p>
            <w:pPr>
              <w:pStyle w:val="TableParagraph"/>
              <w:spacing w:line="278" w:lineRule="auto" w:before="168"/>
              <w:ind w:left="104" w:right="160"/>
              <w:rPr>
                <w:sz w:val="21"/>
              </w:rPr>
            </w:pPr>
            <w:r>
              <w:rPr>
                <w:sz w:val="21"/>
              </w:rPr>
              <w:t>指因急性可逆性的骨髓造血功能衰竭而导致贫血、中性粒细胞减少和血小板减少， 必须由血液科医生的诊断，且病历资料显示接受了下列任一项治疗：</w:t>
            </w:r>
          </w:p>
          <w:p>
            <w:pPr>
              <w:pStyle w:val="TableParagraph"/>
              <w:spacing w:before="13"/>
              <w:ind w:left="104"/>
              <w:rPr>
                <w:sz w:val="21"/>
              </w:rPr>
            </w:pPr>
            <w:r>
              <w:rPr>
                <w:sz w:val="21"/>
              </w:rPr>
              <w:t>（1）骨髓刺激疗法至少一个月；</w:t>
            </w:r>
          </w:p>
          <w:p>
            <w:pPr>
              <w:pStyle w:val="TableParagraph"/>
              <w:spacing w:before="44"/>
              <w:ind w:left="104"/>
              <w:rPr>
                <w:sz w:val="21"/>
              </w:rPr>
            </w:pPr>
            <w:r>
              <w:rPr>
                <w:sz w:val="21"/>
              </w:rPr>
              <w:t>（2）免疫抑制剂治疗至少一个月；</w:t>
            </w:r>
          </w:p>
          <w:p>
            <w:pPr>
              <w:pStyle w:val="TableParagraph"/>
              <w:spacing w:before="44"/>
              <w:ind w:left="104"/>
              <w:rPr>
                <w:sz w:val="21"/>
              </w:rPr>
            </w:pPr>
            <w:r>
              <w:rPr>
                <w:sz w:val="21"/>
              </w:rPr>
              <w:t>（3）接受了骨髓移植。</w:t>
            </w:r>
          </w:p>
        </w:tc>
      </w:tr>
      <w:tr>
        <w:trPr>
          <w:trHeight w:val="1280" w:hRule="atLeast"/>
        </w:trPr>
        <w:tc>
          <w:tcPr>
            <w:tcW w:w="1030" w:type="dxa"/>
          </w:tcPr>
          <w:p>
            <w:pPr>
              <w:pStyle w:val="TableParagraph"/>
              <w:spacing w:before="132"/>
              <w:ind w:left="166" w:right="163"/>
              <w:jc w:val="center"/>
              <w:rPr>
                <w:i/>
                <w:sz w:val="22"/>
              </w:rPr>
            </w:pPr>
            <w:r>
              <w:rPr>
                <w:i/>
                <w:sz w:val="22"/>
              </w:rPr>
              <w:t>3.3.21</w:t>
            </w:r>
          </w:p>
        </w:tc>
        <w:tc>
          <w:tcPr>
            <w:tcW w:w="1617" w:type="dxa"/>
          </w:tcPr>
          <w:p>
            <w:pPr>
              <w:pStyle w:val="TableParagraph"/>
              <w:spacing w:line="259" w:lineRule="auto" w:before="132"/>
              <w:ind w:left="197" w:right="100" w:hanging="1"/>
              <w:jc w:val="both"/>
              <w:rPr>
                <w:i/>
                <w:sz w:val="22"/>
              </w:rPr>
            </w:pPr>
            <w:r>
              <w:rPr>
                <w:i/>
                <w:w w:val="95"/>
                <w:sz w:val="22"/>
              </w:rPr>
              <w:t>因肾上腺腺良性肿瘤所致的肾上腺切除术</w:t>
            </w:r>
          </w:p>
        </w:tc>
        <w:tc>
          <w:tcPr>
            <w:tcW w:w="7838" w:type="dxa"/>
          </w:tcPr>
          <w:p>
            <w:pPr>
              <w:pStyle w:val="TableParagraph"/>
              <w:spacing w:line="280" w:lineRule="auto" w:before="168"/>
              <w:ind w:left="104" w:right="374"/>
              <w:jc w:val="both"/>
              <w:rPr>
                <w:sz w:val="21"/>
              </w:rPr>
            </w:pPr>
            <w:r>
              <w:rPr>
                <w:sz w:val="21"/>
              </w:rPr>
              <w:t>因肾上腺良性肿瘤所导致醛固酮分泌过多而产生的继发性的无法由药物控制的恶性高血压，经专科医生确诊，为处理控制不佳的高血压接受肾上腺腺瘤摘除术， 并且实施了单侧或双侧肾上腺部分切除。</w:t>
            </w:r>
          </w:p>
        </w:tc>
      </w:tr>
      <w:tr>
        <w:trPr>
          <w:trHeight w:val="2683" w:hRule="atLeast"/>
        </w:trPr>
        <w:tc>
          <w:tcPr>
            <w:tcW w:w="1030" w:type="dxa"/>
          </w:tcPr>
          <w:p>
            <w:pPr>
              <w:pStyle w:val="TableParagraph"/>
              <w:spacing w:before="131"/>
              <w:ind w:left="166" w:right="163"/>
              <w:jc w:val="center"/>
              <w:rPr>
                <w:i/>
                <w:sz w:val="22"/>
              </w:rPr>
            </w:pPr>
            <w:r>
              <w:rPr>
                <w:i/>
                <w:sz w:val="22"/>
              </w:rPr>
              <w:t>3.3.22</w:t>
            </w:r>
          </w:p>
        </w:tc>
        <w:tc>
          <w:tcPr>
            <w:tcW w:w="1617" w:type="dxa"/>
          </w:tcPr>
          <w:p>
            <w:pPr>
              <w:pStyle w:val="TableParagraph"/>
              <w:spacing w:line="259" w:lineRule="auto" w:before="131"/>
              <w:ind w:left="197" w:right="107"/>
              <w:rPr>
                <w:i/>
                <w:sz w:val="22"/>
              </w:rPr>
            </w:pPr>
            <w:r>
              <w:rPr>
                <w:i/>
                <w:w w:val="95"/>
                <w:sz w:val="22"/>
              </w:rPr>
              <w:t>心脏起搏器或除颤器植入</w:t>
            </w:r>
          </w:p>
        </w:tc>
        <w:tc>
          <w:tcPr>
            <w:tcW w:w="7838" w:type="dxa"/>
          </w:tcPr>
          <w:p>
            <w:pPr>
              <w:pStyle w:val="TableParagraph"/>
              <w:spacing w:line="280" w:lineRule="auto" w:before="166"/>
              <w:ind w:left="104" w:right="309"/>
              <w:jc w:val="both"/>
              <w:rPr>
                <w:sz w:val="21"/>
              </w:rPr>
            </w:pPr>
            <w:r>
              <w:rPr>
                <w:sz w:val="21"/>
              </w:rPr>
              <w:t>因严重心律失常而于心腔内进行植入永久性心脏起搏器或除颤器的手术，此严重心律失常并不能以其他方法治疗。必须由相关专科医生确认植入心脏起搏器或除颤器为医疗所须。</w:t>
            </w:r>
          </w:p>
          <w:p>
            <w:pPr>
              <w:pStyle w:val="TableParagraph"/>
              <w:spacing w:before="8"/>
              <w:ind w:left="104"/>
              <w:rPr>
                <w:b/>
                <w:sz w:val="21"/>
              </w:rPr>
            </w:pPr>
            <w:r>
              <w:rPr>
                <w:b/>
                <w:sz w:val="21"/>
              </w:rPr>
              <w:t>若被保险人植入心脏起博器或除颤器导致其符合本合同条款重大疾病 1 型糖尿病</w:t>
            </w:r>
          </w:p>
          <w:p>
            <w:pPr>
              <w:pStyle w:val="TableParagraph"/>
              <w:spacing w:line="278" w:lineRule="auto" w:before="47"/>
              <w:ind w:left="104" w:right="202"/>
              <w:jc w:val="both"/>
              <w:rPr>
                <w:b/>
                <w:sz w:val="21"/>
              </w:rPr>
            </w:pPr>
            <w:r>
              <w:rPr>
                <w:b/>
                <w:spacing w:val="-6"/>
                <w:sz w:val="21"/>
              </w:rPr>
              <w:t>定义的，我们仅按重大疾病 </w:t>
            </w:r>
            <w:r>
              <w:rPr>
                <w:b/>
                <w:sz w:val="21"/>
              </w:rPr>
              <w:t>1</w:t>
            </w:r>
            <w:r>
              <w:rPr>
                <w:b/>
                <w:spacing w:val="-8"/>
                <w:sz w:val="21"/>
              </w:rPr>
              <w:t> 型糖尿病一项给付，本项轻症重疾保险责任终止。若被保险人植入心脏起博器或除颤器导致其符合本合同条款重大疾病严重的 </w:t>
            </w:r>
            <w:r>
              <w:rPr>
                <w:b/>
                <w:sz w:val="21"/>
              </w:rPr>
              <w:t>III </w:t>
            </w:r>
            <w:r>
              <w:rPr>
                <w:b/>
                <w:spacing w:val="-9"/>
                <w:sz w:val="21"/>
              </w:rPr>
              <w:t>度房室传导阻滞定义的，我们仅按重大疾病严重的 </w:t>
            </w:r>
            <w:r>
              <w:rPr>
                <w:b/>
                <w:sz w:val="21"/>
              </w:rPr>
              <w:t>III</w:t>
            </w:r>
            <w:r>
              <w:rPr>
                <w:b/>
                <w:spacing w:val="-7"/>
                <w:sz w:val="21"/>
              </w:rPr>
              <w:t> 度房室传导阻滞一项给付，</w:t>
            </w:r>
          </w:p>
          <w:p>
            <w:pPr>
              <w:pStyle w:val="TableParagraph"/>
              <w:spacing w:line="255" w:lineRule="exact" w:before="13"/>
              <w:ind w:left="104"/>
              <w:jc w:val="both"/>
              <w:rPr>
                <w:b/>
                <w:sz w:val="21"/>
              </w:rPr>
            </w:pPr>
            <w:r>
              <w:rPr>
                <w:b/>
                <w:sz w:val="21"/>
              </w:rPr>
              <w:t>本项轻症重疾保险责任终止。</w:t>
            </w:r>
          </w:p>
        </w:tc>
      </w:tr>
    </w:tbl>
    <w:p>
      <w:pPr>
        <w:spacing w:after="0" w:line="255" w:lineRule="exact"/>
        <w:jc w:val="both"/>
        <w:rPr>
          <w:sz w:val="21"/>
        </w:rPr>
        <w:sectPr>
          <w:pgSz w:w="11910" w:h="16840"/>
          <w:pgMar w:header="892" w:footer="917" w:top="1080" w:bottom="1100" w:left="820" w:right="380"/>
        </w:sectPr>
      </w:pPr>
    </w:p>
    <w:p>
      <w:pPr>
        <w:pStyle w:val="BodyText"/>
        <w:rPr>
          <w:rFonts w:ascii="Times New Roman"/>
          <w:sz w:val="20"/>
        </w:rPr>
      </w:pPr>
    </w:p>
    <w:p>
      <w:pPr>
        <w:pStyle w:val="BodyText"/>
        <w:rPr>
          <w:rFonts w:ascii="Times New Roman"/>
          <w:sz w:val="20"/>
        </w:rPr>
      </w:pPr>
    </w:p>
    <w:p>
      <w:pPr>
        <w:pStyle w:val="BodyText"/>
        <w:spacing w:before="7"/>
        <w:rPr>
          <w:rFonts w:ascii="Times New Roman"/>
          <w:sz w:val="2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3"/>
        <w:gridCol w:w="1639"/>
        <w:gridCol w:w="7617"/>
      </w:tblGrid>
      <w:tr>
        <w:trPr>
          <w:trHeight w:val="7482" w:hRule="atLeast"/>
        </w:trPr>
        <w:tc>
          <w:tcPr>
            <w:tcW w:w="913" w:type="dxa"/>
          </w:tcPr>
          <w:p>
            <w:pPr>
              <w:pStyle w:val="TableParagraph"/>
              <w:spacing w:line="222" w:lineRule="exact"/>
              <w:ind w:left="108"/>
              <w:rPr>
                <w:i/>
                <w:sz w:val="22"/>
              </w:rPr>
            </w:pPr>
            <w:r>
              <w:rPr>
                <w:i/>
                <w:sz w:val="22"/>
              </w:rPr>
              <w:t>3.3.23</w:t>
            </w:r>
          </w:p>
        </w:tc>
        <w:tc>
          <w:tcPr>
            <w:tcW w:w="1639" w:type="dxa"/>
          </w:tcPr>
          <w:p>
            <w:pPr>
              <w:pStyle w:val="TableParagraph"/>
              <w:spacing w:line="222" w:lineRule="exact"/>
              <w:ind w:left="222"/>
              <w:rPr>
                <w:i/>
                <w:sz w:val="22"/>
              </w:rPr>
            </w:pPr>
            <w:r>
              <w:rPr>
                <w:i/>
                <w:w w:val="95"/>
                <w:sz w:val="22"/>
              </w:rPr>
              <w:t>严重系统性红</w:t>
            </w:r>
          </w:p>
          <w:p>
            <w:pPr>
              <w:pStyle w:val="TableParagraph"/>
              <w:spacing w:before="24"/>
              <w:ind w:left="222"/>
              <w:rPr>
                <w:i/>
                <w:sz w:val="22"/>
              </w:rPr>
            </w:pPr>
            <w:r>
              <w:rPr>
                <w:i/>
                <w:w w:val="95"/>
                <w:sz w:val="22"/>
              </w:rPr>
              <w:t>斑狼疮</w:t>
            </w:r>
          </w:p>
        </w:tc>
        <w:tc>
          <w:tcPr>
            <w:tcW w:w="7617" w:type="dxa"/>
          </w:tcPr>
          <w:p>
            <w:pPr>
              <w:pStyle w:val="TableParagraph"/>
              <w:spacing w:line="245" w:lineRule="exact"/>
              <w:ind w:left="107"/>
              <w:jc w:val="both"/>
              <w:rPr>
                <w:sz w:val="21"/>
              </w:rPr>
            </w:pPr>
            <w:r>
              <w:rPr>
                <w:sz w:val="21"/>
              </w:rPr>
              <w:t>系统性红斑狼疮是由多种因素引起，累及多系统的自身免疫性疾病。其特点是生</w:t>
            </w:r>
          </w:p>
          <w:p>
            <w:pPr>
              <w:pStyle w:val="TableParagraph"/>
              <w:spacing w:before="44"/>
              <w:ind w:left="107"/>
              <w:jc w:val="both"/>
              <w:rPr>
                <w:sz w:val="21"/>
              </w:rPr>
            </w:pPr>
            <w:r>
              <w:rPr>
                <w:sz w:val="21"/>
              </w:rPr>
              <w:t>成自身抗体对抗多种自身抗原。多见于育龄妇女。其诊断须满足下列全部条件：</w:t>
            </w:r>
          </w:p>
          <w:p>
            <w:pPr>
              <w:pStyle w:val="TableParagraph"/>
              <w:spacing w:before="46"/>
              <w:ind w:left="107"/>
              <w:jc w:val="both"/>
              <w:rPr>
                <w:sz w:val="21"/>
              </w:rPr>
            </w:pPr>
            <w:r>
              <w:rPr>
                <w:sz w:val="21"/>
              </w:rPr>
              <w:t>(一) 经临床证实，最少有其中以下 3 项由美国类风湿病理学院建议的情况：</w:t>
            </w:r>
          </w:p>
          <w:p>
            <w:pPr>
              <w:pStyle w:val="TableParagraph"/>
              <w:numPr>
                <w:ilvl w:val="0"/>
                <w:numId w:val="11"/>
              </w:numPr>
              <w:tabs>
                <w:tab w:pos="530" w:val="left" w:leader="none"/>
              </w:tabs>
              <w:spacing w:line="240" w:lineRule="auto" w:before="43" w:after="0"/>
              <w:ind w:left="107" w:right="0" w:firstLine="0"/>
              <w:jc w:val="both"/>
              <w:rPr>
                <w:sz w:val="21"/>
              </w:rPr>
            </w:pPr>
            <w:r>
              <w:rPr>
                <w:spacing w:val="-3"/>
                <w:sz w:val="21"/>
              </w:rPr>
              <w:t>颊皮疹；蝶形红斑或盘形红斑；</w:t>
            </w:r>
          </w:p>
          <w:p>
            <w:pPr>
              <w:pStyle w:val="TableParagraph"/>
              <w:numPr>
                <w:ilvl w:val="0"/>
                <w:numId w:val="11"/>
              </w:numPr>
              <w:tabs>
                <w:tab w:pos="530" w:val="left" w:leader="none"/>
              </w:tabs>
              <w:spacing w:line="240" w:lineRule="auto" w:before="43" w:after="0"/>
              <w:ind w:left="107" w:right="0" w:firstLine="0"/>
              <w:jc w:val="both"/>
              <w:rPr>
                <w:sz w:val="21"/>
              </w:rPr>
            </w:pPr>
            <w:r>
              <w:rPr>
                <w:spacing w:val="-3"/>
                <w:sz w:val="21"/>
              </w:rPr>
              <w:t>盘状疹；</w:t>
            </w:r>
          </w:p>
          <w:p>
            <w:pPr>
              <w:pStyle w:val="TableParagraph"/>
              <w:numPr>
                <w:ilvl w:val="0"/>
                <w:numId w:val="11"/>
              </w:numPr>
              <w:tabs>
                <w:tab w:pos="530" w:val="left" w:leader="none"/>
              </w:tabs>
              <w:spacing w:line="240" w:lineRule="auto" w:before="46" w:after="0"/>
              <w:ind w:left="107" w:right="0" w:firstLine="0"/>
              <w:jc w:val="both"/>
              <w:rPr>
                <w:sz w:val="21"/>
              </w:rPr>
            </w:pPr>
            <w:r>
              <w:rPr>
                <w:spacing w:val="-3"/>
                <w:sz w:val="21"/>
              </w:rPr>
              <w:t>光线敏感；</w:t>
            </w:r>
          </w:p>
          <w:p>
            <w:pPr>
              <w:pStyle w:val="TableParagraph"/>
              <w:numPr>
                <w:ilvl w:val="0"/>
                <w:numId w:val="11"/>
              </w:numPr>
              <w:tabs>
                <w:tab w:pos="530" w:val="left" w:leader="none"/>
              </w:tabs>
              <w:spacing w:line="240" w:lineRule="auto" w:before="44" w:after="0"/>
              <w:ind w:left="107" w:right="0" w:firstLine="0"/>
              <w:jc w:val="both"/>
              <w:rPr>
                <w:sz w:val="21"/>
              </w:rPr>
            </w:pPr>
            <w:r>
              <w:rPr>
                <w:spacing w:val="-3"/>
                <w:sz w:val="21"/>
              </w:rPr>
              <w:t>口腔溃疡；</w:t>
            </w:r>
          </w:p>
          <w:p>
            <w:pPr>
              <w:pStyle w:val="TableParagraph"/>
              <w:numPr>
                <w:ilvl w:val="0"/>
                <w:numId w:val="11"/>
              </w:numPr>
              <w:tabs>
                <w:tab w:pos="530" w:val="left" w:leader="none"/>
              </w:tabs>
              <w:spacing w:line="240" w:lineRule="auto" w:before="44" w:after="0"/>
              <w:ind w:left="107" w:right="0" w:firstLine="0"/>
              <w:jc w:val="both"/>
              <w:rPr>
                <w:sz w:val="21"/>
              </w:rPr>
            </w:pPr>
            <w:r>
              <w:rPr>
                <w:spacing w:val="-3"/>
                <w:sz w:val="21"/>
              </w:rPr>
              <w:t>关节炎；</w:t>
            </w:r>
          </w:p>
          <w:p>
            <w:pPr>
              <w:pStyle w:val="TableParagraph"/>
              <w:numPr>
                <w:ilvl w:val="0"/>
                <w:numId w:val="11"/>
              </w:numPr>
              <w:tabs>
                <w:tab w:pos="530" w:val="left" w:leader="none"/>
              </w:tabs>
              <w:spacing w:line="240" w:lineRule="auto" w:before="46" w:after="0"/>
              <w:ind w:left="107" w:right="0" w:firstLine="0"/>
              <w:jc w:val="both"/>
              <w:rPr>
                <w:sz w:val="21"/>
              </w:rPr>
            </w:pPr>
            <w:r>
              <w:rPr>
                <w:spacing w:val="-3"/>
                <w:sz w:val="21"/>
              </w:rPr>
              <w:t>浆膜炎；</w:t>
            </w:r>
          </w:p>
          <w:p>
            <w:pPr>
              <w:pStyle w:val="TableParagraph"/>
              <w:numPr>
                <w:ilvl w:val="0"/>
                <w:numId w:val="11"/>
              </w:numPr>
              <w:tabs>
                <w:tab w:pos="530" w:val="left" w:leader="none"/>
              </w:tabs>
              <w:spacing w:line="240" w:lineRule="auto" w:before="43" w:after="0"/>
              <w:ind w:left="107" w:right="0" w:firstLine="0"/>
              <w:jc w:val="both"/>
              <w:rPr>
                <w:sz w:val="21"/>
              </w:rPr>
            </w:pPr>
            <w:r>
              <w:rPr>
                <w:spacing w:val="-2"/>
                <w:sz w:val="21"/>
              </w:rPr>
              <w:t>肾病；</w:t>
            </w:r>
          </w:p>
          <w:p>
            <w:pPr>
              <w:pStyle w:val="TableParagraph"/>
              <w:numPr>
                <w:ilvl w:val="0"/>
                <w:numId w:val="11"/>
              </w:numPr>
              <w:tabs>
                <w:tab w:pos="530" w:val="left" w:leader="none"/>
              </w:tabs>
              <w:spacing w:line="280" w:lineRule="auto" w:before="43" w:after="0"/>
              <w:ind w:left="107" w:right="-15" w:firstLine="0"/>
              <w:jc w:val="left"/>
              <w:rPr>
                <w:sz w:val="21"/>
              </w:rPr>
            </w:pPr>
            <w:r>
              <w:rPr>
                <w:spacing w:val="-3"/>
                <w:sz w:val="21"/>
              </w:rPr>
              <w:t>白细胞减少</w:t>
            </w:r>
            <w:r>
              <w:rPr>
                <w:sz w:val="21"/>
              </w:rPr>
              <w:t>（小于 4</w:t>
            </w:r>
            <w:r>
              <w:rPr>
                <w:spacing w:val="-1"/>
                <w:sz w:val="21"/>
              </w:rPr>
              <w:t> </w:t>
            </w:r>
            <w:r>
              <w:rPr>
                <w:sz w:val="21"/>
              </w:rPr>
              <w:t>x</w:t>
            </w:r>
            <w:r>
              <w:rPr>
                <w:spacing w:val="3"/>
                <w:sz w:val="21"/>
              </w:rPr>
              <w:t> </w:t>
            </w:r>
            <w:r>
              <w:rPr>
                <w:sz w:val="21"/>
              </w:rPr>
              <w:t>10^9</w:t>
            </w:r>
            <w:r>
              <w:rPr>
                <w:spacing w:val="-2"/>
                <w:sz w:val="21"/>
              </w:rPr>
              <w:t>／升</w:t>
            </w:r>
            <w:r>
              <w:rPr>
                <w:sz w:val="21"/>
              </w:rPr>
              <w:t>）</w:t>
            </w:r>
            <w:r>
              <w:rPr>
                <w:spacing w:val="-3"/>
                <w:sz w:val="21"/>
              </w:rPr>
              <w:t>或淋巴细胞减少（</w:t>
            </w:r>
            <w:r>
              <w:rPr>
                <w:spacing w:val="-19"/>
                <w:sz w:val="21"/>
              </w:rPr>
              <w:t>小于 </w:t>
            </w:r>
            <w:r>
              <w:rPr>
                <w:sz w:val="21"/>
              </w:rPr>
              <w:t>1.5</w:t>
            </w:r>
            <w:r>
              <w:rPr>
                <w:spacing w:val="1"/>
                <w:sz w:val="21"/>
              </w:rPr>
              <w:t> </w:t>
            </w:r>
            <w:r>
              <w:rPr>
                <w:sz w:val="21"/>
              </w:rPr>
              <w:t>x</w:t>
            </w:r>
            <w:r>
              <w:rPr>
                <w:spacing w:val="3"/>
                <w:sz w:val="21"/>
              </w:rPr>
              <w:t> </w:t>
            </w:r>
            <w:r>
              <w:rPr>
                <w:sz w:val="21"/>
              </w:rPr>
              <w:t>10^9／升） </w:t>
            </w:r>
            <w:r>
              <w:rPr>
                <w:spacing w:val="-2"/>
                <w:sz w:val="21"/>
              </w:rPr>
              <w:t>或血小板减少</w:t>
            </w:r>
            <w:r>
              <w:rPr>
                <w:spacing w:val="-3"/>
                <w:sz w:val="21"/>
              </w:rPr>
              <w:t>（</w:t>
            </w:r>
            <w:r>
              <w:rPr>
                <w:spacing w:val="-18"/>
                <w:sz w:val="21"/>
              </w:rPr>
              <w:t>小于 </w:t>
            </w:r>
            <w:r>
              <w:rPr>
                <w:sz w:val="21"/>
              </w:rPr>
              <w:t>100</w:t>
            </w:r>
            <w:r>
              <w:rPr>
                <w:spacing w:val="3"/>
                <w:sz w:val="21"/>
              </w:rPr>
              <w:t> </w:t>
            </w:r>
            <w:r>
              <w:rPr>
                <w:sz w:val="21"/>
              </w:rPr>
              <w:t>x</w:t>
            </w:r>
            <w:r>
              <w:rPr>
                <w:spacing w:val="10"/>
                <w:sz w:val="21"/>
              </w:rPr>
              <w:t> </w:t>
            </w:r>
            <w:r>
              <w:rPr>
                <w:sz w:val="21"/>
              </w:rPr>
              <w:t>10^9</w:t>
            </w:r>
            <w:r>
              <w:rPr>
                <w:spacing w:val="-2"/>
                <w:sz w:val="21"/>
              </w:rPr>
              <w:t>／升</w:t>
            </w:r>
            <w:r>
              <w:rPr>
                <w:sz w:val="21"/>
              </w:rPr>
              <w:t>）</w:t>
            </w:r>
            <w:r>
              <w:rPr>
                <w:spacing w:val="-3"/>
                <w:sz w:val="21"/>
              </w:rPr>
              <w:t>或溶血性贫血；</w:t>
            </w:r>
          </w:p>
          <w:p>
            <w:pPr>
              <w:pStyle w:val="TableParagraph"/>
              <w:numPr>
                <w:ilvl w:val="0"/>
                <w:numId w:val="11"/>
              </w:numPr>
              <w:tabs>
                <w:tab w:pos="634" w:val="left" w:leader="none"/>
              </w:tabs>
              <w:spacing w:line="240" w:lineRule="auto" w:before="8" w:after="0"/>
              <w:ind w:left="633" w:right="0" w:hanging="526"/>
              <w:jc w:val="both"/>
              <w:rPr>
                <w:sz w:val="21"/>
              </w:rPr>
            </w:pPr>
            <w:r>
              <w:rPr>
                <w:spacing w:val="-3"/>
                <w:sz w:val="21"/>
              </w:rPr>
              <w:t>神经系统疾病。</w:t>
            </w:r>
          </w:p>
          <w:p>
            <w:pPr>
              <w:pStyle w:val="TableParagraph"/>
              <w:spacing w:before="44"/>
              <w:ind w:left="107"/>
              <w:jc w:val="both"/>
              <w:rPr>
                <w:sz w:val="21"/>
              </w:rPr>
            </w:pPr>
            <w:r>
              <w:rPr>
                <w:sz w:val="21"/>
              </w:rPr>
              <w:t>(二) 下列一项或以上的检测呈阳性结果：</w:t>
            </w:r>
          </w:p>
          <w:p>
            <w:pPr>
              <w:pStyle w:val="TableParagraph"/>
              <w:numPr>
                <w:ilvl w:val="0"/>
                <w:numId w:val="12"/>
              </w:numPr>
              <w:tabs>
                <w:tab w:pos="531" w:val="left" w:leader="none"/>
              </w:tabs>
              <w:spacing w:line="240" w:lineRule="auto" w:before="46" w:after="0"/>
              <w:ind w:left="530" w:right="0" w:hanging="423"/>
              <w:jc w:val="both"/>
              <w:rPr>
                <w:sz w:val="21"/>
              </w:rPr>
            </w:pPr>
            <w:r>
              <w:rPr>
                <w:spacing w:val="-3"/>
                <w:sz w:val="21"/>
              </w:rPr>
              <w:t>抗细胞核抗体检测；</w:t>
            </w:r>
          </w:p>
          <w:p>
            <w:pPr>
              <w:pStyle w:val="TableParagraph"/>
              <w:numPr>
                <w:ilvl w:val="0"/>
                <w:numId w:val="12"/>
              </w:numPr>
              <w:tabs>
                <w:tab w:pos="531" w:val="left" w:leader="none"/>
              </w:tabs>
              <w:spacing w:line="240" w:lineRule="auto" w:before="43" w:after="0"/>
              <w:ind w:left="530" w:right="0" w:hanging="423"/>
              <w:jc w:val="both"/>
              <w:rPr>
                <w:sz w:val="21"/>
              </w:rPr>
            </w:pPr>
            <w:r>
              <w:rPr>
                <w:spacing w:val="-3"/>
                <w:sz w:val="21"/>
              </w:rPr>
              <w:t>狼疮细胞检测；</w:t>
            </w:r>
          </w:p>
          <w:p>
            <w:pPr>
              <w:pStyle w:val="TableParagraph"/>
              <w:numPr>
                <w:ilvl w:val="0"/>
                <w:numId w:val="12"/>
              </w:numPr>
              <w:tabs>
                <w:tab w:pos="531" w:val="left" w:leader="none"/>
              </w:tabs>
              <w:spacing w:line="240" w:lineRule="auto" w:before="43" w:after="0"/>
              <w:ind w:left="530" w:right="0" w:hanging="423"/>
              <w:jc w:val="both"/>
              <w:rPr>
                <w:sz w:val="21"/>
              </w:rPr>
            </w:pPr>
            <w:r>
              <w:rPr>
                <w:spacing w:val="-3"/>
                <w:sz w:val="21"/>
              </w:rPr>
              <w:t>抗脱氧核糖核酸检测；</w:t>
            </w:r>
          </w:p>
          <w:p>
            <w:pPr>
              <w:pStyle w:val="TableParagraph"/>
              <w:numPr>
                <w:ilvl w:val="0"/>
                <w:numId w:val="12"/>
              </w:numPr>
              <w:tabs>
                <w:tab w:pos="528" w:val="left" w:leader="none"/>
              </w:tabs>
              <w:spacing w:line="240" w:lineRule="auto" w:before="46" w:after="0"/>
              <w:ind w:left="527" w:right="0" w:hanging="420"/>
              <w:jc w:val="both"/>
              <w:rPr>
                <w:sz w:val="21"/>
              </w:rPr>
            </w:pPr>
            <w:r>
              <w:rPr>
                <w:spacing w:val="-25"/>
                <w:sz w:val="21"/>
              </w:rPr>
              <w:t>抗 </w:t>
            </w:r>
            <w:r>
              <w:rPr>
                <w:sz w:val="21"/>
              </w:rPr>
              <w:t>SM（</w:t>
            </w:r>
            <w:r>
              <w:rPr>
                <w:spacing w:val="-14"/>
                <w:sz w:val="21"/>
              </w:rPr>
              <w:t>史密夫 </w:t>
            </w:r>
            <w:r>
              <w:rPr>
                <w:sz w:val="21"/>
              </w:rPr>
              <w:t>IgG</w:t>
            </w:r>
            <w:r>
              <w:rPr>
                <w:spacing w:val="-12"/>
                <w:sz w:val="21"/>
              </w:rPr>
              <w:t> 自体抗体</w:t>
            </w:r>
            <w:r>
              <w:rPr>
                <w:sz w:val="21"/>
              </w:rPr>
              <w:t>）</w:t>
            </w:r>
            <w:r>
              <w:rPr>
                <w:spacing w:val="-2"/>
                <w:sz w:val="21"/>
              </w:rPr>
              <w:t>检测。</w:t>
            </w:r>
          </w:p>
          <w:p>
            <w:pPr>
              <w:pStyle w:val="TableParagraph"/>
              <w:spacing w:line="278" w:lineRule="auto" w:before="44"/>
              <w:ind w:left="108" w:right="78" w:hanging="1"/>
              <w:rPr>
                <w:sz w:val="21"/>
              </w:rPr>
            </w:pPr>
            <w:r>
              <w:rPr>
                <w:sz w:val="21"/>
              </w:rPr>
              <w:t>(三) 系统性红斑狼疮的诊断必须由风湿科或免疫系统专科医生确诊并证明持续最少 3 个月。</w:t>
            </w:r>
          </w:p>
          <w:p>
            <w:pPr>
              <w:pStyle w:val="TableParagraph"/>
              <w:spacing w:line="278" w:lineRule="auto" w:before="13"/>
              <w:ind w:left="107" w:right="84"/>
              <w:jc w:val="both"/>
              <w:rPr>
                <w:b/>
                <w:sz w:val="21"/>
              </w:rPr>
            </w:pPr>
            <w:r>
              <w:rPr>
                <w:b/>
                <w:spacing w:val="-3"/>
                <w:sz w:val="21"/>
              </w:rPr>
              <w:t>若被保险人因同一原因导致其同时满足本合同重大疾病系统性红斑狼疮</w:t>
            </w:r>
            <w:r>
              <w:rPr>
                <w:b/>
                <w:sz w:val="21"/>
              </w:rPr>
              <w:t>-III</w:t>
            </w:r>
            <w:r>
              <w:rPr>
                <w:b/>
                <w:spacing w:val="-20"/>
                <w:sz w:val="21"/>
              </w:rPr>
              <w:t> 型或</w:t>
            </w:r>
            <w:r>
              <w:rPr>
                <w:b/>
                <w:spacing w:val="-14"/>
                <w:sz w:val="21"/>
              </w:rPr>
              <w:t>以上狼疮性肾炎和严重系统性红斑狼疮的，仅按重大疾病系统性红斑狼疮</w:t>
            </w:r>
            <w:r>
              <w:rPr>
                <w:b/>
                <w:sz w:val="21"/>
              </w:rPr>
              <w:t>-III</w:t>
            </w:r>
            <w:r>
              <w:rPr>
                <w:b/>
                <w:spacing w:val="-23"/>
                <w:sz w:val="21"/>
              </w:rPr>
              <w:t> 型</w:t>
            </w:r>
            <w:r>
              <w:rPr>
                <w:b/>
                <w:spacing w:val="-16"/>
                <w:sz w:val="21"/>
              </w:rPr>
              <w:t>或以上狼疮性肾炎一项给付。</w:t>
            </w:r>
          </w:p>
        </w:tc>
      </w:tr>
      <w:tr>
        <w:trPr>
          <w:trHeight w:val="2560" w:hRule="atLeast"/>
        </w:trPr>
        <w:tc>
          <w:tcPr>
            <w:tcW w:w="913" w:type="dxa"/>
          </w:tcPr>
          <w:p>
            <w:pPr>
              <w:pStyle w:val="TableParagraph"/>
              <w:spacing w:before="132"/>
              <w:ind w:left="108"/>
              <w:rPr>
                <w:i/>
                <w:sz w:val="22"/>
              </w:rPr>
            </w:pPr>
            <w:r>
              <w:rPr>
                <w:i/>
                <w:sz w:val="22"/>
              </w:rPr>
              <w:t>3.3.24</w:t>
            </w:r>
          </w:p>
        </w:tc>
        <w:tc>
          <w:tcPr>
            <w:tcW w:w="1639" w:type="dxa"/>
          </w:tcPr>
          <w:p>
            <w:pPr>
              <w:pStyle w:val="TableParagraph"/>
              <w:spacing w:line="259" w:lineRule="auto" w:before="132"/>
              <w:ind w:left="222" w:right="104"/>
              <w:rPr>
                <w:i/>
                <w:sz w:val="22"/>
              </w:rPr>
            </w:pPr>
            <w:r>
              <w:rPr>
                <w:i/>
                <w:w w:val="95"/>
                <w:sz w:val="22"/>
              </w:rPr>
              <w:t>胆道系统重建手术</w:t>
            </w:r>
          </w:p>
        </w:tc>
        <w:tc>
          <w:tcPr>
            <w:tcW w:w="7617" w:type="dxa"/>
          </w:tcPr>
          <w:p>
            <w:pPr>
              <w:pStyle w:val="TableParagraph"/>
              <w:spacing w:line="278" w:lineRule="auto" w:before="168"/>
              <w:ind w:left="107" w:right="85"/>
              <w:rPr>
                <w:sz w:val="21"/>
              </w:rPr>
            </w:pPr>
            <w:r>
              <w:rPr>
                <w:sz w:val="21"/>
              </w:rPr>
              <w:t>因疾病或胆道创伤导致包含胆道肠道人工造管术的胆道重建手术。手术必须由专科医生确认为医学上所必须的情况下进行。</w:t>
            </w:r>
          </w:p>
          <w:p>
            <w:pPr>
              <w:pStyle w:val="TableParagraph"/>
              <w:spacing w:before="13"/>
              <w:ind w:left="107"/>
              <w:rPr>
                <w:b/>
                <w:sz w:val="21"/>
              </w:rPr>
            </w:pPr>
            <w:r>
              <w:rPr>
                <w:b/>
                <w:sz w:val="21"/>
              </w:rPr>
              <w:t>以下的胆道系统重建手术不在本合同保障范围之列：</w:t>
            </w:r>
          </w:p>
          <w:p>
            <w:pPr>
              <w:pStyle w:val="TableParagraph"/>
              <w:spacing w:line="278" w:lineRule="auto" w:before="44"/>
              <w:ind w:left="107" w:right="13"/>
              <w:rPr>
                <w:b/>
                <w:sz w:val="21"/>
              </w:rPr>
            </w:pPr>
            <w:r>
              <w:rPr>
                <w:b/>
                <w:sz w:val="21"/>
              </w:rPr>
              <w:t>（1）因患有符合本合同条款定义的非危及生命的（极早期的）恶性病变的原因所致的胆道系统重建手术；</w:t>
            </w:r>
          </w:p>
          <w:p>
            <w:pPr>
              <w:pStyle w:val="TableParagraph"/>
              <w:spacing w:before="13"/>
              <w:ind w:left="107"/>
              <w:rPr>
                <w:b/>
                <w:sz w:val="21"/>
              </w:rPr>
            </w:pPr>
            <w:r>
              <w:rPr>
                <w:b/>
                <w:sz w:val="21"/>
              </w:rPr>
              <w:t>（2）因患有符合本合同条款定义的恶性肿瘤的原因所致的胆道系统重建手术；</w:t>
            </w:r>
          </w:p>
          <w:p>
            <w:pPr>
              <w:pStyle w:val="TableParagraph"/>
              <w:spacing w:before="44"/>
              <w:ind w:left="107"/>
              <w:rPr>
                <w:b/>
                <w:sz w:val="21"/>
              </w:rPr>
            </w:pPr>
            <w:r>
              <w:rPr>
                <w:b/>
                <w:sz w:val="21"/>
              </w:rPr>
              <w:t>（3）因胆道闭锁的原因所致的胆道系统重建手术。</w:t>
            </w:r>
          </w:p>
        </w:tc>
      </w:tr>
      <w:tr>
        <w:trPr>
          <w:trHeight w:val="1016" w:hRule="atLeast"/>
        </w:trPr>
        <w:tc>
          <w:tcPr>
            <w:tcW w:w="913" w:type="dxa"/>
          </w:tcPr>
          <w:p>
            <w:pPr>
              <w:pStyle w:val="TableParagraph"/>
              <w:spacing w:before="132"/>
              <w:ind w:left="108"/>
              <w:rPr>
                <w:i/>
                <w:sz w:val="22"/>
              </w:rPr>
            </w:pPr>
            <w:r>
              <w:rPr>
                <w:i/>
                <w:sz w:val="22"/>
              </w:rPr>
              <w:t>3.3.25</w:t>
            </w:r>
          </w:p>
        </w:tc>
        <w:tc>
          <w:tcPr>
            <w:tcW w:w="1639" w:type="dxa"/>
          </w:tcPr>
          <w:p>
            <w:pPr>
              <w:pStyle w:val="TableParagraph"/>
              <w:spacing w:before="132"/>
              <w:ind w:left="222"/>
              <w:rPr>
                <w:i/>
                <w:sz w:val="22"/>
              </w:rPr>
            </w:pPr>
            <w:r>
              <w:rPr>
                <w:i/>
                <w:w w:val="95"/>
                <w:sz w:val="22"/>
              </w:rPr>
              <w:t>角膜移植</w:t>
            </w:r>
          </w:p>
        </w:tc>
        <w:tc>
          <w:tcPr>
            <w:tcW w:w="7617" w:type="dxa"/>
          </w:tcPr>
          <w:p>
            <w:pPr>
              <w:pStyle w:val="TableParagraph"/>
              <w:spacing w:before="144"/>
              <w:ind w:left="107"/>
              <w:rPr>
                <w:sz w:val="21"/>
              </w:rPr>
            </w:pPr>
            <w:r>
              <w:rPr>
                <w:sz w:val="21"/>
              </w:rPr>
              <w:t>指为增进视力或治疗某些角膜疾患，已经实施了异体的角膜移植手术。</w:t>
            </w:r>
          </w:p>
          <w:p>
            <w:pPr>
              <w:pStyle w:val="TableParagraph"/>
              <w:spacing w:before="61"/>
              <w:ind w:left="107"/>
              <w:rPr>
                <w:b/>
                <w:sz w:val="21"/>
              </w:rPr>
            </w:pPr>
            <w:r>
              <w:rPr>
                <w:b/>
                <w:sz w:val="21"/>
              </w:rPr>
              <w:t>此手术必须在本公司认可医院内由专科医生认为是医疗必须的情况下进行。</w:t>
            </w:r>
          </w:p>
        </w:tc>
      </w:tr>
      <w:tr>
        <w:trPr>
          <w:trHeight w:val="713" w:hRule="atLeast"/>
        </w:trPr>
        <w:tc>
          <w:tcPr>
            <w:tcW w:w="913" w:type="dxa"/>
            <w:tcBorders>
              <w:bottom w:val="double" w:sz="1" w:space="0" w:color="000000"/>
            </w:tcBorders>
          </w:tcPr>
          <w:p>
            <w:pPr>
              <w:pStyle w:val="TableParagraph"/>
              <w:spacing w:before="176"/>
              <w:ind w:left="107"/>
              <w:rPr>
                <w:b/>
                <w:sz w:val="28"/>
              </w:rPr>
            </w:pPr>
            <w:r>
              <w:rPr>
                <w:b/>
                <w:w w:val="99"/>
                <w:sz w:val="28"/>
              </w:rPr>
              <w:t>4</w:t>
            </w:r>
          </w:p>
        </w:tc>
        <w:tc>
          <w:tcPr>
            <w:tcW w:w="9256" w:type="dxa"/>
            <w:gridSpan w:val="2"/>
            <w:tcBorders>
              <w:bottom w:val="double" w:sz="1" w:space="0" w:color="000000"/>
            </w:tcBorders>
          </w:tcPr>
          <w:p>
            <w:pPr>
              <w:pStyle w:val="TableParagraph"/>
              <w:spacing w:before="176"/>
              <w:ind w:left="171"/>
              <w:rPr>
                <w:b/>
                <w:sz w:val="28"/>
              </w:rPr>
            </w:pPr>
            <w:r>
              <w:rPr>
                <w:b/>
                <w:w w:val="95"/>
                <w:sz w:val="28"/>
              </w:rPr>
              <w:t>申请与给付保险金</w:t>
            </w:r>
          </w:p>
        </w:tc>
      </w:tr>
      <w:tr>
        <w:trPr>
          <w:trHeight w:val="1644" w:hRule="atLeast"/>
        </w:trPr>
        <w:tc>
          <w:tcPr>
            <w:tcW w:w="913"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4.1</w:t>
            </w:r>
          </w:p>
        </w:tc>
        <w:tc>
          <w:tcPr>
            <w:tcW w:w="1639" w:type="dxa"/>
            <w:tcBorders>
              <w:top w:val="double" w:sz="1" w:space="0" w:color="000000"/>
            </w:tcBorders>
          </w:tcPr>
          <w:p>
            <w:pPr>
              <w:pStyle w:val="TableParagraph"/>
              <w:spacing w:before="2"/>
              <w:rPr>
                <w:rFonts w:ascii="Times New Roman"/>
                <w:sz w:val="26"/>
              </w:rPr>
            </w:pPr>
          </w:p>
          <w:p>
            <w:pPr>
              <w:pStyle w:val="TableParagraph"/>
              <w:spacing w:line="273" w:lineRule="auto"/>
              <w:ind w:left="171" w:right="199"/>
              <w:rPr>
                <w:b/>
                <w:sz w:val="21"/>
              </w:rPr>
            </w:pPr>
            <w:r>
              <w:rPr>
                <w:b/>
                <w:sz w:val="21"/>
              </w:rPr>
              <w:t>受益人的指定与变更</w:t>
            </w:r>
          </w:p>
        </w:tc>
        <w:tc>
          <w:tcPr>
            <w:tcW w:w="7617" w:type="dxa"/>
            <w:tcBorders>
              <w:top w:val="double" w:sz="1" w:space="0" w:color="000000"/>
            </w:tcBorders>
          </w:tcPr>
          <w:p>
            <w:pPr>
              <w:pStyle w:val="TableParagraph"/>
              <w:spacing w:before="6"/>
              <w:rPr>
                <w:rFonts w:ascii="Times New Roman"/>
                <w:sz w:val="24"/>
              </w:rPr>
            </w:pPr>
          </w:p>
          <w:p>
            <w:pPr>
              <w:pStyle w:val="TableParagraph"/>
              <w:spacing w:line="237" w:lineRule="auto"/>
              <w:ind w:left="107" w:right="129"/>
              <w:jc w:val="both"/>
              <w:rPr>
                <w:sz w:val="21"/>
              </w:rPr>
            </w:pPr>
            <w:r>
              <w:rPr>
                <w:sz w:val="21"/>
              </w:rPr>
              <w:t>本合同订立时，投保人或被保险人应当指定一人或数人为保险金的受益人。受益人为数人时，应确定其受益顺序和受益份额。未确定份额的，各受益人按照相等的份额享有受益权。</w:t>
            </w:r>
          </w:p>
          <w:p>
            <w:pPr>
              <w:pStyle w:val="TableParagraph"/>
              <w:spacing w:line="274" w:lineRule="exact" w:before="22"/>
              <w:ind w:left="107" w:right="129"/>
              <w:jc w:val="both"/>
              <w:rPr>
                <w:sz w:val="21"/>
              </w:rPr>
            </w:pPr>
            <w:r>
              <w:rPr>
                <w:sz w:val="21"/>
              </w:rPr>
              <w:t>本合同订立后，投保人或被保险人可以向我们提出变更受益人的书面申请，经我们记录及对本合同批注后生效。前项变更若发生法律上的纠纷，我们不承担任何</w:t>
            </w:r>
          </w:p>
        </w:tc>
      </w:tr>
    </w:tbl>
    <w:p>
      <w:pPr>
        <w:spacing w:after="0" w:line="274" w:lineRule="exact"/>
        <w:jc w:val="both"/>
        <w:rPr>
          <w:sz w:val="21"/>
        </w:rPr>
        <w:sectPr>
          <w:pgSz w:w="11910" w:h="16840"/>
          <w:pgMar w:header="892" w:footer="917" w:top="1080" w:bottom="1100" w:left="920" w:right="600"/>
        </w:sectPr>
      </w:pPr>
    </w:p>
    <w:p>
      <w:pPr>
        <w:pStyle w:val="BodyText"/>
        <w:rPr>
          <w:rFonts w:ascii="Times New Roman"/>
          <w:sz w:val="20"/>
        </w:rPr>
      </w:pPr>
    </w:p>
    <w:p>
      <w:pPr>
        <w:pStyle w:val="BodyText"/>
        <w:spacing w:before="9" w:after="1"/>
        <w:rPr>
          <w:rFonts w:ascii="Times New Roman"/>
          <w:sz w:val="17"/>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2"/>
        <w:gridCol w:w="1645"/>
        <w:gridCol w:w="7835"/>
      </w:tblGrid>
      <w:tr>
        <w:trPr>
          <w:trHeight w:val="4490" w:hRule="atLeast"/>
        </w:trPr>
        <w:tc>
          <w:tcPr>
            <w:tcW w:w="952" w:type="dxa"/>
          </w:tcPr>
          <w:p>
            <w:pPr>
              <w:pStyle w:val="TableParagraph"/>
              <w:rPr>
                <w:rFonts w:ascii="Times New Roman"/>
                <w:sz w:val="20"/>
              </w:rPr>
            </w:pPr>
          </w:p>
        </w:tc>
        <w:tc>
          <w:tcPr>
            <w:tcW w:w="1645" w:type="dxa"/>
          </w:tcPr>
          <w:p>
            <w:pPr>
              <w:pStyle w:val="TableParagraph"/>
              <w:rPr>
                <w:rFonts w:ascii="Times New Roman"/>
                <w:sz w:val="20"/>
              </w:rPr>
            </w:pPr>
          </w:p>
        </w:tc>
        <w:tc>
          <w:tcPr>
            <w:tcW w:w="7835" w:type="dxa"/>
          </w:tcPr>
          <w:p>
            <w:pPr>
              <w:pStyle w:val="TableParagraph"/>
              <w:spacing w:line="209" w:lineRule="exact"/>
              <w:ind w:left="154"/>
              <w:rPr>
                <w:sz w:val="21"/>
              </w:rPr>
            </w:pPr>
            <w:r>
              <w:rPr>
                <w:sz w:val="21"/>
              </w:rPr>
              <w:t>责任。</w:t>
            </w:r>
          </w:p>
          <w:p>
            <w:pPr>
              <w:pStyle w:val="TableParagraph"/>
              <w:ind w:left="154" w:right="300"/>
              <w:rPr>
                <w:sz w:val="21"/>
              </w:rPr>
            </w:pPr>
            <w:r>
              <w:rPr>
                <w:sz w:val="21"/>
              </w:rPr>
              <w:t>被保险人为无民事行为能力人或限制民事行为能力人的，可以由其监护人指定受益人。</w:t>
            </w:r>
          </w:p>
          <w:p>
            <w:pPr>
              <w:pStyle w:val="TableParagraph"/>
              <w:spacing w:line="271" w:lineRule="exact" w:before="2"/>
              <w:ind w:left="154"/>
              <w:rPr>
                <w:sz w:val="21"/>
              </w:rPr>
            </w:pPr>
            <w:r>
              <w:rPr>
                <w:sz w:val="21"/>
              </w:rPr>
              <w:t>投保人指定或变更受益人时须经被保险人或被保险人的监护人书面同意。</w:t>
            </w:r>
          </w:p>
          <w:p>
            <w:pPr>
              <w:pStyle w:val="TableParagraph"/>
              <w:spacing w:line="237" w:lineRule="auto" w:before="2"/>
              <w:ind w:left="154" w:right="300"/>
              <w:rPr>
                <w:b/>
                <w:sz w:val="21"/>
              </w:rPr>
            </w:pPr>
            <w:r>
              <w:rPr>
                <w:b/>
                <w:sz w:val="21"/>
              </w:rPr>
              <w:t>除另有约定外，本合同重大疾病、特定重大疾病额外给付、轻症重疾额外给付保险金的受益人为被保险人本人。</w:t>
            </w:r>
          </w:p>
          <w:p>
            <w:pPr>
              <w:pStyle w:val="TableParagraph"/>
              <w:spacing w:line="237" w:lineRule="auto" w:before="1"/>
              <w:ind w:left="154" w:right="304"/>
              <w:rPr>
                <w:sz w:val="21"/>
              </w:rPr>
            </w:pPr>
            <w:r>
              <w:rPr>
                <w:spacing w:val="-14"/>
                <w:sz w:val="21"/>
              </w:rPr>
              <w:t>被保险人身故后，有下列情形之一的，保险金作为被保险人的遗产，我们依照《中</w:t>
            </w:r>
            <w:r>
              <w:rPr>
                <w:spacing w:val="-3"/>
                <w:sz w:val="21"/>
              </w:rPr>
              <w:t>华人民共和国继承法》的规定履行给付保险金的义务：</w:t>
            </w:r>
          </w:p>
          <w:p>
            <w:pPr>
              <w:pStyle w:val="TableParagraph"/>
              <w:spacing w:before="51"/>
              <w:ind w:left="154"/>
              <w:rPr>
                <w:sz w:val="21"/>
              </w:rPr>
            </w:pPr>
            <w:r>
              <w:rPr>
                <w:sz w:val="21"/>
              </w:rPr>
              <w:t>（</w:t>
            </w:r>
            <w:r>
              <w:rPr>
                <w:rFonts w:ascii="Arial" w:eastAsia="Arial"/>
                <w:sz w:val="21"/>
              </w:rPr>
              <w:t>1</w:t>
            </w:r>
            <w:r>
              <w:rPr>
                <w:sz w:val="21"/>
              </w:rPr>
              <w:t>）没有指定受益人，或者受益人指定不明无法确定的；</w:t>
            </w:r>
          </w:p>
          <w:p>
            <w:pPr>
              <w:pStyle w:val="TableParagraph"/>
              <w:spacing w:before="74"/>
              <w:ind w:left="154"/>
              <w:rPr>
                <w:sz w:val="21"/>
              </w:rPr>
            </w:pPr>
            <w:r>
              <w:rPr>
                <w:sz w:val="21"/>
              </w:rPr>
              <w:t>（</w:t>
            </w:r>
            <w:r>
              <w:rPr>
                <w:rFonts w:ascii="Arial" w:eastAsia="Arial"/>
                <w:sz w:val="21"/>
              </w:rPr>
              <w:t>2</w:t>
            </w:r>
            <w:r>
              <w:rPr>
                <w:sz w:val="21"/>
              </w:rPr>
              <w:t>）受益人先于被保险人身故，没有其他受益人的；</w:t>
            </w:r>
          </w:p>
          <w:p>
            <w:pPr>
              <w:pStyle w:val="TableParagraph"/>
              <w:spacing w:before="74"/>
              <w:ind w:left="154"/>
              <w:rPr>
                <w:sz w:val="21"/>
              </w:rPr>
            </w:pPr>
            <w:r>
              <w:rPr>
                <w:sz w:val="21"/>
              </w:rPr>
              <w:t>（</w:t>
            </w:r>
            <w:r>
              <w:rPr>
                <w:rFonts w:ascii="Arial" w:eastAsia="Arial"/>
                <w:sz w:val="21"/>
              </w:rPr>
              <w:t>3</w:t>
            </w:r>
            <w:r>
              <w:rPr>
                <w:sz w:val="21"/>
              </w:rPr>
              <w:t>）受益人依法丧失受益权或者放弃受益权，没有其他受益人的。</w:t>
            </w:r>
          </w:p>
          <w:p>
            <w:pPr>
              <w:pStyle w:val="TableParagraph"/>
              <w:spacing w:line="237" w:lineRule="auto" w:before="27"/>
              <w:ind w:left="154" w:right="300"/>
              <w:rPr>
                <w:sz w:val="21"/>
              </w:rPr>
            </w:pPr>
            <w:r>
              <w:rPr>
                <w:sz w:val="21"/>
              </w:rPr>
              <w:t>受益人与被保险人在同一事件中身故，且不能确定身故先后顺序的，推定受益人身故在先。</w:t>
            </w:r>
          </w:p>
          <w:p>
            <w:pPr>
              <w:pStyle w:val="TableParagraph"/>
              <w:spacing w:line="237" w:lineRule="auto" w:before="1"/>
              <w:ind w:left="154" w:right="300"/>
              <w:rPr>
                <w:sz w:val="21"/>
              </w:rPr>
            </w:pPr>
            <w:r>
              <w:rPr>
                <w:sz w:val="21"/>
              </w:rPr>
              <w:t>受益人故意造成被保险人死亡，全残或者故意杀害被保险人未遂的，该受益人丧失受益权。</w:t>
            </w:r>
          </w:p>
        </w:tc>
      </w:tr>
      <w:tr>
        <w:trPr>
          <w:trHeight w:val="2145" w:hRule="atLeast"/>
        </w:trPr>
        <w:tc>
          <w:tcPr>
            <w:tcW w:w="952" w:type="dxa"/>
          </w:tcPr>
          <w:p>
            <w:pPr>
              <w:pStyle w:val="TableParagraph"/>
              <w:spacing w:before="145"/>
              <w:ind w:left="200"/>
              <w:rPr>
                <w:b/>
                <w:sz w:val="21"/>
              </w:rPr>
            </w:pPr>
            <w:r>
              <w:rPr>
                <w:b/>
                <w:sz w:val="21"/>
              </w:rPr>
              <w:t>4.2</w:t>
            </w:r>
          </w:p>
        </w:tc>
        <w:tc>
          <w:tcPr>
            <w:tcW w:w="1645" w:type="dxa"/>
          </w:tcPr>
          <w:p>
            <w:pPr>
              <w:pStyle w:val="TableParagraph"/>
              <w:spacing w:line="273" w:lineRule="auto" w:before="145"/>
              <w:ind w:left="224" w:right="152"/>
              <w:rPr>
                <w:b/>
                <w:sz w:val="21"/>
              </w:rPr>
            </w:pPr>
            <w:r>
              <w:rPr>
                <w:b/>
                <w:sz w:val="21"/>
              </w:rPr>
              <w:t>保险事故的通知</w:t>
            </w:r>
          </w:p>
        </w:tc>
        <w:tc>
          <w:tcPr>
            <w:tcW w:w="7835" w:type="dxa"/>
          </w:tcPr>
          <w:p>
            <w:pPr>
              <w:pStyle w:val="TableParagraph"/>
              <w:spacing w:line="268" w:lineRule="auto" w:before="123"/>
              <w:ind w:left="154" w:right="303"/>
              <w:rPr>
                <w:sz w:val="21"/>
              </w:rPr>
            </w:pPr>
            <w:r>
              <w:rPr>
                <w:spacing w:val="-4"/>
                <w:sz w:val="21"/>
              </w:rPr>
              <w:t>本合同的投保人，被保险人或受益人知道保险事故后应当在十日内通知我们。 </w:t>
            </w:r>
            <w:r>
              <w:rPr>
                <w:b/>
                <w:spacing w:val="-4"/>
                <w:sz w:val="21"/>
              </w:rPr>
              <w:t>如果投保人，被保险人或受益人故意或者因重大过失未及时通知我们，致使保险事故的性质、原因、损失程度等难以确定的，我们对无法确定的部分，不承担给付保险金的责任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tc>
      </w:tr>
      <w:tr>
        <w:trPr>
          <w:trHeight w:val="936" w:hRule="atLeast"/>
        </w:trPr>
        <w:tc>
          <w:tcPr>
            <w:tcW w:w="952" w:type="dxa"/>
          </w:tcPr>
          <w:p>
            <w:pPr>
              <w:pStyle w:val="TableParagraph"/>
              <w:spacing w:before="142"/>
              <w:ind w:left="200"/>
              <w:rPr>
                <w:b/>
                <w:sz w:val="21"/>
              </w:rPr>
            </w:pPr>
            <w:r>
              <w:rPr>
                <w:b/>
                <w:sz w:val="21"/>
              </w:rPr>
              <w:t>4.3</w:t>
            </w:r>
          </w:p>
        </w:tc>
        <w:tc>
          <w:tcPr>
            <w:tcW w:w="1645" w:type="dxa"/>
          </w:tcPr>
          <w:p>
            <w:pPr>
              <w:pStyle w:val="TableParagraph"/>
              <w:spacing w:before="142"/>
              <w:ind w:left="224"/>
              <w:rPr>
                <w:b/>
                <w:sz w:val="21"/>
              </w:rPr>
            </w:pPr>
            <w:r>
              <w:rPr>
                <w:b/>
                <w:sz w:val="21"/>
              </w:rPr>
              <w:t>诉讼时效</w:t>
            </w:r>
          </w:p>
        </w:tc>
        <w:tc>
          <w:tcPr>
            <w:tcW w:w="7835" w:type="dxa"/>
          </w:tcPr>
          <w:p>
            <w:pPr>
              <w:pStyle w:val="TableParagraph"/>
              <w:spacing w:line="273" w:lineRule="auto" w:before="142"/>
              <w:ind w:left="154" w:right="321"/>
              <w:rPr>
                <w:sz w:val="21"/>
              </w:rPr>
            </w:pPr>
            <w:r>
              <w:rPr>
                <w:sz w:val="21"/>
              </w:rPr>
              <w:t>受益人对本合同请求给付保险金的诉讼时效期间为两年，自其知道或者应当知道保险事故发生之日起计算。</w:t>
            </w:r>
          </w:p>
        </w:tc>
      </w:tr>
      <w:tr>
        <w:trPr>
          <w:trHeight w:val="931" w:hRule="atLeast"/>
        </w:trPr>
        <w:tc>
          <w:tcPr>
            <w:tcW w:w="952" w:type="dxa"/>
          </w:tcPr>
          <w:p>
            <w:pPr>
              <w:pStyle w:val="TableParagraph"/>
              <w:spacing w:before="142"/>
              <w:ind w:left="200"/>
              <w:rPr>
                <w:b/>
                <w:sz w:val="21"/>
              </w:rPr>
            </w:pPr>
            <w:r>
              <w:rPr>
                <w:b/>
                <w:sz w:val="21"/>
              </w:rPr>
              <w:t>4.4</w:t>
            </w:r>
          </w:p>
        </w:tc>
        <w:tc>
          <w:tcPr>
            <w:tcW w:w="1645" w:type="dxa"/>
          </w:tcPr>
          <w:p>
            <w:pPr>
              <w:pStyle w:val="TableParagraph"/>
              <w:spacing w:line="273" w:lineRule="auto" w:before="142"/>
              <w:ind w:left="224" w:right="152"/>
              <w:rPr>
                <w:b/>
                <w:sz w:val="21"/>
              </w:rPr>
            </w:pPr>
            <w:r>
              <w:rPr>
                <w:b/>
                <w:sz w:val="21"/>
              </w:rPr>
              <w:t>申请保险金应提供的材料</w:t>
            </w:r>
          </w:p>
        </w:tc>
        <w:tc>
          <w:tcPr>
            <w:tcW w:w="7835" w:type="dxa"/>
          </w:tcPr>
          <w:p>
            <w:pPr>
              <w:pStyle w:val="TableParagraph"/>
              <w:spacing w:line="237" w:lineRule="auto" w:before="164"/>
              <w:ind w:left="154" w:right="300"/>
              <w:rPr>
                <w:sz w:val="21"/>
              </w:rPr>
            </w:pPr>
            <w:r>
              <w:rPr>
                <w:sz w:val="21"/>
              </w:rPr>
              <w:t>受益人申请各项保险金时，应提供下列证明文件和资料，如果有关证明资料不完整，我们将及时一次性通知申请人补充提供。</w:t>
            </w:r>
          </w:p>
        </w:tc>
      </w:tr>
      <w:tr>
        <w:trPr>
          <w:trHeight w:val="4821" w:hRule="atLeast"/>
        </w:trPr>
        <w:tc>
          <w:tcPr>
            <w:tcW w:w="952" w:type="dxa"/>
          </w:tcPr>
          <w:p>
            <w:pPr>
              <w:pStyle w:val="TableParagraph"/>
              <w:spacing w:before="136"/>
              <w:ind w:left="200"/>
              <w:rPr>
                <w:i/>
                <w:sz w:val="22"/>
              </w:rPr>
            </w:pPr>
            <w:r>
              <w:rPr>
                <w:i/>
                <w:sz w:val="22"/>
              </w:rPr>
              <w:t>4.4.1</w:t>
            </w:r>
          </w:p>
        </w:tc>
        <w:tc>
          <w:tcPr>
            <w:tcW w:w="1645" w:type="dxa"/>
          </w:tcPr>
          <w:p>
            <w:pPr>
              <w:pStyle w:val="TableParagraph"/>
              <w:spacing w:line="259" w:lineRule="auto" w:before="136"/>
              <w:ind w:left="224" w:right="155"/>
              <w:jc w:val="both"/>
              <w:rPr>
                <w:i/>
                <w:sz w:val="22"/>
              </w:rPr>
            </w:pPr>
            <w:r>
              <w:rPr>
                <w:i/>
                <w:w w:val="95"/>
                <w:sz w:val="22"/>
              </w:rPr>
              <w:t>重大疾病保险金、特定重大疾病额外给付保险金、轻症重疾额外给付保险金</w:t>
            </w:r>
          </w:p>
        </w:tc>
        <w:tc>
          <w:tcPr>
            <w:tcW w:w="7835" w:type="dxa"/>
          </w:tcPr>
          <w:p>
            <w:pPr>
              <w:pStyle w:val="TableParagraph"/>
              <w:spacing w:line="261" w:lineRule="auto" w:before="154"/>
              <w:ind w:left="154" w:right="300"/>
              <w:rPr>
                <w:sz w:val="21"/>
              </w:rPr>
            </w:pPr>
            <w:r>
              <w:rPr>
                <w:sz w:val="21"/>
              </w:rPr>
              <w:t>受益人申请重大疾病保险金、特定重大疾病额外给付保险金、轻症重疾额外给付保险金时，应提供下列证明文件和资料：</w:t>
            </w:r>
          </w:p>
          <w:p>
            <w:pPr>
              <w:pStyle w:val="TableParagraph"/>
              <w:spacing w:before="5"/>
              <w:ind w:left="154"/>
              <w:rPr>
                <w:sz w:val="21"/>
              </w:rPr>
            </w:pPr>
            <w:r>
              <w:rPr>
                <w:rFonts w:ascii="Times New Roman" w:eastAsia="Times New Roman"/>
                <w:sz w:val="21"/>
              </w:rPr>
              <w:t>1</w:t>
            </w:r>
            <w:r>
              <w:rPr>
                <w:sz w:val="21"/>
              </w:rPr>
              <w:t>、给付申请书；</w:t>
            </w:r>
          </w:p>
          <w:p>
            <w:pPr>
              <w:pStyle w:val="TableParagraph"/>
              <w:spacing w:before="8"/>
              <w:ind w:left="154"/>
              <w:rPr>
                <w:sz w:val="21"/>
              </w:rPr>
            </w:pPr>
            <w:r>
              <w:rPr>
                <w:rFonts w:ascii="Times New Roman" w:eastAsia="Times New Roman"/>
                <w:sz w:val="21"/>
              </w:rPr>
              <w:t>2</w:t>
            </w:r>
            <w:r>
              <w:rPr>
                <w:sz w:val="21"/>
              </w:rPr>
              <w:t>、保险合同；</w:t>
            </w:r>
          </w:p>
          <w:p>
            <w:pPr>
              <w:pStyle w:val="TableParagraph"/>
              <w:spacing w:line="247" w:lineRule="auto" w:before="8"/>
              <w:ind w:left="154" w:right="302" w:hanging="1"/>
              <w:rPr>
                <w:sz w:val="21"/>
              </w:rPr>
            </w:pPr>
            <w:r>
              <w:rPr>
                <w:rFonts w:ascii="Times New Roman" w:eastAsia="Times New Roman"/>
                <w:sz w:val="21"/>
              </w:rPr>
              <w:t>3</w:t>
            </w:r>
            <w:r>
              <w:rPr>
                <w:spacing w:val="-12"/>
                <w:sz w:val="21"/>
              </w:rPr>
              <w:t>、受益人的有效身份证明</w:t>
            </w:r>
            <w:r>
              <w:rPr>
                <w:sz w:val="21"/>
              </w:rPr>
              <w:t>（</w:t>
            </w:r>
            <w:r>
              <w:rPr>
                <w:spacing w:val="-3"/>
                <w:sz w:val="21"/>
              </w:rPr>
              <w:t>即由政府主管部门规定的证明其身份并在有效期内的</w:t>
            </w:r>
            <w:r>
              <w:rPr>
                <w:spacing w:val="-3"/>
                <w:w w:val="100"/>
                <w:sz w:val="21"/>
              </w:rPr>
              <w:t>证件，如居民身份证、按规定可以使用的有效护照、军官证等</w:t>
            </w:r>
            <w:r>
              <w:rPr>
                <w:spacing w:val="-107"/>
                <w:w w:val="100"/>
                <w:sz w:val="21"/>
              </w:rPr>
              <w:t>）</w:t>
            </w:r>
            <w:r>
              <w:rPr>
                <w:w w:val="100"/>
                <w:sz w:val="21"/>
              </w:rPr>
              <w:t>；</w:t>
            </w:r>
          </w:p>
          <w:p>
            <w:pPr>
              <w:pStyle w:val="TableParagraph"/>
              <w:spacing w:line="254" w:lineRule="auto" w:before="19"/>
              <w:ind w:left="154" w:right="299"/>
              <w:jc w:val="both"/>
              <w:rPr>
                <w:sz w:val="21"/>
              </w:rPr>
            </w:pPr>
            <w:r>
              <w:rPr>
                <w:rFonts w:ascii="Times New Roman" w:eastAsia="Times New Roman"/>
                <w:sz w:val="21"/>
              </w:rPr>
              <w:t>4</w:t>
            </w:r>
            <w:r>
              <w:rPr>
                <w:spacing w:val="-11"/>
                <w:sz w:val="21"/>
              </w:rPr>
              <w:t>、由我们指定或认可医院的专科医生出具的疾病诊断书及相关所必需的检查结果证明（</w:t>
            </w:r>
            <w:r>
              <w:rPr>
                <w:spacing w:val="-6"/>
                <w:sz w:val="21"/>
              </w:rPr>
              <w:t>如病理检查报告、血液检查报告、超声波、影像学及其它医学诊断检查报</w:t>
            </w:r>
            <w:r>
              <w:rPr>
                <w:spacing w:val="-6"/>
                <w:w w:val="100"/>
                <w:sz w:val="21"/>
              </w:rPr>
              <w:t>告等</w:t>
            </w:r>
            <w:r>
              <w:rPr>
                <w:spacing w:val="-108"/>
                <w:w w:val="100"/>
                <w:sz w:val="21"/>
              </w:rPr>
              <w:t>）</w:t>
            </w:r>
            <w:r>
              <w:rPr>
                <w:spacing w:val="-3"/>
                <w:w w:val="100"/>
                <w:sz w:val="21"/>
              </w:rPr>
              <w:t>，若接受外科手术者，还需提供外科手术证明文件；</w:t>
            </w:r>
          </w:p>
          <w:p>
            <w:pPr>
              <w:pStyle w:val="TableParagraph"/>
              <w:spacing w:line="247" w:lineRule="auto" w:before="12"/>
              <w:ind w:left="154" w:right="302"/>
              <w:rPr>
                <w:sz w:val="21"/>
              </w:rPr>
            </w:pPr>
            <w:r>
              <w:rPr>
                <w:rFonts w:ascii="Times New Roman" w:eastAsia="Times New Roman"/>
                <w:sz w:val="21"/>
              </w:rPr>
              <w:t>5</w:t>
            </w:r>
            <w:r>
              <w:rPr>
                <w:spacing w:val="-10"/>
                <w:sz w:val="21"/>
              </w:rPr>
              <w:t>、投保人、被保险人或者受益人所能提供的与确认保险事故的性质、原因、伤害</w:t>
            </w:r>
            <w:r>
              <w:rPr>
                <w:spacing w:val="-5"/>
                <w:sz w:val="21"/>
              </w:rPr>
              <w:t>程度等有关的证明文件和资料；</w:t>
            </w:r>
          </w:p>
          <w:p>
            <w:pPr>
              <w:pStyle w:val="TableParagraph"/>
              <w:spacing w:line="261" w:lineRule="auto" w:before="18"/>
              <w:ind w:left="154" w:right="197"/>
              <w:rPr>
                <w:sz w:val="21"/>
              </w:rPr>
            </w:pPr>
            <w:r>
              <w:rPr>
                <w:sz w:val="21"/>
              </w:rPr>
              <w:t>6</w:t>
            </w:r>
            <w:r>
              <w:rPr>
                <w:spacing w:val="-10"/>
                <w:sz w:val="21"/>
              </w:rPr>
              <w:t>、如果被保险人已申领重大疾病保险金、特定重大疾病额外给付保险金、轻症重</w:t>
            </w:r>
            <w:r>
              <w:rPr>
                <w:spacing w:val="-11"/>
                <w:sz w:val="21"/>
              </w:rPr>
              <w:t>疾额外给付保险金，但在实际领取保险金前身故，保险金将作为被保险人的遗产， </w:t>
            </w:r>
            <w:r>
              <w:rPr>
                <w:spacing w:val="-6"/>
                <w:sz w:val="21"/>
              </w:rPr>
              <w:t>由该被保险人的合法继承人继承，继承人必须提供可证明合法继承权及继承份额</w:t>
            </w:r>
            <w:r>
              <w:rPr>
                <w:spacing w:val="-4"/>
                <w:sz w:val="21"/>
              </w:rPr>
              <w:t>的相关权利文件。</w:t>
            </w:r>
          </w:p>
        </w:tc>
      </w:tr>
      <w:tr>
        <w:trPr>
          <w:trHeight w:val="420" w:hRule="atLeast"/>
        </w:trPr>
        <w:tc>
          <w:tcPr>
            <w:tcW w:w="952" w:type="dxa"/>
          </w:tcPr>
          <w:p>
            <w:pPr>
              <w:pStyle w:val="TableParagraph"/>
              <w:spacing w:line="274" w:lineRule="exact" w:before="126"/>
              <w:ind w:left="200"/>
              <w:rPr>
                <w:i/>
                <w:sz w:val="22"/>
              </w:rPr>
            </w:pPr>
            <w:r>
              <w:rPr>
                <w:i/>
                <w:sz w:val="22"/>
              </w:rPr>
              <w:t>4.4.2</w:t>
            </w:r>
          </w:p>
        </w:tc>
        <w:tc>
          <w:tcPr>
            <w:tcW w:w="1645" w:type="dxa"/>
          </w:tcPr>
          <w:p>
            <w:pPr>
              <w:pStyle w:val="TableParagraph"/>
              <w:spacing w:line="274" w:lineRule="exact" w:before="126"/>
              <w:ind w:left="224"/>
              <w:rPr>
                <w:i/>
                <w:sz w:val="22"/>
              </w:rPr>
            </w:pPr>
            <w:r>
              <w:rPr>
                <w:i/>
                <w:w w:val="95"/>
                <w:sz w:val="22"/>
              </w:rPr>
              <w:t>身故保险金</w:t>
            </w:r>
          </w:p>
        </w:tc>
        <w:tc>
          <w:tcPr>
            <w:tcW w:w="7835" w:type="dxa"/>
          </w:tcPr>
          <w:p>
            <w:pPr>
              <w:pStyle w:val="TableParagraph"/>
              <w:spacing w:line="255" w:lineRule="exact" w:before="145"/>
              <w:ind w:left="154"/>
              <w:rPr>
                <w:sz w:val="21"/>
              </w:rPr>
            </w:pPr>
            <w:r>
              <w:rPr>
                <w:sz w:val="21"/>
              </w:rPr>
              <w:t>受益人申请身故保险金时，应提供下列证明文件和资料：</w:t>
            </w:r>
          </w:p>
        </w:tc>
      </w:tr>
    </w:tbl>
    <w:p>
      <w:pPr>
        <w:spacing w:after="0" w:line="255" w:lineRule="exact"/>
        <w:rPr>
          <w:sz w:val="21"/>
        </w:rPr>
        <w:sectPr>
          <w:pgSz w:w="11910" w:h="16840"/>
          <w:pgMar w:header="892" w:footer="917" w:top="1080" w:bottom="1100" w:left="820" w:right="440"/>
        </w:sectPr>
      </w:pPr>
    </w:p>
    <w:p>
      <w:pPr>
        <w:pStyle w:val="BodyText"/>
        <w:rPr>
          <w:rFonts w:ascii="Times New Roman"/>
          <w:sz w:val="20"/>
        </w:rPr>
      </w:pPr>
    </w:p>
    <w:p>
      <w:pPr>
        <w:pStyle w:val="BodyText"/>
        <w:spacing w:before="4"/>
        <w:rPr>
          <w:rFonts w:ascii="Times New Roman"/>
          <w:sz w:val="20"/>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0"/>
        <w:gridCol w:w="1645"/>
        <w:gridCol w:w="7638"/>
      </w:tblGrid>
      <w:tr>
        <w:trPr>
          <w:trHeight w:val="3697" w:hRule="atLeast"/>
        </w:trPr>
        <w:tc>
          <w:tcPr>
            <w:tcW w:w="860" w:type="dxa"/>
          </w:tcPr>
          <w:p>
            <w:pPr>
              <w:pStyle w:val="TableParagraph"/>
              <w:rPr>
                <w:rFonts w:ascii="Times New Roman"/>
                <w:sz w:val="20"/>
              </w:rPr>
            </w:pPr>
          </w:p>
        </w:tc>
        <w:tc>
          <w:tcPr>
            <w:tcW w:w="1645" w:type="dxa"/>
          </w:tcPr>
          <w:p>
            <w:pPr>
              <w:pStyle w:val="TableParagraph"/>
              <w:rPr>
                <w:rFonts w:ascii="Times New Roman"/>
                <w:sz w:val="20"/>
              </w:rPr>
            </w:pPr>
          </w:p>
        </w:tc>
        <w:tc>
          <w:tcPr>
            <w:tcW w:w="7638" w:type="dxa"/>
          </w:tcPr>
          <w:p>
            <w:pPr>
              <w:pStyle w:val="TableParagraph"/>
              <w:spacing w:line="211" w:lineRule="exact"/>
              <w:ind w:left="154"/>
              <w:rPr>
                <w:sz w:val="21"/>
              </w:rPr>
            </w:pPr>
            <w:r>
              <w:rPr>
                <w:sz w:val="21"/>
              </w:rPr>
              <w:t>1、给付申请书；</w:t>
            </w:r>
          </w:p>
          <w:p>
            <w:pPr>
              <w:pStyle w:val="TableParagraph"/>
              <w:spacing w:before="25"/>
              <w:ind w:left="154"/>
              <w:rPr>
                <w:sz w:val="21"/>
              </w:rPr>
            </w:pPr>
            <w:r>
              <w:rPr>
                <w:sz w:val="21"/>
              </w:rPr>
              <w:t>2、保险合同；</w:t>
            </w:r>
          </w:p>
          <w:p>
            <w:pPr>
              <w:pStyle w:val="TableParagraph"/>
              <w:spacing w:line="261" w:lineRule="auto" w:before="25"/>
              <w:ind w:left="154" w:right="106"/>
              <w:rPr>
                <w:sz w:val="21"/>
              </w:rPr>
            </w:pPr>
            <w:r>
              <w:rPr>
                <w:sz w:val="21"/>
              </w:rPr>
              <w:t>3</w:t>
            </w:r>
            <w:r>
              <w:rPr>
                <w:spacing w:val="-12"/>
                <w:sz w:val="21"/>
              </w:rPr>
              <w:t>、受益人的有效身份证明</w:t>
            </w:r>
            <w:r>
              <w:rPr>
                <w:sz w:val="21"/>
              </w:rPr>
              <w:t>（</w:t>
            </w:r>
            <w:r>
              <w:rPr>
                <w:spacing w:val="-3"/>
                <w:sz w:val="21"/>
              </w:rPr>
              <w:t>即由政府主管部门规定的证明其身份并在有效期内的</w:t>
            </w:r>
            <w:r>
              <w:rPr>
                <w:spacing w:val="-3"/>
                <w:w w:val="100"/>
                <w:sz w:val="21"/>
              </w:rPr>
              <w:t>证件，如居民身份证、按规定可以使用的有效护照、军官证等</w:t>
            </w:r>
            <w:r>
              <w:rPr>
                <w:spacing w:val="-107"/>
                <w:w w:val="100"/>
                <w:sz w:val="21"/>
              </w:rPr>
              <w:t>）</w:t>
            </w:r>
            <w:r>
              <w:rPr>
                <w:w w:val="100"/>
                <w:sz w:val="21"/>
              </w:rPr>
              <w:t>；</w:t>
            </w:r>
          </w:p>
          <w:p>
            <w:pPr>
              <w:pStyle w:val="TableParagraph"/>
              <w:spacing w:line="261" w:lineRule="auto" w:before="6"/>
              <w:ind w:left="154" w:right="102"/>
              <w:jc w:val="both"/>
              <w:rPr>
                <w:sz w:val="21"/>
              </w:rPr>
            </w:pPr>
            <w:r>
              <w:rPr>
                <w:sz w:val="21"/>
              </w:rPr>
              <w:t>4</w:t>
            </w:r>
            <w:r>
              <w:rPr>
                <w:spacing w:val="-11"/>
                <w:sz w:val="21"/>
              </w:rPr>
              <w:t>、由公安部门或国家卫生行政部门认定的医疗机构出具的被保险人死亡诊断书或</w:t>
            </w:r>
            <w:r>
              <w:rPr>
                <w:spacing w:val="-6"/>
                <w:sz w:val="21"/>
              </w:rPr>
              <w:t>验尸证明书。若被保险人为宣告死亡，受益人须提供人民法院出具的宣告死亡证</w:t>
            </w:r>
            <w:r>
              <w:rPr>
                <w:spacing w:val="-4"/>
                <w:sz w:val="21"/>
              </w:rPr>
              <w:t>明文件；</w:t>
            </w:r>
          </w:p>
          <w:p>
            <w:pPr>
              <w:pStyle w:val="TableParagraph"/>
              <w:spacing w:before="6"/>
              <w:ind w:left="154"/>
              <w:rPr>
                <w:sz w:val="21"/>
              </w:rPr>
            </w:pPr>
            <w:r>
              <w:rPr>
                <w:sz w:val="21"/>
              </w:rPr>
              <w:t>5、被保险人的户籍注销证明和火化证明；</w:t>
            </w:r>
          </w:p>
          <w:p>
            <w:pPr>
              <w:pStyle w:val="TableParagraph"/>
              <w:spacing w:line="261" w:lineRule="auto" w:before="25"/>
              <w:ind w:left="154" w:right="105"/>
              <w:rPr>
                <w:sz w:val="21"/>
              </w:rPr>
            </w:pPr>
            <w:r>
              <w:rPr>
                <w:sz w:val="21"/>
              </w:rPr>
              <w:t>6</w:t>
            </w:r>
            <w:r>
              <w:rPr>
                <w:spacing w:val="-10"/>
                <w:sz w:val="21"/>
              </w:rPr>
              <w:t>、投保人、被保险人或者受益人所能提供的与确认保险事故的性质、原因、伤害</w:t>
            </w:r>
            <w:r>
              <w:rPr>
                <w:spacing w:val="-5"/>
                <w:sz w:val="21"/>
              </w:rPr>
              <w:t>程度等有关的证明文件和资料；</w:t>
            </w:r>
          </w:p>
          <w:p>
            <w:pPr>
              <w:pStyle w:val="TableParagraph"/>
              <w:spacing w:line="261" w:lineRule="auto" w:before="6"/>
              <w:ind w:left="154" w:right="105"/>
              <w:rPr>
                <w:sz w:val="21"/>
              </w:rPr>
            </w:pPr>
            <w:r>
              <w:rPr>
                <w:sz w:val="21"/>
              </w:rPr>
              <w:t>7</w:t>
            </w:r>
            <w:r>
              <w:rPr>
                <w:spacing w:val="-11"/>
                <w:sz w:val="21"/>
              </w:rPr>
              <w:t>、保险金作为被保险人遗产时，必须提供可证明合法继承权及继承份额的相关权</w:t>
            </w:r>
            <w:r>
              <w:rPr>
                <w:spacing w:val="-7"/>
                <w:sz w:val="21"/>
              </w:rPr>
              <w:t>利文件。</w:t>
            </w:r>
          </w:p>
        </w:tc>
      </w:tr>
      <w:tr>
        <w:trPr>
          <w:trHeight w:val="938" w:hRule="atLeast"/>
        </w:trPr>
        <w:tc>
          <w:tcPr>
            <w:tcW w:w="860" w:type="dxa"/>
          </w:tcPr>
          <w:p>
            <w:pPr>
              <w:pStyle w:val="TableParagraph"/>
              <w:spacing w:before="132"/>
              <w:ind w:left="108"/>
              <w:rPr>
                <w:i/>
                <w:sz w:val="22"/>
              </w:rPr>
            </w:pPr>
            <w:r>
              <w:rPr>
                <w:i/>
                <w:sz w:val="22"/>
              </w:rPr>
              <w:t>4.4.3</w:t>
            </w:r>
          </w:p>
        </w:tc>
        <w:tc>
          <w:tcPr>
            <w:tcW w:w="1645" w:type="dxa"/>
          </w:tcPr>
          <w:p>
            <w:pPr>
              <w:pStyle w:val="TableParagraph"/>
              <w:spacing w:line="259" w:lineRule="auto" w:before="132"/>
              <w:ind w:left="224" w:right="155"/>
              <w:rPr>
                <w:i/>
                <w:sz w:val="22"/>
              </w:rPr>
            </w:pPr>
            <w:r>
              <w:rPr>
                <w:i/>
                <w:w w:val="95"/>
                <w:sz w:val="22"/>
              </w:rPr>
              <w:t>委托他人代为申请保险金</w:t>
            </w:r>
          </w:p>
        </w:tc>
        <w:tc>
          <w:tcPr>
            <w:tcW w:w="7638" w:type="dxa"/>
          </w:tcPr>
          <w:p>
            <w:pPr>
              <w:pStyle w:val="TableParagraph"/>
              <w:spacing w:line="237" w:lineRule="auto" w:before="125"/>
              <w:ind w:left="154" w:right="-15"/>
              <w:rPr>
                <w:sz w:val="21"/>
              </w:rPr>
            </w:pPr>
            <w:r>
              <w:rPr>
                <w:spacing w:val="-8"/>
                <w:sz w:val="21"/>
              </w:rPr>
              <w:t>若受益人委托他人代为申请保险金，被委托人还应提供受益人签字的授权委托书、</w:t>
            </w:r>
            <w:r>
              <w:rPr>
                <w:spacing w:val="-5"/>
                <w:sz w:val="21"/>
              </w:rPr>
              <w:t>被委托人的身份证明等相关证明文件。</w:t>
            </w:r>
          </w:p>
        </w:tc>
      </w:tr>
      <w:tr>
        <w:trPr>
          <w:trHeight w:val="3320" w:hRule="atLeast"/>
        </w:trPr>
        <w:tc>
          <w:tcPr>
            <w:tcW w:w="860" w:type="dxa"/>
          </w:tcPr>
          <w:p>
            <w:pPr>
              <w:pStyle w:val="TableParagraph"/>
              <w:spacing w:before="142"/>
              <w:ind w:left="107"/>
              <w:rPr>
                <w:b/>
                <w:sz w:val="21"/>
              </w:rPr>
            </w:pPr>
            <w:r>
              <w:rPr>
                <w:b/>
                <w:sz w:val="21"/>
              </w:rPr>
              <w:t>4.5</w:t>
            </w:r>
          </w:p>
        </w:tc>
        <w:tc>
          <w:tcPr>
            <w:tcW w:w="1645" w:type="dxa"/>
          </w:tcPr>
          <w:p>
            <w:pPr>
              <w:pStyle w:val="TableParagraph"/>
              <w:spacing w:before="142"/>
              <w:ind w:left="224"/>
              <w:rPr>
                <w:b/>
                <w:sz w:val="21"/>
              </w:rPr>
            </w:pPr>
            <w:r>
              <w:rPr>
                <w:b/>
                <w:sz w:val="21"/>
              </w:rPr>
              <w:t>保险金的给付</w:t>
            </w:r>
          </w:p>
        </w:tc>
        <w:tc>
          <w:tcPr>
            <w:tcW w:w="7638" w:type="dxa"/>
          </w:tcPr>
          <w:p>
            <w:pPr>
              <w:pStyle w:val="TableParagraph"/>
              <w:spacing w:line="261" w:lineRule="auto" w:before="149"/>
              <w:ind w:left="154" w:right="103"/>
              <w:jc w:val="both"/>
              <w:rPr>
                <w:sz w:val="21"/>
              </w:rPr>
            </w:pPr>
            <w:r>
              <w:rPr>
                <w:sz w:val="21"/>
              </w:rPr>
              <w:t>我们在收到保险金给付申请书及上述有关证明和资料后五日内作出核定，情形复杂的，在三十日内作出核定。对确定属于保险责任的，在与受益人达成有关给付保险金数额的协议后十日内，履行给付保险金的责任。</w:t>
            </w:r>
          </w:p>
          <w:p>
            <w:pPr>
              <w:pStyle w:val="TableParagraph"/>
              <w:spacing w:line="261" w:lineRule="auto" w:before="6"/>
              <w:ind w:left="154" w:right="103"/>
              <w:jc w:val="both"/>
              <w:rPr>
                <w:sz w:val="21"/>
              </w:rPr>
            </w:pPr>
            <w:r>
              <w:rPr>
                <w:sz w:val="21"/>
              </w:rPr>
              <w:t>本公司未及时履行前款规定义务的，除支付保险金外，应当赔偿受益人因此受到的损失。</w:t>
            </w:r>
          </w:p>
          <w:p>
            <w:pPr>
              <w:pStyle w:val="TableParagraph"/>
              <w:spacing w:line="261" w:lineRule="auto" w:before="6"/>
              <w:ind w:left="154" w:right="103"/>
              <w:jc w:val="both"/>
              <w:rPr>
                <w:sz w:val="21"/>
              </w:rPr>
            </w:pPr>
            <w:r>
              <w:rPr>
                <w:sz w:val="21"/>
              </w:rPr>
              <w:t>对不属于保险责任的，我们将在作出核定后三日内，向申请人发出拒绝给付保险金通知书，并说明理由。</w:t>
            </w:r>
          </w:p>
          <w:p>
            <w:pPr>
              <w:pStyle w:val="TableParagraph"/>
              <w:spacing w:line="261" w:lineRule="auto" w:before="6"/>
              <w:ind w:left="154" w:right="103"/>
              <w:jc w:val="both"/>
              <w:rPr>
                <w:sz w:val="21"/>
              </w:rPr>
            </w:pPr>
            <w:r>
              <w:rPr>
                <w:sz w:val="21"/>
              </w:rPr>
              <w:t>我们在收到保险金给付申请书及上述有关证明和资料之日起六十日内，对属于保险责任而给付保险金的数额不能确定的，根据已有证明和资料，按可以确定的数额先予以支付；我们最终确定给付保险金的数额后，给付相应的差额。</w:t>
            </w:r>
          </w:p>
        </w:tc>
      </w:tr>
      <w:tr>
        <w:trPr>
          <w:trHeight w:val="2412" w:hRule="atLeast"/>
        </w:trPr>
        <w:tc>
          <w:tcPr>
            <w:tcW w:w="860" w:type="dxa"/>
          </w:tcPr>
          <w:p>
            <w:pPr>
              <w:pStyle w:val="TableParagraph"/>
              <w:spacing w:before="133"/>
              <w:ind w:left="107"/>
              <w:rPr>
                <w:b/>
                <w:sz w:val="21"/>
              </w:rPr>
            </w:pPr>
            <w:r>
              <w:rPr>
                <w:b/>
                <w:sz w:val="21"/>
              </w:rPr>
              <w:t>4.6</w:t>
            </w:r>
          </w:p>
        </w:tc>
        <w:tc>
          <w:tcPr>
            <w:tcW w:w="1645" w:type="dxa"/>
          </w:tcPr>
          <w:p>
            <w:pPr>
              <w:pStyle w:val="TableParagraph"/>
              <w:spacing w:line="273" w:lineRule="auto" w:before="133"/>
              <w:ind w:left="224" w:right="152"/>
              <w:rPr>
                <w:b/>
                <w:sz w:val="21"/>
              </w:rPr>
            </w:pPr>
            <w:r>
              <w:rPr>
                <w:b/>
                <w:sz w:val="21"/>
              </w:rPr>
              <w:t>被保险人失踪的处理</w:t>
            </w:r>
          </w:p>
        </w:tc>
        <w:tc>
          <w:tcPr>
            <w:tcW w:w="7638" w:type="dxa"/>
          </w:tcPr>
          <w:p>
            <w:pPr>
              <w:pStyle w:val="TableParagraph"/>
              <w:spacing w:line="261" w:lineRule="auto" w:before="140"/>
              <w:ind w:left="154" w:right="165"/>
              <w:jc w:val="both"/>
              <w:rPr>
                <w:sz w:val="21"/>
              </w:rPr>
            </w:pPr>
            <w:r>
              <w:rPr>
                <w:spacing w:val="-5"/>
                <w:sz w:val="21"/>
              </w:rPr>
              <w:t>若被保险人在本合同有效期内失踪且被法院宣告死亡，则我们以法院宣告死亡日</w:t>
            </w:r>
            <w:r>
              <w:rPr>
                <w:spacing w:val="-7"/>
                <w:sz w:val="21"/>
              </w:rPr>
              <w:t>为准给付身故保险金；若被保险人被宣告死亡之日在本合同保险期间之外，但有证据证明下落不明之日在本合同保险期间之内，则我们以被保险人下落不明之日</w:t>
            </w:r>
            <w:r>
              <w:rPr>
                <w:spacing w:val="-5"/>
                <w:sz w:val="21"/>
              </w:rPr>
              <w:t>为准给付身故保险金。</w:t>
            </w:r>
          </w:p>
          <w:p>
            <w:pPr>
              <w:pStyle w:val="TableParagraph"/>
              <w:spacing w:line="261" w:lineRule="auto" w:before="5"/>
              <w:ind w:left="154" w:right="166"/>
              <w:jc w:val="both"/>
              <w:rPr>
                <w:sz w:val="21"/>
              </w:rPr>
            </w:pPr>
            <w:r>
              <w:rPr>
                <w:spacing w:val="-5"/>
                <w:sz w:val="21"/>
              </w:rPr>
              <w:t>若被保险人在宣告死亡后重新出现或者确知其下落，受益人应于知道或应当知道</w:t>
            </w:r>
            <w:r>
              <w:rPr>
                <w:spacing w:val="-6"/>
                <w:sz w:val="21"/>
              </w:rPr>
              <w:t>被保险人生还后的三十日内向我们退还已领取的保险金。本合同的效力由双方协</w:t>
            </w:r>
            <w:r>
              <w:rPr>
                <w:spacing w:val="-4"/>
                <w:sz w:val="21"/>
              </w:rPr>
              <w:t>商确定。</w:t>
            </w:r>
          </w:p>
        </w:tc>
      </w:tr>
      <w:tr>
        <w:trPr>
          <w:trHeight w:val="1610" w:hRule="atLeast"/>
        </w:trPr>
        <w:tc>
          <w:tcPr>
            <w:tcW w:w="860" w:type="dxa"/>
          </w:tcPr>
          <w:p>
            <w:pPr>
              <w:pStyle w:val="TableParagraph"/>
              <w:spacing w:before="133"/>
              <w:ind w:left="107"/>
              <w:rPr>
                <w:b/>
                <w:sz w:val="21"/>
              </w:rPr>
            </w:pPr>
            <w:r>
              <w:rPr>
                <w:b/>
                <w:sz w:val="21"/>
              </w:rPr>
              <w:t>4.7</w:t>
            </w:r>
          </w:p>
        </w:tc>
        <w:tc>
          <w:tcPr>
            <w:tcW w:w="1645" w:type="dxa"/>
          </w:tcPr>
          <w:p>
            <w:pPr>
              <w:pStyle w:val="TableParagraph"/>
              <w:spacing w:before="133"/>
              <w:ind w:left="224"/>
              <w:rPr>
                <w:b/>
                <w:sz w:val="21"/>
              </w:rPr>
            </w:pPr>
            <w:r>
              <w:rPr>
                <w:b/>
                <w:sz w:val="21"/>
              </w:rPr>
              <w:t>身体检查</w:t>
            </w:r>
          </w:p>
        </w:tc>
        <w:tc>
          <w:tcPr>
            <w:tcW w:w="7638" w:type="dxa"/>
          </w:tcPr>
          <w:p>
            <w:pPr>
              <w:pStyle w:val="TableParagraph"/>
              <w:spacing w:line="273" w:lineRule="auto" w:before="133"/>
              <w:ind w:left="154" w:right="106"/>
              <w:jc w:val="both"/>
              <w:rPr>
                <w:b/>
                <w:sz w:val="21"/>
              </w:rPr>
            </w:pPr>
            <w:r>
              <w:rPr>
                <w:spacing w:val="-3"/>
                <w:sz w:val="21"/>
              </w:rPr>
              <w:t>申请本合同保险金时，我们有权根据实际情况要求被保险人到我们指定的医院进</w:t>
            </w:r>
            <w:r>
              <w:rPr>
                <w:spacing w:val="-4"/>
                <w:sz w:val="21"/>
              </w:rPr>
              <w:t>行身体检查或其他必要的检验以确认保险事故的发生，费用由我们承担。</w:t>
            </w:r>
            <w:r>
              <w:rPr>
                <w:b/>
                <w:sz w:val="21"/>
              </w:rPr>
              <w:t>如果被</w:t>
            </w:r>
            <w:r>
              <w:rPr>
                <w:b/>
                <w:spacing w:val="-3"/>
                <w:sz w:val="21"/>
              </w:rPr>
              <w:t>保险人拒绝检查、检验或检查、检验结果不符合本合同关于保险事故的约定，我们有权不给付保险金。</w:t>
            </w:r>
          </w:p>
        </w:tc>
      </w:tr>
      <w:tr>
        <w:trPr>
          <w:trHeight w:val="718" w:hRule="atLeast"/>
        </w:trPr>
        <w:tc>
          <w:tcPr>
            <w:tcW w:w="860" w:type="dxa"/>
            <w:tcBorders>
              <w:bottom w:val="double" w:sz="1" w:space="0" w:color="000000"/>
            </w:tcBorders>
          </w:tcPr>
          <w:p>
            <w:pPr>
              <w:pStyle w:val="TableParagraph"/>
              <w:spacing w:before="180"/>
              <w:ind w:left="107"/>
              <w:rPr>
                <w:b/>
                <w:sz w:val="28"/>
              </w:rPr>
            </w:pPr>
            <w:r>
              <w:rPr>
                <w:b/>
                <w:w w:val="99"/>
                <w:sz w:val="28"/>
              </w:rPr>
              <w:t>5</w:t>
            </w:r>
          </w:p>
        </w:tc>
        <w:tc>
          <w:tcPr>
            <w:tcW w:w="1645" w:type="dxa"/>
            <w:tcBorders>
              <w:bottom w:val="double" w:sz="1" w:space="0" w:color="000000"/>
            </w:tcBorders>
          </w:tcPr>
          <w:p>
            <w:pPr>
              <w:pStyle w:val="TableParagraph"/>
              <w:spacing w:before="180"/>
              <w:ind w:left="224"/>
              <w:rPr>
                <w:b/>
                <w:sz w:val="28"/>
              </w:rPr>
            </w:pPr>
            <w:r>
              <w:rPr>
                <w:b/>
                <w:sz w:val="28"/>
              </w:rPr>
              <w:t>缴纳保险费</w:t>
            </w:r>
          </w:p>
        </w:tc>
        <w:tc>
          <w:tcPr>
            <w:tcW w:w="7638" w:type="dxa"/>
            <w:tcBorders>
              <w:bottom w:val="double" w:sz="1" w:space="0" w:color="000000"/>
            </w:tcBorders>
          </w:tcPr>
          <w:p>
            <w:pPr>
              <w:pStyle w:val="TableParagraph"/>
              <w:rPr>
                <w:rFonts w:ascii="Times New Roman"/>
                <w:sz w:val="20"/>
              </w:rPr>
            </w:pPr>
          </w:p>
        </w:tc>
      </w:tr>
      <w:tr>
        <w:trPr>
          <w:trHeight w:val="825" w:hRule="atLeast"/>
        </w:trPr>
        <w:tc>
          <w:tcPr>
            <w:tcW w:w="860"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5.1</w:t>
            </w:r>
          </w:p>
        </w:tc>
        <w:tc>
          <w:tcPr>
            <w:tcW w:w="1645" w:type="dxa"/>
            <w:tcBorders>
              <w:top w:val="double" w:sz="1" w:space="0" w:color="000000"/>
            </w:tcBorders>
          </w:tcPr>
          <w:p>
            <w:pPr>
              <w:pStyle w:val="TableParagraph"/>
              <w:spacing w:before="11"/>
              <w:rPr>
                <w:rFonts w:ascii="Times New Roman"/>
                <w:sz w:val="25"/>
              </w:rPr>
            </w:pPr>
          </w:p>
          <w:p>
            <w:pPr>
              <w:pStyle w:val="TableParagraph"/>
              <w:ind w:left="224"/>
              <w:rPr>
                <w:b/>
                <w:sz w:val="21"/>
              </w:rPr>
            </w:pPr>
            <w:r>
              <w:rPr>
                <w:b/>
                <w:sz w:val="21"/>
              </w:rPr>
              <w:t>保险费的缴付</w:t>
            </w:r>
          </w:p>
        </w:tc>
        <w:tc>
          <w:tcPr>
            <w:tcW w:w="7638" w:type="dxa"/>
            <w:tcBorders>
              <w:top w:val="double" w:sz="1" w:space="0" w:color="000000"/>
            </w:tcBorders>
          </w:tcPr>
          <w:p>
            <w:pPr>
              <w:pStyle w:val="TableParagraph"/>
              <w:spacing w:before="1"/>
              <w:rPr>
                <w:rFonts w:ascii="Times New Roman"/>
                <w:sz w:val="24"/>
              </w:rPr>
            </w:pPr>
          </w:p>
          <w:p>
            <w:pPr>
              <w:pStyle w:val="TableParagraph"/>
              <w:spacing w:line="274" w:lineRule="exact"/>
              <w:ind w:left="154"/>
              <w:rPr>
                <w:sz w:val="21"/>
              </w:rPr>
            </w:pPr>
            <w:r>
              <w:rPr>
                <w:sz w:val="21"/>
              </w:rPr>
              <w:t>投保人应向我们缴付保险费。</w:t>
            </w:r>
          </w:p>
          <w:p>
            <w:pPr>
              <w:pStyle w:val="TableParagraph"/>
              <w:spacing w:line="254" w:lineRule="exact"/>
              <w:ind w:left="154"/>
              <w:rPr>
                <w:sz w:val="21"/>
              </w:rPr>
            </w:pPr>
            <w:r>
              <w:rPr>
                <w:sz w:val="21"/>
              </w:rPr>
              <w:t>约定分期缴付保险费的，首期后的分期保险费，应按保险单上所载的缴付方法及</w:t>
            </w:r>
          </w:p>
        </w:tc>
      </w:tr>
    </w:tbl>
    <w:p>
      <w:pPr>
        <w:spacing w:after="0" w:line="254" w:lineRule="exact"/>
        <w:rPr>
          <w:sz w:val="21"/>
        </w:rPr>
        <w:sectPr>
          <w:pgSz w:w="11910" w:h="16840"/>
          <w:pgMar w:header="892" w:footer="917" w:top="1080" w:bottom="1100" w:left="920" w:right="640"/>
        </w:sectPr>
      </w:pPr>
    </w:p>
    <w:p>
      <w:pPr>
        <w:pStyle w:val="BodyText"/>
        <w:rPr>
          <w:rFonts w:ascii="Times New Roman"/>
          <w:sz w:val="20"/>
        </w:rPr>
      </w:pPr>
    </w:p>
    <w:p>
      <w:pPr>
        <w:pStyle w:val="BodyText"/>
        <w:spacing w:before="9" w:after="1"/>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751"/>
        <w:gridCol w:w="7635"/>
      </w:tblGrid>
      <w:tr>
        <w:trPr>
          <w:trHeight w:val="397" w:hRule="atLeast"/>
        </w:trPr>
        <w:tc>
          <w:tcPr>
            <w:tcW w:w="755" w:type="dxa"/>
          </w:tcPr>
          <w:p>
            <w:pPr>
              <w:pStyle w:val="TableParagraph"/>
              <w:rPr>
                <w:rFonts w:ascii="Times New Roman"/>
                <w:sz w:val="20"/>
              </w:rPr>
            </w:pPr>
          </w:p>
        </w:tc>
        <w:tc>
          <w:tcPr>
            <w:tcW w:w="1751" w:type="dxa"/>
          </w:tcPr>
          <w:p>
            <w:pPr>
              <w:pStyle w:val="TableParagraph"/>
              <w:rPr>
                <w:rFonts w:ascii="Times New Roman"/>
                <w:sz w:val="20"/>
              </w:rPr>
            </w:pPr>
          </w:p>
        </w:tc>
        <w:tc>
          <w:tcPr>
            <w:tcW w:w="7635" w:type="dxa"/>
          </w:tcPr>
          <w:p>
            <w:pPr>
              <w:pStyle w:val="TableParagraph"/>
              <w:spacing w:line="211" w:lineRule="exact"/>
              <w:ind w:left="153"/>
              <w:rPr>
                <w:sz w:val="21"/>
              </w:rPr>
            </w:pPr>
            <w:r>
              <w:rPr>
                <w:sz w:val="21"/>
              </w:rPr>
              <w:t>日期向我们缴付，我们将签发收据作为缴费凭证。</w:t>
            </w:r>
          </w:p>
        </w:tc>
      </w:tr>
      <w:tr>
        <w:trPr>
          <w:trHeight w:val="1472" w:hRule="atLeast"/>
        </w:trPr>
        <w:tc>
          <w:tcPr>
            <w:tcW w:w="755" w:type="dxa"/>
          </w:tcPr>
          <w:p>
            <w:pPr>
              <w:pStyle w:val="TableParagraph"/>
              <w:spacing w:before="144"/>
              <w:ind w:left="107"/>
              <w:rPr>
                <w:b/>
                <w:sz w:val="21"/>
              </w:rPr>
            </w:pPr>
            <w:r>
              <w:rPr>
                <w:b/>
                <w:sz w:val="21"/>
              </w:rPr>
              <w:t>5.2</w:t>
            </w:r>
          </w:p>
        </w:tc>
        <w:tc>
          <w:tcPr>
            <w:tcW w:w="1751" w:type="dxa"/>
          </w:tcPr>
          <w:p>
            <w:pPr>
              <w:pStyle w:val="TableParagraph"/>
              <w:spacing w:before="144"/>
              <w:ind w:left="329"/>
              <w:rPr>
                <w:b/>
                <w:sz w:val="21"/>
              </w:rPr>
            </w:pPr>
            <w:r>
              <w:rPr>
                <w:b/>
                <w:sz w:val="21"/>
              </w:rPr>
              <w:t>宽限期</w:t>
            </w:r>
          </w:p>
        </w:tc>
        <w:tc>
          <w:tcPr>
            <w:tcW w:w="7635" w:type="dxa"/>
          </w:tcPr>
          <w:p>
            <w:pPr>
              <w:pStyle w:val="TableParagraph"/>
              <w:spacing w:line="237" w:lineRule="auto" w:before="125"/>
              <w:ind w:left="153" w:right="101"/>
              <w:jc w:val="both"/>
              <w:rPr>
                <w:sz w:val="21"/>
              </w:rPr>
            </w:pPr>
            <w:r>
              <w:rPr>
                <w:sz w:val="21"/>
              </w:rPr>
              <w:t>首期后的分期保险费到期未缴付者，自保险费到期日的次日起六十日为宽限期， 宽限期内本合同仍然有效。对于被保险人在宽限期内发生的保险事故，我们仍承担保险责任。若超过宽限期仍未缴付保险费，除非本合同其它条款另有约定，否则本合同自宽限期满的当日 24 时起效力中止。</w:t>
            </w:r>
          </w:p>
        </w:tc>
      </w:tr>
      <w:tr>
        <w:trPr>
          <w:trHeight w:val="708" w:hRule="atLeast"/>
        </w:trPr>
        <w:tc>
          <w:tcPr>
            <w:tcW w:w="755" w:type="dxa"/>
            <w:tcBorders>
              <w:bottom w:val="double" w:sz="1" w:space="0" w:color="000000"/>
            </w:tcBorders>
          </w:tcPr>
          <w:p>
            <w:pPr>
              <w:pStyle w:val="TableParagraph"/>
              <w:spacing w:before="171"/>
              <w:ind w:left="107"/>
              <w:rPr>
                <w:b/>
                <w:sz w:val="28"/>
              </w:rPr>
            </w:pPr>
            <w:r>
              <w:rPr>
                <w:b/>
                <w:w w:val="99"/>
                <w:sz w:val="28"/>
              </w:rPr>
              <w:t>6</w:t>
            </w:r>
          </w:p>
        </w:tc>
        <w:tc>
          <w:tcPr>
            <w:tcW w:w="9386" w:type="dxa"/>
            <w:gridSpan w:val="2"/>
            <w:tcBorders>
              <w:bottom w:val="double" w:sz="1" w:space="0" w:color="000000"/>
            </w:tcBorders>
          </w:tcPr>
          <w:p>
            <w:pPr>
              <w:pStyle w:val="TableParagraph"/>
              <w:spacing w:before="171"/>
              <w:ind w:left="329"/>
              <w:rPr>
                <w:b/>
                <w:sz w:val="28"/>
              </w:rPr>
            </w:pPr>
            <w:r>
              <w:rPr>
                <w:b/>
                <w:sz w:val="28"/>
              </w:rPr>
              <w:t>投保人的特别权利及相应义务</w:t>
            </w:r>
          </w:p>
        </w:tc>
      </w:tr>
      <w:tr>
        <w:trPr>
          <w:trHeight w:val="2280" w:hRule="atLeast"/>
        </w:trPr>
        <w:tc>
          <w:tcPr>
            <w:tcW w:w="755" w:type="dxa"/>
            <w:tcBorders>
              <w:top w:val="double" w:sz="1" w:space="0" w:color="000000"/>
            </w:tcBorders>
          </w:tcPr>
          <w:p>
            <w:pPr>
              <w:pStyle w:val="TableParagraph"/>
              <w:spacing w:before="2"/>
              <w:rPr>
                <w:rFonts w:ascii="Times New Roman"/>
                <w:sz w:val="26"/>
              </w:rPr>
            </w:pPr>
          </w:p>
          <w:p>
            <w:pPr>
              <w:pStyle w:val="TableParagraph"/>
              <w:ind w:left="107"/>
              <w:rPr>
                <w:b/>
                <w:sz w:val="21"/>
              </w:rPr>
            </w:pPr>
            <w:r>
              <w:rPr>
                <w:b/>
                <w:sz w:val="21"/>
              </w:rPr>
              <w:t>6.1</w:t>
            </w:r>
          </w:p>
        </w:tc>
        <w:tc>
          <w:tcPr>
            <w:tcW w:w="1751" w:type="dxa"/>
            <w:tcBorders>
              <w:top w:val="double" w:sz="1" w:space="0" w:color="000000"/>
            </w:tcBorders>
          </w:tcPr>
          <w:p>
            <w:pPr>
              <w:pStyle w:val="TableParagraph"/>
              <w:spacing w:before="2"/>
              <w:rPr>
                <w:rFonts w:ascii="Times New Roman"/>
                <w:sz w:val="26"/>
              </w:rPr>
            </w:pPr>
          </w:p>
          <w:p>
            <w:pPr>
              <w:pStyle w:val="TableParagraph"/>
              <w:ind w:left="329"/>
              <w:rPr>
                <w:b/>
                <w:sz w:val="21"/>
              </w:rPr>
            </w:pPr>
            <w:r>
              <w:rPr>
                <w:b/>
                <w:sz w:val="21"/>
              </w:rPr>
              <w:t>保单借款</w:t>
            </w:r>
          </w:p>
        </w:tc>
        <w:tc>
          <w:tcPr>
            <w:tcW w:w="7635" w:type="dxa"/>
            <w:tcBorders>
              <w:top w:val="double" w:sz="1" w:space="0" w:color="000000"/>
            </w:tcBorders>
          </w:tcPr>
          <w:p>
            <w:pPr>
              <w:pStyle w:val="TableParagraph"/>
              <w:spacing w:before="9"/>
              <w:rPr>
                <w:rFonts w:ascii="Times New Roman"/>
                <w:sz w:val="26"/>
              </w:rPr>
            </w:pPr>
          </w:p>
          <w:p>
            <w:pPr>
              <w:pStyle w:val="TableParagraph"/>
              <w:spacing w:line="261" w:lineRule="auto"/>
              <w:ind w:left="153" w:right="101"/>
              <w:jc w:val="both"/>
              <w:rPr>
                <w:sz w:val="21"/>
              </w:rPr>
            </w:pPr>
            <w:r>
              <w:rPr>
                <w:sz w:val="21"/>
              </w:rPr>
              <w:t>在本合同有效且累积有现金价值的情况下，投保人可以向我们申请借款。借款金额不得低于本公司规定的最低限额，最高不得超过本合同当时现金价值的百分之七十，每次借款的时间最长为六个月。</w:t>
            </w:r>
          </w:p>
          <w:p>
            <w:pPr>
              <w:pStyle w:val="TableParagraph"/>
              <w:spacing w:line="261" w:lineRule="auto" w:before="6"/>
              <w:ind w:left="153" w:right="101"/>
              <w:jc w:val="both"/>
              <w:rPr>
                <w:sz w:val="21"/>
              </w:rPr>
            </w:pPr>
            <w:r>
              <w:rPr>
                <w:sz w:val="21"/>
              </w:rPr>
              <w:t>借款及利息应在借款期满之日偿还。如果逾期未还，则所有利息将被并入借款金额中，在下一欠款期内按我们最近一次宣布的借款</w:t>
            </w:r>
            <w:r>
              <w:rPr>
                <w:b/>
                <w:sz w:val="21"/>
              </w:rPr>
              <w:t>利率</w:t>
            </w:r>
            <w:r>
              <w:rPr>
                <w:sz w:val="21"/>
              </w:rPr>
              <w:t>计息。当现金价值不足以偿还借款和利息时，本合同的效力中止。</w:t>
            </w:r>
          </w:p>
        </w:tc>
      </w:tr>
      <w:tr>
        <w:trPr>
          <w:trHeight w:val="2711" w:hRule="atLeast"/>
        </w:trPr>
        <w:tc>
          <w:tcPr>
            <w:tcW w:w="755" w:type="dxa"/>
          </w:tcPr>
          <w:p>
            <w:pPr>
              <w:pStyle w:val="TableParagraph"/>
              <w:spacing w:before="133"/>
              <w:ind w:left="107"/>
              <w:rPr>
                <w:b/>
                <w:sz w:val="21"/>
              </w:rPr>
            </w:pPr>
            <w:r>
              <w:rPr>
                <w:b/>
                <w:sz w:val="21"/>
              </w:rPr>
              <w:t>6.2</w:t>
            </w:r>
          </w:p>
        </w:tc>
        <w:tc>
          <w:tcPr>
            <w:tcW w:w="1751" w:type="dxa"/>
          </w:tcPr>
          <w:p>
            <w:pPr>
              <w:pStyle w:val="TableParagraph"/>
              <w:spacing w:before="133"/>
              <w:ind w:left="329"/>
              <w:rPr>
                <w:b/>
                <w:sz w:val="21"/>
              </w:rPr>
            </w:pPr>
            <w:r>
              <w:rPr>
                <w:b/>
                <w:sz w:val="21"/>
              </w:rPr>
              <w:t>恢复合同效力</w:t>
            </w:r>
          </w:p>
          <w:p>
            <w:pPr>
              <w:pStyle w:val="TableParagraph"/>
              <w:spacing w:before="37"/>
              <w:ind w:left="329"/>
              <w:rPr>
                <w:b/>
                <w:sz w:val="21"/>
              </w:rPr>
            </w:pPr>
            <w:r>
              <w:rPr>
                <w:b/>
                <w:sz w:val="21"/>
              </w:rPr>
              <w:t>（复效）</w:t>
            </w:r>
          </w:p>
        </w:tc>
        <w:tc>
          <w:tcPr>
            <w:tcW w:w="7635" w:type="dxa"/>
          </w:tcPr>
          <w:p>
            <w:pPr>
              <w:pStyle w:val="TableParagraph"/>
              <w:spacing w:before="140"/>
              <w:ind w:left="153"/>
              <w:rPr>
                <w:sz w:val="21"/>
              </w:rPr>
            </w:pPr>
            <w:r>
              <w:rPr>
                <w:sz w:val="21"/>
              </w:rPr>
              <w:t>合同效力中止期间，我们不承担保险责任。</w:t>
            </w:r>
          </w:p>
          <w:p>
            <w:pPr>
              <w:pStyle w:val="TableParagraph"/>
              <w:spacing w:line="261" w:lineRule="auto" w:before="25"/>
              <w:ind w:left="153" w:right="100"/>
              <w:jc w:val="both"/>
              <w:rPr>
                <w:sz w:val="21"/>
              </w:rPr>
            </w:pPr>
            <w:r>
              <w:rPr>
                <w:spacing w:val="-3"/>
                <w:sz w:val="21"/>
              </w:rPr>
              <w:t>本合同效力中止后的两年内，投保人可向我们提出书面申请恢复合同效力（</w:t>
            </w:r>
            <w:r>
              <w:rPr>
                <w:sz w:val="21"/>
              </w:rPr>
              <w:t>简称复效</w:t>
            </w:r>
            <w:r>
              <w:rPr>
                <w:spacing w:val="-95"/>
                <w:sz w:val="21"/>
              </w:rPr>
              <w:t>）</w:t>
            </w:r>
            <w:r>
              <w:rPr>
                <w:spacing w:val="-12"/>
                <w:sz w:val="21"/>
              </w:rPr>
              <w:t>，并提供被保险人的健康声明书或我们指定或认可的医疗机构出具的体检报</w:t>
            </w:r>
            <w:r>
              <w:rPr>
                <w:spacing w:val="-9"/>
                <w:sz w:val="21"/>
              </w:rPr>
              <w:t>告书，在经我们审核通过并缴清欠缴的保险费及利息、借款及借款利息</w:t>
            </w:r>
            <w:r>
              <w:rPr>
                <w:sz w:val="21"/>
              </w:rPr>
              <w:t>（</w:t>
            </w:r>
            <w:r>
              <w:rPr>
                <w:spacing w:val="-2"/>
                <w:sz w:val="21"/>
              </w:rPr>
              <w:t>扣除合</w:t>
            </w:r>
            <w:r>
              <w:rPr>
                <w:spacing w:val="-3"/>
                <w:sz w:val="21"/>
              </w:rPr>
              <w:t>同效力中止期间的</w:t>
            </w:r>
            <w:r>
              <w:rPr>
                <w:b/>
                <w:sz w:val="21"/>
              </w:rPr>
              <w:t>危险保费</w:t>
            </w:r>
            <w:r>
              <w:rPr>
                <w:sz w:val="21"/>
              </w:rPr>
              <w:t>）</w:t>
            </w:r>
            <w:r>
              <w:rPr>
                <w:spacing w:val="-12"/>
                <w:sz w:val="21"/>
              </w:rPr>
              <w:t>的当日 </w:t>
            </w:r>
            <w:r>
              <w:rPr>
                <w:rFonts w:ascii="Times New Roman" w:eastAsia="Times New Roman"/>
                <w:sz w:val="21"/>
              </w:rPr>
              <w:t>24 </w:t>
            </w:r>
            <w:r>
              <w:rPr>
                <w:spacing w:val="-3"/>
                <w:sz w:val="21"/>
              </w:rPr>
              <w:t>时起，本合同的效力恢复。</w:t>
            </w:r>
          </w:p>
          <w:p>
            <w:pPr>
              <w:pStyle w:val="TableParagraph"/>
              <w:spacing w:line="261" w:lineRule="auto"/>
              <w:ind w:left="153" w:right="101"/>
              <w:jc w:val="both"/>
              <w:rPr>
                <w:sz w:val="21"/>
              </w:rPr>
            </w:pPr>
            <w:r>
              <w:rPr>
                <w:spacing w:val="-3"/>
                <w:sz w:val="21"/>
              </w:rPr>
              <w:t>自本合同效力中止后的两年内，若投保人未提出复效申请或复效申请未经本公司</w:t>
            </w:r>
            <w:r>
              <w:rPr>
                <w:spacing w:val="-10"/>
                <w:sz w:val="21"/>
              </w:rPr>
              <w:t>通过，则本合同自中止两年期间届满的当日 </w:t>
            </w:r>
            <w:r>
              <w:rPr>
                <w:sz w:val="21"/>
              </w:rPr>
              <w:t>24</w:t>
            </w:r>
            <w:r>
              <w:rPr>
                <w:spacing w:val="-11"/>
                <w:sz w:val="21"/>
              </w:rPr>
              <w:t> 时起效力终止，我们将退还本合同</w:t>
            </w:r>
            <w:r>
              <w:rPr>
                <w:spacing w:val="-6"/>
                <w:sz w:val="21"/>
              </w:rPr>
              <w:t>当时的现金价值。</w:t>
            </w:r>
          </w:p>
        </w:tc>
      </w:tr>
      <w:tr>
        <w:trPr>
          <w:trHeight w:val="3071" w:hRule="atLeast"/>
        </w:trPr>
        <w:tc>
          <w:tcPr>
            <w:tcW w:w="755" w:type="dxa"/>
          </w:tcPr>
          <w:p>
            <w:pPr>
              <w:pStyle w:val="TableParagraph"/>
              <w:spacing w:before="133"/>
              <w:ind w:left="107"/>
              <w:rPr>
                <w:b/>
                <w:sz w:val="21"/>
              </w:rPr>
            </w:pPr>
            <w:r>
              <w:rPr>
                <w:b/>
                <w:sz w:val="21"/>
              </w:rPr>
              <w:t>6.3</w:t>
            </w:r>
          </w:p>
        </w:tc>
        <w:tc>
          <w:tcPr>
            <w:tcW w:w="1751" w:type="dxa"/>
          </w:tcPr>
          <w:p>
            <w:pPr>
              <w:pStyle w:val="TableParagraph"/>
              <w:spacing w:line="273" w:lineRule="auto" w:before="133"/>
              <w:ind w:left="329" w:right="153"/>
              <w:rPr>
                <w:b/>
                <w:sz w:val="21"/>
              </w:rPr>
            </w:pPr>
            <w:r>
              <w:rPr>
                <w:b/>
                <w:sz w:val="21"/>
              </w:rPr>
              <w:t>解除合同（退保）</w:t>
            </w:r>
          </w:p>
        </w:tc>
        <w:tc>
          <w:tcPr>
            <w:tcW w:w="7635" w:type="dxa"/>
          </w:tcPr>
          <w:p>
            <w:pPr>
              <w:pStyle w:val="TableParagraph"/>
              <w:spacing w:line="261" w:lineRule="auto" w:before="140"/>
              <w:ind w:left="153" w:right="101"/>
              <w:rPr>
                <w:sz w:val="21"/>
              </w:rPr>
            </w:pPr>
            <w:r>
              <w:rPr>
                <w:sz w:val="21"/>
              </w:rPr>
              <w:t>在本合同有效期内，投保人可以书面通知我们要求解除本合同。申请退保时，投保人应提供下列证明文件和资料：</w:t>
            </w:r>
          </w:p>
          <w:p>
            <w:pPr>
              <w:pStyle w:val="TableParagraph"/>
              <w:spacing w:before="6"/>
              <w:ind w:left="153"/>
              <w:rPr>
                <w:sz w:val="21"/>
              </w:rPr>
            </w:pPr>
            <w:r>
              <w:rPr>
                <w:sz w:val="21"/>
              </w:rPr>
              <w:t>1、解除合同申请书；</w:t>
            </w:r>
          </w:p>
          <w:p>
            <w:pPr>
              <w:pStyle w:val="TableParagraph"/>
              <w:spacing w:before="25"/>
              <w:ind w:left="153"/>
              <w:rPr>
                <w:sz w:val="21"/>
              </w:rPr>
            </w:pPr>
            <w:r>
              <w:rPr>
                <w:sz w:val="21"/>
              </w:rPr>
              <w:t>2、保险合同；</w:t>
            </w:r>
          </w:p>
          <w:p>
            <w:pPr>
              <w:pStyle w:val="TableParagraph"/>
              <w:spacing w:line="261" w:lineRule="auto" w:before="25"/>
              <w:ind w:left="153" w:right="103"/>
              <w:rPr>
                <w:sz w:val="21"/>
              </w:rPr>
            </w:pPr>
            <w:r>
              <w:rPr>
                <w:sz w:val="21"/>
              </w:rPr>
              <w:t>3</w:t>
            </w:r>
            <w:r>
              <w:rPr>
                <w:spacing w:val="-12"/>
                <w:sz w:val="21"/>
              </w:rPr>
              <w:t>、投保人的有效身份证明</w:t>
            </w:r>
            <w:r>
              <w:rPr>
                <w:sz w:val="21"/>
              </w:rPr>
              <w:t>（</w:t>
            </w:r>
            <w:r>
              <w:rPr>
                <w:spacing w:val="-3"/>
                <w:sz w:val="21"/>
              </w:rPr>
              <w:t>即由政府主管部门规定的证明其身份并在有效期内的证件，如居民身份证、按规定可以使用的有效护照、军官证等</w:t>
            </w:r>
            <w:r>
              <w:rPr>
                <w:spacing w:val="-107"/>
                <w:sz w:val="21"/>
              </w:rPr>
              <w:t>）</w:t>
            </w:r>
            <w:r>
              <w:rPr>
                <w:sz w:val="21"/>
              </w:rPr>
              <w:t>。</w:t>
            </w:r>
          </w:p>
          <w:p>
            <w:pPr>
              <w:pStyle w:val="TableParagraph"/>
              <w:spacing w:line="261" w:lineRule="auto" w:before="6"/>
              <w:ind w:left="153" w:right="101"/>
              <w:jc w:val="both"/>
              <w:rPr>
                <w:sz w:val="21"/>
              </w:rPr>
            </w:pPr>
            <w:r>
              <w:rPr>
                <w:spacing w:val="-6"/>
                <w:sz w:val="21"/>
              </w:rPr>
              <w:t>自我们收到退保申请</w:t>
            </w:r>
            <w:r>
              <w:rPr>
                <w:spacing w:val="-3"/>
                <w:sz w:val="21"/>
              </w:rPr>
              <w:t>（</w:t>
            </w:r>
            <w:r>
              <w:rPr>
                <w:spacing w:val="-6"/>
                <w:sz w:val="21"/>
              </w:rPr>
              <w:t>若为邮寄，则以寄出邮戳为准</w:t>
            </w:r>
            <w:r>
              <w:rPr>
                <w:spacing w:val="-22"/>
                <w:sz w:val="21"/>
              </w:rPr>
              <w:t>）</w:t>
            </w:r>
            <w:r>
              <w:rPr>
                <w:spacing w:val="-11"/>
                <w:sz w:val="21"/>
              </w:rPr>
              <w:t>的当日 </w:t>
            </w:r>
            <w:r>
              <w:rPr>
                <w:sz w:val="21"/>
              </w:rPr>
              <w:t>24</w:t>
            </w:r>
            <w:r>
              <w:rPr>
                <w:spacing w:val="-11"/>
                <w:sz w:val="21"/>
              </w:rPr>
              <w:t> 时起，本合同的</w:t>
            </w:r>
            <w:r>
              <w:rPr>
                <w:spacing w:val="-8"/>
                <w:sz w:val="21"/>
              </w:rPr>
              <w:t>效力终止。我们将于收到上述证明文件和资料后三十日内退还本合同效力终止日</w:t>
            </w:r>
            <w:r>
              <w:rPr>
                <w:spacing w:val="-5"/>
                <w:sz w:val="21"/>
              </w:rPr>
              <w:t>的现金价值。</w:t>
            </w:r>
          </w:p>
        </w:tc>
      </w:tr>
      <w:tr>
        <w:trPr>
          <w:trHeight w:val="709" w:hRule="atLeast"/>
        </w:trPr>
        <w:tc>
          <w:tcPr>
            <w:tcW w:w="755" w:type="dxa"/>
            <w:tcBorders>
              <w:bottom w:val="double" w:sz="1" w:space="0" w:color="000000"/>
            </w:tcBorders>
          </w:tcPr>
          <w:p>
            <w:pPr>
              <w:pStyle w:val="TableParagraph"/>
              <w:spacing w:before="171"/>
              <w:ind w:left="107"/>
              <w:rPr>
                <w:b/>
                <w:sz w:val="28"/>
              </w:rPr>
            </w:pPr>
            <w:r>
              <w:rPr>
                <w:b/>
                <w:w w:val="99"/>
                <w:sz w:val="28"/>
              </w:rPr>
              <w:t>7</w:t>
            </w:r>
          </w:p>
        </w:tc>
        <w:tc>
          <w:tcPr>
            <w:tcW w:w="9386" w:type="dxa"/>
            <w:gridSpan w:val="2"/>
            <w:tcBorders>
              <w:bottom w:val="double" w:sz="1" w:space="0" w:color="000000"/>
            </w:tcBorders>
          </w:tcPr>
          <w:p>
            <w:pPr>
              <w:pStyle w:val="TableParagraph"/>
              <w:spacing w:before="171"/>
              <w:ind w:left="329"/>
              <w:rPr>
                <w:b/>
                <w:sz w:val="28"/>
              </w:rPr>
            </w:pPr>
            <w:r>
              <w:rPr>
                <w:b/>
                <w:sz w:val="28"/>
              </w:rPr>
              <w:t>投保人需要关注的其他事项</w:t>
            </w:r>
          </w:p>
        </w:tc>
      </w:tr>
      <w:tr>
        <w:trPr>
          <w:trHeight w:val="1393" w:hRule="atLeast"/>
        </w:trPr>
        <w:tc>
          <w:tcPr>
            <w:tcW w:w="755" w:type="dxa"/>
            <w:tcBorders>
              <w:top w:val="double" w:sz="1" w:space="0" w:color="000000"/>
            </w:tcBorders>
          </w:tcPr>
          <w:p>
            <w:pPr>
              <w:pStyle w:val="TableParagraph"/>
              <w:spacing w:before="11"/>
              <w:rPr>
                <w:rFonts w:ascii="Times New Roman"/>
                <w:sz w:val="25"/>
              </w:rPr>
            </w:pPr>
          </w:p>
          <w:p>
            <w:pPr>
              <w:pStyle w:val="TableParagraph"/>
              <w:ind w:left="107"/>
              <w:rPr>
                <w:b/>
                <w:sz w:val="21"/>
              </w:rPr>
            </w:pPr>
            <w:r>
              <w:rPr>
                <w:b/>
                <w:sz w:val="21"/>
              </w:rPr>
              <w:t>7.1</w:t>
            </w:r>
          </w:p>
        </w:tc>
        <w:tc>
          <w:tcPr>
            <w:tcW w:w="1751" w:type="dxa"/>
            <w:tcBorders>
              <w:top w:val="double" w:sz="1" w:space="0" w:color="000000"/>
            </w:tcBorders>
          </w:tcPr>
          <w:p>
            <w:pPr>
              <w:pStyle w:val="TableParagraph"/>
              <w:spacing w:before="11"/>
              <w:rPr>
                <w:rFonts w:ascii="Times New Roman"/>
                <w:sz w:val="25"/>
              </w:rPr>
            </w:pPr>
          </w:p>
          <w:p>
            <w:pPr>
              <w:pStyle w:val="TableParagraph"/>
              <w:ind w:left="329"/>
              <w:rPr>
                <w:b/>
                <w:sz w:val="21"/>
              </w:rPr>
            </w:pPr>
            <w:r>
              <w:rPr>
                <w:b/>
                <w:sz w:val="21"/>
              </w:rPr>
              <w:t>欠款扣除</w:t>
            </w:r>
          </w:p>
        </w:tc>
        <w:tc>
          <w:tcPr>
            <w:tcW w:w="7635" w:type="dxa"/>
            <w:tcBorders>
              <w:top w:val="double" w:sz="1" w:space="0" w:color="000000"/>
            </w:tcBorders>
          </w:tcPr>
          <w:p>
            <w:pPr>
              <w:pStyle w:val="TableParagraph"/>
              <w:spacing w:before="11"/>
              <w:rPr>
                <w:rFonts w:ascii="Times New Roman"/>
                <w:sz w:val="25"/>
              </w:rPr>
            </w:pPr>
          </w:p>
          <w:p>
            <w:pPr>
              <w:pStyle w:val="TableParagraph"/>
              <w:spacing w:line="273" w:lineRule="auto"/>
              <w:ind w:left="153" w:right="122"/>
              <w:jc w:val="both"/>
              <w:rPr>
                <w:sz w:val="21"/>
              </w:rPr>
            </w:pPr>
            <w:r>
              <w:rPr>
                <w:sz w:val="21"/>
              </w:rPr>
              <w:t>我们在给付各项保险金或现金价值、办理终止合同时，若投保人有欠缴本合同的保险费及利息、借款及借款利息，则所有的欠款和利息均需先归还我们或由我们在给付款中扣除。</w:t>
            </w:r>
          </w:p>
        </w:tc>
      </w:tr>
      <w:tr>
        <w:trPr>
          <w:trHeight w:val="999" w:hRule="atLeast"/>
        </w:trPr>
        <w:tc>
          <w:tcPr>
            <w:tcW w:w="755" w:type="dxa"/>
          </w:tcPr>
          <w:p>
            <w:pPr>
              <w:pStyle w:val="TableParagraph"/>
              <w:spacing w:before="153"/>
              <w:ind w:left="107"/>
              <w:rPr>
                <w:b/>
                <w:sz w:val="21"/>
              </w:rPr>
            </w:pPr>
            <w:r>
              <w:rPr>
                <w:b/>
                <w:sz w:val="21"/>
              </w:rPr>
              <w:t>7.2</w:t>
            </w:r>
          </w:p>
        </w:tc>
        <w:tc>
          <w:tcPr>
            <w:tcW w:w="1751" w:type="dxa"/>
          </w:tcPr>
          <w:p>
            <w:pPr>
              <w:pStyle w:val="TableParagraph"/>
              <w:spacing w:line="273" w:lineRule="auto" w:before="153"/>
              <w:ind w:left="329" w:right="153"/>
              <w:rPr>
                <w:b/>
                <w:sz w:val="21"/>
              </w:rPr>
            </w:pPr>
            <w:r>
              <w:rPr>
                <w:b/>
                <w:sz w:val="21"/>
              </w:rPr>
              <w:t>合同效力的终止</w:t>
            </w:r>
          </w:p>
        </w:tc>
        <w:tc>
          <w:tcPr>
            <w:tcW w:w="7635" w:type="dxa"/>
          </w:tcPr>
          <w:p>
            <w:pPr>
              <w:pStyle w:val="TableParagraph"/>
              <w:spacing w:before="132"/>
              <w:ind w:left="153"/>
              <w:rPr>
                <w:b/>
                <w:sz w:val="21"/>
              </w:rPr>
            </w:pPr>
            <w:r>
              <w:rPr>
                <w:b/>
                <w:sz w:val="21"/>
              </w:rPr>
              <w:t>有下列情况之一时，本合同的效力终止：</w:t>
            </w:r>
          </w:p>
          <w:p>
            <w:pPr>
              <w:pStyle w:val="TableParagraph"/>
              <w:spacing w:line="274" w:lineRule="exact" w:before="44"/>
              <w:ind w:left="153"/>
              <w:rPr>
                <w:b/>
                <w:sz w:val="21"/>
              </w:rPr>
            </w:pPr>
            <w:r>
              <w:rPr>
                <w:b/>
                <w:sz w:val="21"/>
              </w:rPr>
              <w:t>1、被保险人身故；</w:t>
            </w:r>
          </w:p>
          <w:p>
            <w:pPr>
              <w:pStyle w:val="TableParagraph"/>
              <w:spacing w:line="254" w:lineRule="exact"/>
              <w:ind w:left="153"/>
              <w:rPr>
                <w:b/>
                <w:sz w:val="21"/>
              </w:rPr>
            </w:pPr>
            <w:r>
              <w:rPr>
                <w:b/>
                <w:sz w:val="21"/>
              </w:rPr>
              <w:t>2、本合同撤销、解除、退保、满期；</w:t>
            </w:r>
          </w:p>
        </w:tc>
      </w:tr>
    </w:tbl>
    <w:p>
      <w:pPr>
        <w:spacing w:after="0" w:line="254" w:lineRule="exact"/>
        <w:rPr>
          <w:sz w:val="21"/>
        </w:rPr>
        <w:sectPr>
          <w:pgSz w:w="11910" w:h="16840"/>
          <w:pgMar w:header="892" w:footer="917" w:top="1080" w:bottom="1100" w:left="920" w:right="640"/>
        </w:sectPr>
      </w:pPr>
    </w:p>
    <w:p>
      <w:pPr>
        <w:pStyle w:val="BodyText"/>
        <w:rPr>
          <w:rFonts w:ascii="Times New Roman"/>
          <w:sz w:val="20"/>
        </w:rPr>
      </w:pPr>
    </w:p>
    <w:p>
      <w:pPr>
        <w:pStyle w:val="BodyText"/>
        <w:spacing w:before="9" w:after="1"/>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5"/>
        <w:gridCol w:w="1751"/>
        <w:gridCol w:w="7638"/>
      </w:tblGrid>
      <w:tr>
        <w:trPr>
          <w:trHeight w:val="1225" w:hRule="atLeast"/>
        </w:trPr>
        <w:tc>
          <w:tcPr>
            <w:tcW w:w="755" w:type="dxa"/>
          </w:tcPr>
          <w:p>
            <w:pPr>
              <w:pStyle w:val="TableParagraph"/>
              <w:rPr>
                <w:rFonts w:ascii="Times New Roman"/>
                <w:sz w:val="20"/>
              </w:rPr>
            </w:pPr>
          </w:p>
        </w:tc>
        <w:tc>
          <w:tcPr>
            <w:tcW w:w="1751" w:type="dxa"/>
          </w:tcPr>
          <w:p>
            <w:pPr>
              <w:pStyle w:val="TableParagraph"/>
              <w:rPr>
                <w:rFonts w:ascii="Times New Roman"/>
                <w:sz w:val="20"/>
              </w:rPr>
            </w:pPr>
          </w:p>
        </w:tc>
        <w:tc>
          <w:tcPr>
            <w:tcW w:w="7638" w:type="dxa"/>
          </w:tcPr>
          <w:p>
            <w:pPr>
              <w:pStyle w:val="TableParagraph"/>
              <w:spacing w:line="209" w:lineRule="exact"/>
              <w:ind w:left="153"/>
              <w:rPr>
                <w:b/>
                <w:sz w:val="21"/>
              </w:rPr>
            </w:pPr>
            <w:r>
              <w:rPr>
                <w:b/>
                <w:sz w:val="21"/>
              </w:rPr>
              <w:t>3、本合同效力中止后未复效；</w:t>
            </w:r>
          </w:p>
          <w:p>
            <w:pPr>
              <w:pStyle w:val="TableParagraph"/>
              <w:spacing w:line="272" w:lineRule="exact"/>
              <w:ind w:left="153"/>
              <w:rPr>
                <w:b/>
                <w:sz w:val="21"/>
              </w:rPr>
            </w:pPr>
            <w:r>
              <w:rPr>
                <w:b/>
                <w:sz w:val="21"/>
              </w:rPr>
              <w:t>4、本合同规定的其它效力终止情形。</w:t>
            </w:r>
          </w:p>
          <w:p>
            <w:pPr>
              <w:pStyle w:val="TableParagraph"/>
              <w:spacing w:line="237" w:lineRule="auto" w:before="2"/>
              <w:ind w:left="153" w:right="67"/>
              <w:rPr>
                <w:b/>
                <w:sz w:val="21"/>
              </w:rPr>
            </w:pPr>
            <w:r>
              <w:rPr>
                <w:b/>
                <w:sz w:val="21"/>
              </w:rPr>
              <w:t>本合同效力终止后，除另有规定外，我们不退还本合同的现金价值或已缴的保险费。</w:t>
            </w:r>
          </w:p>
        </w:tc>
      </w:tr>
      <w:tr>
        <w:trPr>
          <w:trHeight w:val="4212" w:hRule="atLeast"/>
        </w:trPr>
        <w:tc>
          <w:tcPr>
            <w:tcW w:w="755" w:type="dxa"/>
          </w:tcPr>
          <w:p>
            <w:pPr>
              <w:pStyle w:val="TableParagraph"/>
              <w:spacing w:before="134"/>
              <w:ind w:left="107"/>
              <w:rPr>
                <w:b/>
                <w:sz w:val="21"/>
              </w:rPr>
            </w:pPr>
            <w:r>
              <w:rPr>
                <w:b/>
                <w:sz w:val="21"/>
              </w:rPr>
              <w:t>7.3</w:t>
            </w:r>
          </w:p>
        </w:tc>
        <w:tc>
          <w:tcPr>
            <w:tcW w:w="1751" w:type="dxa"/>
          </w:tcPr>
          <w:p>
            <w:pPr>
              <w:pStyle w:val="TableParagraph"/>
              <w:spacing w:line="273" w:lineRule="auto" w:before="134"/>
              <w:ind w:left="329" w:right="153"/>
              <w:rPr>
                <w:b/>
                <w:sz w:val="21"/>
              </w:rPr>
            </w:pPr>
            <w:r>
              <w:rPr>
                <w:b/>
                <w:sz w:val="21"/>
              </w:rPr>
              <w:t>年龄的计算与错误的处理</w:t>
            </w:r>
          </w:p>
        </w:tc>
        <w:tc>
          <w:tcPr>
            <w:tcW w:w="7638" w:type="dxa"/>
          </w:tcPr>
          <w:p>
            <w:pPr>
              <w:pStyle w:val="TableParagraph"/>
              <w:spacing w:line="261" w:lineRule="auto" w:before="141"/>
              <w:ind w:left="153" w:right="104"/>
              <w:jc w:val="both"/>
              <w:rPr>
                <w:sz w:val="21"/>
              </w:rPr>
            </w:pPr>
            <w:r>
              <w:rPr>
                <w:sz w:val="21"/>
              </w:rPr>
              <w:t>被保险人的年龄以周岁计算。投保人在申请投保时，应在投保单上按被保险人的真实年龄及性别填明，若发生错误，则按下列规定办理：</w:t>
            </w:r>
          </w:p>
          <w:p>
            <w:pPr>
              <w:pStyle w:val="TableParagraph"/>
              <w:spacing w:line="261" w:lineRule="auto" w:before="5"/>
              <w:ind w:left="153" w:right="104"/>
              <w:jc w:val="both"/>
              <w:rPr>
                <w:sz w:val="21"/>
              </w:rPr>
            </w:pPr>
            <w:r>
              <w:rPr>
                <w:sz w:val="21"/>
              </w:rPr>
              <w:t>1</w:t>
            </w:r>
            <w:r>
              <w:rPr>
                <w:spacing w:val="-10"/>
                <w:sz w:val="21"/>
              </w:rPr>
              <w:t>、若投保人申报的被保险人年龄或性别不真实，并且其真实年龄或性别不符合我</w:t>
            </w:r>
            <w:r>
              <w:rPr>
                <w:spacing w:val="-8"/>
                <w:sz w:val="21"/>
              </w:rPr>
              <w:t>们对本险种接受的被保险人的年龄或性别限制的，我们有权解除本合同，我们将</w:t>
            </w:r>
            <w:r>
              <w:rPr>
                <w:spacing w:val="-7"/>
                <w:sz w:val="21"/>
              </w:rPr>
              <w:t>向投保人退还本合同解除日的现金价值。但自本合同成立日</w:t>
            </w:r>
            <w:r>
              <w:rPr>
                <w:sz w:val="21"/>
              </w:rPr>
              <w:t>（</w:t>
            </w:r>
            <w:r>
              <w:rPr>
                <w:spacing w:val="-3"/>
                <w:sz w:val="21"/>
              </w:rPr>
              <w:t>若本合同中止后复效，则以最后复效日为准</w:t>
            </w:r>
            <w:r>
              <w:rPr>
                <w:sz w:val="21"/>
              </w:rPr>
              <w:t>）</w:t>
            </w:r>
            <w:r>
              <w:rPr>
                <w:spacing w:val="-3"/>
                <w:sz w:val="21"/>
              </w:rPr>
              <w:t>起超过两年者除外。</w:t>
            </w:r>
          </w:p>
          <w:p>
            <w:pPr>
              <w:pStyle w:val="TableParagraph"/>
              <w:spacing w:line="261" w:lineRule="auto" w:before="5"/>
              <w:ind w:left="153" w:right="104"/>
              <w:jc w:val="both"/>
              <w:rPr>
                <w:sz w:val="21"/>
              </w:rPr>
            </w:pPr>
            <w:r>
              <w:rPr>
                <w:sz w:val="21"/>
              </w:rPr>
              <w:t>如果我们在合同订立时已经知道投保人未如实告知的或自我们知道有解除事由之日起超过三十日没有解除本合同，则我们不再依据前款约定行使解除权。</w:t>
            </w:r>
          </w:p>
          <w:p>
            <w:pPr>
              <w:pStyle w:val="TableParagraph"/>
              <w:spacing w:line="261" w:lineRule="auto" w:before="5"/>
              <w:ind w:left="153" w:right="104"/>
              <w:jc w:val="both"/>
              <w:rPr>
                <w:sz w:val="21"/>
              </w:rPr>
            </w:pPr>
            <w:r>
              <w:rPr>
                <w:sz w:val="21"/>
              </w:rPr>
              <w:t>2</w:t>
            </w:r>
            <w:r>
              <w:rPr>
                <w:spacing w:val="-10"/>
                <w:sz w:val="21"/>
              </w:rPr>
              <w:t>、若投保人申报的被保险人的年龄或性别不真实，致使投保人实缴保险费少于应</w:t>
            </w:r>
            <w:r>
              <w:rPr>
                <w:spacing w:val="-8"/>
                <w:sz w:val="21"/>
              </w:rPr>
              <w:t>缴保险费的，我们有权更正并要求投保人补缴保险费。若已发生保险事故，我们</w:t>
            </w:r>
            <w:r>
              <w:rPr>
                <w:spacing w:val="-5"/>
                <w:sz w:val="21"/>
              </w:rPr>
              <w:t>将按实缴保险费和应缴保险费的比例折算给付保险金。</w:t>
            </w:r>
          </w:p>
          <w:p>
            <w:pPr>
              <w:pStyle w:val="TableParagraph"/>
              <w:spacing w:line="261" w:lineRule="auto" w:before="5"/>
              <w:ind w:left="153" w:right="106"/>
              <w:jc w:val="both"/>
              <w:rPr>
                <w:sz w:val="21"/>
              </w:rPr>
            </w:pPr>
            <w:r>
              <w:rPr>
                <w:sz w:val="21"/>
              </w:rPr>
              <w:t>3</w:t>
            </w:r>
            <w:r>
              <w:rPr>
                <w:spacing w:val="-10"/>
                <w:sz w:val="21"/>
              </w:rPr>
              <w:t>、若投保人申报的被保险人的年龄或性别不真实，致使投保人实缴的保险费多于</w:t>
            </w:r>
            <w:r>
              <w:rPr>
                <w:spacing w:val="-5"/>
                <w:sz w:val="21"/>
              </w:rPr>
              <w:t>应缴的保险费的，我们应将多收的保险费退还给投保人。</w:t>
            </w:r>
          </w:p>
        </w:tc>
      </w:tr>
      <w:tr>
        <w:trPr>
          <w:trHeight w:val="1512" w:hRule="atLeast"/>
        </w:trPr>
        <w:tc>
          <w:tcPr>
            <w:tcW w:w="755" w:type="dxa"/>
          </w:tcPr>
          <w:p>
            <w:pPr>
              <w:pStyle w:val="TableParagraph"/>
              <w:spacing w:before="133"/>
              <w:ind w:left="107"/>
              <w:rPr>
                <w:b/>
                <w:sz w:val="21"/>
              </w:rPr>
            </w:pPr>
            <w:r>
              <w:rPr>
                <w:b/>
                <w:sz w:val="21"/>
              </w:rPr>
              <w:t>7.4</w:t>
            </w:r>
          </w:p>
        </w:tc>
        <w:tc>
          <w:tcPr>
            <w:tcW w:w="1751" w:type="dxa"/>
          </w:tcPr>
          <w:p>
            <w:pPr>
              <w:pStyle w:val="TableParagraph"/>
              <w:spacing w:before="133"/>
              <w:ind w:left="329"/>
              <w:rPr>
                <w:b/>
                <w:sz w:val="21"/>
              </w:rPr>
            </w:pPr>
            <w:r>
              <w:rPr>
                <w:b/>
                <w:sz w:val="21"/>
              </w:rPr>
              <w:t>通知</w:t>
            </w:r>
          </w:p>
        </w:tc>
        <w:tc>
          <w:tcPr>
            <w:tcW w:w="7638" w:type="dxa"/>
          </w:tcPr>
          <w:p>
            <w:pPr>
              <w:pStyle w:val="TableParagraph"/>
              <w:spacing w:before="141"/>
              <w:ind w:left="153"/>
              <w:rPr>
                <w:sz w:val="21"/>
              </w:rPr>
            </w:pPr>
            <w:r>
              <w:rPr>
                <w:sz w:val="21"/>
              </w:rPr>
              <w:t>我们将按投保人在投保单上填写的通讯地址发送通知。</w:t>
            </w:r>
          </w:p>
          <w:p>
            <w:pPr>
              <w:pStyle w:val="TableParagraph"/>
              <w:spacing w:line="261" w:lineRule="auto" w:before="25"/>
              <w:ind w:left="153"/>
              <w:rPr>
                <w:sz w:val="21"/>
              </w:rPr>
            </w:pPr>
            <w:r>
              <w:rPr>
                <w:spacing w:val="-10"/>
                <w:sz w:val="21"/>
              </w:rPr>
              <w:t>投保人的通讯地址变更时，应及时以书面形式或本公司认可的其他形式通知我们。</w:t>
            </w:r>
            <w:r>
              <w:rPr>
                <w:spacing w:val="-8"/>
                <w:sz w:val="21"/>
              </w:rPr>
              <w:t>投保人不作前述通知时，我们按投保单所载的最后通讯地址发送通知，视为已送</w:t>
            </w:r>
            <w:r>
              <w:rPr>
                <w:spacing w:val="-5"/>
                <w:sz w:val="21"/>
              </w:rPr>
              <w:t>达给投保人。</w:t>
            </w:r>
          </w:p>
        </w:tc>
      </w:tr>
      <w:tr>
        <w:trPr>
          <w:trHeight w:val="2112" w:hRule="atLeast"/>
        </w:trPr>
        <w:tc>
          <w:tcPr>
            <w:tcW w:w="755" w:type="dxa"/>
          </w:tcPr>
          <w:p>
            <w:pPr>
              <w:pStyle w:val="TableParagraph"/>
              <w:spacing w:before="133"/>
              <w:ind w:left="107"/>
              <w:rPr>
                <w:b/>
                <w:sz w:val="21"/>
              </w:rPr>
            </w:pPr>
            <w:r>
              <w:rPr>
                <w:b/>
                <w:sz w:val="21"/>
              </w:rPr>
              <w:t>7.5</w:t>
            </w:r>
          </w:p>
        </w:tc>
        <w:tc>
          <w:tcPr>
            <w:tcW w:w="1751" w:type="dxa"/>
          </w:tcPr>
          <w:p>
            <w:pPr>
              <w:pStyle w:val="TableParagraph"/>
              <w:spacing w:before="133"/>
              <w:ind w:left="329"/>
              <w:rPr>
                <w:b/>
                <w:sz w:val="21"/>
              </w:rPr>
            </w:pPr>
            <w:r>
              <w:rPr>
                <w:b/>
                <w:sz w:val="21"/>
              </w:rPr>
              <w:t>争议处理</w:t>
            </w:r>
          </w:p>
        </w:tc>
        <w:tc>
          <w:tcPr>
            <w:tcW w:w="7638" w:type="dxa"/>
          </w:tcPr>
          <w:p>
            <w:pPr>
              <w:pStyle w:val="TableParagraph"/>
              <w:spacing w:line="261" w:lineRule="auto" w:before="140"/>
              <w:ind w:left="153" w:right="101"/>
              <w:rPr>
                <w:sz w:val="21"/>
              </w:rPr>
            </w:pPr>
            <w:r>
              <w:rPr>
                <w:sz w:val="21"/>
              </w:rPr>
              <w:t>本合同争议解决方式由当事人投保时在投保单上约定从下列两种方式中选择一种：</w:t>
            </w:r>
          </w:p>
          <w:p>
            <w:pPr>
              <w:pStyle w:val="TableParagraph"/>
              <w:tabs>
                <w:tab w:pos="7317" w:val="left" w:leader="none"/>
              </w:tabs>
              <w:spacing w:line="261" w:lineRule="auto" w:before="6"/>
              <w:ind w:left="153" w:right="107" w:hanging="1"/>
              <w:rPr>
                <w:sz w:val="21"/>
              </w:rPr>
            </w:pPr>
            <w:r>
              <w:rPr>
                <w:sz w:val="21"/>
              </w:rPr>
              <w:t>1</w:t>
            </w:r>
            <w:r>
              <w:rPr>
                <w:spacing w:val="-22"/>
                <w:sz w:val="21"/>
              </w:rPr>
              <w:t>、</w:t>
            </w:r>
            <w:r>
              <w:rPr>
                <w:sz w:val="21"/>
              </w:rPr>
              <w:t>因</w:t>
            </w:r>
            <w:r>
              <w:rPr>
                <w:spacing w:val="-3"/>
                <w:sz w:val="21"/>
              </w:rPr>
              <w:t>履</w:t>
            </w:r>
            <w:r>
              <w:rPr>
                <w:sz w:val="21"/>
              </w:rPr>
              <w:t>行</w:t>
            </w:r>
            <w:r>
              <w:rPr>
                <w:spacing w:val="-3"/>
                <w:sz w:val="21"/>
              </w:rPr>
              <w:t>本</w:t>
            </w:r>
            <w:r>
              <w:rPr>
                <w:sz w:val="21"/>
              </w:rPr>
              <w:t>合</w:t>
            </w:r>
            <w:r>
              <w:rPr>
                <w:spacing w:val="-3"/>
                <w:sz w:val="21"/>
              </w:rPr>
              <w:t>同</w:t>
            </w:r>
            <w:r>
              <w:rPr>
                <w:sz w:val="21"/>
              </w:rPr>
              <w:t>发</w:t>
            </w:r>
            <w:r>
              <w:rPr>
                <w:spacing w:val="-3"/>
                <w:sz w:val="21"/>
              </w:rPr>
              <w:t>生</w:t>
            </w:r>
            <w:r>
              <w:rPr>
                <w:sz w:val="21"/>
              </w:rPr>
              <w:t>的</w:t>
            </w:r>
            <w:r>
              <w:rPr>
                <w:spacing w:val="-3"/>
                <w:sz w:val="21"/>
              </w:rPr>
              <w:t>争</w:t>
            </w:r>
            <w:r>
              <w:rPr>
                <w:sz w:val="21"/>
              </w:rPr>
              <w:t>议</w:t>
            </w:r>
            <w:r>
              <w:rPr>
                <w:spacing w:val="-22"/>
                <w:sz w:val="21"/>
              </w:rPr>
              <w:t>，</w:t>
            </w:r>
            <w:r>
              <w:rPr>
                <w:spacing w:val="-3"/>
                <w:sz w:val="21"/>
              </w:rPr>
              <w:t>由</w:t>
            </w:r>
            <w:r>
              <w:rPr>
                <w:sz w:val="21"/>
              </w:rPr>
              <w:t>当</w:t>
            </w:r>
            <w:r>
              <w:rPr>
                <w:spacing w:val="-3"/>
                <w:sz w:val="21"/>
              </w:rPr>
              <w:t>事</w:t>
            </w:r>
            <w:r>
              <w:rPr>
                <w:sz w:val="21"/>
              </w:rPr>
              <w:t>人协</w:t>
            </w:r>
            <w:r>
              <w:rPr>
                <w:spacing w:val="-3"/>
                <w:sz w:val="21"/>
              </w:rPr>
              <w:t>商</w:t>
            </w:r>
            <w:r>
              <w:rPr>
                <w:sz w:val="21"/>
              </w:rPr>
              <w:t>解</w:t>
            </w:r>
            <w:r>
              <w:rPr>
                <w:spacing w:val="-3"/>
                <w:sz w:val="21"/>
              </w:rPr>
              <w:t>决</w:t>
            </w:r>
            <w:r>
              <w:rPr>
                <w:spacing w:val="-25"/>
                <w:sz w:val="21"/>
              </w:rPr>
              <w:t>，</w:t>
            </w:r>
            <w:r>
              <w:rPr>
                <w:sz w:val="21"/>
              </w:rPr>
              <w:t>协商</w:t>
            </w:r>
            <w:r>
              <w:rPr>
                <w:spacing w:val="-3"/>
                <w:sz w:val="21"/>
              </w:rPr>
              <w:t>不</w:t>
            </w:r>
            <w:r>
              <w:rPr>
                <w:sz w:val="21"/>
              </w:rPr>
              <w:t>成</w:t>
            </w:r>
            <w:r>
              <w:rPr>
                <w:spacing w:val="-3"/>
                <w:sz w:val="21"/>
              </w:rPr>
              <w:t>的</w:t>
            </w:r>
            <w:r>
              <w:rPr>
                <w:spacing w:val="-22"/>
                <w:sz w:val="21"/>
              </w:rPr>
              <w:t>，</w:t>
            </w:r>
            <w:r>
              <w:rPr>
                <w:sz w:val="21"/>
              </w:rPr>
              <w:t>提</w:t>
            </w:r>
            <w:r>
              <w:rPr>
                <w:spacing w:val="-3"/>
                <w:sz w:val="21"/>
              </w:rPr>
              <w:t>交</w:t>
            </w:r>
            <w:r>
              <w:rPr>
                <w:spacing w:val="-3"/>
                <w:sz w:val="21"/>
                <w:u w:val="single"/>
              </w:rPr>
              <w:t> </w:t>
              <w:tab/>
            </w:r>
            <w:r>
              <w:rPr>
                <w:sz w:val="21"/>
              </w:rPr>
              <w:t>仲裁委</w:t>
            </w:r>
            <w:r>
              <w:rPr>
                <w:spacing w:val="-3"/>
                <w:sz w:val="21"/>
              </w:rPr>
              <w:t>员</w:t>
            </w:r>
            <w:r>
              <w:rPr>
                <w:sz w:val="21"/>
              </w:rPr>
              <w:t>会</w:t>
            </w:r>
            <w:r>
              <w:rPr>
                <w:spacing w:val="-3"/>
                <w:sz w:val="21"/>
              </w:rPr>
              <w:t>仲</w:t>
            </w:r>
            <w:r>
              <w:rPr>
                <w:sz w:val="21"/>
              </w:rPr>
              <w:t>裁；</w:t>
            </w:r>
          </w:p>
          <w:p>
            <w:pPr>
              <w:pStyle w:val="TableParagraph"/>
              <w:spacing w:line="261" w:lineRule="auto" w:before="6"/>
              <w:ind w:left="153" w:right="106"/>
              <w:rPr>
                <w:sz w:val="21"/>
              </w:rPr>
            </w:pPr>
            <w:r>
              <w:rPr>
                <w:sz w:val="21"/>
              </w:rPr>
              <w:t>2</w:t>
            </w:r>
            <w:r>
              <w:rPr>
                <w:spacing w:val="-10"/>
                <w:sz w:val="21"/>
              </w:rPr>
              <w:t>、因履行本合同发生的争议，由当事人协商解决，协商不成的，依法向有管辖权</w:t>
            </w:r>
            <w:r>
              <w:rPr>
                <w:spacing w:val="-5"/>
                <w:sz w:val="21"/>
              </w:rPr>
              <w:t>的人民法院起诉。</w:t>
            </w:r>
          </w:p>
        </w:tc>
      </w:tr>
      <w:tr>
        <w:trPr>
          <w:trHeight w:val="1271" w:hRule="atLeast"/>
        </w:trPr>
        <w:tc>
          <w:tcPr>
            <w:tcW w:w="755" w:type="dxa"/>
          </w:tcPr>
          <w:p>
            <w:pPr>
              <w:pStyle w:val="TableParagraph"/>
              <w:spacing w:before="133"/>
              <w:ind w:left="107"/>
              <w:rPr>
                <w:b/>
                <w:sz w:val="21"/>
              </w:rPr>
            </w:pPr>
            <w:r>
              <w:rPr>
                <w:b/>
                <w:sz w:val="21"/>
              </w:rPr>
              <w:t>7.6</w:t>
            </w:r>
          </w:p>
        </w:tc>
        <w:tc>
          <w:tcPr>
            <w:tcW w:w="1751" w:type="dxa"/>
          </w:tcPr>
          <w:p>
            <w:pPr>
              <w:pStyle w:val="TableParagraph"/>
              <w:spacing w:line="273" w:lineRule="auto" w:before="133"/>
              <w:ind w:left="329" w:right="153"/>
              <w:rPr>
                <w:b/>
                <w:sz w:val="21"/>
              </w:rPr>
            </w:pPr>
            <w:r>
              <w:rPr>
                <w:b/>
                <w:sz w:val="21"/>
              </w:rPr>
              <w:t>未成年人身故保险金限制</w:t>
            </w:r>
          </w:p>
        </w:tc>
        <w:tc>
          <w:tcPr>
            <w:tcW w:w="7638" w:type="dxa"/>
          </w:tcPr>
          <w:p>
            <w:pPr>
              <w:pStyle w:val="TableParagraph"/>
              <w:spacing w:line="261" w:lineRule="auto" w:before="140"/>
              <w:ind w:left="153" w:right="104"/>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708" w:hRule="atLeast"/>
        </w:trPr>
        <w:tc>
          <w:tcPr>
            <w:tcW w:w="755" w:type="dxa"/>
            <w:tcBorders>
              <w:bottom w:val="double" w:sz="1" w:space="0" w:color="000000"/>
            </w:tcBorders>
          </w:tcPr>
          <w:p>
            <w:pPr>
              <w:pStyle w:val="TableParagraph"/>
              <w:spacing w:before="171"/>
              <w:ind w:left="107"/>
              <w:rPr>
                <w:b/>
                <w:sz w:val="28"/>
              </w:rPr>
            </w:pPr>
            <w:r>
              <w:rPr>
                <w:b/>
                <w:w w:val="99"/>
                <w:sz w:val="28"/>
              </w:rPr>
              <w:t>8</w:t>
            </w:r>
          </w:p>
        </w:tc>
        <w:tc>
          <w:tcPr>
            <w:tcW w:w="1751" w:type="dxa"/>
            <w:tcBorders>
              <w:bottom w:val="double" w:sz="1" w:space="0" w:color="000000"/>
            </w:tcBorders>
          </w:tcPr>
          <w:p>
            <w:pPr>
              <w:pStyle w:val="TableParagraph"/>
              <w:spacing w:before="171"/>
              <w:ind w:left="329"/>
              <w:rPr>
                <w:b/>
                <w:sz w:val="28"/>
              </w:rPr>
            </w:pPr>
            <w:r>
              <w:rPr>
                <w:b/>
                <w:w w:val="95"/>
                <w:sz w:val="28"/>
              </w:rPr>
              <w:t>释义</w:t>
            </w:r>
          </w:p>
        </w:tc>
        <w:tc>
          <w:tcPr>
            <w:tcW w:w="7638" w:type="dxa"/>
            <w:tcBorders>
              <w:bottom w:val="double" w:sz="1" w:space="0" w:color="000000"/>
            </w:tcBorders>
          </w:tcPr>
          <w:p>
            <w:pPr>
              <w:pStyle w:val="TableParagraph"/>
              <w:rPr>
                <w:rFonts w:ascii="Times New Roman"/>
                <w:sz w:val="20"/>
              </w:rPr>
            </w:pPr>
          </w:p>
        </w:tc>
      </w:tr>
      <w:tr>
        <w:trPr>
          <w:trHeight w:val="780" w:hRule="atLeast"/>
        </w:trPr>
        <w:tc>
          <w:tcPr>
            <w:tcW w:w="10144" w:type="dxa"/>
            <w:gridSpan w:val="3"/>
            <w:tcBorders>
              <w:top w:val="double" w:sz="1" w:space="0" w:color="000000"/>
            </w:tcBorders>
          </w:tcPr>
          <w:p>
            <w:pPr>
              <w:pStyle w:val="TableParagraph"/>
              <w:spacing w:before="11"/>
              <w:rPr>
                <w:rFonts w:ascii="Times New Roman"/>
                <w:sz w:val="25"/>
              </w:rPr>
            </w:pPr>
          </w:p>
          <w:p>
            <w:pPr>
              <w:pStyle w:val="TableParagraph"/>
              <w:ind w:left="107"/>
              <w:rPr>
                <w:sz w:val="21"/>
              </w:rPr>
            </w:pPr>
            <w:r>
              <w:rPr>
                <w:sz w:val="21"/>
              </w:rPr>
              <w:t>本合同及附加合同中具有特定含义的名词，除非附加合同条款另有约定，其释义如下：</w:t>
            </w:r>
          </w:p>
        </w:tc>
      </w:tr>
      <w:tr>
        <w:trPr>
          <w:trHeight w:val="935" w:hRule="atLeast"/>
        </w:trPr>
        <w:tc>
          <w:tcPr>
            <w:tcW w:w="755" w:type="dxa"/>
          </w:tcPr>
          <w:p>
            <w:pPr>
              <w:pStyle w:val="TableParagraph"/>
              <w:spacing w:before="142"/>
              <w:ind w:left="107"/>
              <w:rPr>
                <w:b/>
                <w:sz w:val="21"/>
              </w:rPr>
            </w:pPr>
            <w:r>
              <w:rPr>
                <w:b/>
                <w:sz w:val="21"/>
              </w:rPr>
              <w:t>8.1</w:t>
            </w:r>
          </w:p>
        </w:tc>
        <w:tc>
          <w:tcPr>
            <w:tcW w:w="1751" w:type="dxa"/>
          </w:tcPr>
          <w:p>
            <w:pPr>
              <w:pStyle w:val="TableParagraph"/>
              <w:spacing w:before="142"/>
              <w:ind w:left="329"/>
              <w:rPr>
                <w:b/>
                <w:sz w:val="21"/>
              </w:rPr>
            </w:pPr>
            <w:r>
              <w:rPr>
                <w:b/>
                <w:sz w:val="21"/>
              </w:rPr>
              <w:t>保单周年日</w:t>
            </w:r>
          </w:p>
        </w:tc>
        <w:tc>
          <w:tcPr>
            <w:tcW w:w="7638" w:type="dxa"/>
          </w:tcPr>
          <w:p>
            <w:pPr>
              <w:pStyle w:val="TableParagraph"/>
              <w:spacing w:line="273" w:lineRule="auto" w:before="142"/>
              <w:ind w:left="153" w:right="125"/>
              <w:rPr>
                <w:sz w:val="21"/>
              </w:rPr>
            </w:pPr>
            <w:r>
              <w:rPr>
                <w:sz w:val="21"/>
              </w:rPr>
              <w:t>保险合同生效日以后每年的对应日为保单周年日，如果当月无对应的同一日，则以该月最后一日作为对应日。</w:t>
            </w:r>
          </w:p>
        </w:tc>
      </w:tr>
      <w:tr>
        <w:trPr>
          <w:trHeight w:val="729" w:hRule="atLeast"/>
        </w:trPr>
        <w:tc>
          <w:tcPr>
            <w:tcW w:w="755" w:type="dxa"/>
          </w:tcPr>
          <w:p>
            <w:pPr>
              <w:pStyle w:val="TableParagraph"/>
              <w:spacing w:before="142"/>
              <w:ind w:left="107"/>
              <w:rPr>
                <w:b/>
                <w:sz w:val="21"/>
              </w:rPr>
            </w:pPr>
            <w:r>
              <w:rPr>
                <w:b/>
                <w:sz w:val="21"/>
              </w:rPr>
              <w:t>8.2</w:t>
            </w:r>
          </w:p>
        </w:tc>
        <w:tc>
          <w:tcPr>
            <w:tcW w:w="1751" w:type="dxa"/>
          </w:tcPr>
          <w:p>
            <w:pPr>
              <w:pStyle w:val="TableParagraph"/>
              <w:spacing w:before="142"/>
              <w:ind w:left="329"/>
              <w:rPr>
                <w:b/>
                <w:sz w:val="21"/>
              </w:rPr>
            </w:pPr>
            <w:r>
              <w:rPr>
                <w:b/>
                <w:sz w:val="21"/>
              </w:rPr>
              <w:t>保单年度</w:t>
            </w:r>
          </w:p>
        </w:tc>
        <w:tc>
          <w:tcPr>
            <w:tcW w:w="7638" w:type="dxa"/>
          </w:tcPr>
          <w:p>
            <w:pPr>
              <w:pStyle w:val="TableParagraph"/>
              <w:spacing w:line="310" w:lineRule="atLeast" w:before="107"/>
              <w:ind w:left="153" w:right="125"/>
              <w:rPr>
                <w:sz w:val="21"/>
              </w:rPr>
            </w:pPr>
            <w:r>
              <w:rPr>
                <w:sz w:val="21"/>
              </w:rPr>
              <w:t>指在本合同有效期内，保险合同生效日起或保单周年日起至下一个保单周年日间的一年期间。</w:t>
            </w:r>
          </w:p>
        </w:tc>
      </w:tr>
    </w:tbl>
    <w:p>
      <w:pPr>
        <w:spacing w:after="0" w:line="310" w:lineRule="atLeast"/>
        <w:rPr>
          <w:sz w:val="21"/>
        </w:rPr>
        <w:sectPr>
          <w:pgSz w:w="11910" w:h="16840"/>
          <w:pgMar w:header="892" w:footer="917" w:top="1080" w:bottom="1100" w:left="920" w:right="640"/>
        </w:sectPr>
      </w:pPr>
    </w:p>
    <w:p>
      <w:pPr>
        <w:pStyle w:val="BodyText"/>
        <w:rPr>
          <w:rFonts w:ascii="Times New Roman"/>
          <w:sz w:val="20"/>
        </w:rPr>
      </w:pPr>
    </w:p>
    <w:p>
      <w:pPr>
        <w:pStyle w:val="BodyText"/>
        <w:rPr>
          <w:rFonts w:ascii="Times New Roman"/>
          <w:sz w:val="20"/>
        </w:rPr>
      </w:pPr>
    </w:p>
    <w:p>
      <w:pPr>
        <w:pStyle w:val="BodyText"/>
        <w:spacing w:before="9" w:after="1"/>
        <w:rPr>
          <w:rFonts w:ascii="Times New Roman"/>
          <w:sz w:val="26"/>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75"/>
        <w:gridCol w:w="7761"/>
      </w:tblGrid>
      <w:tr>
        <w:trPr>
          <w:trHeight w:val="729" w:hRule="atLeast"/>
        </w:trPr>
        <w:tc>
          <w:tcPr>
            <w:tcW w:w="900" w:type="dxa"/>
          </w:tcPr>
          <w:p>
            <w:pPr>
              <w:pStyle w:val="TableParagraph"/>
              <w:spacing w:line="211" w:lineRule="exact"/>
              <w:ind w:left="200"/>
              <w:rPr>
                <w:b/>
                <w:sz w:val="21"/>
              </w:rPr>
            </w:pPr>
            <w:r>
              <w:rPr>
                <w:b/>
                <w:sz w:val="21"/>
              </w:rPr>
              <w:t>8.3</w:t>
            </w:r>
          </w:p>
        </w:tc>
        <w:tc>
          <w:tcPr>
            <w:tcW w:w="1775" w:type="dxa"/>
          </w:tcPr>
          <w:p>
            <w:pPr>
              <w:pStyle w:val="TableParagraph"/>
              <w:spacing w:line="211" w:lineRule="exact"/>
              <w:ind w:left="276"/>
              <w:rPr>
                <w:b/>
                <w:sz w:val="21"/>
              </w:rPr>
            </w:pPr>
            <w:r>
              <w:rPr>
                <w:b/>
                <w:sz w:val="21"/>
              </w:rPr>
              <w:t>周岁</w:t>
            </w:r>
          </w:p>
        </w:tc>
        <w:tc>
          <w:tcPr>
            <w:tcW w:w="7761" w:type="dxa"/>
          </w:tcPr>
          <w:p>
            <w:pPr>
              <w:pStyle w:val="TableParagraph"/>
              <w:spacing w:line="211" w:lineRule="exact"/>
              <w:ind w:left="76"/>
              <w:rPr>
                <w:sz w:val="21"/>
              </w:rPr>
            </w:pPr>
            <w:r>
              <w:rPr>
                <w:sz w:val="21"/>
              </w:rPr>
              <w:t>以法定身份证明文件中记载的出生日期为基础计算的年龄，自出生之日起为零周</w:t>
            </w:r>
          </w:p>
          <w:p>
            <w:pPr>
              <w:pStyle w:val="TableParagraph"/>
              <w:spacing w:before="37"/>
              <w:ind w:left="76"/>
              <w:rPr>
                <w:sz w:val="21"/>
              </w:rPr>
            </w:pPr>
            <w:r>
              <w:rPr>
                <w:sz w:val="21"/>
              </w:rPr>
              <w:t>岁，每经过一年增加一周岁，不足一年的不计。</w:t>
            </w:r>
          </w:p>
        </w:tc>
      </w:tr>
      <w:tr>
        <w:trPr>
          <w:trHeight w:val="624" w:hRule="atLeast"/>
        </w:trPr>
        <w:tc>
          <w:tcPr>
            <w:tcW w:w="900" w:type="dxa"/>
          </w:tcPr>
          <w:p>
            <w:pPr>
              <w:pStyle w:val="TableParagraph"/>
              <w:spacing w:before="142"/>
              <w:ind w:left="200"/>
              <w:rPr>
                <w:b/>
                <w:sz w:val="21"/>
              </w:rPr>
            </w:pPr>
            <w:r>
              <w:rPr>
                <w:b/>
                <w:sz w:val="21"/>
              </w:rPr>
              <w:t>8.4</w:t>
            </w:r>
          </w:p>
        </w:tc>
        <w:tc>
          <w:tcPr>
            <w:tcW w:w="1775" w:type="dxa"/>
          </w:tcPr>
          <w:p>
            <w:pPr>
              <w:pStyle w:val="TableParagraph"/>
              <w:spacing w:before="142"/>
              <w:ind w:left="276"/>
              <w:rPr>
                <w:b/>
                <w:sz w:val="21"/>
              </w:rPr>
            </w:pPr>
            <w:r>
              <w:rPr>
                <w:b/>
                <w:sz w:val="21"/>
              </w:rPr>
              <w:t>意外伤害事故</w:t>
            </w:r>
          </w:p>
        </w:tc>
        <w:tc>
          <w:tcPr>
            <w:tcW w:w="7761" w:type="dxa"/>
          </w:tcPr>
          <w:p>
            <w:pPr>
              <w:pStyle w:val="TableParagraph"/>
              <w:spacing w:before="142"/>
              <w:ind w:left="76"/>
              <w:rPr>
                <w:sz w:val="21"/>
              </w:rPr>
            </w:pPr>
            <w:r>
              <w:rPr>
                <w:sz w:val="21"/>
              </w:rPr>
              <w:t>指外来的、突发的、非本意的、非疾病的客观事件。</w:t>
            </w:r>
          </w:p>
        </w:tc>
      </w:tr>
      <w:tr>
        <w:trPr>
          <w:trHeight w:val="623" w:hRule="atLeast"/>
        </w:trPr>
        <w:tc>
          <w:tcPr>
            <w:tcW w:w="900" w:type="dxa"/>
          </w:tcPr>
          <w:p>
            <w:pPr>
              <w:pStyle w:val="TableParagraph"/>
              <w:spacing w:before="142"/>
              <w:ind w:left="200"/>
              <w:rPr>
                <w:b/>
                <w:sz w:val="21"/>
              </w:rPr>
            </w:pPr>
            <w:r>
              <w:rPr>
                <w:b/>
                <w:sz w:val="21"/>
              </w:rPr>
              <w:t>8.5</w:t>
            </w:r>
          </w:p>
        </w:tc>
        <w:tc>
          <w:tcPr>
            <w:tcW w:w="1775" w:type="dxa"/>
          </w:tcPr>
          <w:p>
            <w:pPr>
              <w:pStyle w:val="TableParagraph"/>
              <w:spacing w:before="142"/>
              <w:ind w:left="276"/>
              <w:rPr>
                <w:b/>
                <w:sz w:val="21"/>
              </w:rPr>
            </w:pPr>
            <w:r>
              <w:rPr>
                <w:b/>
                <w:sz w:val="21"/>
              </w:rPr>
              <w:t>意外伤害</w:t>
            </w:r>
          </w:p>
        </w:tc>
        <w:tc>
          <w:tcPr>
            <w:tcW w:w="7761" w:type="dxa"/>
          </w:tcPr>
          <w:p>
            <w:pPr>
              <w:pStyle w:val="TableParagraph"/>
              <w:spacing w:before="142"/>
              <w:ind w:left="76"/>
              <w:rPr>
                <w:sz w:val="21"/>
              </w:rPr>
            </w:pPr>
            <w:r>
              <w:rPr>
                <w:sz w:val="21"/>
              </w:rPr>
              <w:t>指以意外伤害事故为直接且单独的原因所导致身体受到的伤害。</w:t>
            </w:r>
          </w:p>
        </w:tc>
      </w:tr>
      <w:tr>
        <w:trPr>
          <w:trHeight w:val="935" w:hRule="atLeast"/>
        </w:trPr>
        <w:tc>
          <w:tcPr>
            <w:tcW w:w="900" w:type="dxa"/>
          </w:tcPr>
          <w:p>
            <w:pPr>
              <w:pStyle w:val="TableParagraph"/>
              <w:spacing w:before="142"/>
              <w:ind w:left="200"/>
              <w:rPr>
                <w:b/>
                <w:sz w:val="21"/>
              </w:rPr>
            </w:pPr>
            <w:r>
              <w:rPr>
                <w:b/>
                <w:sz w:val="21"/>
              </w:rPr>
              <w:t>8.6</w:t>
            </w:r>
          </w:p>
        </w:tc>
        <w:tc>
          <w:tcPr>
            <w:tcW w:w="1775" w:type="dxa"/>
          </w:tcPr>
          <w:p>
            <w:pPr>
              <w:pStyle w:val="TableParagraph"/>
              <w:spacing w:before="142"/>
              <w:ind w:left="276"/>
              <w:rPr>
                <w:b/>
                <w:sz w:val="21"/>
              </w:rPr>
            </w:pPr>
            <w:r>
              <w:rPr>
                <w:b/>
                <w:sz w:val="21"/>
              </w:rPr>
              <w:t>发病</w:t>
            </w:r>
          </w:p>
        </w:tc>
        <w:tc>
          <w:tcPr>
            <w:tcW w:w="7761" w:type="dxa"/>
          </w:tcPr>
          <w:p>
            <w:pPr>
              <w:pStyle w:val="TableParagraph"/>
              <w:spacing w:line="273" w:lineRule="auto" w:before="142"/>
              <w:ind w:left="76" w:right="325"/>
              <w:rPr>
                <w:sz w:val="21"/>
              </w:rPr>
            </w:pPr>
            <w:r>
              <w:rPr>
                <w:sz w:val="21"/>
              </w:rPr>
              <w:t>发病是指出现疾病的前兆和异常的身体状况，该疾病的前兆或异常的身体状况足以引起注意或应当引起注意并寻求检查、诊断、治疗或护理。</w:t>
            </w:r>
          </w:p>
        </w:tc>
      </w:tr>
      <w:tr>
        <w:trPr>
          <w:trHeight w:val="936" w:hRule="atLeast"/>
        </w:trPr>
        <w:tc>
          <w:tcPr>
            <w:tcW w:w="900" w:type="dxa"/>
          </w:tcPr>
          <w:p>
            <w:pPr>
              <w:pStyle w:val="TableParagraph"/>
              <w:spacing w:before="142"/>
              <w:ind w:left="200"/>
              <w:rPr>
                <w:b/>
                <w:sz w:val="21"/>
              </w:rPr>
            </w:pPr>
            <w:r>
              <w:rPr>
                <w:b/>
                <w:sz w:val="21"/>
              </w:rPr>
              <w:t>8.7</w:t>
            </w:r>
          </w:p>
        </w:tc>
        <w:tc>
          <w:tcPr>
            <w:tcW w:w="1775" w:type="dxa"/>
          </w:tcPr>
          <w:p>
            <w:pPr>
              <w:pStyle w:val="TableParagraph"/>
              <w:spacing w:before="142"/>
              <w:ind w:left="276"/>
              <w:rPr>
                <w:b/>
                <w:sz w:val="21"/>
              </w:rPr>
            </w:pPr>
            <w:r>
              <w:rPr>
                <w:b/>
                <w:sz w:val="21"/>
              </w:rPr>
              <w:t>殴斗</w:t>
            </w:r>
          </w:p>
        </w:tc>
        <w:tc>
          <w:tcPr>
            <w:tcW w:w="7761" w:type="dxa"/>
          </w:tcPr>
          <w:p>
            <w:pPr>
              <w:pStyle w:val="TableParagraph"/>
              <w:spacing w:line="273" w:lineRule="auto" w:before="142"/>
              <w:ind w:left="76" w:right="325"/>
              <w:rPr>
                <w:sz w:val="21"/>
              </w:rPr>
            </w:pPr>
            <w:r>
              <w:rPr>
                <w:sz w:val="21"/>
              </w:rPr>
              <w:t>违反国家有关治安管理的法律法规，受到司法行政机关的处罚或处理，使用暴力攻击伤害对方的搏斗行为。</w:t>
            </w:r>
          </w:p>
        </w:tc>
      </w:tr>
      <w:tr>
        <w:trPr>
          <w:trHeight w:val="1247" w:hRule="atLeast"/>
        </w:trPr>
        <w:tc>
          <w:tcPr>
            <w:tcW w:w="900" w:type="dxa"/>
          </w:tcPr>
          <w:p>
            <w:pPr>
              <w:pStyle w:val="TableParagraph"/>
              <w:spacing w:before="142"/>
              <w:ind w:left="200"/>
              <w:rPr>
                <w:b/>
                <w:sz w:val="21"/>
              </w:rPr>
            </w:pPr>
            <w:r>
              <w:rPr>
                <w:b/>
                <w:sz w:val="21"/>
              </w:rPr>
              <w:t>8.8</w:t>
            </w:r>
          </w:p>
        </w:tc>
        <w:tc>
          <w:tcPr>
            <w:tcW w:w="1775" w:type="dxa"/>
          </w:tcPr>
          <w:p>
            <w:pPr>
              <w:pStyle w:val="TableParagraph"/>
              <w:spacing w:before="142"/>
              <w:ind w:left="276"/>
              <w:rPr>
                <w:b/>
                <w:sz w:val="21"/>
              </w:rPr>
            </w:pPr>
            <w:r>
              <w:rPr>
                <w:b/>
                <w:sz w:val="21"/>
              </w:rPr>
              <w:t>毒品</w:t>
            </w:r>
          </w:p>
        </w:tc>
        <w:tc>
          <w:tcPr>
            <w:tcW w:w="7761" w:type="dxa"/>
          </w:tcPr>
          <w:p>
            <w:pPr>
              <w:pStyle w:val="TableParagraph"/>
              <w:spacing w:line="273" w:lineRule="auto" w:before="142"/>
              <w:ind w:left="76" w:right="22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4" w:hRule="atLeast"/>
        </w:trPr>
        <w:tc>
          <w:tcPr>
            <w:tcW w:w="900" w:type="dxa"/>
          </w:tcPr>
          <w:p>
            <w:pPr>
              <w:pStyle w:val="TableParagraph"/>
              <w:spacing w:before="142"/>
              <w:ind w:left="200"/>
              <w:rPr>
                <w:b/>
                <w:sz w:val="21"/>
              </w:rPr>
            </w:pPr>
            <w:r>
              <w:rPr>
                <w:b/>
                <w:sz w:val="21"/>
              </w:rPr>
              <w:t>8.9</w:t>
            </w:r>
          </w:p>
        </w:tc>
        <w:tc>
          <w:tcPr>
            <w:tcW w:w="1775" w:type="dxa"/>
          </w:tcPr>
          <w:p>
            <w:pPr>
              <w:pStyle w:val="TableParagraph"/>
              <w:spacing w:before="142"/>
              <w:ind w:left="276"/>
              <w:rPr>
                <w:b/>
                <w:sz w:val="21"/>
              </w:rPr>
            </w:pPr>
            <w:r>
              <w:rPr>
                <w:b/>
                <w:sz w:val="21"/>
              </w:rPr>
              <w:t>酒后驾驶</w:t>
            </w:r>
          </w:p>
        </w:tc>
        <w:tc>
          <w:tcPr>
            <w:tcW w:w="7761" w:type="dxa"/>
          </w:tcPr>
          <w:p>
            <w:pPr>
              <w:pStyle w:val="TableParagraph"/>
              <w:spacing w:line="273" w:lineRule="auto" w:before="142"/>
              <w:ind w:left="76" w:right="32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251" w:hRule="atLeast"/>
        </w:trPr>
        <w:tc>
          <w:tcPr>
            <w:tcW w:w="900" w:type="dxa"/>
          </w:tcPr>
          <w:p>
            <w:pPr>
              <w:pStyle w:val="TableParagraph"/>
              <w:spacing w:before="146"/>
              <w:ind w:left="200"/>
              <w:rPr>
                <w:b/>
                <w:sz w:val="21"/>
              </w:rPr>
            </w:pPr>
            <w:r>
              <w:rPr>
                <w:b/>
                <w:sz w:val="21"/>
              </w:rPr>
              <w:t>8.10</w:t>
            </w:r>
          </w:p>
        </w:tc>
        <w:tc>
          <w:tcPr>
            <w:tcW w:w="1775" w:type="dxa"/>
          </w:tcPr>
          <w:p>
            <w:pPr>
              <w:pStyle w:val="TableParagraph"/>
              <w:spacing w:line="273" w:lineRule="auto" w:before="146"/>
              <w:ind w:left="276" w:right="230"/>
              <w:rPr>
                <w:b/>
                <w:sz w:val="21"/>
              </w:rPr>
            </w:pPr>
            <w:r>
              <w:rPr>
                <w:b/>
                <w:sz w:val="21"/>
              </w:rPr>
              <w:t>无合法有效驾驶证驾驶</w:t>
            </w:r>
          </w:p>
        </w:tc>
        <w:tc>
          <w:tcPr>
            <w:tcW w:w="7761" w:type="dxa"/>
          </w:tcPr>
          <w:p>
            <w:pPr>
              <w:pStyle w:val="TableParagraph"/>
              <w:spacing w:line="256" w:lineRule="auto" w:before="146"/>
              <w:ind w:left="74" w:right="326" w:firstLine="2"/>
              <w:jc w:val="both"/>
              <w:rPr>
                <w:sz w:val="21"/>
              </w:rPr>
            </w:pPr>
            <w:r>
              <w:rPr>
                <w:spacing w:val="-16"/>
                <w:w w:val="100"/>
                <w:sz w:val="21"/>
              </w:rPr>
              <w:t>指下列情形之一：</w:t>
            </w:r>
            <w:r>
              <w:rPr>
                <w:w w:val="100"/>
                <w:sz w:val="21"/>
              </w:rPr>
              <w:t>（</w:t>
            </w:r>
            <w:r>
              <w:rPr>
                <w:rFonts w:ascii="Times New Roman" w:eastAsia="Times New Roman"/>
                <w:spacing w:val="-3"/>
                <w:w w:val="100"/>
                <w:sz w:val="21"/>
              </w:rPr>
              <w:t>1</w:t>
            </w:r>
            <w:r>
              <w:rPr>
                <w:w w:val="100"/>
                <w:sz w:val="21"/>
              </w:rPr>
              <w:t>）</w:t>
            </w:r>
            <w:r>
              <w:rPr>
                <w:spacing w:val="-15"/>
                <w:w w:val="100"/>
                <w:sz w:val="21"/>
              </w:rPr>
              <w:t>没有取得驾驶资格；</w:t>
            </w:r>
            <w:r>
              <w:rPr>
                <w:spacing w:val="-1"/>
                <w:w w:val="100"/>
                <w:sz w:val="21"/>
              </w:rPr>
              <w:t>（</w:t>
            </w:r>
            <w:r>
              <w:rPr>
                <w:rFonts w:ascii="Times New Roman" w:eastAsia="Times New Roman"/>
                <w:spacing w:val="-3"/>
                <w:w w:val="100"/>
                <w:sz w:val="21"/>
              </w:rPr>
              <w:t>2</w:t>
            </w:r>
            <w:r>
              <w:rPr>
                <w:w w:val="100"/>
                <w:sz w:val="21"/>
              </w:rPr>
              <w:t>）</w:t>
            </w:r>
            <w:r>
              <w:rPr>
                <w:spacing w:val="-3"/>
                <w:w w:val="100"/>
                <w:sz w:val="21"/>
              </w:rPr>
              <w:t>驾驶与驾驶证准驾车型不相符合</w:t>
            </w:r>
            <w:r>
              <w:rPr>
                <w:spacing w:val="-29"/>
                <w:w w:val="100"/>
                <w:sz w:val="21"/>
              </w:rPr>
              <w:t>的车辆；</w:t>
            </w:r>
            <w:r>
              <w:rPr>
                <w:w w:val="100"/>
                <w:sz w:val="21"/>
              </w:rPr>
              <w:t>（</w:t>
            </w:r>
            <w:r>
              <w:rPr>
                <w:rFonts w:ascii="Times New Roman" w:eastAsia="Times New Roman"/>
                <w:spacing w:val="-3"/>
                <w:w w:val="100"/>
                <w:sz w:val="21"/>
              </w:rPr>
              <w:t>3</w:t>
            </w:r>
            <w:r>
              <w:rPr>
                <w:w w:val="100"/>
                <w:sz w:val="21"/>
              </w:rPr>
              <w:t>）</w:t>
            </w:r>
            <w:r>
              <w:rPr>
                <w:spacing w:val="-11"/>
                <w:w w:val="100"/>
                <w:sz w:val="21"/>
              </w:rPr>
              <w:t>持审验不合格的驾驶证驾驶；</w:t>
            </w:r>
            <w:r>
              <w:rPr>
                <w:spacing w:val="-1"/>
                <w:w w:val="100"/>
                <w:sz w:val="21"/>
              </w:rPr>
              <w:t>（</w:t>
            </w:r>
            <w:r>
              <w:rPr>
                <w:rFonts w:ascii="Times New Roman" w:eastAsia="Times New Roman"/>
                <w:spacing w:val="-3"/>
                <w:w w:val="100"/>
                <w:sz w:val="21"/>
              </w:rPr>
              <w:t>4</w:t>
            </w:r>
            <w:r>
              <w:rPr>
                <w:w w:val="100"/>
                <w:sz w:val="21"/>
              </w:rPr>
              <w:t>）</w:t>
            </w:r>
            <w:r>
              <w:rPr>
                <w:spacing w:val="-3"/>
                <w:w w:val="100"/>
                <w:sz w:val="21"/>
              </w:rPr>
              <w:t>持学习驾驶证学习驾车时，无教</w:t>
            </w:r>
            <w:r>
              <w:rPr>
                <w:spacing w:val="-3"/>
                <w:sz w:val="21"/>
              </w:rPr>
              <w:t>练员随车指导，或不按指定时间、路线学习驾车。</w:t>
            </w:r>
          </w:p>
        </w:tc>
      </w:tr>
      <w:tr>
        <w:trPr>
          <w:trHeight w:val="936" w:hRule="atLeast"/>
        </w:trPr>
        <w:tc>
          <w:tcPr>
            <w:tcW w:w="900" w:type="dxa"/>
          </w:tcPr>
          <w:p>
            <w:pPr>
              <w:pStyle w:val="TableParagraph"/>
              <w:spacing w:before="142"/>
              <w:ind w:left="200"/>
              <w:rPr>
                <w:b/>
                <w:sz w:val="21"/>
              </w:rPr>
            </w:pPr>
            <w:r>
              <w:rPr>
                <w:b/>
                <w:sz w:val="21"/>
              </w:rPr>
              <w:t>8.11</w:t>
            </w:r>
          </w:p>
        </w:tc>
        <w:tc>
          <w:tcPr>
            <w:tcW w:w="1775" w:type="dxa"/>
          </w:tcPr>
          <w:p>
            <w:pPr>
              <w:pStyle w:val="TableParagraph"/>
              <w:spacing w:before="142"/>
              <w:ind w:left="276"/>
              <w:rPr>
                <w:b/>
                <w:sz w:val="21"/>
              </w:rPr>
            </w:pPr>
            <w:r>
              <w:rPr>
                <w:b/>
                <w:sz w:val="21"/>
              </w:rPr>
              <w:t>无有效行驶证</w:t>
            </w:r>
          </w:p>
        </w:tc>
        <w:tc>
          <w:tcPr>
            <w:tcW w:w="7761" w:type="dxa"/>
          </w:tcPr>
          <w:p>
            <w:pPr>
              <w:pStyle w:val="TableParagraph"/>
              <w:spacing w:line="273" w:lineRule="auto" w:before="142"/>
              <w:ind w:left="76" w:right="333" w:hanging="1"/>
              <w:rPr>
                <w:sz w:val="21"/>
              </w:rPr>
            </w:pPr>
            <w:r>
              <w:rPr>
                <w:spacing w:val="-16"/>
                <w:w w:val="100"/>
                <w:sz w:val="21"/>
              </w:rPr>
              <w:t>指下列情形之一：</w:t>
            </w:r>
            <w:r>
              <w:rPr>
                <w:w w:val="100"/>
                <w:sz w:val="21"/>
              </w:rPr>
              <w:t>（</w:t>
            </w:r>
            <w:r>
              <w:rPr>
                <w:spacing w:val="-3"/>
                <w:w w:val="100"/>
                <w:sz w:val="21"/>
              </w:rPr>
              <w:t>1</w:t>
            </w:r>
            <w:r>
              <w:rPr>
                <w:w w:val="100"/>
                <w:sz w:val="21"/>
              </w:rPr>
              <w:t>）</w:t>
            </w:r>
            <w:r>
              <w:rPr>
                <w:spacing w:val="-3"/>
                <w:w w:val="100"/>
                <w:sz w:val="21"/>
              </w:rPr>
              <w:t>机动车被依法注销登记的；</w:t>
            </w:r>
            <w:r>
              <w:rPr>
                <w:spacing w:val="-3"/>
                <w:sz w:val="21"/>
              </w:rPr>
              <w:t> </w:t>
            </w:r>
            <w:r>
              <w:rPr>
                <w:w w:val="100"/>
                <w:sz w:val="21"/>
              </w:rPr>
              <w:t>（2</w:t>
            </w:r>
            <w:r>
              <w:rPr>
                <w:spacing w:val="-3"/>
                <w:w w:val="100"/>
                <w:sz w:val="21"/>
              </w:rPr>
              <w:t>）未依法按时进行或通过</w:t>
            </w:r>
            <w:r>
              <w:rPr>
                <w:spacing w:val="-3"/>
                <w:sz w:val="21"/>
              </w:rPr>
              <w:t>机动车安全技术检验。</w:t>
            </w:r>
          </w:p>
        </w:tc>
      </w:tr>
      <w:tr>
        <w:trPr>
          <w:trHeight w:val="1871" w:hRule="atLeast"/>
        </w:trPr>
        <w:tc>
          <w:tcPr>
            <w:tcW w:w="900" w:type="dxa"/>
          </w:tcPr>
          <w:p>
            <w:pPr>
              <w:pStyle w:val="TableParagraph"/>
              <w:spacing w:before="142"/>
              <w:ind w:left="200"/>
              <w:rPr>
                <w:b/>
                <w:sz w:val="21"/>
              </w:rPr>
            </w:pPr>
            <w:r>
              <w:rPr>
                <w:b/>
                <w:sz w:val="21"/>
              </w:rPr>
              <w:t>8.12</w:t>
            </w:r>
          </w:p>
        </w:tc>
        <w:tc>
          <w:tcPr>
            <w:tcW w:w="1775" w:type="dxa"/>
          </w:tcPr>
          <w:p>
            <w:pPr>
              <w:pStyle w:val="TableParagraph"/>
              <w:spacing w:before="142"/>
              <w:ind w:left="276"/>
              <w:rPr>
                <w:b/>
                <w:sz w:val="21"/>
              </w:rPr>
            </w:pPr>
            <w:r>
              <w:rPr>
                <w:b/>
                <w:sz w:val="21"/>
              </w:rPr>
              <w:t>恐怖活动</w:t>
            </w:r>
          </w:p>
        </w:tc>
        <w:tc>
          <w:tcPr>
            <w:tcW w:w="7761" w:type="dxa"/>
          </w:tcPr>
          <w:p>
            <w:pPr>
              <w:pStyle w:val="TableParagraph"/>
              <w:spacing w:line="273" w:lineRule="auto" w:before="142"/>
              <w:ind w:left="76" w:right="200"/>
              <w:rPr>
                <w:sz w:val="21"/>
              </w:rPr>
            </w:pPr>
            <w:r>
              <w:rPr>
                <w:spacing w:val="-3"/>
                <w:sz w:val="21"/>
              </w:rPr>
              <w:t>是指任何人或群体单独地或有组织地进行的为达到政治、宗教、意识形态等目的</w:t>
            </w:r>
            <w:r>
              <w:rPr>
                <w:spacing w:val="-9"/>
                <w:sz w:val="21"/>
              </w:rPr>
              <w:t>或以影响任何政府或公众、或以恐吓公众为目的的活动，包括但不限于使用武力、</w:t>
            </w:r>
            <w:r>
              <w:rPr>
                <w:spacing w:val="-5"/>
                <w:sz w:val="21"/>
              </w:rPr>
              <w:t>暴力、原子能</w:t>
            </w:r>
            <w:r>
              <w:rPr>
                <w:spacing w:val="-3"/>
                <w:sz w:val="21"/>
              </w:rPr>
              <w:t>/</w:t>
            </w:r>
            <w:r>
              <w:rPr>
                <w:sz w:val="21"/>
              </w:rPr>
              <w:t>生物</w:t>
            </w:r>
            <w:r>
              <w:rPr>
                <w:spacing w:val="-3"/>
                <w:sz w:val="21"/>
              </w:rPr>
              <w:t>/化学武器、大规模杀伤性武器、对交通和通信系统等的基础</w:t>
            </w:r>
            <w:r>
              <w:rPr>
                <w:spacing w:val="-4"/>
                <w:sz w:val="21"/>
              </w:rPr>
              <w:t>设施或内容进行破坏、或其他任何手段造成的或试图造成的任何性质的伤害或威胁。</w:t>
            </w:r>
          </w:p>
        </w:tc>
      </w:tr>
      <w:tr>
        <w:trPr>
          <w:trHeight w:val="1871" w:hRule="atLeast"/>
        </w:trPr>
        <w:tc>
          <w:tcPr>
            <w:tcW w:w="900" w:type="dxa"/>
          </w:tcPr>
          <w:p>
            <w:pPr>
              <w:pStyle w:val="TableParagraph"/>
              <w:spacing w:before="142"/>
              <w:ind w:left="200"/>
              <w:rPr>
                <w:b/>
                <w:sz w:val="21"/>
              </w:rPr>
            </w:pPr>
            <w:r>
              <w:rPr>
                <w:b/>
                <w:sz w:val="21"/>
              </w:rPr>
              <w:t>8.13</w:t>
            </w:r>
          </w:p>
        </w:tc>
        <w:tc>
          <w:tcPr>
            <w:tcW w:w="1775" w:type="dxa"/>
          </w:tcPr>
          <w:p>
            <w:pPr>
              <w:pStyle w:val="TableParagraph"/>
              <w:spacing w:line="273" w:lineRule="auto" w:before="142"/>
              <w:ind w:left="276" w:right="72"/>
              <w:jc w:val="both"/>
              <w:rPr>
                <w:b/>
                <w:sz w:val="21"/>
              </w:rPr>
            </w:pPr>
            <w:r>
              <w:rPr>
                <w:b/>
                <w:sz w:val="21"/>
              </w:rPr>
              <w:t>感染艾滋病病毒 (HIV 呈阳性) 或患艾滋病 (AIDS)</w:t>
            </w:r>
          </w:p>
        </w:tc>
        <w:tc>
          <w:tcPr>
            <w:tcW w:w="7761" w:type="dxa"/>
          </w:tcPr>
          <w:p>
            <w:pPr>
              <w:pStyle w:val="TableParagraph"/>
              <w:spacing w:line="273" w:lineRule="auto" w:before="142"/>
              <w:ind w:left="76" w:right="307"/>
              <w:jc w:val="both"/>
              <w:rPr>
                <w:sz w:val="21"/>
              </w:rPr>
            </w:pPr>
            <w:r>
              <w:rPr>
                <w:sz w:val="21"/>
              </w:rPr>
              <w:t>艾滋病病毒指人类免疫缺陷病毒，英文缩写为 HIV。艾滋病指人类免疫缺陷病毒引起的获得性免疫缺陷综合征，英文缩写为AIDS。</w:t>
            </w:r>
          </w:p>
          <w:p>
            <w:pPr>
              <w:pStyle w:val="TableParagraph"/>
              <w:spacing w:line="273" w:lineRule="auto" w:before="7"/>
              <w:ind w:left="76" w:right="304"/>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29" w:hRule="atLeast"/>
        </w:trPr>
        <w:tc>
          <w:tcPr>
            <w:tcW w:w="900" w:type="dxa"/>
          </w:tcPr>
          <w:p>
            <w:pPr>
              <w:pStyle w:val="TableParagraph"/>
              <w:spacing w:before="142"/>
              <w:ind w:left="200"/>
              <w:rPr>
                <w:b/>
                <w:sz w:val="21"/>
              </w:rPr>
            </w:pPr>
            <w:r>
              <w:rPr>
                <w:b/>
                <w:sz w:val="21"/>
              </w:rPr>
              <w:t>8.14</w:t>
            </w:r>
          </w:p>
        </w:tc>
        <w:tc>
          <w:tcPr>
            <w:tcW w:w="1775" w:type="dxa"/>
          </w:tcPr>
          <w:p>
            <w:pPr>
              <w:pStyle w:val="TableParagraph"/>
              <w:spacing w:before="142"/>
              <w:ind w:left="276"/>
              <w:rPr>
                <w:b/>
                <w:sz w:val="21"/>
              </w:rPr>
            </w:pPr>
            <w:r>
              <w:rPr>
                <w:b/>
                <w:sz w:val="21"/>
              </w:rPr>
              <w:t>遗传性疾病</w:t>
            </w:r>
          </w:p>
        </w:tc>
        <w:tc>
          <w:tcPr>
            <w:tcW w:w="7761" w:type="dxa"/>
          </w:tcPr>
          <w:p>
            <w:pPr>
              <w:pStyle w:val="TableParagraph"/>
              <w:spacing w:line="310" w:lineRule="atLeast" w:before="107"/>
              <w:ind w:left="76" w:right="121"/>
              <w:rPr>
                <w:sz w:val="21"/>
              </w:rPr>
            </w:pPr>
            <w:r>
              <w:rPr>
                <w:sz w:val="21"/>
              </w:rPr>
              <w:t>指生殖细胞或受精卵的遗传物质（染色体和基因）发生突变或畸变所引起的疾病， 通常具有由亲代传至后代的垂直传递的特征。</w:t>
            </w:r>
          </w:p>
        </w:tc>
      </w:tr>
    </w:tbl>
    <w:p>
      <w:pPr>
        <w:spacing w:after="0" w:line="310" w:lineRule="atLeast"/>
        <w:rPr>
          <w:sz w:val="21"/>
        </w:rPr>
        <w:sectPr>
          <w:pgSz w:w="11910" w:h="16840"/>
          <w:pgMar w:header="892" w:footer="917" w:top="1080" w:bottom="1100" w:left="820" w:right="440"/>
        </w:sectPr>
      </w:pPr>
    </w:p>
    <w:p>
      <w:pPr>
        <w:pStyle w:val="BodyText"/>
        <w:rPr>
          <w:rFonts w:ascii="Times New Roman"/>
          <w:sz w:val="20"/>
        </w:rPr>
      </w:pPr>
    </w:p>
    <w:p>
      <w:pPr>
        <w:pStyle w:val="BodyText"/>
        <w:spacing w:before="8"/>
        <w:rPr>
          <w:rFonts w:ascii="Times New Roman"/>
          <w:sz w:val="19"/>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698"/>
        <w:gridCol w:w="7836"/>
      </w:tblGrid>
      <w:tr>
        <w:trPr>
          <w:trHeight w:val="1342" w:hRule="atLeast"/>
        </w:trPr>
        <w:tc>
          <w:tcPr>
            <w:tcW w:w="900" w:type="dxa"/>
          </w:tcPr>
          <w:p>
            <w:pPr>
              <w:pStyle w:val="TableParagraph"/>
              <w:spacing w:line="211" w:lineRule="exact"/>
              <w:ind w:left="200"/>
              <w:rPr>
                <w:b/>
                <w:sz w:val="21"/>
              </w:rPr>
            </w:pPr>
            <w:r>
              <w:rPr>
                <w:b/>
                <w:sz w:val="21"/>
              </w:rPr>
              <w:t>8.15</w:t>
            </w:r>
          </w:p>
        </w:tc>
        <w:tc>
          <w:tcPr>
            <w:tcW w:w="1698" w:type="dxa"/>
          </w:tcPr>
          <w:p>
            <w:pPr>
              <w:pStyle w:val="TableParagraph"/>
              <w:spacing w:line="211" w:lineRule="exact"/>
              <w:ind w:left="276"/>
              <w:rPr>
                <w:b/>
                <w:sz w:val="21"/>
              </w:rPr>
            </w:pPr>
            <w:r>
              <w:rPr>
                <w:b/>
                <w:sz w:val="21"/>
              </w:rPr>
              <w:t>先天性畸形、</w:t>
            </w:r>
          </w:p>
          <w:p>
            <w:pPr>
              <w:pStyle w:val="TableParagraph"/>
              <w:spacing w:line="273" w:lineRule="auto" w:before="37"/>
              <w:ind w:left="276" w:right="153"/>
              <w:jc w:val="both"/>
              <w:rPr>
                <w:b/>
                <w:sz w:val="21"/>
              </w:rPr>
            </w:pPr>
            <w:r>
              <w:rPr>
                <w:b/>
                <w:sz w:val="21"/>
              </w:rPr>
              <w:t>疾病，先天性变形或染色体异常</w:t>
            </w:r>
          </w:p>
        </w:tc>
        <w:tc>
          <w:tcPr>
            <w:tcW w:w="7836" w:type="dxa"/>
          </w:tcPr>
          <w:p>
            <w:pPr>
              <w:pStyle w:val="TableParagraph"/>
              <w:spacing w:line="211" w:lineRule="exact"/>
              <w:ind w:left="153"/>
              <w:rPr>
                <w:sz w:val="21"/>
              </w:rPr>
            </w:pPr>
            <w:r>
              <w:rPr>
                <w:sz w:val="21"/>
              </w:rPr>
              <w:t>指被保险人出生时就具有的畸形、变形或染色体异常。先天性畸形、变形和染色</w:t>
            </w:r>
          </w:p>
          <w:p>
            <w:pPr>
              <w:pStyle w:val="TableParagraph"/>
              <w:spacing w:before="37"/>
              <w:ind w:left="153"/>
              <w:rPr>
                <w:sz w:val="21"/>
              </w:rPr>
            </w:pPr>
            <w:r>
              <w:rPr>
                <w:spacing w:val="-10"/>
                <w:sz w:val="21"/>
              </w:rPr>
              <w:t>体异常依照世界卫生组织《疾病和有关健康问题的国际统计分类</w:t>
            </w:r>
            <w:r>
              <w:rPr>
                <w:spacing w:val="-173"/>
                <w:sz w:val="21"/>
              </w:rPr>
              <w:t>》</w:t>
            </w:r>
            <w:r>
              <w:rPr>
                <w:spacing w:val="-10"/>
                <w:sz w:val="21"/>
              </w:rPr>
              <w:t>（</w:t>
            </w:r>
            <w:r>
              <w:rPr>
                <w:rFonts w:ascii="Times New Roman" w:eastAsia="Times New Roman"/>
                <w:spacing w:val="-10"/>
                <w:sz w:val="21"/>
              </w:rPr>
              <w:t>ICD-10</w:t>
            </w:r>
            <w:r>
              <w:rPr>
                <w:spacing w:val="-10"/>
                <w:sz w:val="21"/>
              </w:rPr>
              <w:t>）</w:t>
            </w:r>
            <w:r>
              <w:rPr>
                <w:spacing w:val="-2"/>
                <w:sz w:val="21"/>
              </w:rPr>
              <w:t>确定。</w:t>
            </w:r>
          </w:p>
        </w:tc>
      </w:tr>
      <w:tr>
        <w:trPr>
          <w:trHeight w:val="879" w:hRule="atLeast"/>
        </w:trPr>
        <w:tc>
          <w:tcPr>
            <w:tcW w:w="900" w:type="dxa"/>
          </w:tcPr>
          <w:p>
            <w:pPr>
              <w:pStyle w:val="TableParagraph"/>
              <w:spacing w:before="153"/>
              <w:ind w:left="200"/>
              <w:rPr>
                <w:b/>
                <w:sz w:val="21"/>
              </w:rPr>
            </w:pPr>
            <w:r>
              <w:rPr>
                <w:b/>
                <w:sz w:val="21"/>
              </w:rPr>
              <w:t>8.16</w:t>
            </w:r>
          </w:p>
        </w:tc>
        <w:tc>
          <w:tcPr>
            <w:tcW w:w="1698" w:type="dxa"/>
          </w:tcPr>
          <w:p>
            <w:pPr>
              <w:pStyle w:val="TableParagraph"/>
              <w:spacing w:before="153"/>
              <w:ind w:left="276"/>
              <w:rPr>
                <w:b/>
                <w:sz w:val="21"/>
              </w:rPr>
            </w:pPr>
            <w:r>
              <w:rPr>
                <w:b/>
                <w:sz w:val="21"/>
              </w:rPr>
              <w:t>现金价值</w:t>
            </w:r>
          </w:p>
        </w:tc>
        <w:tc>
          <w:tcPr>
            <w:tcW w:w="7836" w:type="dxa"/>
          </w:tcPr>
          <w:p>
            <w:pPr>
              <w:pStyle w:val="TableParagraph"/>
              <w:spacing w:line="237" w:lineRule="auto" w:before="134"/>
              <w:ind w:left="153" w:right="302"/>
              <w:rPr>
                <w:sz w:val="21"/>
              </w:rPr>
            </w:pPr>
            <w:r>
              <w:rPr>
                <w:sz w:val="21"/>
              </w:rPr>
              <w:t>指保险单所具有的价值，通常体现为解除合同时，根据精算原理计算的，由本公司退还的那部分金额。</w:t>
            </w:r>
          </w:p>
        </w:tc>
      </w:tr>
      <w:tr>
        <w:trPr>
          <w:trHeight w:val="2707" w:hRule="atLeast"/>
        </w:trPr>
        <w:tc>
          <w:tcPr>
            <w:tcW w:w="900" w:type="dxa"/>
          </w:tcPr>
          <w:p>
            <w:pPr>
              <w:pStyle w:val="TableParagraph"/>
              <w:spacing w:before="138"/>
              <w:ind w:left="200"/>
              <w:rPr>
                <w:b/>
                <w:sz w:val="21"/>
              </w:rPr>
            </w:pPr>
            <w:r>
              <w:rPr>
                <w:b/>
                <w:sz w:val="21"/>
              </w:rPr>
              <w:t>8.17</w:t>
            </w:r>
          </w:p>
        </w:tc>
        <w:tc>
          <w:tcPr>
            <w:tcW w:w="1698" w:type="dxa"/>
          </w:tcPr>
          <w:p>
            <w:pPr>
              <w:pStyle w:val="TableParagraph"/>
              <w:spacing w:before="138"/>
              <w:ind w:left="276"/>
              <w:rPr>
                <w:b/>
                <w:sz w:val="21"/>
              </w:rPr>
            </w:pPr>
            <w:r>
              <w:rPr>
                <w:b/>
                <w:sz w:val="21"/>
              </w:rPr>
              <w:t>医院</w:t>
            </w:r>
          </w:p>
        </w:tc>
        <w:tc>
          <w:tcPr>
            <w:tcW w:w="7836" w:type="dxa"/>
          </w:tcPr>
          <w:p>
            <w:pPr>
              <w:pStyle w:val="TableParagraph"/>
              <w:spacing w:line="261" w:lineRule="auto" w:before="138"/>
              <w:ind w:left="153" w:right="302"/>
              <w:rPr>
                <w:sz w:val="21"/>
              </w:rPr>
            </w:pPr>
            <w:r>
              <w:rPr>
                <w:sz w:val="21"/>
              </w:rPr>
              <w:t>本公司指定的医院由本公司在保险合同中详细列明，本公司将定期发布当年度指定医院并通知投保人。本公司认可的医院应符合以下所有条件：</w:t>
            </w:r>
          </w:p>
          <w:p>
            <w:pPr>
              <w:pStyle w:val="TableParagraph"/>
              <w:spacing w:before="6"/>
              <w:ind w:left="153"/>
              <w:rPr>
                <w:sz w:val="21"/>
              </w:rPr>
            </w:pPr>
            <w:r>
              <w:rPr>
                <w:sz w:val="21"/>
              </w:rPr>
              <w:t>1、拥有合法经营执照；</w:t>
            </w:r>
          </w:p>
          <w:p>
            <w:pPr>
              <w:pStyle w:val="TableParagraph"/>
              <w:spacing w:before="24"/>
              <w:ind w:left="153"/>
              <w:rPr>
                <w:sz w:val="21"/>
              </w:rPr>
            </w:pPr>
            <w:r>
              <w:rPr>
                <w:sz w:val="21"/>
              </w:rPr>
              <w:t>2、设立的主要目的为受伤者和患病者提供留院治疗和护理；</w:t>
            </w:r>
          </w:p>
          <w:p>
            <w:pPr>
              <w:pStyle w:val="TableParagraph"/>
              <w:spacing w:before="24"/>
              <w:ind w:left="153"/>
              <w:rPr>
                <w:sz w:val="21"/>
              </w:rPr>
            </w:pPr>
            <w:r>
              <w:rPr>
                <w:sz w:val="21"/>
              </w:rPr>
              <w:t>3、有合法职称的专业医生和护士提供全日二十四小时的医疗和护理服务；</w:t>
            </w:r>
          </w:p>
          <w:p>
            <w:pPr>
              <w:pStyle w:val="TableParagraph"/>
              <w:spacing w:line="261" w:lineRule="auto" w:before="25"/>
              <w:ind w:left="153" w:right="198"/>
              <w:rPr>
                <w:sz w:val="21"/>
              </w:rPr>
            </w:pPr>
            <w:r>
              <w:rPr>
                <w:sz w:val="21"/>
              </w:rPr>
              <w:t>4</w:t>
            </w:r>
            <w:r>
              <w:rPr>
                <w:spacing w:val="-15"/>
                <w:sz w:val="21"/>
              </w:rPr>
              <w:t>、具有系统性诊疗等程序或手术设备的综合性医院和专科医院，但不包括观察室、</w:t>
            </w:r>
            <w:r>
              <w:rPr>
                <w:spacing w:val="-7"/>
                <w:sz w:val="21"/>
              </w:rPr>
              <w:t>联合病房、精神病院和康复病房；</w:t>
            </w:r>
          </w:p>
          <w:p>
            <w:pPr>
              <w:pStyle w:val="TableParagraph"/>
              <w:spacing w:before="6"/>
              <w:ind w:left="153"/>
              <w:rPr>
                <w:sz w:val="21"/>
              </w:rPr>
            </w:pPr>
            <w:r>
              <w:rPr>
                <w:sz w:val="21"/>
              </w:rPr>
              <w:t>5、非主要作为康复医院、诊所、护理、疗养、戒酒、戒毒或类似的医疗机构。</w:t>
            </w:r>
          </w:p>
        </w:tc>
      </w:tr>
      <w:tr>
        <w:trPr>
          <w:trHeight w:val="1799" w:hRule="atLeast"/>
        </w:trPr>
        <w:tc>
          <w:tcPr>
            <w:tcW w:w="900" w:type="dxa"/>
          </w:tcPr>
          <w:p>
            <w:pPr>
              <w:pStyle w:val="TableParagraph"/>
              <w:spacing w:before="130"/>
              <w:ind w:left="200"/>
              <w:rPr>
                <w:b/>
                <w:sz w:val="21"/>
              </w:rPr>
            </w:pPr>
            <w:r>
              <w:rPr>
                <w:b/>
                <w:sz w:val="21"/>
              </w:rPr>
              <w:t>8.18</w:t>
            </w:r>
          </w:p>
        </w:tc>
        <w:tc>
          <w:tcPr>
            <w:tcW w:w="1698" w:type="dxa"/>
          </w:tcPr>
          <w:p>
            <w:pPr>
              <w:pStyle w:val="TableParagraph"/>
              <w:spacing w:before="130"/>
              <w:ind w:left="276"/>
              <w:rPr>
                <w:b/>
                <w:sz w:val="21"/>
              </w:rPr>
            </w:pPr>
            <w:r>
              <w:rPr>
                <w:b/>
                <w:sz w:val="21"/>
              </w:rPr>
              <w:t>专科医生</w:t>
            </w:r>
          </w:p>
        </w:tc>
        <w:tc>
          <w:tcPr>
            <w:tcW w:w="7836" w:type="dxa"/>
          </w:tcPr>
          <w:p>
            <w:pPr>
              <w:pStyle w:val="TableParagraph"/>
              <w:spacing w:before="130"/>
              <w:ind w:left="153"/>
              <w:rPr>
                <w:sz w:val="21"/>
              </w:rPr>
            </w:pPr>
            <w:r>
              <w:rPr>
                <w:sz w:val="21"/>
              </w:rPr>
              <w:t>专科医生应当同时满足以下四项资格条件：</w:t>
            </w:r>
          </w:p>
          <w:p>
            <w:pPr>
              <w:pStyle w:val="TableParagraph"/>
              <w:spacing w:line="261" w:lineRule="auto" w:before="24"/>
              <w:ind w:left="153" w:right="302"/>
              <w:jc w:val="both"/>
              <w:rPr>
                <w:sz w:val="21"/>
              </w:rPr>
            </w:pPr>
            <w:r>
              <w:rPr>
                <w:w w:val="100"/>
                <w:sz w:val="21"/>
              </w:rPr>
              <w:t>（1）</w:t>
            </w:r>
            <w:r>
              <w:rPr>
                <w:spacing w:val="-14"/>
                <w:w w:val="100"/>
                <w:sz w:val="21"/>
              </w:rPr>
              <w:t>具有有效的中华人民共和国《医师资格证书》；</w:t>
            </w:r>
            <w:r>
              <w:rPr>
                <w:w w:val="100"/>
                <w:sz w:val="21"/>
              </w:rPr>
              <w:t>（2）</w:t>
            </w:r>
            <w:r>
              <w:rPr>
                <w:spacing w:val="-3"/>
                <w:w w:val="100"/>
                <w:sz w:val="21"/>
              </w:rPr>
              <w:t>具有有效的中华人民共</w:t>
            </w:r>
            <w:r>
              <w:rPr>
                <w:spacing w:val="-14"/>
                <w:w w:val="100"/>
                <w:sz w:val="21"/>
              </w:rPr>
              <w:t>和国《医师执业证书》，并按期到相关部门登记注册</w:t>
            </w:r>
            <w:r>
              <w:rPr>
                <w:spacing w:val="-130"/>
                <w:w w:val="100"/>
                <w:sz w:val="21"/>
              </w:rPr>
              <w:t>；</w:t>
            </w:r>
            <w:r>
              <w:rPr>
                <w:w w:val="100"/>
                <w:sz w:val="21"/>
              </w:rPr>
              <w:t>（3</w:t>
            </w:r>
            <w:r>
              <w:rPr>
                <w:spacing w:val="-22"/>
                <w:w w:val="100"/>
                <w:sz w:val="21"/>
              </w:rPr>
              <w:t>）</w:t>
            </w:r>
            <w:r>
              <w:rPr>
                <w:spacing w:val="-3"/>
                <w:w w:val="100"/>
                <w:sz w:val="21"/>
              </w:rPr>
              <w:t>具有有效的中华人民共</w:t>
            </w:r>
            <w:r>
              <w:rPr>
                <w:spacing w:val="-10"/>
                <w:w w:val="100"/>
                <w:sz w:val="21"/>
              </w:rPr>
              <w:t>和国主治医师或主治医师以上职称的《医师职称证书》</w:t>
            </w:r>
            <w:r>
              <w:rPr>
                <w:spacing w:val="-135"/>
                <w:w w:val="100"/>
                <w:sz w:val="21"/>
              </w:rPr>
              <w:t>；</w:t>
            </w:r>
            <w:r>
              <w:rPr>
                <w:w w:val="100"/>
                <w:sz w:val="21"/>
              </w:rPr>
              <w:t>（</w:t>
            </w:r>
            <w:r>
              <w:rPr>
                <w:spacing w:val="-4"/>
                <w:w w:val="100"/>
                <w:sz w:val="21"/>
              </w:rPr>
              <w:t>4</w:t>
            </w:r>
            <w:r>
              <w:rPr>
                <w:spacing w:val="-27"/>
                <w:w w:val="100"/>
                <w:sz w:val="21"/>
              </w:rPr>
              <w:t>）</w:t>
            </w:r>
            <w:r>
              <w:rPr>
                <w:spacing w:val="-3"/>
                <w:w w:val="100"/>
                <w:sz w:val="21"/>
              </w:rPr>
              <w:t>在二级或二级以上医</w:t>
            </w:r>
            <w:r>
              <w:rPr>
                <w:spacing w:val="-3"/>
                <w:sz w:val="21"/>
              </w:rPr>
              <w:t>院的相应科室从事临床工作三年以上。</w:t>
            </w:r>
          </w:p>
        </w:tc>
      </w:tr>
      <w:tr>
        <w:trPr>
          <w:trHeight w:val="1200" w:hRule="atLeast"/>
        </w:trPr>
        <w:tc>
          <w:tcPr>
            <w:tcW w:w="900" w:type="dxa"/>
          </w:tcPr>
          <w:p>
            <w:pPr>
              <w:pStyle w:val="TableParagraph"/>
              <w:spacing w:before="130"/>
              <w:ind w:left="200"/>
              <w:rPr>
                <w:b/>
                <w:sz w:val="21"/>
              </w:rPr>
            </w:pPr>
            <w:r>
              <w:rPr>
                <w:b/>
                <w:sz w:val="21"/>
              </w:rPr>
              <w:t>8.19</w:t>
            </w:r>
          </w:p>
        </w:tc>
        <w:tc>
          <w:tcPr>
            <w:tcW w:w="1698" w:type="dxa"/>
          </w:tcPr>
          <w:p>
            <w:pPr>
              <w:pStyle w:val="TableParagraph"/>
              <w:spacing w:before="130"/>
              <w:ind w:left="276"/>
              <w:rPr>
                <w:b/>
                <w:sz w:val="21"/>
              </w:rPr>
            </w:pPr>
            <w:r>
              <w:rPr>
                <w:b/>
                <w:sz w:val="21"/>
              </w:rPr>
              <w:t>利率</w:t>
            </w:r>
          </w:p>
        </w:tc>
        <w:tc>
          <w:tcPr>
            <w:tcW w:w="7836" w:type="dxa"/>
          </w:tcPr>
          <w:p>
            <w:pPr>
              <w:pStyle w:val="TableParagraph"/>
              <w:spacing w:line="261" w:lineRule="auto" w:before="130"/>
              <w:ind w:left="153" w:right="324"/>
              <w:jc w:val="both"/>
              <w:rPr>
                <w:sz w:val="21"/>
              </w:rPr>
            </w:pPr>
            <w:r>
              <w:rPr>
                <w:spacing w:val="-4"/>
                <w:sz w:val="21"/>
              </w:rPr>
              <w:t>借款利率、自动垫缴保险费利率、欠缴保险费利率由我们参照中国人民银行最近</w:t>
            </w:r>
            <w:r>
              <w:rPr>
                <w:spacing w:val="-6"/>
                <w:sz w:val="21"/>
              </w:rPr>
              <w:t>一次规定的六个月期人民币贷款利率作相应浮动，在每年的 </w:t>
            </w:r>
            <w:r>
              <w:rPr>
                <w:sz w:val="21"/>
              </w:rPr>
              <w:t>1</w:t>
            </w:r>
            <w:r>
              <w:rPr>
                <w:spacing w:val="-34"/>
                <w:sz w:val="21"/>
              </w:rPr>
              <w:t> 月 </w:t>
            </w:r>
            <w:r>
              <w:rPr>
                <w:sz w:val="21"/>
              </w:rPr>
              <w:t>1</w:t>
            </w:r>
            <w:r>
              <w:rPr>
                <w:spacing w:val="-26"/>
                <w:sz w:val="21"/>
              </w:rPr>
              <w:t> 日和 </w:t>
            </w:r>
            <w:r>
              <w:rPr>
                <w:sz w:val="21"/>
              </w:rPr>
              <w:t>7</w:t>
            </w:r>
            <w:r>
              <w:rPr>
                <w:spacing w:val="-35"/>
                <w:sz w:val="21"/>
              </w:rPr>
              <w:t> 月 </w:t>
            </w:r>
            <w:r>
              <w:rPr>
                <w:sz w:val="21"/>
              </w:rPr>
              <w:t>1</w:t>
            </w:r>
            <w:r>
              <w:rPr>
                <w:spacing w:val="-25"/>
                <w:sz w:val="21"/>
              </w:rPr>
              <w:t> 日</w:t>
            </w:r>
            <w:r>
              <w:rPr>
                <w:spacing w:val="-8"/>
                <w:sz w:val="21"/>
              </w:rPr>
              <w:t>确定并以适当方式公布。</w:t>
            </w:r>
          </w:p>
        </w:tc>
      </w:tr>
      <w:tr>
        <w:trPr>
          <w:trHeight w:val="405" w:hRule="atLeast"/>
        </w:trPr>
        <w:tc>
          <w:tcPr>
            <w:tcW w:w="900" w:type="dxa"/>
          </w:tcPr>
          <w:p>
            <w:pPr>
              <w:pStyle w:val="TableParagraph"/>
              <w:spacing w:line="255" w:lineRule="exact" w:before="130"/>
              <w:ind w:left="200"/>
              <w:rPr>
                <w:b/>
                <w:sz w:val="21"/>
              </w:rPr>
            </w:pPr>
            <w:r>
              <w:rPr>
                <w:b/>
                <w:sz w:val="21"/>
              </w:rPr>
              <w:t>8.20</w:t>
            </w:r>
          </w:p>
        </w:tc>
        <w:tc>
          <w:tcPr>
            <w:tcW w:w="1698" w:type="dxa"/>
          </w:tcPr>
          <w:p>
            <w:pPr>
              <w:pStyle w:val="TableParagraph"/>
              <w:spacing w:line="255" w:lineRule="exact" w:before="130"/>
              <w:ind w:left="276"/>
              <w:rPr>
                <w:b/>
                <w:sz w:val="21"/>
              </w:rPr>
            </w:pPr>
            <w:r>
              <w:rPr>
                <w:b/>
                <w:sz w:val="21"/>
              </w:rPr>
              <w:t>危险保费</w:t>
            </w:r>
          </w:p>
        </w:tc>
        <w:tc>
          <w:tcPr>
            <w:tcW w:w="7836" w:type="dxa"/>
          </w:tcPr>
          <w:p>
            <w:pPr>
              <w:pStyle w:val="TableParagraph"/>
              <w:spacing w:line="255" w:lineRule="exact" w:before="130"/>
              <w:ind w:left="153"/>
              <w:rPr>
                <w:sz w:val="21"/>
              </w:rPr>
            </w:pPr>
            <w:r>
              <w:rPr>
                <w:sz w:val="21"/>
              </w:rPr>
              <w:t>合同效力中止期间我们因不承担保险责任而应该返还给投保人的部分保险费。</w:t>
            </w:r>
          </w:p>
        </w:tc>
      </w:tr>
    </w:tbl>
    <w:sectPr>
      <w:pgSz w:w="11910" w:h="16840"/>
      <w:pgMar w:header="892" w:footer="917" w:top="1080" w:bottom="1100" w:left="82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799988pt;margin-top:781.059937pt;width:24.15pt;height:12pt;mso-position-horizontal-relative:page;mso-position-vertical-relative:page;z-index:-91768" type="#_x0000_t202" filled="false" stroked="false">
          <v:textbox inset="0,0,0,0">
            <w:txbxContent>
              <w:p>
                <w:pPr>
                  <w:spacing w:before="12"/>
                  <w:ind w:left="20" w:right="0" w:firstLine="0"/>
                  <w:jc w:val="left"/>
                  <w:rPr>
                    <w:rFonts w:ascii="Times New Roman"/>
                    <w:sz w:val="18"/>
                  </w:rPr>
                </w:pPr>
                <w:r>
                  <w:rPr>
                    <w:rFonts w:ascii="Times New Roman"/>
                    <w:sz w:val="18"/>
                  </w:rPr>
                  <w:t>30-</w:t>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792" from="63.720001pt,54.239983pt" to="542.880001pt,54.239983pt" stroked="true" strokeweight=".72pt" strokecolor="#000000">
          <v:stroke dashstyle="solid"/>
          <w10:wrap type="non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30" w:hanging="423"/>
        <w:jc w:val="left"/>
      </w:pPr>
      <w:rPr>
        <w:rFonts w:hint="default" w:ascii="宋体" w:hAnsi="宋体" w:eastAsia="宋体" w:cs="宋体"/>
        <w:w w:val="100"/>
        <w:sz w:val="21"/>
        <w:szCs w:val="21"/>
      </w:rPr>
    </w:lvl>
    <w:lvl w:ilvl="1">
      <w:start w:val="0"/>
      <w:numFmt w:val="bullet"/>
      <w:lvlText w:val="•"/>
      <w:lvlJc w:val="left"/>
      <w:pPr>
        <w:ind w:left="1247" w:hanging="423"/>
      </w:pPr>
      <w:rPr>
        <w:rFonts w:hint="default"/>
      </w:rPr>
    </w:lvl>
    <w:lvl w:ilvl="2">
      <w:start w:val="0"/>
      <w:numFmt w:val="bullet"/>
      <w:lvlText w:val="•"/>
      <w:lvlJc w:val="left"/>
      <w:pPr>
        <w:ind w:left="1955" w:hanging="423"/>
      </w:pPr>
      <w:rPr>
        <w:rFonts w:hint="default"/>
      </w:rPr>
    </w:lvl>
    <w:lvl w:ilvl="3">
      <w:start w:val="0"/>
      <w:numFmt w:val="bullet"/>
      <w:lvlText w:val="•"/>
      <w:lvlJc w:val="left"/>
      <w:pPr>
        <w:ind w:left="2663" w:hanging="423"/>
      </w:pPr>
      <w:rPr>
        <w:rFonts w:hint="default"/>
      </w:rPr>
    </w:lvl>
    <w:lvl w:ilvl="4">
      <w:start w:val="0"/>
      <w:numFmt w:val="bullet"/>
      <w:lvlText w:val="•"/>
      <w:lvlJc w:val="left"/>
      <w:pPr>
        <w:ind w:left="3370" w:hanging="423"/>
      </w:pPr>
      <w:rPr>
        <w:rFonts w:hint="default"/>
      </w:rPr>
    </w:lvl>
    <w:lvl w:ilvl="5">
      <w:start w:val="0"/>
      <w:numFmt w:val="bullet"/>
      <w:lvlText w:val="•"/>
      <w:lvlJc w:val="left"/>
      <w:pPr>
        <w:ind w:left="4078" w:hanging="423"/>
      </w:pPr>
      <w:rPr>
        <w:rFonts w:hint="default"/>
      </w:rPr>
    </w:lvl>
    <w:lvl w:ilvl="6">
      <w:start w:val="0"/>
      <w:numFmt w:val="bullet"/>
      <w:lvlText w:val="•"/>
      <w:lvlJc w:val="left"/>
      <w:pPr>
        <w:ind w:left="4786" w:hanging="423"/>
      </w:pPr>
      <w:rPr>
        <w:rFonts w:hint="default"/>
      </w:rPr>
    </w:lvl>
    <w:lvl w:ilvl="7">
      <w:start w:val="0"/>
      <w:numFmt w:val="bullet"/>
      <w:lvlText w:val="•"/>
      <w:lvlJc w:val="left"/>
      <w:pPr>
        <w:ind w:left="5493" w:hanging="423"/>
      </w:pPr>
      <w:rPr>
        <w:rFonts w:hint="default"/>
      </w:rPr>
    </w:lvl>
    <w:lvl w:ilvl="8">
      <w:start w:val="0"/>
      <w:numFmt w:val="bullet"/>
      <w:lvlText w:val="•"/>
      <w:lvlJc w:val="left"/>
      <w:pPr>
        <w:ind w:left="6201" w:hanging="423"/>
      </w:pPr>
      <w:rPr>
        <w:rFonts w:hint="default"/>
      </w:rPr>
    </w:lvl>
  </w:abstractNum>
  <w:abstractNum w:abstractNumId="10">
    <w:multiLevelType w:val="hybridMultilevel"/>
    <w:lvl w:ilvl="0">
      <w:start w:val="1"/>
      <w:numFmt w:val="decimal"/>
      <w:lvlText w:val="(%1)"/>
      <w:lvlJc w:val="left"/>
      <w:pPr>
        <w:ind w:left="107" w:hanging="423"/>
        <w:jc w:val="left"/>
      </w:pPr>
      <w:rPr>
        <w:rFonts w:hint="default" w:ascii="宋体" w:hAnsi="宋体" w:eastAsia="宋体" w:cs="宋体"/>
        <w:w w:val="100"/>
        <w:sz w:val="21"/>
        <w:szCs w:val="21"/>
      </w:rPr>
    </w:lvl>
    <w:lvl w:ilvl="1">
      <w:start w:val="0"/>
      <w:numFmt w:val="bullet"/>
      <w:lvlText w:val="•"/>
      <w:lvlJc w:val="left"/>
      <w:pPr>
        <w:ind w:left="851" w:hanging="423"/>
      </w:pPr>
      <w:rPr>
        <w:rFonts w:hint="default"/>
      </w:rPr>
    </w:lvl>
    <w:lvl w:ilvl="2">
      <w:start w:val="0"/>
      <w:numFmt w:val="bullet"/>
      <w:lvlText w:val="•"/>
      <w:lvlJc w:val="left"/>
      <w:pPr>
        <w:ind w:left="1603" w:hanging="423"/>
      </w:pPr>
      <w:rPr>
        <w:rFonts w:hint="default"/>
      </w:rPr>
    </w:lvl>
    <w:lvl w:ilvl="3">
      <w:start w:val="0"/>
      <w:numFmt w:val="bullet"/>
      <w:lvlText w:val="•"/>
      <w:lvlJc w:val="left"/>
      <w:pPr>
        <w:ind w:left="2355" w:hanging="423"/>
      </w:pPr>
      <w:rPr>
        <w:rFonts w:hint="default"/>
      </w:rPr>
    </w:lvl>
    <w:lvl w:ilvl="4">
      <w:start w:val="0"/>
      <w:numFmt w:val="bullet"/>
      <w:lvlText w:val="•"/>
      <w:lvlJc w:val="left"/>
      <w:pPr>
        <w:ind w:left="3106" w:hanging="423"/>
      </w:pPr>
      <w:rPr>
        <w:rFonts w:hint="default"/>
      </w:rPr>
    </w:lvl>
    <w:lvl w:ilvl="5">
      <w:start w:val="0"/>
      <w:numFmt w:val="bullet"/>
      <w:lvlText w:val="•"/>
      <w:lvlJc w:val="left"/>
      <w:pPr>
        <w:ind w:left="3858" w:hanging="423"/>
      </w:pPr>
      <w:rPr>
        <w:rFonts w:hint="default"/>
      </w:rPr>
    </w:lvl>
    <w:lvl w:ilvl="6">
      <w:start w:val="0"/>
      <w:numFmt w:val="bullet"/>
      <w:lvlText w:val="•"/>
      <w:lvlJc w:val="left"/>
      <w:pPr>
        <w:ind w:left="4610" w:hanging="423"/>
      </w:pPr>
      <w:rPr>
        <w:rFonts w:hint="default"/>
      </w:rPr>
    </w:lvl>
    <w:lvl w:ilvl="7">
      <w:start w:val="0"/>
      <w:numFmt w:val="bullet"/>
      <w:lvlText w:val="•"/>
      <w:lvlJc w:val="left"/>
      <w:pPr>
        <w:ind w:left="5361" w:hanging="423"/>
      </w:pPr>
      <w:rPr>
        <w:rFonts w:hint="default"/>
      </w:rPr>
    </w:lvl>
    <w:lvl w:ilvl="8">
      <w:start w:val="0"/>
      <w:numFmt w:val="bullet"/>
      <w:lvlText w:val="•"/>
      <w:lvlJc w:val="left"/>
      <w:pPr>
        <w:ind w:left="6113" w:hanging="423"/>
      </w:pPr>
      <w:rPr>
        <w:rFonts w:hint="default"/>
      </w:rPr>
    </w:lvl>
  </w:abstractNum>
  <w:abstractNum w:abstractNumId="9">
    <w:multiLevelType w:val="hybridMultilevel"/>
    <w:lvl w:ilvl="0">
      <w:start w:val="1"/>
      <w:numFmt w:val="decimal"/>
      <w:lvlText w:val="（%1）"/>
      <w:lvlJc w:val="left"/>
      <w:pPr>
        <w:ind w:left="107" w:hanging="632"/>
        <w:jc w:val="left"/>
      </w:pPr>
      <w:rPr>
        <w:rFonts w:hint="default" w:ascii="宋体" w:hAnsi="宋体" w:eastAsia="宋体" w:cs="宋体"/>
        <w:w w:val="100"/>
        <w:sz w:val="21"/>
        <w:szCs w:val="21"/>
      </w:rPr>
    </w:lvl>
    <w:lvl w:ilvl="1">
      <w:start w:val="0"/>
      <w:numFmt w:val="bullet"/>
      <w:lvlText w:val="•"/>
      <w:lvlJc w:val="left"/>
      <w:pPr>
        <w:ind w:left="874" w:hanging="632"/>
      </w:pPr>
      <w:rPr>
        <w:rFonts w:hint="default"/>
      </w:rPr>
    </w:lvl>
    <w:lvl w:ilvl="2">
      <w:start w:val="0"/>
      <w:numFmt w:val="bullet"/>
      <w:lvlText w:val="•"/>
      <w:lvlJc w:val="left"/>
      <w:pPr>
        <w:ind w:left="1648" w:hanging="632"/>
      </w:pPr>
      <w:rPr>
        <w:rFonts w:hint="default"/>
      </w:rPr>
    </w:lvl>
    <w:lvl w:ilvl="3">
      <w:start w:val="0"/>
      <w:numFmt w:val="bullet"/>
      <w:lvlText w:val="•"/>
      <w:lvlJc w:val="left"/>
      <w:pPr>
        <w:ind w:left="2422" w:hanging="632"/>
      </w:pPr>
      <w:rPr>
        <w:rFonts w:hint="default"/>
      </w:rPr>
    </w:lvl>
    <w:lvl w:ilvl="4">
      <w:start w:val="0"/>
      <w:numFmt w:val="bullet"/>
      <w:lvlText w:val="•"/>
      <w:lvlJc w:val="left"/>
      <w:pPr>
        <w:ind w:left="3196" w:hanging="632"/>
      </w:pPr>
      <w:rPr>
        <w:rFonts w:hint="default"/>
      </w:rPr>
    </w:lvl>
    <w:lvl w:ilvl="5">
      <w:start w:val="0"/>
      <w:numFmt w:val="bullet"/>
      <w:lvlText w:val="•"/>
      <w:lvlJc w:val="left"/>
      <w:pPr>
        <w:ind w:left="3970" w:hanging="632"/>
      </w:pPr>
      <w:rPr>
        <w:rFonts w:hint="default"/>
      </w:rPr>
    </w:lvl>
    <w:lvl w:ilvl="6">
      <w:start w:val="0"/>
      <w:numFmt w:val="bullet"/>
      <w:lvlText w:val="•"/>
      <w:lvlJc w:val="left"/>
      <w:pPr>
        <w:ind w:left="4744" w:hanging="632"/>
      </w:pPr>
      <w:rPr>
        <w:rFonts w:hint="default"/>
      </w:rPr>
    </w:lvl>
    <w:lvl w:ilvl="7">
      <w:start w:val="0"/>
      <w:numFmt w:val="bullet"/>
      <w:lvlText w:val="•"/>
      <w:lvlJc w:val="left"/>
      <w:pPr>
        <w:ind w:left="5518" w:hanging="632"/>
      </w:pPr>
      <w:rPr>
        <w:rFonts w:hint="default"/>
      </w:rPr>
    </w:lvl>
    <w:lvl w:ilvl="8">
      <w:start w:val="0"/>
      <w:numFmt w:val="bullet"/>
      <w:lvlText w:val="•"/>
      <w:lvlJc w:val="left"/>
      <w:pPr>
        <w:ind w:left="6292" w:hanging="632"/>
      </w:pPr>
      <w:rPr>
        <w:rFonts w:hint="default"/>
      </w:rPr>
    </w:lvl>
  </w:abstractNum>
  <w:abstractNum w:abstractNumId="8">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450" w:hanging="632"/>
      </w:pPr>
      <w:rPr>
        <w:rFonts w:hint="default"/>
      </w:rPr>
    </w:lvl>
    <w:lvl w:ilvl="2">
      <w:start w:val="0"/>
      <w:numFmt w:val="bullet"/>
      <w:lvlText w:val="•"/>
      <w:lvlJc w:val="left"/>
      <w:pPr>
        <w:ind w:left="2160" w:hanging="632"/>
      </w:pPr>
      <w:rPr>
        <w:rFonts w:hint="default"/>
      </w:rPr>
    </w:lvl>
    <w:lvl w:ilvl="3">
      <w:start w:val="0"/>
      <w:numFmt w:val="bullet"/>
      <w:lvlText w:val="•"/>
      <w:lvlJc w:val="left"/>
      <w:pPr>
        <w:ind w:left="2870" w:hanging="632"/>
      </w:pPr>
      <w:rPr>
        <w:rFonts w:hint="default"/>
      </w:rPr>
    </w:lvl>
    <w:lvl w:ilvl="4">
      <w:start w:val="0"/>
      <w:numFmt w:val="bullet"/>
      <w:lvlText w:val="•"/>
      <w:lvlJc w:val="left"/>
      <w:pPr>
        <w:ind w:left="3580" w:hanging="632"/>
      </w:pPr>
      <w:rPr>
        <w:rFonts w:hint="default"/>
      </w:rPr>
    </w:lvl>
    <w:lvl w:ilvl="5">
      <w:start w:val="0"/>
      <w:numFmt w:val="bullet"/>
      <w:lvlText w:val="•"/>
      <w:lvlJc w:val="left"/>
      <w:pPr>
        <w:ind w:left="4290" w:hanging="632"/>
      </w:pPr>
      <w:rPr>
        <w:rFonts w:hint="default"/>
      </w:rPr>
    </w:lvl>
    <w:lvl w:ilvl="6">
      <w:start w:val="0"/>
      <w:numFmt w:val="bullet"/>
      <w:lvlText w:val="•"/>
      <w:lvlJc w:val="left"/>
      <w:pPr>
        <w:ind w:left="5000" w:hanging="632"/>
      </w:pPr>
      <w:rPr>
        <w:rFonts w:hint="default"/>
      </w:rPr>
    </w:lvl>
    <w:lvl w:ilvl="7">
      <w:start w:val="0"/>
      <w:numFmt w:val="bullet"/>
      <w:lvlText w:val="•"/>
      <w:lvlJc w:val="left"/>
      <w:pPr>
        <w:ind w:left="5710" w:hanging="632"/>
      </w:pPr>
      <w:rPr>
        <w:rFonts w:hint="default"/>
      </w:rPr>
    </w:lvl>
    <w:lvl w:ilvl="8">
      <w:start w:val="0"/>
      <w:numFmt w:val="bullet"/>
      <w:lvlText w:val="•"/>
      <w:lvlJc w:val="left"/>
      <w:pPr>
        <w:ind w:left="6420" w:hanging="632"/>
      </w:pPr>
      <w:rPr>
        <w:rFonts w:hint="default"/>
      </w:rPr>
    </w:lvl>
  </w:abstractNum>
  <w:abstractNum w:abstractNumId="7">
    <w:multiLevelType w:val="hybridMultilevel"/>
    <w:lvl w:ilvl="0">
      <w:start w:val="1"/>
      <w:numFmt w:val="decimal"/>
      <w:lvlText w:val="（%1）"/>
      <w:lvlJc w:val="left"/>
      <w:pPr>
        <w:ind w:left="739" w:hanging="632"/>
        <w:jc w:val="left"/>
      </w:pPr>
      <w:rPr>
        <w:rFonts w:hint="default" w:ascii="宋体" w:hAnsi="宋体" w:eastAsia="宋体" w:cs="宋体"/>
        <w:w w:val="100"/>
        <w:sz w:val="21"/>
        <w:szCs w:val="21"/>
      </w:rPr>
    </w:lvl>
    <w:lvl w:ilvl="1">
      <w:start w:val="0"/>
      <w:numFmt w:val="bullet"/>
      <w:lvlText w:val="•"/>
      <w:lvlJc w:val="left"/>
      <w:pPr>
        <w:ind w:left="1449" w:hanging="632"/>
      </w:pPr>
      <w:rPr>
        <w:rFonts w:hint="default"/>
      </w:rPr>
    </w:lvl>
    <w:lvl w:ilvl="2">
      <w:start w:val="0"/>
      <w:numFmt w:val="bullet"/>
      <w:lvlText w:val="•"/>
      <w:lvlJc w:val="left"/>
      <w:pPr>
        <w:ind w:left="2159" w:hanging="632"/>
      </w:pPr>
      <w:rPr>
        <w:rFonts w:hint="default"/>
      </w:rPr>
    </w:lvl>
    <w:lvl w:ilvl="3">
      <w:start w:val="0"/>
      <w:numFmt w:val="bullet"/>
      <w:lvlText w:val="•"/>
      <w:lvlJc w:val="left"/>
      <w:pPr>
        <w:ind w:left="2869" w:hanging="632"/>
      </w:pPr>
      <w:rPr>
        <w:rFonts w:hint="default"/>
      </w:rPr>
    </w:lvl>
    <w:lvl w:ilvl="4">
      <w:start w:val="0"/>
      <w:numFmt w:val="bullet"/>
      <w:lvlText w:val="•"/>
      <w:lvlJc w:val="left"/>
      <w:pPr>
        <w:ind w:left="3579" w:hanging="632"/>
      </w:pPr>
      <w:rPr>
        <w:rFonts w:hint="default"/>
      </w:rPr>
    </w:lvl>
    <w:lvl w:ilvl="5">
      <w:start w:val="0"/>
      <w:numFmt w:val="bullet"/>
      <w:lvlText w:val="•"/>
      <w:lvlJc w:val="left"/>
      <w:pPr>
        <w:ind w:left="4289" w:hanging="632"/>
      </w:pPr>
      <w:rPr>
        <w:rFonts w:hint="default"/>
      </w:rPr>
    </w:lvl>
    <w:lvl w:ilvl="6">
      <w:start w:val="0"/>
      <w:numFmt w:val="bullet"/>
      <w:lvlText w:val="•"/>
      <w:lvlJc w:val="left"/>
      <w:pPr>
        <w:ind w:left="4998" w:hanging="632"/>
      </w:pPr>
      <w:rPr>
        <w:rFonts w:hint="default"/>
      </w:rPr>
    </w:lvl>
    <w:lvl w:ilvl="7">
      <w:start w:val="0"/>
      <w:numFmt w:val="bullet"/>
      <w:lvlText w:val="•"/>
      <w:lvlJc w:val="left"/>
      <w:pPr>
        <w:ind w:left="5708" w:hanging="632"/>
      </w:pPr>
      <w:rPr>
        <w:rFonts w:hint="default"/>
      </w:rPr>
    </w:lvl>
    <w:lvl w:ilvl="8">
      <w:start w:val="0"/>
      <w:numFmt w:val="bullet"/>
      <w:lvlText w:val="•"/>
      <w:lvlJc w:val="left"/>
      <w:pPr>
        <w:ind w:left="6418" w:hanging="632"/>
      </w:pPr>
      <w:rPr>
        <w:rFonts w:hint="default"/>
      </w:rPr>
    </w:lvl>
  </w:abstractNum>
  <w:abstractNum w:abstractNumId="6">
    <w:multiLevelType w:val="hybridMultilevel"/>
    <w:lvl w:ilvl="0">
      <w:start w:val="1"/>
      <w:numFmt w:val="decimal"/>
      <w:lvlText w:val="%1"/>
      <w:lvlJc w:val="left"/>
      <w:pPr>
        <w:ind w:left="131" w:hanging="317"/>
        <w:jc w:val="left"/>
      </w:pPr>
      <w:rPr>
        <w:rFonts w:hint="default"/>
      </w:rPr>
    </w:lvl>
    <w:lvl w:ilvl="1">
      <w:start w:val="1"/>
      <w:numFmt w:val="decimal"/>
      <w:lvlText w:val="%1.%2"/>
      <w:lvlJc w:val="left"/>
      <w:pPr>
        <w:ind w:left="131" w:hanging="317"/>
        <w:jc w:val="left"/>
      </w:pPr>
      <w:rPr>
        <w:rFonts w:hint="default" w:ascii="Times New Roman" w:hAnsi="Times New Roman" w:eastAsia="Times New Roman" w:cs="Times New Roman"/>
        <w:w w:val="100"/>
        <w:sz w:val="21"/>
        <w:szCs w:val="21"/>
      </w:rPr>
    </w:lvl>
    <w:lvl w:ilvl="2">
      <w:start w:val="0"/>
      <w:numFmt w:val="bullet"/>
      <w:lvlText w:val="•"/>
      <w:lvlJc w:val="left"/>
      <w:pPr>
        <w:ind w:left="1664" w:hanging="317"/>
      </w:pPr>
      <w:rPr>
        <w:rFonts w:hint="default"/>
      </w:rPr>
    </w:lvl>
    <w:lvl w:ilvl="3">
      <w:start w:val="0"/>
      <w:numFmt w:val="bullet"/>
      <w:lvlText w:val="•"/>
      <w:lvlJc w:val="left"/>
      <w:pPr>
        <w:ind w:left="2426" w:hanging="317"/>
      </w:pPr>
      <w:rPr>
        <w:rFonts w:hint="default"/>
      </w:rPr>
    </w:lvl>
    <w:lvl w:ilvl="4">
      <w:start w:val="0"/>
      <w:numFmt w:val="bullet"/>
      <w:lvlText w:val="•"/>
      <w:lvlJc w:val="left"/>
      <w:pPr>
        <w:ind w:left="3188" w:hanging="317"/>
      </w:pPr>
      <w:rPr>
        <w:rFonts w:hint="default"/>
      </w:rPr>
    </w:lvl>
    <w:lvl w:ilvl="5">
      <w:start w:val="0"/>
      <w:numFmt w:val="bullet"/>
      <w:lvlText w:val="•"/>
      <w:lvlJc w:val="left"/>
      <w:pPr>
        <w:ind w:left="3950" w:hanging="317"/>
      </w:pPr>
      <w:rPr>
        <w:rFonts w:hint="default"/>
      </w:rPr>
    </w:lvl>
    <w:lvl w:ilvl="6">
      <w:start w:val="0"/>
      <w:numFmt w:val="bullet"/>
      <w:lvlText w:val="•"/>
      <w:lvlJc w:val="left"/>
      <w:pPr>
        <w:ind w:left="4712" w:hanging="317"/>
      </w:pPr>
      <w:rPr>
        <w:rFonts w:hint="default"/>
      </w:rPr>
    </w:lvl>
    <w:lvl w:ilvl="7">
      <w:start w:val="0"/>
      <w:numFmt w:val="bullet"/>
      <w:lvlText w:val="•"/>
      <w:lvlJc w:val="left"/>
      <w:pPr>
        <w:ind w:left="5474" w:hanging="317"/>
      </w:pPr>
      <w:rPr>
        <w:rFonts w:hint="default"/>
      </w:rPr>
    </w:lvl>
    <w:lvl w:ilvl="8">
      <w:start w:val="0"/>
      <w:numFmt w:val="bullet"/>
      <w:lvlText w:val="•"/>
      <w:lvlJc w:val="left"/>
      <w:pPr>
        <w:ind w:left="6236" w:hanging="317"/>
      </w:pPr>
      <w:rPr>
        <w:rFonts w:hint="default"/>
      </w:rPr>
    </w:lvl>
  </w:abstractNum>
  <w:abstractNum w:abstractNumId="5">
    <w:multiLevelType w:val="hybridMultilevel"/>
    <w:lvl w:ilvl="0">
      <w:start w:val="1"/>
      <w:numFmt w:val="decimal"/>
      <w:lvlText w:val="(%1)"/>
      <w:lvlJc w:val="left"/>
      <w:pPr>
        <w:ind w:left="481"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218" w:hanging="351"/>
      </w:pPr>
      <w:rPr>
        <w:rFonts w:hint="default"/>
      </w:rPr>
    </w:lvl>
    <w:lvl w:ilvl="2">
      <w:start w:val="0"/>
      <w:numFmt w:val="bullet"/>
      <w:lvlText w:val="•"/>
      <w:lvlJc w:val="left"/>
      <w:pPr>
        <w:ind w:left="1957" w:hanging="351"/>
      </w:pPr>
      <w:rPr>
        <w:rFonts w:hint="default"/>
      </w:rPr>
    </w:lvl>
    <w:lvl w:ilvl="3">
      <w:start w:val="0"/>
      <w:numFmt w:val="bullet"/>
      <w:lvlText w:val="•"/>
      <w:lvlJc w:val="left"/>
      <w:pPr>
        <w:ind w:left="2695" w:hanging="351"/>
      </w:pPr>
      <w:rPr>
        <w:rFonts w:hint="default"/>
      </w:rPr>
    </w:lvl>
    <w:lvl w:ilvl="4">
      <w:start w:val="0"/>
      <w:numFmt w:val="bullet"/>
      <w:lvlText w:val="•"/>
      <w:lvlJc w:val="left"/>
      <w:pPr>
        <w:ind w:left="3434" w:hanging="351"/>
      </w:pPr>
      <w:rPr>
        <w:rFonts w:hint="default"/>
      </w:rPr>
    </w:lvl>
    <w:lvl w:ilvl="5">
      <w:start w:val="0"/>
      <w:numFmt w:val="bullet"/>
      <w:lvlText w:val="•"/>
      <w:lvlJc w:val="left"/>
      <w:pPr>
        <w:ind w:left="4172" w:hanging="351"/>
      </w:pPr>
      <w:rPr>
        <w:rFonts w:hint="default"/>
      </w:rPr>
    </w:lvl>
    <w:lvl w:ilvl="6">
      <w:start w:val="0"/>
      <w:numFmt w:val="bullet"/>
      <w:lvlText w:val="•"/>
      <w:lvlJc w:val="left"/>
      <w:pPr>
        <w:ind w:left="4911" w:hanging="351"/>
      </w:pPr>
      <w:rPr>
        <w:rFonts w:hint="default"/>
      </w:rPr>
    </w:lvl>
    <w:lvl w:ilvl="7">
      <w:start w:val="0"/>
      <w:numFmt w:val="bullet"/>
      <w:lvlText w:val="•"/>
      <w:lvlJc w:val="left"/>
      <w:pPr>
        <w:ind w:left="5649" w:hanging="351"/>
      </w:pPr>
      <w:rPr>
        <w:rFonts w:hint="default"/>
      </w:rPr>
    </w:lvl>
    <w:lvl w:ilvl="8">
      <w:start w:val="0"/>
      <w:numFmt w:val="bullet"/>
      <w:lvlText w:val="•"/>
      <w:lvlJc w:val="left"/>
      <w:pPr>
        <w:ind w:left="6388" w:hanging="351"/>
      </w:pPr>
      <w:rPr>
        <w:rFonts w:hint="default"/>
      </w:rPr>
    </w:lvl>
  </w:abstractNum>
  <w:abstractNum w:abstractNumId="4">
    <w:multiLevelType w:val="hybridMultilevel"/>
    <w:lvl w:ilvl="0">
      <w:start w:val="0"/>
      <w:numFmt w:val="bullet"/>
      <w:lvlText w:val="■"/>
      <w:lvlJc w:val="left"/>
      <w:pPr>
        <w:ind w:left="425" w:hanging="317"/>
      </w:pPr>
      <w:rPr>
        <w:rFonts w:hint="default" w:ascii="宋体" w:hAnsi="宋体" w:eastAsia="宋体" w:cs="宋体"/>
        <w:w w:val="100"/>
        <w:sz w:val="21"/>
        <w:szCs w:val="21"/>
      </w:rPr>
    </w:lvl>
    <w:lvl w:ilvl="1">
      <w:start w:val="0"/>
      <w:numFmt w:val="bullet"/>
      <w:lvlText w:val="•"/>
      <w:lvlJc w:val="left"/>
      <w:pPr>
        <w:ind w:left="1162" w:hanging="317"/>
      </w:pPr>
      <w:rPr>
        <w:rFonts w:hint="default"/>
      </w:rPr>
    </w:lvl>
    <w:lvl w:ilvl="2">
      <w:start w:val="0"/>
      <w:numFmt w:val="bullet"/>
      <w:lvlText w:val="•"/>
      <w:lvlJc w:val="left"/>
      <w:pPr>
        <w:ind w:left="1904" w:hanging="317"/>
      </w:pPr>
      <w:rPr>
        <w:rFonts w:hint="default"/>
      </w:rPr>
    </w:lvl>
    <w:lvl w:ilvl="3">
      <w:start w:val="0"/>
      <w:numFmt w:val="bullet"/>
      <w:lvlText w:val="•"/>
      <w:lvlJc w:val="left"/>
      <w:pPr>
        <w:ind w:left="2646" w:hanging="317"/>
      </w:pPr>
      <w:rPr>
        <w:rFonts w:hint="default"/>
      </w:rPr>
    </w:lvl>
    <w:lvl w:ilvl="4">
      <w:start w:val="0"/>
      <w:numFmt w:val="bullet"/>
      <w:lvlText w:val="•"/>
      <w:lvlJc w:val="left"/>
      <w:pPr>
        <w:ind w:left="3388" w:hanging="317"/>
      </w:pPr>
      <w:rPr>
        <w:rFonts w:hint="default"/>
      </w:rPr>
    </w:lvl>
    <w:lvl w:ilvl="5">
      <w:start w:val="0"/>
      <w:numFmt w:val="bullet"/>
      <w:lvlText w:val="•"/>
      <w:lvlJc w:val="left"/>
      <w:pPr>
        <w:ind w:left="4130" w:hanging="317"/>
      </w:pPr>
      <w:rPr>
        <w:rFonts w:hint="default"/>
      </w:rPr>
    </w:lvl>
    <w:lvl w:ilvl="6">
      <w:start w:val="0"/>
      <w:numFmt w:val="bullet"/>
      <w:lvlText w:val="•"/>
      <w:lvlJc w:val="left"/>
      <w:pPr>
        <w:ind w:left="4872" w:hanging="317"/>
      </w:pPr>
      <w:rPr>
        <w:rFonts w:hint="default"/>
      </w:rPr>
    </w:lvl>
    <w:lvl w:ilvl="7">
      <w:start w:val="0"/>
      <w:numFmt w:val="bullet"/>
      <w:lvlText w:val="•"/>
      <w:lvlJc w:val="left"/>
      <w:pPr>
        <w:ind w:left="5614" w:hanging="317"/>
      </w:pPr>
      <w:rPr>
        <w:rFonts w:hint="default"/>
      </w:rPr>
    </w:lvl>
    <w:lvl w:ilvl="8">
      <w:start w:val="0"/>
      <w:numFmt w:val="bullet"/>
      <w:lvlText w:val="•"/>
      <w:lvlJc w:val="left"/>
      <w:pPr>
        <w:ind w:left="6356" w:hanging="317"/>
      </w:pPr>
      <w:rPr>
        <w:rFonts w:hint="default"/>
      </w:rPr>
    </w:lvl>
  </w:abstractNum>
  <w:abstractNum w:abstractNumId="3">
    <w:multiLevelType w:val="hybridMultilevel"/>
    <w:lvl w:ilvl="0">
      <w:start w:val="3"/>
      <w:numFmt w:val="decimal"/>
      <w:lvlText w:val="%1"/>
      <w:lvlJc w:val="left"/>
      <w:pPr>
        <w:ind w:left="1135" w:hanging="1028"/>
        <w:jc w:val="left"/>
      </w:pPr>
      <w:rPr>
        <w:rFonts w:hint="default"/>
      </w:rPr>
    </w:lvl>
    <w:lvl w:ilvl="1">
      <w:start w:val="2"/>
      <w:numFmt w:val="decimal"/>
      <w:lvlText w:val="%1.%2"/>
      <w:lvlJc w:val="left"/>
      <w:pPr>
        <w:ind w:left="1135" w:hanging="1028"/>
        <w:jc w:val="left"/>
      </w:pPr>
      <w:rPr>
        <w:rFonts w:hint="default"/>
      </w:rPr>
    </w:lvl>
    <w:lvl w:ilvl="2">
      <w:start w:val="33"/>
      <w:numFmt w:val="decimal"/>
      <w:lvlText w:val="%1.%2.%3"/>
      <w:lvlJc w:val="left"/>
      <w:pPr>
        <w:ind w:left="2659" w:hanging="1028"/>
        <w:jc w:val="left"/>
      </w:pPr>
      <w:rPr>
        <w:rFonts w:hint="default" w:ascii="宋体" w:hAnsi="宋体" w:eastAsia="宋体" w:cs="宋体"/>
        <w:i/>
        <w:w w:val="96"/>
        <w:sz w:val="22"/>
        <w:szCs w:val="22"/>
      </w:rPr>
    </w:lvl>
    <w:lvl w:ilvl="3">
      <w:start w:val="0"/>
      <w:numFmt w:val="bullet"/>
      <w:lvlText w:val="•"/>
      <w:lvlJc w:val="left"/>
      <w:pPr>
        <w:ind w:left="2613" w:hanging="1028"/>
      </w:pPr>
      <w:rPr>
        <w:rFonts w:hint="default"/>
      </w:rPr>
    </w:lvl>
    <w:lvl w:ilvl="4">
      <w:start w:val="0"/>
      <w:numFmt w:val="bullet"/>
      <w:lvlText w:val="•"/>
      <w:lvlJc w:val="left"/>
      <w:pPr>
        <w:ind w:left="2590" w:hanging="1028"/>
      </w:pPr>
      <w:rPr>
        <w:rFonts w:hint="default"/>
      </w:rPr>
    </w:lvl>
    <w:lvl w:ilvl="5">
      <w:start w:val="0"/>
      <w:numFmt w:val="bullet"/>
      <w:lvlText w:val="•"/>
      <w:lvlJc w:val="left"/>
      <w:pPr>
        <w:ind w:left="2567" w:hanging="1028"/>
      </w:pPr>
      <w:rPr>
        <w:rFonts w:hint="default"/>
      </w:rPr>
    </w:lvl>
    <w:lvl w:ilvl="6">
      <w:start w:val="0"/>
      <w:numFmt w:val="bullet"/>
      <w:lvlText w:val="•"/>
      <w:lvlJc w:val="left"/>
      <w:pPr>
        <w:ind w:left="2544" w:hanging="1028"/>
      </w:pPr>
      <w:rPr>
        <w:rFonts w:hint="default"/>
      </w:rPr>
    </w:lvl>
    <w:lvl w:ilvl="7">
      <w:start w:val="0"/>
      <w:numFmt w:val="bullet"/>
      <w:lvlText w:val="•"/>
      <w:lvlJc w:val="left"/>
      <w:pPr>
        <w:ind w:left="2521" w:hanging="1028"/>
      </w:pPr>
      <w:rPr>
        <w:rFonts w:hint="default"/>
      </w:rPr>
    </w:lvl>
    <w:lvl w:ilvl="8">
      <w:start w:val="0"/>
      <w:numFmt w:val="bullet"/>
      <w:lvlText w:val="•"/>
      <w:lvlJc w:val="left"/>
      <w:pPr>
        <w:ind w:left="2498" w:hanging="1028"/>
      </w:pPr>
      <w:rPr>
        <w:rFonts w:hint="default"/>
      </w:rPr>
    </w:lvl>
  </w:abstractNum>
  <w:abstractNum w:abstractNumId="2">
    <w:multiLevelType w:val="hybridMultilevel"/>
    <w:lvl w:ilvl="0">
      <w:start w:val="3"/>
      <w:numFmt w:val="decimal"/>
      <w:lvlText w:val="%1"/>
      <w:lvlJc w:val="left"/>
      <w:pPr>
        <w:ind w:left="1135" w:hanging="1028"/>
        <w:jc w:val="left"/>
      </w:pPr>
      <w:rPr>
        <w:rFonts w:hint="default"/>
      </w:rPr>
    </w:lvl>
    <w:lvl w:ilvl="1">
      <w:start w:val="1"/>
      <w:numFmt w:val="decimal"/>
      <w:lvlText w:val="%1.%2"/>
      <w:lvlJc w:val="left"/>
      <w:pPr>
        <w:ind w:left="1135" w:hanging="1028"/>
        <w:jc w:val="left"/>
      </w:pPr>
      <w:rPr>
        <w:rFonts w:hint="default" w:ascii="宋体" w:hAnsi="宋体" w:eastAsia="宋体" w:cs="宋体"/>
        <w:b/>
        <w:bCs/>
        <w:w w:val="99"/>
        <w:sz w:val="21"/>
        <w:szCs w:val="21"/>
      </w:rPr>
    </w:lvl>
    <w:lvl w:ilvl="2">
      <w:start w:val="1"/>
      <w:numFmt w:val="upperRoman"/>
      <w:lvlText w:val="%3"/>
      <w:lvlJc w:val="left"/>
      <w:pPr>
        <w:ind w:left="3004" w:hanging="159"/>
        <w:jc w:val="left"/>
      </w:pPr>
      <w:rPr>
        <w:rFonts w:hint="default" w:ascii="宋体" w:hAnsi="宋体" w:eastAsia="宋体" w:cs="宋体"/>
        <w:w w:val="100"/>
        <w:sz w:val="21"/>
        <w:szCs w:val="21"/>
      </w:rPr>
    </w:lvl>
    <w:lvl w:ilvl="3">
      <w:start w:val="0"/>
      <w:numFmt w:val="bullet"/>
      <w:lvlText w:val="•"/>
      <w:lvlJc w:val="left"/>
      <w:pPr>
        <w:ind w:left="2867" w:hanging="159"/>
      </w:pPr>
      <w:rPr>
        <w:rFonts w:hint="default"/>
      </w:rPr>
    </w:lvl>
    <w:lvl w:ilvl="4">
      <w:start w:val="0"/>
      <w:numFmt w:val="bullet"/>
      <w:lvlText w:val="•"/>
      <w:lvlJc w:val="left"/>
      <w:pPr>
        <w:ind w:left="2800" w:hanging="159"/>
      </w:pPr>
      <w:rPr>
        <w:rFonts w:hint="default"/>
      </w:rPr>
    </w:lvl>
    <w:lvl w:ilvl="5">
      <w:start w:val="0"/>
      <w:numFmt w:val="bullet"/>
      <w:lvlText w:val="•"/>
      <w:lvlJc w:val="left"/>
      <w:pPr>
        <w:ind w:left="2734" w:hanging="159"/>
      </w:pPr>
      <w:rPr>
        <w:rFonts w:hint="default"/>
      </w:rPr>
    </w:lvl>
    <w:lvl w:ilvl="6">
      <w:start w:val="0"/>
      <w:numFmt w:val="bullet"/>
      <w:lvlText w:val="•"/>
      <w:lvlJc w:val="left"/>
      <w:pPr>
        <w:ind w:left="2668" w:hanging="159"/>
      </w:pPr>
      <w:rPr>
        <w:rFonts w:hint="default"/>
      </w:rPr>
    </w:lvl>
    <w:lvl w:ilvl="7">
      <w:start w:val="0"/>
      <w:numFmt w:val="bullet"/>
      <w:lvlText w:val="•"/>
      <w:lvlJc w:val="left"/>
      <w:pPr>
        <w:ind w:left="2601" w:hanging="159"/>
      </w:pPr>
      <w:rPr>
        <w:rFonts w:hint="default"/>
      </w:rPr>
    </w:lvl>
    <w:lvl w:ilvl="8">
      <w:start w:val="0"/>
      <w:numFmt w:val="bullet"/>
      <w:lvlText w:val="•"/>
      <w:lvlJc w:val="left"/>
      <w:pPr>
        <w:ind w:left="2535" w:hanging="159"/>
      </w:pPr>
      <w:rPr>
        <w:rFonts w:hint="default"/>
      </w:rPr>
    </w:lvl>
  </w:abstractNum>
  <w:abstractNum w:abstractNumId="1">
    <w:multiLevelType w:val="hybridMultilevel"/>
    <w:lvl w:ilvl="0">
      <w:start w:val="2"/>
      <w:numFmt w:val="decimal"/>
      <w:lvlText w:val="%1"/>
      <w:lvlJc w:val="left"/>
      <w:pPr>
        <w:ind w:left="1156" w:hanging="1049"/>
        <w:jc w:val="left"/>
      </w:pPr>
      <w:rPr>
        <w:rFonts w:hint="default"/>
      </w:rPr>
    </w:lvl>
    <w:lvl w:ilvl="1">
      <w:start w:val="2"/>
      <w:numFmt w:val="decimal"/>
      <w:lvlText w:val="%1.%2"/>
      <w:lvlJc w:val="left"/>
      <w:pPr>
        <w:ind w:left="1156" w:hanging="1049"/>
        <w:jc w:val="left"/>
      </w:pPr>
      <w:rPr>
        <w:rFonts w:hint="default"/>
      </w:rPr>
    </w:lvl>
    <w:lvl w:ilvl="2">
      <w:start w:val="4"/>
      <w:numFmt w:val="decimal"/>
      <w:lvlText w:val="%1.%2.%3"/>
      <w:lvlJc w:val="left"/>
      <w:pPr>
        <w:ind w:left="1156" w:hanging="1049"/>
        <w:jc w:val="right"/>
      </w:pPr>
      <w:rPr>
        <w:rFonts w:hint="default" w:ascii="宋体" w:hAnsi="宋体" w:eastAsia="宋体" w:cs="宋体"/>
        <w:i/>
        <w:w w:val="95"/>
        <w:position w:val="-1"/>
        <w:sz w:val="22"/>
        <w:szCs w:val="22"/>
      </w:rPr>
    </w:lvl>
    <w:lvl w:ilvl="3">
      <w:start w:val="1"/>
      <w:numFmt w:val="decimal"/>
      <w:lvlText w:val="%4"/>
      <w:lvlJc w:val="left"/>
      <w:pPr>
        <w:ind w:left="520" w:hanging="183"/>
        <w:jc w:val="right"/>
      </w:pPr>
      <w:rPr>
        <w:rFonts w:hint="default" w:ascii="宋体" w:hAnsi="宋体" w:eastAsia="宋体" w:cs="宋体"/>
        <w:w w:val="100"/>
        <w:sz w:val="18"/>
        <w:szCs w:val="18"/>
      </w:rPr>
    </w:lvl>
    <w:lvl w:ilvl="4">
      <w:start w:val="0"/>
      <w:numFmt w:val="bullet"/>
      <w:lvlText w:val="•"/>
      <w:lvlJc w:val="left"/>
      <w:pPr>
        <w:ind w:left="738" w:hanging="183"/>
      </w:pPr>
      <w:rPr>
        <w:rFonts w:hint="default"/>
      </w:rPr>
    </w:lvl>
    <w:lvl w:ilvl="5">
      <w:start w:val="0"/>
      <w:numFmt w:val="bullet"/>
      <w:lvlText w:val="•"/>
      <w:lvlJc w:val="left"/>
      <w:pPr>
        <w:ind w:left="597" w:hanging="183"/>
      </w:pPr>
      <w:rPr>
        <w:rFonts w:hint="default"/>
      </w:rPr>
    </w:lvl>
    <w:lvl w:ilvl="6">
      <w:start w:val="0"/>
      <w:numFmt w:val="bullet"/>
      <w:lvlText w:val="•"/>
      <w:lvlJc w:val="left"/>
      <w:pPr>
        <w:ind w:left="456" w:hanging="183"/>
      </w:pPr>
      <w:rPr>
        <w:rFonts w:hint="default"/>
      </w:rPr>
    </w:lvl>
    <w:lvl w:ilvl="7">
      <w:start w:val="0"/>
      <w:numFmt w:val="bullet"/>
      <w:lvlText w:val="•"/>
      <w:lvlJc w:val="left"/>
      <w:pPr>
        <w:ind w:left="316" w:hanging="183"/>
      </w:pPr>
      <w:rPr>
        <w:rFonts w:hint="default"/>
      </w:rPr>
    </w:lvl>
    <w:lvl w:ilvl="8">
      <w:start w:val="0"/>
      <w:numFmt w:val="bullet"/>
      <w:lvlText w:val="•"/>
      <w:lvlJc w:val="left"/>
      <w:pPr>
        <w:ind w:left="175" w:hanging="183"/>
      </w:pPr>
      <w:rPr>
        <w:rFonts w:hint="default"/>
      </w:rPr>
    </w:lvl>
  </w:abstractNum>
  <w:abstractNum w:abstractNumId="0">
    <w:multiLevelType w:val="hybridMultilevel"/>
    <w:lvl w:ilvl="0">
      <w:start w:val="8"/>
      <w:numFmt w:val="decimal"/>
      <w:lvlText w:val="%1"/>
      <w:lvlJc w:val="left"/>
      <w:pPr>
        <w:ind w:left="919" w:hanging="526"/>
        <w:jc w:val="left"/>
      </w:pPr>
      <w:rPr>
        <w:rFonts w:hint="default"/>
      </w:rPr>
    </w:lvl>
    <w:lvl w:ilvl="1">
      <w:start w:val="5"/>
      <w:numFmt w:val="decimal"/>
      <w:lvlText w:val="%1.%2"/>
      <w:lvlJc w:val="left"/>
      <w:pPr>
        <w:ind w:left="919" w:hanging="526"/>
        <w:jc w:val="left"/>
      </w:pPr>
      <w:rPr>
        <w:rFonts w:hint="default" w:ascii="宋体" w:hAnsi="宋体" w:eastAsia="宋体" w:cs="宋体"/>
        <w:w w:val="100"/>
        <w:sz w:val="21"/>
        <w:szCs w:val="21"/>
      </w:rPr>
    </w:lvl>
    <w:lvl w:ilvl="2">
      <w:start w:val="0"/>
      <w:numFmt w:val="bullet"/>
      <w:lvlText w:val="•"/>
      <w:lvlJc w:val="left"/>
      <w:pPr>
        <w:ind w:left="1433" w:hanging="526"/>
      </w:pPr>
      <w:rPr>
        <w:rFonts w:hint="default"/>
      </w:rPr>
    </w:lvl>
    <w:lvl w:ilvl="3">
      <w:start w:val="0"/>
      <w:numFmt w:val="bullet"/>
      <w:lvlText w:val="•"/>
      <w:lvlJc w:val="left"/>
      <w:pPr>
        <w:ind w:left="1689" w:hanging="526"/>
      </w:pPr>
      <w:rPr>
        <w:rFonts w:hint="default"/>
      </w:rPr>
    </w:lvl>
    <w:lvl w:ilvl="4">
      <w:start w:val="0"/>
      <w:numFmt w:val="bullet"/>
      <w:lvlText w:val="•"/>
      <w:lvlJc w:val="left"/>
      <w:pPr>
        <w:ind w:left="1946" w:hanging="526"/>
      </w:pPr>
      <w:rPr>
        <w:rFonts w:hint="default"/>
      </w:rPr>
    </w:lvl>
    <w:lvl w:ilvl="5">
      <w:start w:val="0"/>
      <w:numFmt w:val="bullet"/>
      <w:lvlText w:val="•"/>
      <w:lvlJc w:val="left"/>
      <w:pPr>
        <w:ind w:left="2203" w:hanging="526"/>
      </w:pPr>
      <w:rPr>
        <w:rFonts w:hint="default"/>
      </w:rPr>
    </w:lvl>
    <w:lvl w:ilvl="6">
      <w:start w:val="0"/>
      <w:numFmt w:val="bullet"/>
      <w:lvlText w:val="•"/>
      <w:lvlJc w:val="left"/>
      <w:pPr>
        <w:ind w:left="2459" w:hanging="526"/>
      </w:pPr>
      <w:rPr>
        <w:rFonts w:hint="default"/>
      </w:rPr>
    </w:lvl>
    <w:lvl w:ilvl="7">
      <w:start w:val="0"/>
      <w:numFmt w:val="bullet"/>
      <w:lvlText w:val="•"/>
      <w:lvlJc w:val="left"/>
      <w:pPr>
        <w:ind w:left="2716" w:hanging="526"/>
      </w:pPr>
      <w:rPr>
        <w:rFonts w:hint="default"/>
      </w:rPr>
    </w:lvl>
    <w:lvl w:ilvl="8">
      <w:start w:val="0"/>
      <w:numFmt w:val="bullet"/>
      <w:lvlText w:val="•"/>
      <w:lvlJc w:val="left"/>
      <w:pPr>
        <w:ind w:left="2972" w:hanging="526"/>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8"/>
      <w:ind w:left="1256" w:hanging="1048"/>
      <w:outlineLvl w:val="1"/>
    </w:pPr>
    <w:rPr>
      <w:rFonts w:ascii="宋体" w:hAnsi="宋体" w:eastAsia="宋体" w:cs="宋体"/>
      <w:b/>
      <w:bCs/>
      <w:i/>
      <w:sz w:val="22"/>
      <w:szCs w:val="22"/>
    </w:rPr>
  </w:style>
  <w:style w:styleId="Heading2" w:type="paragraph">
    <w:name w:val="Heading 2"/>
    <w:basedOn w:val="Normal"/>
    <w:uiPriority w:val="1"/>
    <w:qFormat/>
    <w:pPr>
      <w:spacing w:before="6"/>
      <w:ind w:left="1135"/>
      <w:outlineLvl w:val="2"/>
    </w:pPr>
    <w:rPr>
      <w:rFonts w:ascii="宋体" w:hAnsi="宋体" w:eastAsia="宋体" w:cs="宋体"/>
      <w:i/>
      <w:sz w:val="22"/>
      <w:szCs w:val="22"/>
    </w:rPr>
  </w:style>
  <w:style w:styleId="Heading3" w:type="paragraph">
    <w:name w:val="Heading 3"/>
    <w:basedOn w:val="Normal"/>
    <w:uiPriority w:val="1"/>
    <w:qFormat/>
    <w:pPr>
      <w:ind w:left="2816"/>
      <w:outlineLvl w:val="3"/>
    </w:pPr>
    <w:rPr>
      <w:rFonts w:ascii="宋体" w:hAnsi="宋体" w:eastAsia="宋体" w:cs="宋体"/>
      <w:b/>
      <w:bCs/>
      <w:sz w:val="21"/>
      <w:szCs w:val="21"/>
    </w:rPr>
  </w:style>
  <w:style w:styleId="ListParagraph" w:type="paragraph">
    <w:name w:val="List Paragraph"/>
    <w:basedOn w:val="Normal"/>
    <w:uiPriority w:val="1"/>
    <w:qFormat/>
    <w:pPr>
      <w:spacing w:before="76"/>
      <w:ind w:left="520" w:hanging="18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sunyi</dc:creator>
  <dc:title>阅 读 指 引</dc:title>
  <dcterms:created xsi:type="dcterms:W3CDTF">2018-10-20T11:48:32Z</dcterms:created>
  <dcterms:modified xsi:type="dcterms:W3CDTF">2018-10-20T11:48:32Z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2017-06-30T00:00:00Z</vt:filetime>
  </property>
  <property fmtid="{D5CDD505-2E9C-101B-9397-08002B2CF9AE}" pid="3" name="Creator">
    <vt:lpwstr>Acrobat PDFMaker 10.1 Word 版</vt:lpwstr>
  </property>
  <property fmtid="{D5CDD505-2E9C-101B-9397-08002B2CF9AE}" pid="4" name="LastSaved">
    <vt:filetime>2018-10-20T00:00:00Z</vt:filetime>
  </property>
</Properties>
</file>