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2702"/>
      </w:pPr>
      <w:r>
        <w:rPr/>
        <w:drawing>
          <wp:anchor distT="0" distB="0" distL="0" distR="0" allowOverlap="1" layoutInCell="1" locked="0" behindDoc="0" simplePos="0" relativeHeight="0">
            <wp:simplePos x="0" y="0"/>
            <wp:positionH relativeFrom="page">
              <wp:posOffset>5372100</wp:posOffset>
            </wp:positionH>
            <wp:positionV relativeFrom="paragraph">
              <wp:posOffset>45075</wp:posOffset>
            </wp:positionV>
            <wp:extent cx="1581150" cy="101917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81150" cy="1019175"/>
                    </a:xfrm>
                    <a:prstGeom prst="rect">
                      <a:avLst/>
                    </a:prstGeom>
                  </pic:spPr>
                </pic:pic>
              </a:graphicData>
            </a:graphic>
          </wp:anchor>
        </w:drawing>
      </w:r>
      <w:r>
        <w:rPr/>
        <w:t>人保寿险附加康健生活重大疾病保险</w:t>
      </w:r>
      <w:r>
        <w:rPr>
          <w:w w:val="95"/>
        </w:rPr>
        <w:t>条款目录</w:t>
      </w:r>
    </w:p>
    <w:p>
      <w:pPr>
        <w:pStyle w:val="BodyText"/>
        <w:spacing w:before="72"/>
        <w:ind w:right="338"/>
        <w:jc w:val="center"/>
      </w:pPr>
      <w:r>
        <w:rPr>
          <w:rFonts w:ascii="Times New Roman" w:eastAsia="Times New Roman"/>
          <w:spacing w:val="-53"/>
          <w:w w:val="100"/>
          <w:u w:val="single"/>
        </w:rPr>
        <w:t> </w:t>
      </w:r>
      <w:r>
        <w:rPr>
          <w:spacing w:val="-3"/>
          <w:u w:val="single"/>
        </w:rPr>
        <w:t>条款是保险合同的重要内容，为充分保障您的权益，</w:t>
      </w:r>
    </w:p>
    <w:p>
      <w:pPr>
        <w:pStyle w:val="BodyText"/>
        <w:spacing w:before="85"/>
        <w:ind w:right="333"/>
        <w:jc w:val="center"/>
      </w:pPr>
      <w:r>
        <w:rPr>
          <w:rFonts w:ascii="Times New Roman" w:eastAsia="Times New Roman"/>
          <w:spacing w:val="-53"/>
          <w:w w:val="100"/>
          <w:u w:val="single"/>
        </w:rPr>
        <w:t> </w:t>
      </w:r>
      <w:r>
        <w:rPr>
          <w:spacing w:val="-3"/>
          <w:u w:val="single"/>
        </w:rPr>
        <w:t>请您仔细阅读本条款。</w:t>
      </w:r>
    </w:p>
    <w:p>
      <w:pPr>
        <w:pStyle w:val="BodyText"/>
        <w:rPr>
          <w:sz w:val="20"/>
        </w:rPr>
      </w:pPr>
    </w:p>
    <w:p>
      <w:pPr>
        <w:pStyle w:val="BodyText"/>
        <w:spacing w:before="11"/>
        <w:rPr>
          <w:sz w:val="1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4"/>
        <w:gridCol w:w="5358"/>
      </w:tblGrid>
      <w:tr>
        <w:trPr>
          <w:trHeight w:val="287" w:hRule="atLeast"/>
        </w:trPr>
        <w:tc>
          <w:tcPr>
            <w:tcW w:w="3894"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5358" w:type="dxa"/>
          </w:tcPr>
          <w:p>
            <w:pPr>
              <w:pStyle w:val="TableParagraph"/>
              <w:spacing w:line="234" w:lineRule="exact"/>
              <w:ind w:left="1848"/>
              <w:rPr>
                <w:sz w:val="21"/>
              </w:rPr>
            </w:pPr>
            <w:r>
              <w:rPr>
                <w:rFonts w:ascii="Times New Roman" w:eastAsia="Times New Roman"/>
                <w:sz w:val="21"/>
              </w:rPr>
              <w:t>4.2  </w:t>
            </w:r>
            <w:r>
              <w:rPr>
                <w:sz w:val="21"/>
              </w:rPr>
              <w:t>保险金申请</w:t>
            </w:r>
          </w:p>
        </w:tc>
      </w:tr>
      <w:tr>
        <w:trPr>
          <w:trHeight w:val="339" w:hRule="atLeast"/>
        </w:trPr>
        <w:tc>
          <w:tcPr>
            <w:tcW w:w="3894" w:type="dxa"/>
          </w:tcPr>
          <w:p>
            <w:pPr>
              <w:pStyle w:val="TableParagraph"/>
              <w:spacing w:line="287" w:lineRule="exact"/>
              <w:ind w:left="516"/>
              <w:rPr>
                <w:sz w:val="21"/>
              </w:rPr>
            </w:pPr>
            <w:r>
              <w:rPr>
                <w:rFonts w:ascii="Times New Roman" w:eastAsia="Times New Roman"/>
                <w:sz w:val="21"/>
              </w:rPr>
              <w:t>1.1  </w:t>
            </w:r>
            <w:r>
              <w:rPr>
                <w:sz w:val="21"/>
              </w:rPr>
              <w:t>附加合同订立</w:t>
            </w:r>
          </w:p>
        </w:tc>
        <w:tc>
          <w:tcPr>
            <w:tcW w:w="5358" w:type="dxa"/>
          </w:tcPr>
          <w:p>
            <w:pPr>
              <w:pStyle w:val="TableParagraph"/>
              <w:spacing w:line="287" w:lineRule="exact"/>
              <w:ind w:left="1848"/>
              <w:rPr>
                <w:sz w:val="21"/>
              </w:rPr>
            </w:pPr>
            <w:r>
              <w:rPr>
                <w:rFonts w:ascii="Times New Roman" w:eastAsia="Times New Roman"/>
                <w:sz w:val="21"/>
              </w:rPr>
              <w:t>4.3  </w:t>
            </w:r>
            <w:r>
              <w:rPr>
                <w:sz w:val="21"/>
              </w:rPr>
              <w:t>诉讼时效</w:t>
            </w:r>
          </w:p>
        </w:tc>
      </w:tr>
      <w:tr>
        <w:trPr>
          <w:trHeight w:val="339" w:hRule="atLeast"/>
        </w:trPr>
        <w:tc>
          <w:tcPr>
            <w:tcW w:w="3894" w:type="dxa"/>
          </w:tcPr>
          <w:p>
            <w:pPr>
              <w:pStyle w:val="TableParagraph"/>
              <w:spacing w:line="286" w:lineRule="exact"/>
              <w:ind w:left="516"/>
              <w:rPr>
                <w:sz w:val="21"/>
              </w:rPr>
            </w:pPr>
            <w:r>
              <w:rPr>
                <w:rFonts w:ascii="Times New Roman" w:eastAsia="Times New Roman"/>
                <w:sz w:val="21"/>
              </w:rPr>
              <w:t>1.2  </w:t>
            </w:r>
            <w:r>
              <w:rPr>
                <w:sz w:val="21"/>
              </w:rPr>
              <w:t>附加合同成立与生效</w:t>
            </w:r>
          </w:p>
        </w:tc>
        <w:tc>
          <w:tcPr>
            <w:tcW w:w="5358" w:type="dxa"/>
          </w:tcPr>
          <w:p>
            <w:pPr>
              <w:pStyle w:val="TableParagraph"/>
              <w:ind w:left="0"/>
              <w:rPr>
                <w:rFonts w:ascii="Times New Roman"/>
                <w:sz w:val="20"/>
              </w:rPr>
            </w:pPr>
          </w:p>
        </w:tc>
      </w:tr>
      <w:tr>
        <w:trPr>
          <w:trHeight w:val="340" w:hRule="atLeast"/>
        </w:trPr>
        <w:tc>
          <w:tcPr>
            <w:tcW w:w="3894" w:type="dxa"/>
          </w:tcPr>
          <w:p>
            <w:pPr>
              <w:pStyle w:val="TableParagraph"/>
              <w:ind w:left="0"/>
              <w:rPr>
                <w:rFonts w:ascii="Times New Roman"/>
                <w:sz w:val="20"/>
              </w:rPr>
            </w:pPr>
          </w:p>
        </w:tc>
        <w:tc>
          <w:tcPr>
            <w:tcW w:w="5358" w:type="dxa"/>
          </w:tcPr>
          <w:p>
            <w:pPr>
              <w:pStyle w:val="TableParagraph"/>
              <w:spacing w:line="287" w:lineRule="exact"/>
              <w:ind w:left="1531"/>
              <w:rPr>
                <w:b/>
                <w:sz w:val="21"/>
              </w:rPr>
            </w:pPr>
            <w:r>
              <w:rPr>
                <w:rFonts w:ascii="Times New Roman" w:eastAsia="Times New Roman"/>
                <w:b/>
                <w:sz w:val="21"/>
              </w:rPr>
              <w:t>5.  </w:t>
            </w:r>
            <w:r>
              <w:rPr>
                <w:b/>
                <w:sz w:val="21"/>
              </w:rPr>
              <w:t>您需要关注的其他事项</w:t>
            </w:r>
          </w:p>
        </w:tc>
      </w:tr>
      <w:tr>
        <w:trPr>
          <w:trHeight w:val="339" w:hRule="atLeast"/>
        </w:trPr>
        <w:tc>
          <w:tcPr>
            <w:tcW w:w="3894"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5358" w:type="dxa"/>
          </w:tcPr>
          <w:p>
            <w:pPr>
              <w:pStyle w:val="TableParagraph"/>
              <w:spacing w:line="287" w:lineRule="exact"/>
              <w:ind w:left="1846"/>
              <w:rPr>
                <w:sz w:val="21"/>
              </w:rPr>
            </w:pPr>
            <w:r>
              <w:rPr>
                <w:rFonts w:ascii="Times New Roman" w:eastAsia="Times New Roman"/>
                <w:sz w:val="21"/>
              </w:rPr>
              <w:t>5.1  </w:t>
            </w:r>
            <w:r>
              <w:rPr>
                <w:sz w:val="21"/>
              </w:rPr>
              <w:t>投保范围</w:t>
            </w:r>
          </w:p>
        </w:tc>
      </w:tr>
      <w:tr>
        <w:trPr>
          <w:trHeight w:val="339" w:hRule="atLeast"/>
        </w:trPr>
        <w:tc>
          <w:tcPr>
            <w:tcW w:w="3894" w:type="dxa"/>
          </w:tcPr>
          <w:p>
            <w:pPr>
              <w:pStyle w:val="TableParagraph"/>
              <w:spacing w:line="286" w:lineRule="exact"/>
              <w:ind w:left="516"/>
              <w:rPr>
                <w:sz w:val="21"/>
              </w:rPr>
            </w:pPr>
            <w:r>
              <w:rPr>
                <w:rFonts w:ascii="Times New Roman" w:eastAsia="Times New Roman"/>
                <w:sz w:val="21"/>
              </w:rPr>
              <w:t>2.1  </w:t>
            </w:r>
            <w:r>
              <w:rPr>
                <w:sz w:val="21"/>
              </w:rPr>
              <w:t>基本保险金额</w:t>
            </w:r>
          </w:p>
        </w:tc>
        <w:tc>
          <w:tcPr>
            <w:tcW w:w="5358" w:type="dxa"/>
          </w:tcPr>
          <w:p>
            <w:pPr>
              <w:pStyle w:val="TableParagraph"/>
              <w:ind w:left="0"/>
              <w:rPr>
                <w:rFonts w:ascii="Times New Roman"/>
                <w:sz w:val="20"/>
              </w:rPr>
            </w:pPr>
          </w:p>
        </w:tc>
      </w:tr>
      <w:tr>
        <w:trPr>
          <w:trHeight w:val="341" w:hRule="atLeast"/>
        </w:trPr>
        <w:tc>
          <w:tcPr>
            <w:tcW w:w="3894" w:type="dxa"/>
          </w:tcPr>
          <w:p>
            <w:pPr>
              <w:pStyle w:val="TableParagraph"/>
              <w:spacing w:line="287" w:lineRule="exact"/>
              <w:ind w:left="516"/>
              <w:rPr>
                <w:sz w:val="21"/>
              </w:rPr>
            </w:pPr>
            <w:r>
              <w:rPr>
                <w:rFonts w:ascii="Times New Roman" w:eastAsia="Times New Roman"/>
                <w:sz w:val="21"/>
              </w:rPr>
              <w:t>2.2  </w:t>
            </w:r>
            <w:r>
              <w:rPr>
                <w:sz w:val="21"/>
              </w:rPr>
              <w:t>保险期间</w:t>
            </w:r>
          </w:p>
        </w:tc>
        <w:tc>
          <w:tcPr>
            <w:tcW w:w="5358" w:type="dxa"/>
          </w:tcPr>
          <w:p>
            <w:pPr>
              <w:pStyle w:val="TableParagraph"/>
              <w:spacing w:line="287" w:lineRule="exact"/>
              <w:ind w:left="1531"/>
              <w:rPr>
                <w:b/>
                <w:sz w:val="21"/>
              </w:rPr>
            </w:pPr>
            <w:r>
              <w:rPr>
                <w:rFonts w:ascii="Times New Roman" w:eastAsia="Times New Roman"/>
                <w:b/>
                <w:sz w:val="21"/>
              </w:rPr>
              <w:t>6.  </w:t>
            </w:r>
            <w:r>
              <w:rPr>
                <w:b/>
                <w:sz w:val="21"/>
              </w:rPr>
              <w:t>您需要了解的重要术语</w:t>
            </w:r>
          </w:p>
        </w:tc>
      </w:tr>
      <w:tr>
        <w:trPr>
          <w:trHeight w:val="339" w:hRule="atLeast"/>
        </w:trPr>
        <w:tc>
          <w:tcPr>
            <w:tcW w:w="3894" w:type="dxa"/>
          </w:tcPr>
          <w:p>
            <w:pPr>
              <w:pStyle w:val="TableParagraph"/>
              <w:spacing w:line="287" w:lineRule="exact"/>
              <w:ind w:left="516"/>
              <w:rPr>
                <w:sz w:val="21"/>
              </w:rPr>
            </w:pPr>
            <w:r>
              <w:rPr>
                <w:rFonts w:ascii="Times New Roman" w:eastAsia="Times New Roman"/>
                <w:sz w:val="21"/>
              </w:rPr>
              <w:t>2.3  </w:t>
            </w:r>
            <w:r>
              <w:rPr>
                <w:sz w:val="21"/>
              </w:rPr>
              <w:t>保险责任</w:t>
            </w:r>
          </w:p>
        </w:tc>
        <w:tc>
          <w:tcPr>
            <w:tcW w:w="5358" w:type="dxa"/>
          </w:tcPr>
          <w:p>
            <w:pPr>
              <w:pStyle w:val="TableParagraph"/>
              <w:spacing w:line="287" w:lineRule="exact"/>
              <w:ind w:left="1846"/>
              <w:rPr>
                <w:sz w:val="21"/>
              </w:rPr>
            </w:pPr>
            <w:r>
              <w:rPr>
                <w:rFonts w:ascii="Times New Roman" w:eastAsia="Times New Roman"/>
                <w:sz w:val="21"/>
              </w:rPr>
              <w:t>6.1  </w:t>
            </w:r>
            <w:r>
              <w:rPr>
                <w:sz w:val="21"/>
              </w:rPr>
              <w:t>保单生效对应日</w:t>
            </w:r>
          </w:p>
        </w:tc>
      </w:tr>
      <w:tr>
        <w:trPr>
          <w:trHeight w:val="339" w:hRule="atLeast"/>
        </w:trPr>
        <w:tc>
          <w:tcPr>
            <w:tcW w:w="3894" w:type="dxa"/>
          </w:tcPr>
          <w:p>
            <w:pPr>
              <w:pStyle w:val="TableParagraph"/>
              <w:spacing w:line="286" w:lineRule="exact"/>
              <w:ind w:left="516"/>
              <w:rPr>
                <w:sz w:val="21"/>
              </w:rPr>
            </w:pPr>
            <w:r>
              <w:rPr>
                <w:rFonts w:ascii="Times New Roman" w:eastAsia="Times New Roman"/>
                <w:sz w:val="21"/>
              </w:rPr>
              <w:t>2.4  </w:t>
            </w:r>
            <w:r>
              <w:rPr>
                <w:sz w:val="21"/>
              </w:rPr>
              <w:t>责任免除</w:t>
            </w:r>
          </w:p>
        </w:tc>
        <w:tc>
          <w:tcPr>
            <w:tcW w:w="5358" w:type="dxa"/>
          </w:tcPr>
          <w:p>
            <w:pPr>
              <w:pStyle w:val="TableParagraph"/>
              <w:spacing w:line="286" w:lineRule="exact"/>
              <w:ind w:left="1846"/>
              <w:rPr>
                <w:sz w:val="21"/>
              </w:rPr>
            </w:pPr>
            <w:r>
              <w:rPr>
                <w:rFonts w:ascii="Times New Roman" w:eastAsia="Times New Roman"/>
                <w:sz w:val="21"/>
              </w:rPr>
              <w:t>6.2  </w:t>
            </w:r>
            <w:r>
              <w:rPr>
                <w:sz w:val="21"/>
              </w:rPr>
              <w:t>意外伤害</w:t>
            </w:r>
          </w:p>
        </w:tc>
      </w:tr>
      <w:tr>
        <w:trPr>
          <w:trHeight w:val="340" w:hRule="atLeast"/>
        </w:trPr>
        <w:tc>
          <w:tcPr>
            <w:tcW w:w="3894" w:type="dxa"/>
          </w:tcPr>
          <w:p>
            <w:pPr>
              <w:pStyle w:val="TableParagraph"/>
              <w:ind w:left="0"/>
              <w:rPr>
                <w:rFonts w:ascii="Times New Roman"/>
                <w:sz w:val="20"/>
              </w:rPr>
            </w:pPr>
          </w:p>
        </w:tc>
        <w:tc>
          <w:tcPr>
            <w:tcW w:w="5358" w:type="dxa"/>
          </w:tcPr>
          <w:p>
            <w:pPr>
              <w:pStyle w:val="TableParagraph"/>
              <w:spacing w:line="287" w:lineRule="exact"/>
              <w:ind w:left="1846"/>
              <w:rPr>
                <w:sz w:val="21"/>
              </w:rPr>
            </w:pPr>
            <w:r>
              <w:rPr>
                <w:rFonts w:ascii="Times New Roman" w:eastAsia="Times New Roman"/>
                <w:sz w:val="21"/>
              </w:rPr>
              <w:t>6.3  </w:t>
            </w:r>
            <w:r>
              <w:rPr>
                <w:sz w:val="21"/>
              </w:rPr>
              <w:t>感染艾滋病病毒或患艾滋病</w:t>
            </w:r>
          </w:p>
        </w:tc>
      </w:tr>
      <w:tr>
        <w:trPr>
          <w:trHeight w:val="339" w:hRule="atLeast"/>
        </w:trPr>
        <w:tc>
          <w:tcPr>
            <w:tcW w:w="3894"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5358" w:type="dxa"/>
          </w:tcPr>
          <w:p>
            <w:pPr>
              <w:pStyle w:val="TableParagraph"/>
              <w:spacing w:line="287" w:lineRule="exact"/>
              <w:ind w:left="1846"/>
              <w:rPr>
                <w:sz w:val="21"/>
              </w:rPr>
            </w:pPr>
            <w:r>
              <w:rPr>
                <w:rFonts w:ascii="Times New Roman" w:eastAsia="Times New Roman"/>
                <w:sz w:val="21"/>
              </w:rPr>
              <w:t>6.4  </w:t>
            </w:r>
            <w:r>
              <w:rPr>
                <w:sz w:val="21"/>
              </w:rPr>
              <w:t>遗传性疾病</w:t>
            </w:r>
          </w:p>
        </w:tc>
      </w:tr>
      <w:tr>
        <w:trPr>
          <w:trHeight w:val="339" w:hRule="atLeast"/>
        </w:trPr>
        <w:tc>
          <w:tcPr>
            <w:tcW w:w="3894" w:type="dxa"/>
          </w:tcPr>
          <w:p>
            <w:pPr>
              <w:pStyle w:val="TableParagraph"/>
              <w:spacing w:line="286" w:lineRule="exact"/>
              <w:ind w:left="516"/>
              <w:rPr>
                <w:sz w:val="21"/>
              </w:rPr>
            </w:pPr>
            <w:r>
              <w:rPr>
                <w:rFonts w:ascii="Times New Roman" w:eastAsia="Times New Roman"/>
                <w:sz w:val="21"/>
              </w:rPr>
              <w:t>3.1  </w:t>
            </w:r>
            <w:r>
              <w:rPr>
                <w:sz w:val="21"/>
              </w:rPr>
              <w:t>保险费的交纳</w:t>
            </w:r>
          </w:p>
        </w:tc>
        <w:tc>
          <w:tcPr>
            <w:tcW w:w="5358" w:type="dxa"/>
          </w:tcPr>
          <w:p>
            <w:pPr>
              <w:pStyle w:val="TableParagraph"/>
              <w:spacing w:line="286" w:lineRule="exact"/>
              <w:ind w:left="1846"/>
              <w:rPr>
                <w:sz w:val="21"/>
              </w:rPr>
            </w:pPr>
            <w:r>
              <w:rPr>
                <w:rFonts w:ascii="Times New Roman" w:eastAsia="Times New Roman"/>
                <w:sz w:val="21"/>
              </w:rPr>
              <w:t>6.5  </w:t>
            </w:r>
            <w:r>
              <w:rPr>
                <w:sz w:val="21"/>
              </w:rPr>
              <w:t>先天性畸形、变形或染色体异常</w:t>
            </w:r>
          </w:p>
        </w:tc>
      </w:tr>
      <w:tr>
        <w:trPr>
          <w:trHeight w:val="340" w:hRule="atLeast"/>
        </w:trPr>
        <w:tc>
          <w:tcPr>
            <w:tcW w:w="3894" w:type="dxa"/>
          </w:tcPr>
          <w:p>
            <w:pPr>
              <w:pStyle w:val="TableParagraph"/>
              <w:spacing w:line="287" w:lineRule="exact"/>
              <w:ind w:left="514"/>
              <w:rPr>
                <w:sz w:val="21"/>
              </w:rPr>
            </w:pPr>
            <w:r>
              <w:rPr>
                <w:rFonts w:ascii="Times New Roman" w:eastAsia="Times New Roman"/>
                <w:sz w:val="21"/>
              </w:rPr>
              <w:t>3.2  </w:t>
            </w:r>
            <w:r>
              <w:rPr>
                <w:sz w:val="21"/>
              </w:rPr>
              <w:t>效力终止</w:t>
            </w:r>
          </w:p>
        </w:tc>
        <w:tc>
          <w:tcPr>
            <w:tcW w:w="5358" w:type="dxa"/>
          </w:tcPr>
          <w:p>
            <w:pPr>
              <w:pStyle w:val="TableParagraph"/>
              <w:spacing w:line="287" w:lineRule="exact"/>
              <w:ind w:left="1846"/>
              <w:rPr>
                <w:sz w:val="21"/>
              </w:rPr>
            </w:pPr>
            <w:r>
              <w:rPr>
                <w:rFonts w:ascii="Times New Roman" w:eastAsia="Times New Roman"/>
                <w:sz w:val="21"/>
              </w:rPr>
              <w:t>6.6  </w:t>
            </w:r>
            <w:r>
              <w:rPr>
                <w:sz w:val="21"/>
              </w:rPr>
              <w:t>我们认可的医院</w:t>
            </w:r>
          </w:p>
        </w:tc>
      </w:tr>
      <w:tr>
        <w:trPr>
          <w:trHeight w:val="339" w:hRule="atLeast"/>
        </w:trPr>
        <w:tc>
          <w:tcPr>
            <w:tcW w:w="3894" w:type="dxa"/>
          </w:tcPr>
          <w:p>
            <w:pPr>
              <w:pStyle w:val="TableParagraph"/>
              <w:ind w:left="0"/>
              <w:rPr>
                <w:rFonts w:ascii="Times New Roman"/>
                <w:sz w:val="20"/>
              </w:rPr>
            </w:pPr>
          </w:p>
        </w:tc>
        <w:tc>
          <w:tcPr>
            <w:tcW w:w="5358" w:type="dxa"/>
          </w:tcPr>
          <w:p>
            <w:pPr>
              <w:pStyle w:val="TableParagraph"/>
              <w:spacing w:line="287" w:lineRule="exact"/>
              <w:ind w:left="1846"/>
              <w:rPr>
                <w:sz w:val="21"/>
              </w:rPr>
            </w:pPr>
            <w:r>
              <w:rPr>
                <w:rFonts w:ascii="Times New Roman" w:eastAsia="Times New Roman"/>
                <w:sz w:val="21"/>
              </w:rPr>
              <w:t>6.7  </w:t>
            </w:r>
            <w:r>
              <w:rPr>
                <w:sz w:val="21"/>
              </w:rPr>
              <w:t>重大疾病</w:t>
            </w:r>
          </w:p>
        </w:tc>
      </w:tr>
      <w:tr>
        <w:trPr>
          <w:trHeight w:val="339" w:hRule="atLeast"/>
        </w:trPr>
        <w:tc>
          <w:tcPr>
            <w:tcW w:w="3894" w:type="dxa"/>
          </w:tcPr>
          <w:p>
            <w:pPr>
              <w:pStyle w:val="TableParagraph"/>
              <w:spacing w:line="286" w:lineRule="exact"/>
              <w:ind w:left="200"/>
              <w:rPr>
                <w:b/>
                <w:sz w:val="21"/>
              </w:rPr>
            </w:pPr>
            <w:r>
              <w:rPr>
                <w:rFonts w:ascii="Times New Roman" w:eastAsia="Times New Roman"/>
                <w:b/>
                <w:sz w:val="21"/>
              </w:rPr>
              <w:t>4.  </w:t>
            </w:r>
            <w:r>
              <w:rPr>
                <w:b/>
                <w:sz w:val="21"/>
              </w:rPr>
              <w:t>如何申请领取保险金</w:t>
            </w:r>
          </w:p>
        </w:tc>
        <w:tc>
          <w:tcPr>
            <w:tcW w:w="5358" w:type="dxa"/>
          </w:tcPr>
          <w:p>
            <w:pPr>
              <w:pStyle w:val="TableParagraph"/>
              <w:spacing w:line="286" w:lineRule="exact"/>
              <w:ind w:left="1846"/>
              <w:rPr>
                <w:sz w:val="21"/>
              </w:rPr>
            </w:pPr>
            <w:r>
              <w:rPr>
                <w:rFonts w:ascii="Times New Roman" w:eastAsia="Times New Roman"/>
                <w:sz w:val="21"/>
              </w:rPr>
              <w:t>6.8  </w:t>
            </w:r>
            <w:r>
              <w:rPr>
                <w:sz w:val="21"/>
              </w:rPr>
              <w:t>特定疾病</w:t>
            </w:r>
          </w:p>
        </w:tc>
      </w:tr>
      <w:tr>
        <w:trPr>
          <w:trHeight w:val="287" w:hRule="atLeast"/>
        </w:trPr>
        <w:tc>
          <w:tcPr>
            <w:tcW w:w="3894" w:type="dxa"/>
          </w:tcPr>
          <w:p>
            <w:pPr>
              <w:pStyle w:val="TableParagraph"/>
              <w:spacing w:line="267" w:lineRule="exact"/>
              <w:ind w:left="514"/>
              <w:rPr>
                <w:sz w:val="21"/>
              </w:rPr>
            </w:pPr>
            <w:r>
              <w:rPr>
                <w:rFonts w:ascii="Times New Roman" w:eastAsia="Times New Roman"/>
                <w:sz w:val="21"/>
              </w:rPr>
              <w:t>4.1  </w:t>
            </w:r>
            <w:r>
              <w:rPr>
                <w:sz w:val="21"/>
              </w:rPr>
              <w:t>受益人</w:t>
            </w:r>
          </w:p>
        </w:tc>
        <w:tc>
          <w:tcPr>
            <w:tcW w:w="5358" w:type="dxa"/>
          </w:tcPr>
          <w:p>
            <w:pPr>
              <w:pStyle w:val="TableParagraph"/>
              <w:ind w:left="0"/>
              <w:rPr>
                <w:rFonts w:ascii="Times New Roman"/>
                <w:sz w:val="20"/>
              </w:rPr>
            </w:pPr>
          </w:p>
        </w:tc>
      </w:tr>
    </w:tbl>
    <w:p>
      <w:pPr>
        <w:pStyle w:val="BodyText"/>
        <w:rPr>
          <w:sz w:val="20"/>
        </w:rPr>
      </w:pPr>
    </w:p>
    <w:p>
      <w:pPr>
        <w:pStyle w:val="BodyText"/>
        <w:rPr>
          <w:sz w:val="20"/>
        </w:rPr>
      </w:pPr>
    </w:p>
    <w:p>
      <w:pPr>
        <w:pStyle w:val="Heading1"/>
        <w:spacing w:before="187"/>
        <w:ind w:right="2698"/>
      </w:pPr>
      <w:r>
        <w:rPr>
          <w:w w:val="95"/>
        </w:rPr>
        <w:t>条款特别提示</w:t>
      </w:r>
    </w:p>
    <w:p>
      <w:pPr>
        <w:pStyle w:val="BodyText"/>
        <w:spacing w:before="72"/>
        <w:ind w:right="336"/>
        <w:jc w:val="center"/>
        <w:rPr>
          <w:sz w:val="20"/>
        </w:rPr>
      </w:pPr>
      <w:r>
        <w:rPr>
          <w:rFonts w:ascii="Times New Roman" w:eastAsia="Times New Roman"/>
          <w:spacing w:val="-53"/>
          <w:w w:val="100"/>
          <w:u w:val="single"/>
        </w:rPr>
        <w:t> </w:t>
      </w:r>
      <w:r>
        <w:rPr>
          <w:spacing w:val="-3"/>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0" w:hRule="atLeast"/>
        </w:trPr>
        <w:tc>
          <w:tcPr>
            <w:tcW w:w="9070" w:type="dxa"/>
          </w:tcPr>
          <w:p>
            <w:pPr>
              <w:pStyle w:val="TableParagraph"/>
              <w:spacing w:line="211" w:lineRule="exact"/>
              <w:ind w:left="3578" w:right="3350"/>
              <w:jc w:val="center"/>
              <w:rPr>
                <w:sz w:val="21"/>
              </w:rPr>
            </w:pPr>
            <w:r>
              <w:rPr>
                <w:sz w:val="21"/>
              </w:rPr>
              <w:t>您拥有的重要权利</w:t>
            </w:r>
          </w:p>
        </w:tc>
      </w:tr>
      <w:tr>
        <w:trPr>
          <w:trHeight w:val="522" w:hRule="atLeast"/>
        </w:trPr>
        <w:tc>
          <w:tcPr>
            <w:tcW w:w="9070" w:type="dxa"/>
          </w:tcPr>
          <w:p>
            <w:pPr>
              <w:pStyle w:val="TableParagraph"/>
              <w:numPr>
                <w:ilvl w:val="0"/>
                <w:numId w:val="1"/>
              </w:numPr>
              <w:tabs>
                <w:tab w:pos="619" w:val="left" w:leader="none"/>
                <w:tab w:pos="620" w:val="left" w:leader="none"/>
                <w:tab w:pos="8817" w:val="right" w:leader="dot"/>
              </w:tabs>
              <w:spacing w:line="240" w:lineRule="auto" w:before="4"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497" w:hRule="atLeast"/>
        </w:trPr>
        <w:tc>
          <w:tcPr>
            <w:tcW w:w="9070" w:type="dxa"/>
          </w:tcPr>
          <w:p>
            <w:pPr>
              <w:pStyle w:val="TableParagraph"/>
              <w:spacing w:before="163"/>
              <w:ind w:left="3580" w:right="3350"/>
              <w:jc w:val="center"/>
              <w:rPr>
                <w:sz w:val="21"/>
              </w:rPr>
            </w:pPr>
            <w:r>
              <w:rPr>
                <w:sz w:val="21"/>
              </w:rPr>
              <w:t>您应当特别注意的事项</w:t>
            </w:r>
          </w:p>
        </w:tc>
      </w:tr>
      <w:tr>
        <w:trPr>
          <w:trHeight w:val="347" w:hRule="atLeast"/>
        </w:trPr>
        <w:tc>
          <w:tcPr>
            <w:tcW w:w="9070" w:type="dxa"/>
          </w:tcPr>
          <w:p>
            <w:pPr>
              <w:pStyle w:val="TableParagraph"/>
              <w:numPr>
                <w:ilvl w:val="0"/>
                <w:numId w:val="2"/>
              </w:numPr>
              <w:tabs>
                <w:tab w:pos="619" w:val="left" w:leader="none"/>
                <w:tab w:pos="620" w:val="left" w:leader="none"/>
              </w:tabs>
              <w:spacing w:line="240" w:lineRule="auto" w:before="4" w:after="0"/>
              <w:ind w:left="620" w:right="0" w:hanging="420"/>
              <w:jc w:val="left"/>
              <w:rPr>
                <w:sz w:val="21"/>
              </w:rPr>
            </w:pPr>
            <w:r>
              <w:rPr>
                <w:spacing w:val="-3"/>
                <w:sz w:val="21"/>
              </w:rPr>
              <w:t>主合同条款也适用于本附加合同，若主合同条款与本附加合同条款互有抵触，则以本</w:t>
            </w:r>
          </w:p>
        </w:tc>
      </w:tr>
      <w:tr>
        <w:trPr>
          <w:trHeight w:val="340" w:hRule="atLeast"/>
        </w:trPr>
        <w:tc>
          <w:tcPr>
            <w:tcW w:w="9070" w:type="dxa"/>
          </w:tcPr>
          <w:p>
            <w:pPr>
              <w:pStyle w:val="TableParagraph"/>
              <w:tabs>
                <w:tab w:pos="8869" w:val="right" w:leader="dot"/>
              </w:tabs>
              <w:spacing w:line="288" w:lineRule="exact"/>
              <w:ind w:left="620"/>
              <w:rPr>
                <w:rFonts w:ascii="Times New Roman" w:eastAsia="Times New Roman"/>
                <w:sz w:val="21"/>
              </w:rPr>
            </w:pPr>
            <w:r>
              <w:rPr>
                <w:sz w:val="21"/>
              </w:rPr>
              <w:t>附加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39" w:hRule="atLeast"/>
        </w:trPr>
        <w:tc>
          <w:tcPr>
            <w:tcW w:w="9070" w:type="dxa"/>
          </w:tcPr>
          <w:p>
            <w:pPr>
              <w:pStyle w:val="TableParagraph"/>
              <w:numPr>
                <w:ilvl w:val="0"/>
                <w:numId w:val="3"/>
              </w:numPr>
              <w:tabs>
                <w:tab w:pos="619" w:val="left" w:leader="none"/>
                <w:tab w:pos="620"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4"/>
              </w:numPr>
              <w:tabs>
                <w:tab w:pos="619" w:val="left" w:leader="none"/>
                <w:tab w:pos="620" w:val="left" w:leader="none"/>
                <w:tab w:pos="8870" w:val="right" w:leader="dot"/>
              </w:tabs>
              <w:spacing w:line="287" w:lineRule="exact" w:before="0" w:after="0"/>
              <w:ind w:left="620" w:right="0" w:hanging="420"/>
              <w:jc w:val="left"/>
              <w:rPr>
                <w:rFonts w:ascii="Times New Roman" w:eastAsia="Times New Roman"/>
                <w:sz w:val="21"/>
              </w:rPr>
            </w:pPr>
            <w:r>
              <w:rPr>
                <w:sz w:val="21"/>
              </w:rPr>
              <w:t>当某</w:t>
            </w:r>
            <w:r>
              <w:rPr>
                <w:spacing w:val="-3"/>
                <w:sz w:val="21"/>
              </w:rPr>
              <w:t>些</w:t>
            </w:r>
            <w:r>
              <w:rPr>
                <w:sz w:val="21"/>
              </w:rPr>
              <w:t>情</w:t>
            </w:r>
            <w:r>
              <w:rPr>
                <w:spacing w:val="-3"/>
                <w:sz w:val="21"/>
              </w:rPr>
              <w:t>形</w:t>
            </w:r>
            <w:r>
              <w:rPr>
                <w:sz w:val="21"/>
              </w:rPr>
              <w:t>发</w:t>
            </w:r>
            <w:r>
              <w:rPr>
                <w:spacing w:val="-3"/>
                <w:sz w:val="21"/>
              </w:rPr>
              <w:t>生</w:t>
            </w:r>
            <w:r>
              <w:rPr>
                <w:sz w:val="21"/>
              </w:rPr>
              <w:t>时</w:t>
            </w:r>
            <w:r>
              <w:rPr>
                <w:spacing w:val="-3"/>
                <w:sz w:val="21"/>
              </w:rPr>
              <w:t>，</w:t>
            </w:r>
            <w:r>
              <w:rPr>
                <w:sz w:val="21"/>
              </w:rPr>
              <w:t>本</w:t>
            </w:r>
            <w:r>
              <w:rPr>
                <w:spacing w:val="-3"/>
                <w:sz w:val="21"/>
              </w:rPr>
              <w:t>附</w:t>
            </w:r>
            <w:r>
              <w:rPr>
                <w:sz w:val="21"/>
              </w:rPr>
              <w:t>加合</w:t>
            </w:r>
            <w:r>
              <w:rPr>
                <w:spacing w:val="-3"/>
                <w:sz w:val="21"/>
              </w:rPr>
              <w:t>同</w:t>
            </w:r>
            <w:r>
              <w:rPr>
                <w:sz w:val="21"/>
              </w:rPr>
              <w:t>效</w:t>
            </w:r>
            <w:r>
              <w:rPr>
                <w:spacing w:val="-3"/>
                <w:sz w:val="21"/>
              </w:rPr>
              <w:t>力</w:t>
            </w:r>
            <w:r>
              <w:rPr>
                <w:sz w:val="21"/>
              </w:rPr>
              <w:t>自</w:t>
            </w:r>
            <w:r>
              <w:rPr>
                <w:spacing w:val="-3"/>
                <w:sz w:val="21"/>
              </w:rPr>
              <w:t>动</w:t>
            </w:r>
            <w:r>
              <w:rPr>
                <w:sz w:val="21"/>
              </w:rPr>
              <w:t>终止</w:t>
              <w:tab/>
            </w:r>
            <w:r>
              <w:rPr>
                <w:rFonts w:ascii="Times New Roman" w:eastAsia="Times New Roman"/>
                <w:sz w:val="21"/>
              </w:rPr>
              <w:t>3.2</w:t>
            </w:r>
          </w:p>
        </w:tc>
      </w:tr>
      <w:tr>
        <w:trPr>
          <w:trHeight w:val="288" w:hRule="atLeast"/>
        </w:trPr>
        <w:tc>
          <w:tcPr>
            <w:tcW w:w="9070" w:type="dxa"/>
          </w:tcPr>
          <w:p>
            <w:pPr>
              <w:pStyle w:val="TableParagraph"/>
              <w:numPr>
                <w:ilvl w:val="0"/>
                <w:numId w:val="5"/>
              </w:numPr>
              <w:tabs>
                <w:tab w:pos="619" w:val="left" w:leader="none"/>
                <w:tab w:pos="620" w:val="left" w:leader="none"/>
                <w:tab w:pos="8711" w:val="right" w:leader="dot"/>
              </w:tabs>
              <w:spacing w:line="268" w:lineRule="exact" w:before="0" w:after="0"/>
              <w:ind w:left="620"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6</w:t>
            </w:r>
          </w:p>
        </w:tc>
      </w:tr>
    </w:tbl>
    <w:p>
      <w:pPr>
        <w:spacing w:after="0" w:line="268" w:lineRule="exact"/>
        <w:jc w:val="left"/>
        <w:rPr>
          <w:rFonts w:ascii="Times New Roman" w:eastAsia="Times New Roman"/>
          <w:sz w:val="21"/>
        </w:rPr>
        <w:sectPr>
          <w:type w:val="continuous"/>
          <w:pgSz w:w="11910" w:h="16840"/>
          <w:pgMar w:top="1380" w:bottom="280" w:left="1180" w:right="840"/>
        </w:sectPr>
      </w:pPr>
    </w:p>
    <w:p>
      <w:pPr>
        <w:pStyle w:val="Heading1"/>
        <w:spacing w:line="372" w:lineRule="exact"/>
        <w:ind w:left="2082"/>
        <w:jc w:val="left"/>
      </w:pPr>
      <w:r>
        <w:rPr>
          <w:w w:val="95"/>
        </w:rPr>
        <w:t>人保寿险附加康健生活重大疾病保险条款</w:t>
      </w:r>
    </w:p>
    <w:p>
      <w:pPr>
        <w:pStyle w:val="BodyText"/>
        <w:spacing w:before="238" w:after="49"/>
        <w:ind w:left="954"/>
      </w:pPr>
      <w:r>
        <w:rPr>
          <w:spacing w:val="-2"/>
          <w:w w:val="100"/>
        </w:rPr>
        <w:t>在本条款中</w:t>
      </w:r>
      <w:r>
        <w:rPr>
          <w:spacing w:val="-27"/>
          <w:w w:val="100"/>
        </w:rPr>
        <w:t>，“您”指投保人</w:t>
      </w:r>
      <w:r>
        <w:rPr>
          <w:spacing w:val="-24"/>
          <w:w w:val="100"/>
        </w:rPr>
        <w:t>，“我们”、“本公司”均指中国人民人寿保险股份有限公司。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727"/>
      </w:tblGrid>
      <w:tr>
        <w:trPr>
          <w:trHeight w:val="300" w:hRule="atLeast"/>
        </w:trPr>
        <w:tc>
          <w:tcPr>
            <w:tcW w:w="9601" w:type="dxa"/>
            <w:gridSpan w:val="3"/>
            <w:shd w:val="clear" w:color="auto" w:fill="E6E6E6"/>
          </w:tcPr>
          <w:p>
            <w:pPr>
              <w:pStyle w:val="TableParagraph"/>
              <w:tabs>
                <w:tab w:pos="739"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8"/>
              <w:rPr>
                <w:b/>
                <w:sz w:val="21"/>
              </w:rPr>
            </w:pPr>
            <w:r>
              <w:rPr>
                <w:b/>
                <w:sz w:val="21"/>
              </w:rPr>
              <w:t>附加合同订立</w:t>
            </w:r>
          </w:p>
        </w:tc>
        <w:tc>
          <w:tcPr>
            <w:tcW w:w="7727" w:type="dxa"/>
          </w:tcPr>
          <w:p>
            <w:pPr>
              <w:pStyle w:val="TableParagraph"/>
              <w:spacing w:line="261" w:lineRule="auto" w:before="107"/>
              <w:ind w:left="202" w:right="102"/>
              <w:jc w:val="both"/>
              <w:rPr>
                <w:sz w:val="21"/>
              </w:rPr>
            </w:pPr>
            <w:r>
              <w:rPr>
                <w:spacing w:val="-4"/>
                <w:w w:val="100"/>
                <w:sz w:val="21"/>
              </w:rPr>
              <w:t>人保寿险附加康健生活重大疾病保险合同</w:t>
            </w:r>
            <w:r>
              <w:rPr>
                <w:w w:val="100"/>
                <w:sz w:val="21"/>
              </w:rPr>
              <w:t>（</w:t>
            </w:r>
            <w:r>
              <w:rPr>
                <w:spacing w:val="-15"/>
                <w:w w:val="100"/>
                <w:sz w:val="21"/>
              </w:rPr>
              <w:t>以下简称“本附加合同”）</w:t>
            </w:r>
            <w:r>
              <w:rPr>
                <w:spacing w:val="-3"/>
                <w:w w:val="100"/>
                <w:sz w:val="21"/>
              </w:rPr>
              <w:t>由主保险合</w:t>
            </w:r>
            <w:r>
              <w:rPr>
                <w:spacing w:val="-8"/>
                <w:w w:val="100"/>
                <w:sz w:val="21"/>
              </w:rPr>
              <w:t>同</w:t>
            </w:r>
            <w:r>
              <w:rPr>
                <w:spacing w:val="-3"/>
                <w:w w:val="100"/>
                <w:sz w:val="21"/>
              </w:rPr>
              <w:t>（</w:t>
            </w:r>
            <w:r>
              <w:rPr>
                <w:spacing w:val="-16"/>
                <w:w w:val="100"/>
                <w:sz w:val="21"/>
              </w:rPr>
              <w:t>以下简称“主合同”</w:t>
            </w:r>
            <w:r>
              <w:rPr>
                <w:spacing w:val="-10"/>
                <w:w w:val="100"/>
                <w:sz w:val="21"/>
              </w:rPr>
              <w:t>）</w:t>
            </w:r>
            <w:r>
              <w:rPr>
                <w:spacing w:val="-5"/>
                <w:w w:val="100"/>
                <w:sz w:val="21"/>
              </w:rPr>
              <w:t>的投保人提出申请，经我们同意而订立。主合同条款适</w:t>
            </w:r>
            <w:r>
              <w:rPr>
                <w:spacing w:val="-4"/>
                <w:sz w:val="21"/>
              </w:rPr>
              <w:t>用于本附加合同，若主合同条款与本附加合同条款互有抵触，则以本附加合同条</w:t>
            </w:r>
            <w:r>
              <w:rPr>
                <w:spacing w:val="-3"/>
                <w:sz w:val="21"/>
              </w:rPr>
              <w:t>款为准。</w:t>
            </w:r>
          </w:p>
          <w:p>
            <w:pPr>
              <w:pStyle w:val="TableParagraph"/>
              <w:spacing w:before="5"/>
              <w:ind w:left="202"/>
              <w:jc w:val="both"/>
              <w:rPr>
                <w:sz w:val="21"/>
              </w:rPr>
            </w:pPr>
            <w:r>
              <w:rPr>
                <w:sz w:val="21"/>
              </w:rPr>
              <w:t>若本附加合同未在主合同保险单或批注单上载明，本附加合同不发生效力。</w:t>
            </w:r>
          </w:p>
        </w:tc>
      </w:tr>
      <w:tr>
        <w:trPr>
          <w:trHeight w:val="1959"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8"/>
              <w:jc w:val="both"/>
              <w:rPr>
                <w:b/>
                <w:sz w:val="21"/>
              </w:rPr>
            </w:pPr>
            <w:r>
              <w:rPr>
                <w:b/>
                <w:sz w:val="21"/>
              </w:rPr>
              <w:t>附加合同成立与生效</w:t>
            </w:r>
          </w:p>
        </w:tc>
        <w:tc>
          <w:tcPr>
            <w:tcW w:w="7727" w:type="dxa"/>
          </w:tcPr>
          <w:p>
            <w:pPr>
              <w:pStyle w:val="TableParagraph"/>
              <w:spacing w:before="40"/>
              <w:ind w:left="202"/>
              <w:rPr>
                <w:sz w:val="21"/>
              </w:rPr>
            </w:pPr>
            <w:r>
              <w:rPr>
                <w:sz w:val="21"/>
              </w:rPr>
              <w:t>若本附加合同与主合同同时投保，本附加合同的生效日期与主合同相同。</w:t>
            </w:r>
          </w:p>
          <w:p>
            <w:pPr>
              <w:pStyle w:val="TableParagraph"/>
              <w:spacing w:line="261" w:lineRule="auto" w:before="25"/>
              <w:ind w:left="202" w:right="164"/>
              <w:rPr>
                <w:sz w:val="21"/>
              </w:rPr>
            </w:pPr>
            <w:r>
              <w:rPr>
                <w:sz w:val="21"/>
              </w:rPr>
              <w:t>若本附加合同在主合同有效期内投保，您提出保险申请，我们同意承保，本附加合同成立。</w:t>
            </w:r>
          </w:p>
          <w:p>
            <w:pPr>
              <w:pStyle w:val="TableParagraph"/>
              <w:spacing w:line="254" w:lineRule="auto" w:before="6"/>
              <w:ind w:left="202" w:right="-15"/>
              <w:rPr>
                <w:sz w:val="21"/>
              </w:rPr>
            </w:pPr>
            <w:r>
              <w:rPr>
                <w:spacing w:val="-3"/>
                <w:sz w:val="21"/>
              </w:rPr>
              <w:t>本附加合同成立、我们收取首期保险费并签发保险单或批注单为本附加合同的生</w:t>
            </w:r>
            <w:r>
              <w:rPr>
                <w:w w:val="100"/>
                <w:sz w:val="21"/>
              </w:rPr>
              <w:t>效</w:t>
            </w:r>
            <w:r>
              <w:rPr>
                <w:spacing w:val="-6"/>
                <w:w w:val="100"/>
                <w:sz w:val="21"/>
              </w:rPr>
              <w:t>条件，附加合同生效日期在保险单或批注单上载明。</w:t>
            </w:r>
            <w:r>
              <w:rPr>
                <w:b/>
                <w:spacing w:val="-3"/>
                <w:w w:val="100"/>
                <w:sz w:val="21"/>
              </w:rPr>
              <w:t>保单生效对应日</w:t>
            </w:r>
            <w:r>
              <w:rPr>
                <w:spacing w:val="-3"/>
                <w:w w:val="100"/>
                <w:sz w:val="21"/>
              </w:rPr>
              <w:t>（</w:t>
            </w:r>
            <w:r>
              <w:rPr>
                <w:w w:val="100"/>
                <w:sz w:val="21"/>
              </w:rPr>
              <w:t>见</w:t>
            </w:r>
            <w:r>
              <w:rPr>
                <w:spacing w:val="-53"/>
                <w:sz w:val="21"/>
              </w:rPr>
              <w:t> </w:t>
            </w:r>
            <w:r>
              <w:rPr>
                <w:rFonts w:ascii="Times New Roman" w:eastAsia="Times New Roman"/>
                <w:spacing w:val="-3"/>
                <w:w w:val="100"/>
                <w:sz w:val="21"/>
              </w:rPr>
              <w:t>6</w:t>
            </w:r>
            <w:r>
              <w:rPr>
                <w:rFonts w:ascii="Times New Roman" w:eastAsia="Times New Roman"/>
                <w:w w:val="100"/>
                <w:sz w:val="21"/>
              </w:rPr>
              <w:t>.</w:t>
            </w:r>
            <w:r>
              <w:rPr>
                <w:rFonts w:ascii="Times New Roman" w:eastAsia="Times New Roman"/>
                <w:spacing w:val="-1"/>
                <w:w w:val="100"/>
                <w:sz w:val="21"/>
              </w:rPr>
              <w:t>1</w:t>
            </w:r>
            <w:r>
              <w:rPr>
                <w:spacing w:val="-106"/>
                <w:w w:val="100"/>
                <w:sz w:val="21"/>
              </w:rPr>
              <w:t>）</w:t>
            </w:r>
            <w:r>
              <w:rPr>
                <w:w w:val="100"/>
                <w:sz w:val="21"/>
              </w:rPr>
              <w:t>、</w:t>
            </w:r>
            <w:r>
              <w:rPr>
                <w:sz w:val="21"/>
              </w:rPr>
              <w:t>保</w:t>
            </w:r>
            <w:r>
              <w:rPr>
                <w:spacing w:val="-3"/>
                <w:sz w:val="21"/>
              </w:rPr>
              <w:t>险费约定交纳日均以该日期计算。</w:t>
            </w:r>
          </w:p>
        </w:tc>
      </w:tr>
      <w:tr>
        <w:trPr>
          <w:trHeight w:val="300" w:hRule="atLeast"/>
        </w:trPr>
        <w:tc>
          <w:tcPr>
            <w:tcW w:w="9601"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line="261" w:lineRule="auto" w:before="107"/>
              <w:ind w:left="228" w:right="198"/>
              <w:rPr>
                <w:b/>
                <w:sz w:val="21"/>
              </w:rPr>
            </w:pPr>
            <w:r>
              <w:rPr>
                <w:b/>
                <w:sz w:val="21"/>
              </w:rPr>
              <w:t>基本保险金额</w:t>
            </w:r>
          </w:p>
        </w:tc>
        <w:tc>
          <w:tcPr>
            <w:tcW w:w="7727" w:type="dxa"/>
          </w:tcPr>
          <w:p>
            <w:pPr>
              <w:pStyle w:val="TableParagraph"/>
              <w:spacing w:line="261" w:lineRule="auto" w:before="107"/>
              <w:ind w:left="202" w:right="378"/>
              <w:rPr>
                <w:sz w:val="21"/>
              </w:rPr>
            </w:pPr>
            <w:r>
              <w:rPr>
                <w:sz w:val="21"/>
              </w:rPr>
              <w:t>本附加合同的基本保险金额由您在投保时与我们约定并在保险单或批注单上载明。若该金额发生变更，则以变更后的金额为基本保险金额。</w:t>
            </w:r>
          </w:p>
        </w:tc>
      </w:tr>
      <w:tr>
        <w:trPr>
          <w:trHeight w:val="1027"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8"/>
              <w:jc w:val="right"/>
              <w:rPr>
                <w:b/>
                <w:sz w:val="21"/>
              </w:rPr>
            </w:pPr>
            <w:r>
              <w:rPr>
                <w:b/>
                <w:sz w:val="21"/>
              </w:rPr>
              <w:t>保险期间</w:t>
            </w:r>
          </w:p>
        </w:tc>
        <w:tc>
          <w:tcPr>
            <w:tcW w:w="7727" w:type="dxa"/>
          </w:tcPr>
          <w:p>
            <w:pPr>
              <w:pStyle w:val="TableParagraph"/>
              <w:spacing w:line="247" w:lineRule="auto" w:before="40"/>
              <w:ind w:left="202" w:right="107"/>
              <w:rPr>
                <w:sz w:val="21"/>
              </w:rPr>
            </w:pPr>
            <w:r>
              <w:rPr>
                <w:spacing w:val="-7"/>
                <w:sz w:val="21"/>
              </w:rPr>
              <w:t>本附加合同的保险期间为 </w:t>
            </w:r>
            <w:r>
              <w:rPr>
                <w:rFonts w:ascii="Times New Roman" w:eastAsia="Times New Roman"/>
                <w:sz w:val="21"/>
              </w:rPr>
              <w:t>10 </w:t>
            </w:r>
            <w:r>
              <w:rPr>
                <w:spacing w:val="-11"/>
                <w:sz w:val="21"/>
              </w:rPr>
              <w:t>年、</w:t>
            </w:r>
            <w:r>
              <w:rPr>
                <w:rFonts w:ascii="Times New Roman" w:eastAsia="Times New Roman"/>
                <w:sz w:val="21"/>
              </w:rPr>
              <w:t>20 </w:t>
            </w:r>
            <w:r>
              <w:rPr>
                <w:spacing w:val="-12"/>
                <w:sz w:val="21"/>
              </w:rPr>
              <w:t>年、</w:t>
            </w:r>
            <w:r>
              <w:rPr>
                <w:rFonts w:ascii="Times New Roman" w:eastAsia="Times New Roman"/>
                <w:sz w:val="21"/>
              </w:rPr>
              <w:t>30 </w:t>
            </w:r>
            <w:r>
              <w:rPr>
                <w:spacing w:val="-9"/>
                <w:sz w:val="21"/>
              </w:rPr>
              <w:t>年和至被保险人 </w:t>
            </w:r>
            <w:r>
              <w:rPr>
                <w:rFonts w:ascii="Times New Roman" w:eastAsia="Times New Roman"/>
                <w:sz w:val="21"/>
              </w:rPr>
              <w:t>70 </w:t>
            </w:r>
            <w:r>
              <w:rPr>
                <w:spacing w:val="-3"/>
                <w:sz w:val="21"/>
              </w:rPr>
              <w:t>周岁的保单年生效对应日零时止四种。保险期间由您在投保时与我们约定并在保险单上载明。</w:t>
            </w:r>
          </w:p>
          <w:p>
            <w:pPr>
              <w:pStyle w:val="TableParagraph"/>
              <w:spacing w:before="33"/>
              <w:ind w:left="202"/>
              <w:rPr>
                <w:sz w:val="21"/>
              </w:rPr>
            </w:pPr>
            <w:r>
              <w:rPr>
                <w:sz w:val="21"/>
              </w:rPr>
              <w:t>除本附加合同另有约定外，自本附加合同生效日起，我们开始承担保险责任。</w:t>
            </w:r>
          </w:p>
        </w:tc>
      </w:tr>
      <w:tr>
        <w:trPr>
          <w:trHeight w:val="420" w:hRule="atLeast"/>
        </w:trPr>
        <w:tc>
          <w:tcPr>
            <w:tcW w:w="600" w:type="dxa"/>
          </w:tcPr>
          <w:p>
            <w:pPr>
              <w:pStyle w:val="TableParagraph"/>
              <w:spacing w:before="89"/>
              <w:ind w:left="108"/>
              <w:rPr>
                <w:rFonts w:ascii="Times New Roman"/>
                <w:b/>
                <w:sz w:val="21"/>
              </w:rPr>
            </w:pPr>
            <w:r>
              <w:rPr>
                <w:rFonts w:ascii="Times New Roman"/>
                <w:b/>
                <w:sz w:val="21"/>
              </w:rPr>
              <w:t>2.3</w:t>
            </w:r>
          </w:p>
        </w:tc>
        <w:tc>
          <w:tcPr>
            <w:tcW w:w="1274" w:type="dxa"/>
          </w:tcPr>
          <w:p>
            <w:pPr>
              <w:pStyle w:val="TableParagraph"/>
              <w:spacing w:before="40"/>
              <w:ind w:left="0" w:right="198"/>
              <w:jc w:val="right"/>
              <w:rPr>
                <w:b/>
                <w:sz w:val="21"/>
              </w:rPr>
            </w:pPr>
            <w:r>
              <w:rPr>
                <w:b/>
                <w:sz w:val="21"/>
              </w:rPr>
              <w:t>保险责任</w:t>
            </w:r>
          </w:p>
        </w:tc>
        <w:tc>
          <w:tcPr>
            <w:tcW w:w="7727" w:type="dxa"/>
          </w:tcPr>
          <w:p>
            <w:pPr>
              <w:pStyle w:val="TableParagraph"/>
              <w:spacing w:before="40"/>
              <w:ind w:left="202"/>
              <w:rPr>
                <w:sz w:val="21"/>
              </w:rPr>
            </w:pPr>
            <w:r>
              <w:rPr>
                <w:sz w:val="21"/>
              </w:rPr>
              <w:t>在本附加合同有效期内，我们承担如下保险责任：</w:t>
            </w:r>
          </w:p>
        </w:tc>
      </w:tr>
      <w:tr>
        <w:trPr>
          <w:trHeight w:val="1907" w:hRule="atLeast"/>
        </w:trPr>
        <w:tc>
          <w:tcPr>
            <w:tcW w:w="600" w:type="dxa"/>
          </w:tcPr>
          <w:p>
            <w:pPr>
              <w:pStyle w:val="TableParagraph"/>
              <w:ind w:left="0"/>
              <w:rPr>
                <w:rFonts w:ascii="Times New Roman"/>
                <w:sz w:val="20"/>
              </w:rPr>
            </w:pPr>
          </w:p>
        </w:tc>
        <w:tc>
          <w:tcPr>
            <w:tcW w:w="1274" w:type="dxa"/>
          </w:tcPr>
          <w:p>
            <w:pPr>
              <w:pStyle w:val="TableParagraph"/>
              <w:spacing w:line="196" w:lineRule="auto" w:before="31"/>
              <w:ind w:left="228" w:right="201"/>
              <w:rPr>
                <w:rFonts w:ascii="Microsoft JhengHei" w:eastAsia="Microsoft JhengHei" w:hint="eastAsia"/>
                <w:b/>
                <w:sz w:val="21"/>
              </w:rPr>
            </w:pPr>
            <w:r>
              <w:rPr>
                <w:rFonts w:ascii="Microsoft JhengHei" w:eastAsia="Microsoft JhengHei" w:hint="eastAsia"/>
                <w:b/>
                <w:sz w:val="21"/>
              </w:rPr>
              <w:t>重大疾病保险金</w:t>
            </w:r>
          </w:p>
        </w:tc>
        <w:tc>
          <w:tcPr>
            <w:tcW w:w="7727" w:type="dxa"/>
          </w:tcPr>
          <w:p>
            <w:pPr>
              <w:pStyle w:val="TableParagraph"/>
              <w:spacing w:line="247" w:lineRule="auto" w:before="32"/>
              <w:ind w:left="202" w:right="106"/>
              <w:jc w:val="both"/>
              <w:rPr>
                <w:sz w:val="21"/>
              </w:rPr>
            </w:pPr>
            <w:r>
              <w:rPr>
                <w:spacing w:val="-3"/>
                <w:sz w:val="21"/>
              </w:rPr>
              <w:t>被保险人自本附加合同生效</w:t>
            </w:r>
            <w:r>
              <w:rPr>
                <w:sz w:val="21"/>
              </w:rPr>
              <w:t>（</w:t>
            </w:r>
            <w:r>
              <w:rPr>
                <w:spacing w:val="-3"/>
                <w:sz w:val="21"/>
              </w:rPr>
              <w:t>或最后复效</w:t>
            </w:r>
            <w:r>
              <w:rPr>
                <w:sz w:val="21"/>
              </w:rPr>
              <w:t>）</w:t>
            </w:r>
            <w:r>
              <w:rPr>
                <w:spacing w:val="-13"/>
                <w:sz w:val="21"/>
              </w:rPr>
              <w:t>之日起 </w:t>
            </w:r>
            <w:r>
              <w:rPr>
                <w:rFonts w:ascii="Times New Roman" w:eastAsia="Times New Roman"/>
                <w:sz w:val="21"/>
              </w:rPr>
              <w:t>180 </w:t>
            </w:r>
            <w:r>
              <w:rPr>
                <w:spacing w:val="-3"/>
                <w:sz w:val="21"/>
              </w:rPr>
              <w:t>日内因疾病，初次被确诊</w:t>
            </w:r>
            <w:r>
              <w:rPr>
                <w:spacing w:val="-3"/>
                <w:w w:val="100"/>
                <w:sz w:val="21"/>
              </w:rPr>
              <w:t>患有本附加合同约定的</w:t>
            </w:r>
            <w:r>
              <w:rPr>
                <w:b/>
                <w:spacing w:val="-4"/>
                <w:w w:val="100"/>
                <w:sz w:val="21"/>
              </w:rPr>
              <w:t>重大疾病</w:t>
            </w:r>
            <w:r>
              <w:rPr>
                <w:spacing w:val="-3"/>
                <w:w w:val="100"/>
                <w:sz w:val="21"/>
              </w:rPr>
              <w:t>（</w:t>
            </w:r>
            <w:r>
              <w:rPr>
                <w:w w:val="100"/>
                <w:sz w:val="21"/>
              </w:rPr>
              <w:t>见</w:t>
            </w:r>
            <w:r>
              <w:rPr>
                <w:spacing w:val="-52"/>
                <w:sz w:val="21"/>
              </w:rPr>
              <w:t> </w:t>
            </w:r>
            <w:r>
              <w:rPr>
                <w:rFonts w:ascii="Times New Roman" w:eastAsia="Times New Roman"/>
                <w:w w:val="100"/>
                <w:sz w:val="21"/>
              </w:rPr>
              <w:t>6.</w:t>
            </w:r>
            <w:r>
              <w:rPr>
                <w:rFonts w:ascii="Times New Roman" w:eastAsia="Times New Roman"/>
                <w:spacing w:val="-3"/>
                <w:w w:val="100"/>
                <w:sz w:val="21"/>
              </w:rPr>
              <w:t>7</w:t>
            </w:r>
            <w:r>
              <w:rPr>
                <w:spacing w:val="-120"/>
                <w:w w:val="100"/>
                <w:sz w:val="21"/>
              </w:rPr>
              <w:t>）</w:t>
            </w:r>
            <w:r>
              <w:rPr>
                <w:spacing w:val="-3"/>
                <w:w w:val="100"/>
                <w:sz w:val="21"/>
              </w:rPr>
              <w:t>（一种或多种</w:t>
            </w:r>
            <w:r>
              <w:rPr>
                <w:spacing w:val="-108"/>
                <w:w w:val="100"/>
                <w:sz w:val="21"/>
              </w:rPr>
              <w:t>）</w:t>
            </w:r>
            <w:r>
              <w:rPr>
                <w:spacing w:val="-5"/>
                <w:w w:val="100"/>
                <w:sz w:val="21"/>
              </w:rPr>
              <w:t>，我们按本附加合同所交</w:t>
            </w:r>
            <w:r>
              <w:rPr>
                <w:spacing w:val="-2"/>
                <w:sz w:val="21"/>
              </w:rPr>
              <w:t>保险费</w:t>
            </w:r>
            <w:r>
              <w:rPr>
                <w:spacing w:val="-1"/>
                <w:sz w:val="21"/>
              </w:rPr>
              <w:t>（</w:t>
            </w:r>
            <w:r>
              <w:rPr>
                <w:spacing w:val="-3"/>
                <w:sz w:val="21"/>
              </w:rPr>
              <w:t>不计利息）给付重大疾病保险金，本附加合同终止。</w:t>
            </w:r>
          </w:p>
          <w:p>
            <w:pPr>
              <w:pStyle w:val="TableParagraph"/>
              <w:spacing w:line="244" w:lineRule="auto" w:before="18"/>
              <w:ind w:left="202" w:right="102"/>
              <w:jc w:val="both"/>
              <w:rPr>
                <w:sz w:val="22"/>
              </w:rPr>
            </w:pPr>
            <w:r>
              <w:rPr>
                <w:spacing w:val="-3"/>
                <w:sz w:val="21"/>
              </w:rPr>
              <w:t>被保险人因遭受</w:t>
            </w:r>
            <w:r>
              <w:rPr>
                <w:b/>
                <w:spacing w:val="-14"/>
                <w:sz w:val="21"/>
              </w:rPr>
              <w:t>意外伤害</w:t>
            </w:r>
            <w:r>
              <w:rPr>
                <w:sz w:val="21"/>
              </w:rPr>
              <w:t>（</w:t>
            </w:r>
            <w:r>
              <w:rPr>
                <w:spacing w:val="-18"/>
                <w:sz w:val="21"/>
              </w:rPr>
              <w:t>见 </w:t>
            </w:r>
            <w:r>
              <w:rPr>
                <w:rFonts w:ascii="Times New Roman" w:eastAsia="Times New Roman"/>
                <w:spacing w:val="-14"/>
                <w:sz w:val="21"/>
              </w:rPr>
              <w:t>6.2</w:t>
            </w:r>
            <w:r>
              <w:rPr>
                <w:spacing w:val="-14"/>
                <w:sz w:val="21"/>
              </w:rPr>
              <w:t>）</w:t>
            </w:r>
            <w:r>
              <w:rPr>
                <w:spacing w:val="-9"/>
                <w:sz w:val="21"/>
              </w:rPr>
              <w:t>或自本附加合同生效</w:t>
            </w:r>
            <w:r>
              <w:rPr>
                <w:spacing w:val="-3"/>
                <w:sz w:val="21"/>
              </w:rPr>
              <w:t>（或最后复效</w:t>
            </w:r>
            <w:r>
              <w:rPr>
                <w:spacing w:val="-53"/>
                <w:sz w:val="21"/>
              </w:rPr>
              <w:t>）</w:t>
            </w:r>
            <w:r>
              <w:rPr>
                <w:spacing w:val="-11"/>
                <w:sz w:val="21"/>
              </w:rPr>
              <w:t>之日起 </w:t>
            </w:r>
            <w:r>
              <w:rPr>
                <w:rFonts w:ascii="Times New Roman" w:eastAsia="Times New Roman"/>
                <w:sz w:val="21"/>
              </w:rPr>
              <w:t>180 </w:t>
            </w:r>
            <w:r>
              <w:rPr>
                <w:spacing w:val="-6"/>
                <w:sz w:val="21"/>
              </w:rPr>
              <w:t>日后因疾病，初次被确诊患有本附加合同约定的重大疾病</w:t>
            </w:r>
            <w:r>
              <w:rPr>
                <w:sz w:val="21"/>
              </w:rPr>
              <w:t>（</w:t>
            </w:r>
            <w:r>
              <w:rPr>
                <w:spacing w:val="-3"/>
                <w:sz w:val="21"/>
              </w:rPr>
              <w:t>一种或多种</w:t>
            </w:r>
            <w:r>
              <w:rPr>
                <w:spacing w:val="-65"/>
                <w:sz w:val="21"/>
              </w:rPr>
              <w:t>），</w:t>
            </w:r>
            <w:r>
              <w:rPr>
                <w:spacing w:val="-2"/>
                <w:sz w:val="22"/>
              </w:rPr>
              <w:t>我们按</w:t>
            </w:r>
            <w:r>
              <w:rPr>
                <w:spacing w:val="-3"/>
                <w:sz w:val="22"/>
              </w:rPr>
              <w:t>本附加合同基本保险金额给付重大疾病保险金，本附加合同终止。</w:t>
            </w:r>
          </w:p>
        </w:tc>
      </w:tr>
      <w:tr>
        <w:trPr>
          <w:trHeight w:val="1321" w:hRule="atLeast"/>
        </w:trPr>
        <w:tc>
          <w:tcPr>
            <w:tcW w:w="600" w:type="dxa"/>
          </w:tcPr>
          <w:p>
            <w:pPr>
              <w:pStyle w:val="TableParagraph"/>
              <w:ind w:left="0"/>
              <w:rPr>
                <w:rFonts w:ascii="Times New Roman"/>
                <w:sz w:val="20"/>
              </w:rPr>
            </w:pPr>
          </w:p>
        </w:tc>
        <w:tc>
          <w:tcPr>
            <w:tcW w:w="1274" w:type="dxa"/>
          </w:tcPr>
          <w:p>
            <w:pPr>
              <w:pStyle w:val="TableParagraph"/>
              <w:spacing w:line="196" w:lineRule="auto" w:before="40"/>
              <w:ind w:left="228" w:right="201"/>
              <w:rPr>
                <w:rFonts w:ascii="Microsoft JhengHei" w:eastAsia="Microsoft JhengHei" w:hint="eastAsia"/>
                <w:b/>
                <w:sz w:val="21"/>
              </w:rPr>
            </w:pPr>
            <w:r>
              <w:rPr>
                <w:rFonts w:ascii="Microsoft JhengHei" w:eastAsia="Microsoft JhengHei" w:hint="eastAsia"/>
                <w:b/>
                <w:sz w:val="21"/>
              </w:rPr>
              <w:t>特定疾病保险金</w:t>
            </w:r>
          </w:p>
        </w:tc>
        <w:tc>
          <w:tcPr>
            <w:tcW w:w="7727" w:type="dxa"/>
          </w:tcPr>
          <w:p>
            <w:pPr>
              <w:pStyle w:val="TableParagraph"/>
              <w:spacing w:line="247" w:lineRule="auto" w:before="41"/>
              <w:ind w:left="202" w:right="105"/>
              <w:jc w:val="both"/>
              <w:rPr>
                <w:sz w:val="21"/>
              </w:rPr>
            </w:pPr>
            <w:r>
              <w:rPr>
                <w:spacing w:val="-3"/>
                <w:sz w:val="21"/>
              </w:rPr>
              <w:t>被保险人因遭受意外伤害或自本附加合同生效</w:t>
            </w:r>
            <w:r>
              <w:rPr>
                <w:sz w:val="21"/>
              </w:rPr>
              <w:t>（</w:t>
            </w:r>
            <w:r>
              <w:rPr>
                <w:spacing w:val="-3"/>
                <w:sz w:val="21"/>
              </w:rPr>
              <w:t>或最后复效）</w:t>
            </w:r>
            <w:r>
              <w:rPr>
                <w:spacing w:val="-12"/>
                <w:sz w:val="21"/>
              </w:rPr>
              <w:t>之日起 </w:t>
            </w:r>
            <w:r>
              <w:rPr>
                <w:rFonts w:ascii="Times New Roman" w:eastAsia="Times New Roman"/>
                <w:sz w:val="21"/>
              </w:rPr>
              <w:t>180 </w:t>
            </w:r>
            <w:r>
              <w:rPr>
                <w:spacing w:val="-2"/>
                <w:sz w:val="21"/>
              </w:rPr>
              <w:t>日后因</w:t>
            </w:r>
            <w:r>
              <w:rPr>
                <w:spacing w:val="-5"/>
                <w:w w:val="100"/>
                <w:sz w:val="21"/>
              </w:rPr>
              <w:t>疾病，初次被确诊患有本附加合同约定的</w:t>
            </w:r>
            <w:r>
              <w:rPr>
                <w:b/>
                <w:spacing w:val="-4"/>
                <w:w w:val="100"/>
                <w:sz w:val="21"/>
              </w:rPr>
              <w:t>特定疾病</w:t>
            </w:r>
            <w:r>
              <w:rPr>
                <w:w w:val="100"/>
                <w:sz w:val="21"/>
              </w:rPr>
              <w:t>（见</w:t>
            </w:r>
            <w:r>
              <w:rPr>
                <w:spacing w:val="-53"/>
                <w:sz w:val="21"/>
              </w:rPr>
              <w:t> </w:t>
            </w:r>
            <w:r>
              <w:rPr>
                <w:rFonts w:ascii="Times New Roman" w:eastAsia="Times New Roman"/>
                <w:w w:val="100"/>
                <w:sz w:val="21"/>
              </w:rPr>
              <w:t>6.</w:t>
            </w:r>
            <w:r>
              <w:rPr>
                <w:rFonts w:ascii="Times New Roman" w:eastAsia="Times New Roman"/>
                <w:spacing w:val="-3"/>
                <w:w w:val="100"/>
                <w:sz w:val="21"/>
              </w:rPr>
              <w:t>8</w:t>
            </w:r>
            <w:r>
              <w:rPr>
                <w:spacing w:val="-118"/>
                <w:w w:val="100"/>
                <w:sz w:val="21"/>
              </w:rPr>
              <w:t>）</w:t>
            </w:r>
            <w:r>
              <w:rPr>
                <w:w w:val="100"/>
                <w:sz w:val="21"/>
              </w:rPr>
              <w:t>（</w:t>
            </w:r>
            <w:r>
              <w:rPr>
                <w:spacing w:val="-3"/>
                <w:w w:val="100"/>
                <w:sz w:val="21"/>
              </w:rPr>
              <w:t>一种或多种</w:t>
            </w:r>
            <w:r>
              <w:rPr>
                <w:spacing w:val="-108"/>
                <w:w w:val="100"/>
                <w:sz w:val="21"/>
              </w:rPr>
              <w:t>）</w:t>
            </w:r>
            <w:r>
              <w:rPr>
                <w:spacing w:val="-6"/>
                <w:w w:val="100"/>
                <w:sz w:val="21"/>
              </w:rPr>
              <w:t>，我们</w:t>
            </w:r>
            <w:r>
              <w:rPr>
                <w:spacing w:val="-7"/>
                <w:sz w:val="21"/>
              </w:rPr>
              <w:t>按本附加合同基本保险金额的 </w:t>
            </w:r>
            <w:r>
              <w:rPr>
                <w:rFonts w:ascii="Times New Roman" w:eastAsia="Times New Roman"/>
                <w:sz w:val="21"/>
              </w:rPr>
              <w:t>20%</w:t>
            </w:r>
            <w:r>
              <w:rPr>
                <w:spacing w:val="-3"/>
                <w:sz w:val="21"/>
              </w:rPr>
              <w:t>给付特定疾病保险金，本附加合同继续有效。</w:t>
            </w:r>
            <w:r>
              <w:rPr>
                <w:spacing w:val="-7"/>
                <w:sz w:val="21"/>
              </w:rPr>
              <w:t>特定疾病保险金的给付以 </w:t>
            </w:r>
            <w:r>
              <w:rPr>
                <w:rFonts w:ascii="Times New Roman" w:eastAsia="Times New Roman"/>
                <w:sz w:val="21"/>
              </w:rPr>
              <w:t>1 </w:t>
            </w:r>
            <w:r>
              <w:rPr>
                <w:spacing w:val="-6"/>
                <w:sz w:val="21"/>
              </w:rPr>
              <w:t>次为限，给付金额最高为人民币 </w:t>
            </w:r>
            <w:r>
              <w:rPr>
                <w:rFonts w:ascii="Times New Roman" w:eastAsia="Times New Roman"/>
                <w:sz w:val="21"/>
              </w:rPr>
              <w:t>10 </w:t>
            </w:r>
            <w:r>
              <w:rPr>
                <w:spacing w:val="-2"/>
                <w:sz w:val="21"/>
              </w:rPr>
              <w:t>万元。</w:t>
            </w:r>
          </w:p>
        </w:tc>
      </w:tr>
      <w:tr>
        <w:trPr>
          <w:trHeight w:val="3323" w:hRule="atLeast"/>
        </w:trPr>
        <w:tc>
          <w:tcPr>
            <w:tcW w:w="600" w:type="dxa"/>
          </w:tcPr>
          <w:p>
            <w:pPr>
              <w:pStyle w:val="TableParagraph"/>
              <w:spacing w:before="81"/>
              <w:ind w:left="108"/>
              <w:rPr>
                <w:rFonts w:ascii="Times New Roman"/>
                <w:b/>
                <w:sz w:val="21"/>
              </w:rPr>
            </w:pPr>
            <w:r>
              <w:rPr>
                <w:rFonts w:ascii="Times New Roman"/>
                <w:b/>
                <w:sz w:val="21"/>
              </w:rPr>
              <w:t>2.4</w:t>
            </w:r>
          </w:p>
        </w:tc>
        <w:tc>
          <w:tcPr>
            <w:tcW w:w="1274" w:type="dxa"/>
          </w:tcPr>
          <w:p>
            <w:pPr>
              <w:pStyle w:val="TableParagraph"/>
              <w:spacing w:before="32"/>
              <w:ind w:left="0" w:right="198"/>
              <w:jc w:val="right"/>
              <w:rPr>
                <w:b/>
                <w:sz w:val="21"/>
              </w:rPr>
            </w:pPr>
            <w:r>
              <w:rPr>
                <w:b/>
                <w:sz w:val="21"/>
              </w:rPr>
              <w:t>责任免除</w:t>
            </w:r>
          </w:p>
        </w:tc>
        <w:tc>
          <w:tcPr>
            <w:tcW w:w="7727" w:type="dxa"/>
          </w:tcPr>
          <w:p>
            <w:pPr>
              <w:pStyle w:val="TableParagraph"/>
              <w:spacing w:line="261" w:lineRule="auto" w:before="32"/>
              <w:ind w:left="202" w:right="-44"/>
              <w:rPr>
                <w:rFonts w:ascii="黑体" w:eastAsia="黑体" w:hint="eastAsia"/>
                <w:sz w:val="21"/>
              </w:rPr>
            </w:pPr>
            <w:r>
              <w:rPr>
                <w:rFonts w:ascii="黑体" w:eastAsia="黑体" w:hint="eastAsia"/>
                <w:spacing w:val="-9"/>
                <w:sz w:val="21"/>
              </w:rPr>
              <w:t>因下列情形之一，导致被保险人发</w:t>
            </w:r>
            <w:r>
              <w:rPr>
                <w:rFonts w:ascii="黑体" w:eastAsia="黑体" w:hint="eastAsia"/>
                <w:sz w:val="21"/>
              </w:rPr>
              <w:t>Th</w:t>
            </w:r>
            <w:r>
              <w:rPr>
                <w:rFonts w:ascii="黑体" w:eastAsia="黑体" w:hint="eastAsia"/>
                <w:spacing w:val="-8"/>
                <w:sz w:val="21"/>
              </w:rPr>
              <w:t>重大疾病或特定疾病、达到重大疾病或特定疾</w:t>
            </w:r>
            <w:r>
              <w:rPr>
                <w:rFonts w:ascii="黑体" w:eastAsia="黑体" w:hint="eastAsia"/>
                <w:spacing w:val="-5"/>
                <w:sz w:val="21"/>
              </w:rPr>
              <w:t>病状态以及进行手术，我们不承担给付重大疾病保险金或特定疾病保险金的责任：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8"/>
              <w:ind w:left="202"/>
              <w:rPr>
                <w:rFonts w:ascii="黑体" w:eastAsia="黑体" w:hint="eastAsia"/>
                <w:sz w:val="21"/>
              </w:rPr>
            </w:pPr>
            <w:r>
              <w:rPr>
                <w:rFonts w:ascii="黑体" w:eastAsia="黑体" w:hint="eastAsia"/>
                <w:spacing w:val="-17"/>
                <w:sz w:val="21"/>
              </w:rPr>
              <w:t>（</w:t>
            </w:r>
            <w:r>
              <w:rPr>
                <w:rFonts w:ascii="Times New Roman" w:eastAsia="Times New Roman"/>
                <w:spacing w:val="-17"/>
                <w:sz w:val="21"/>
              </w:rPr>
              <w:t>4</w:t>
            </w:r>
            <w:r>
              <w:rPr>
                <w:rFonts w:ascii="黑体" w:eastAsia="黑体" w:hint="eastAsia"/>
                <w:spacing w:val="-17"/>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8"/>
              <w:ind w:left="694" w:right="105" w:hanging="492"/>
              <w:rPr>
                <w:rFonts w:ascii="黑体" w:hAnsi="黑体" w:eastAsia="黑体" w:hint="eastAsia"/>
                <w:sz w:val="21"/>
              </w:rPr>
            </w:pPr>
            <w:r>
              <w:rPr>
                <w:rFonts w:ascii="黑体" w:hAnsi="黑体" w:eastAsia="黑体" w:hint="eastAsia"/>
                <w:spacing w:val="-9"/>
                <w:sz w:val="21"/>
              </w:rPr>
              <w:t>（</w:t>
            </w:r>
            <w:r>
              <w:rPr>
                <w:rFonts w:ascii="Times New Roman" w:hAnsi="Times New Roman" w:eastAsia="Times New Roman"/>
                <w:spacing w:val="-9"/>
                <w:sz w:val="21"/>
              </w:rPr>
              <w:t>5</w:t>
            </w:r>
            <w:r>
              <w:rPr>
                <w:rFonts w:ascii="黑体" w:hAnsi="黑体" w:eastAsia="黑体" w:hint="eastAsia"/>
                <w:spacing w:val="-9"/>
                <w:sz w:val="21"/>
              </w:rPr>
              <w:t>）</w:t>
            </w:r>
            <w:r>
              <w:rPr>
                <w:rFonts w:ascii="黑体" w:hAnsi="黑体" w:eastAsia="黑体" w:hint="eastAsia"/>
                <w:spacing w:val="-3"/>
                <w:sz w:val="21"/>
              </w:rPr>
              <w:t>被保险人</w:t>
            </w:r>
            <w:r>
              <w:rPr>
                <w:rFonts w:ascii="黑体" w:hAnsi="黑体" w:eastAsia="黑体" w:hint="eastAsia"/>
                <w:b/>
                <w:spacing w:val="-4"/>
                <w:sz w:val="21"/>
              </w:rPr>
              <w:t>感染艾滋病病毒或患艾滋病</w:t>
            </w:r>
            <w:r>
              <w:rPr>
                <w:rFonts w:ascii="黑体" w:hAnsi="黑体" w:eastAsia="黑体" w:hint="eastAsia"/>
                <w:spacing w:val="-3"/>
                <w:sz w:val="21"/>
              </w:rPr>
              <w:t>（</w:t>
            </w:r>
            <w:r>
              <w:rPr>
                <w:rFonts w:ascii="黑体" w:hAnsi="黑体" w:eastAsia="黑体" w:hint="eastAsia"/>
                <w:sz w:val="21"/>
              </w:rPr>
              <w:t>见</w:t>
            </w:r>
            <w:r>
              <w:rPr>
                <w:rFonts w:ascii="Times New Roman" w:hAnsi="Times New Roman" w:eastAsia="Times New Roman"/>
                <w:spacing w:val="-12"/>
                <w:sz w:val="21"/>
              </w:rPr>
              <w:t>6.3</w:t>
            </w:r>
            <w:r>
              <w:rPr>
                <w:rFonts w:ascii="黑体" w:hAnsi="黑体" w:eastAsia="黑体" w:hint="eastAsia"/>
                <w:spacing w:val="-12"/>
                <w:sz w:val="21"/>
              </w:rPr>
              <w:t>）（</w:t>
            </w:r>
            <w:r>
              <w:rPr>
                <w:rFonts w:ascii="黑体" w:hAnsi="黑体" w:eastAsia="黑体" w:hint="eastAsia"/>
                <w:spacing w:val="-3"/>
                <w:sz w:val="21"/>
              </w:rPr>
              <w:t>被保险人感染艾滋病病毒但符合本附加合同</w:t>
            </w:r>
            <w:r>
              <w:rPr>
                <w:sz w:val="21"/>
              </w:rPr>
              <w:t>“</w:t>
            </w:r>
            <w:r>
              <w:rPr>
                <w:rFonts w:ascii="黑体" w:hAnsi="黑体" w:eastAsia="黑体" w:hint="eastAsia"/>
                <w:spacing w:val="-3"/>
                <w:sz w:val="21"/>
              </w:rPr>
              <w:t>经输血导致的人类免疫缺陷病毒感染</w:t>
            </w:r>
            <w:r>
              <w:rPr>
                <w:spacing w:val="-3"/>
                <w:sz w:val="21"/>
              </w:rPr>
              <w:t>”</w:t>
            </w:r>
            <w:r>
              <w:rPr>
                <w:rFonts w:ascii="黑体" w:hAnsi="黑体" w:eastAsia="黑体" w:hint="eastAsia"/>
                <w:spacing w:val="-3"/>
                <w:sz w:val="21"/>
              </w:rPr>
              <w:t>定义的不在此</w:t>
            </w:r>
          </w:p>
          <w:p>
            <w:pPr>
              <w:pStyle w:val="TableParagraph"/>
              <w:spacing w:before="18"/>
              <w:ind w:left="694"/>
              <w:rPr>
                <w:rFonts w:ascii="黑体" w:eastAsia="黑体" w:hint="eastAsia"/>
                <w:sz w:val="21"/>
              </w:rPr>
            </w:pPr>
            <w:r>
              <w:rPr>
                <w:rFonts w:ascii="黑体" w:eastAsia="黑体" w:hint="eastAsia"/>
                <w:sz w:val="21"/>
              </w:rPr>
              <w:t>限）；</w:t>
            </w:r>
          </w:p>
          <w:p>
            <w:pPr>
              <w:pStyle w:val="TableParagraph"/>
              <w:spacing w:before="24"/>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line="271" w:lineRule="exact" w:before="8"/>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tc>
      </w:tr>
    </w:tbl>
    <w:p>
      <w:pPr>
        <w:spacing w:after="0" w:line="271" w:lineRule="exact"/>
        <w:rPr>
          <w:rFonts w:ascii="黑体" w:eastAsia="黑体" w:hint="eastAsia"/>
          <w:sz w:val="21"/>
        </w:rPr>
        <w:sectPr>
          <w:pgSz w:w="11910" w:h="16840"/>
          <w:pgMar w:top="1380" w:bottom="280" w:left="1160" w:right="9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59"/>
        <w:gridCol w:w="7639"/>
      </w:tblGrid>
      <w:tr>
        <w:trPr>
          <w:trHeight w:val="1261" w:hRule="atLeast"/>
        </w:trPr>
        <w:tc>
          <w:tcPr>
            <w:tcW w:w="600" w:type="dxa"/>
          </w:tcPr>
          <w:p>
            <w:pPr>
              <w:pStyle w:val="TableParagraph"/>
              <w:ind w:left="0"/>
              <w:rPr>
                <w:rFonts w:ascii="Times New Roman"/>
                <w:sz w:val="20"/>
              </w:rPr>
            </w:pPr>
          </w:p>
        </w:tc>
        <w:tc>
          <w:tcPr>
            <w:tcW w:w="1359" w:type="dxa"/>
          </w:tcPr>
          <w:p>
            <w:pPr>
              <w:pStyle w:val="TableParagraph"/>
              <w:ind w:left="0"/>
              <w:rPr>
                <w:rFonts w:ascii="Times New Roman"/>
                <w:sz w:val="20"/>
              </w:rPr>
            </w:pPr>
          </w:p>
        </w:tc>
        <w:tc>
          <w:tcPr>
            <w:tcW w:w="7639" w:type="dxa"/>
          </w:tcPr>
          <w:p>
            <w:pPr>
              <w:pStyle w:val="TableParagraph"/>
              <w:spacing w:line="227" w:lineRule="exact"/>
              <w:ind w:left="117"/>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6.4</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6.5</w:t>
            </w:r>
            <w:r>
              <w:rPr>
                <w:rFonts w:ascii="黑体" w:eastAsia="黑体" w:hint="eastAsia"/>
                <w:sz w:val="21"/>
              </w:rPr>
              <w:t>）。</w:t>
            </w:r>
          </w:p>
          <w:p>
            <w:pPr>
              <w:pStyle w:val="TableParagraph"/>
              <w:spacing w:line="247" w:lineRule="auto" w:before="9"/>
              <w:ind w:left="117" w:right="63"/>
              <w:rPr>
                <w:rFonts w:ascii="黑体" w:eastAsia="黑体" w:hint="eastAsia"/>
                <w:sz w:val="21"/>
              </w:rPr>
            </w:pPr>
            <w:r>
              <w:rPr>
                <w:rFonts w:ascii="黑体" w:eastAsia="黑体" w:hint="eastAsia"/>
                <w:sz w:val="21"/>
              </w:rPr>
              <w:t>发Th上述第（</w:t>
            </w:r>
            <w:r>
              <w:rPr>
                <w:rFonts w:ascii="Times New Roman" w:eastAsia="Times New Roman"/>
                <w:sz w:val="21"/>
              </w:rPr>
              <w:t>1</w:t>
            </w:r>
            <w:r>
              <w:rPr>
                <w:rFonts w:ascii="黑体" w:eastAsia="黑体" w:hint="eastAsia"/>
                <w:sz w:val="21"/>
              </w:rPr>
              <w:t>）项情形，本附加合同终止，我们向重大疾病保险金或特定疾病保险金受益人退还本附加合同的现金价值。</w:t>
            </w:r>
          </w:p>
          <w:p>
            <w:pPr>
              <w:pStyle w:val="TableParagraph"/>
              <w:spacing w:before="18"/>
              <w:ind w:left="117"/>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00" w:hRule="atLeast"/>
        </w:trPr>
        <w:tc>
          <w:tcPr>
            <w:tcW w:w="9598"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3</w:t>
              <w:tab/>
            </w:r>
            <w:r>
              <w:rPr>
                <w:b/>
                <w:sz w:val="21"/>
              </w:rPr>
              <w:t>您的义务和权利</w:t>
            </w:r>
          </w:p>
        </w:tc>
      </w:tr>
      <w:tr>
        <w:trPr>
          <w:trHeight w:val="1979" w:hRule="atLeast"/>
        </w:trPr>
        <w:tc>
          <w:tcPr>
            <w:tcW w:w="600" w:type="dxa"/>
          </w:tcPr>
          <w:p>
            <w:pPr>
              <w:pStyle w:val="TableParagraph"/>
              <w:spacing w:before="150"/>
              <w:ind w:left="108"/>
              <w:rPr>
                <w:rFonts w:ascii="Times New Roman"/>
                <w:b/>
                <w:sz w:val="21"/>
              </w:rPr>
            </w:pPr>
            <w:r>
              <w:rPr>
                <w:rFonts w:ascii="Times New Roman"/>
                <w:b/>
                <w:sz w:val="21"/>
              </w:rPr>
              <w:t>3.1</w:t>
            </w:r>
          </w:p>
        </w:tc>
        <w:tc>
          <w:tcPr>
            <w:tcW w:w="1359" w:type="dxa"/>
          </w:tcPr>
          <w:p>
            <w:pPr>
              <w:pStyle w:val="TableParagraph"/>
              <w:spacing w:line="261" w:lineRule="auto" w:before="101"/>
              <w:ind w:left="228" w:right="283"/>
              <w:rPr>
                <w:b/>
                <w:sz w:val="21"/>
              </w:rPr>
            </w:pPr>
            <w:r>
              <w:rPr>
                <w:b/>
                <w:sz w:val="21"/>
              </w:rPr>
              <w:t>保险费的交纳</w:t>
            </w:r>
          </w:p>
        </w:tc>
        <w:tc>
          <w:tcPr>
            <w:tcW w:w="7639" w:type="dxa"/>
          </w:tcPr>
          <w:p>
            <w:pPr>
              <w:pStyle w:val="TableParagraph"/>
              <w:spacing w:before="101"/>
              <w:ind w:left="117"/>
              <w:rPr>
                <w:sz w:val="21"/>
              </w:rPr>
            </w:pPr>
            <w:r>
              <w:rPr>
                <w:sz w:val="21"/>
              </w:rPr>
              <w:t>本附加合同的保险费可一次交清或分期交纳。</w:t>
            </w:r>
          </w:p>
          <w:p>
            <w:pPr>
              <w:pStyle w:val="TableParagraph"/>
              <w:spacing w:line="247" w:lineRule="auto" w:before="25"/>
              <w:ind w:left="117" w:right="102"/>
              <w:jc w:val="both"/>
              <w:rPr>
                <w:sz w:val="21"/>
              </w:rPr>
            </w:pPr>
            <w:r>
              <w:rPr>
                <w:spacing w:val="-7"/>
                <w:sz w:val="21"/>
              </w:rPr>
              <w:t>分期交纳的交费期间为 </w:t>
            </w:r>
            <w:r>
              <w:rPr>
                <w:rFonts w:ascii="Times New Roman" w:eastAsia="Times New Roman"/>
                <w:sz w:val="21"/>
              </w:rPr>
              <w:t>3 </w:t>
            </w:r>
            <w:r>
              <w:rPr>
                <w:sz w:val="21"/>
              </w:rPr>
              <w:t>年、</w:t>
            </w:r>
            <w:r>
              <w:rPr>
                <w:rFonts w:ascii="Times New Roman" w:eastAsia="Times New Roman"/>
                <w:sz w:val="21"/>
              </w:rPr>
              <w:t>5 </w:t>
            </w:r>
            <w:r>
              <w:rPr>
                <w:spacing w:val="-16"/>
                <w:sz w:val="21"/>
              </w:rPr>
              <w:t>年和 </w:t>
            </w:r>
            <w:r>
              <w:rPr>
                <w:rFonts w:ascii="Times New Roman" w:eastAsia="Times New Roman"/>
                <w:sz w:val="21"/>
              </w:rPr>
              <w:t>10 </w:t>
            </w:r>
            <w:r>
              <w:rPr>
                <w:spacing w:val="-3"/>
                <w:sz w:val="21"/>
              </w:rPr>
              <w:t>年三种。分期交纳的交费方式为年交、半年交或我们同意的其他方式。</w:t>
            </w:r>
          </w:p>
          <w:p>
            <w:pPr>
              <w:pStyle w:val="TableParagraph"/>
              <w:spacing w:line="261" w:lineRule="auto" w:before="18"/>
              <w:ind w:left="117" w:right="103"/>
              <w:jc w:val="both"/>
              <w:rPr>
                <w:sz w:val="21"/>
              </w:rPr>
            </w:pPr>
            <w:r>
              <w:rPr>
                <w:sz w:val="21"/>
              </w:rPr>
              <w:t>交费方式和交费期间由您在投保时与我们约定并在保险单上载明。若您选择分期交纳保险费，在交纳首期保险费后，您应当按照本附加合同的约定按期足额向我们交纳续期保险费。</w:t>
            </w:r>
          </w:p>
        </w:tc>
      </w:tr>
      <w:tr>
        <w:trPr>
          <w:trHeight w:val="1059" w:hRule="atLeast"/>
        </w:trPr>
        <w:tc>
          <w:tcPr>
            <w:tcW w:w="600" w:type="dxa"/>
          </w:tcPr>
          <w:p>
            <w:pPr>
              <w:pStyle w:val="TableParagraph"/>
              <w:spacing w:before="83"/>
              <w:ind w:left="108"/>
              <w:rPr>
                <w:rFonts w:ascii="Times New Roman"/>
                <w:b/>
                <w:sz w:val="21"/>
              </w:rPr>
            </w:pPr>
            <w:r>
              <w:rPr>
                <w:rFonts w:ascii="Times New Roman"/>
                <w:b/>
                <w:sz w:val="21"/>
              </w:rPr>
              <w:t>3.2</w:t>
            </w:r>
          </w:p>
        </w:tc>
        <w:tc>
          <w:tcPr>
            <w:tcW w:w="1359" w:type="dxa"/>
          </w:tcPr>
          <w:p>
            <w:pPr>
              <w:pStyle w:val="TableParagraph"/>
              <w:spacing w:before="33"/>
              <w:ind w:left="228"/>
              <w:rPr>
                <w:b/>
                <w:sz w:val="21"/>
              </w:rPr>
            </w:pPr>
            <w:r>
              <w:rPr>
                <w:b/>
                <w:sz w:val="21"/>
              </w:rPr>
              <w:t>效力终止</w:t>
            </w:r>
          </w:p>
        </w:tc>
        <w:tc>
          <w:tcPr>
            <w:tcW w:w="7639" w:type="dxa"/>
          </w:tcPr>
          <w:p>
            <w:pPr>
              <w:pStyle w:val="TableParagraph"/>
              <w:spacing w:before="33"/>
              <w:ind w:left="117"/>
              <w:rPr>
                <w:sz w:val="21"/>
              </w:rPr>
            </w:pPr>
            <w:r>
              <w:rPr>
                <w:sz w:val="21"/>
              </w:rPr>
              <w:t>当发生下列情形之一时，本附加合同效力自动终止：</w:t>
            </w:r>
          </w:p>
          <w:p>
            <w:pPr>
              <w:pStyle w:val="TableParagraph"/>
              <w:spacing w:before="24"/>
              <w:ind w:left="117"/>
              <w:rPr>
                <w:sz w:val="21"/>
              </w:rPr>
            </w:pPr>
            <w:r>
              <w:rPr>
                <w:sz w:val="21"/>
              </w:rPr>
              <w:t>（</w:t>
            </w:r>
            <w:r>
              <w:rPr>
                <w:rFonts w:ascii="Times New Roman" w:eastAsia="Times New Roman"/>
                <w:sz w:val="21"/>
              </w:rPr>
              <w:t>1</w:t>
            </w:r>
            <w:r>
              <w:rPr>
                <w:sz w:val="21"/>
              </w:rPr>
              <w:t>）主合同效力终止；</w:t>
            </w:r>
          </w:p>
          <w:p>
            <w:pPr>
              <w:pStyle w:val="TableParagraph"/>
              <w:spacing w:before="9"/>
              <w:ind w:left="117"/>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98"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4</w:t>
              <w:tab/>
            </w:r>
            <w:r>
              <w:rPr>
                <w:b/>
                <w:spacing w:val="-1"/>
                <w:sz w:val="21"/>
              </w:rPr>
              <w:t>如何申请领取保险金</w:t>
            </w:r>
          </w:p>
        </w:tc>
      </w:tr>
      <w:tr>
        <w:trPr>
          <w:trHeight w:val="3564" w:hRule="atLeast"/>
        </w:trPr>
        <w:tc>
          <w:tcPr>
            <w:tcW w:w="600" w:type="dxa"/>
          </w:tcPr>
          <w:p>
            <w:pPr>
              <w:pStyle w:val="TableParagraph"/>
              <w:spacing w:before="150"/>
              <w:ind w:left="108"/>
              <w:rPr>
                <w:rFonts w:ascii="Times New Roman"/>
                <w:b/>
                <w:sz w:val="21"/>
              </w:rPr>
            </w:pPr>
            <w:r>
              <w:rPr>
                <w:rFonts w:ascii="Times New Roman"/>
                <w:b/>
                <w:sz w:val="21"/>
              </w:rPr>
              <w:t>4.1</w:t>
            </w:r>
          </w:p>
        </w:tc>
        <w:tc>
          <w:tcPr>
            <w:tcW w:w="1359" w:type="dxa"/>
          </w:tcPr>
          <w:p>
            <w:pPr>
              <w:pStyle w:val="TableParagraph"/>
              <w:spacing w:before="101"/>
              <w:ind w:left="228"/>
              <w:rPr>
                <w:b/>
                <w:sz w:val="21"/>
              </w:rPr>
            </w:pPr>
            <w:r>
              <w:rPr>
                <w:b/>
                <w:sz w:val="21"/>
              </w:rPr>
              <w:t>受益人</w:t>
            </w:r>
          </w:p>
        </w:tc>
        <w:tc>
          <w:tcPr>
            <w:tcW w:w="7639" w:type="dxa"/>
          </w:tcPr>
          <w:p>
            <w:pPr>
              <w:pStyle w:val="TableParagraph"/>
              <w:spacing w:line="261" w:lineRule="auto" w:before="101"/>
              <w:ind w:left="117" w:right="162"/>
              <w:rPr>
                <w:sz w:val="21"/>
              </w:rPr>
            </w:pPr>
            <w:r>
              <w:rPr>
                <w:sz w:val="21"/>
              </w:rPr>
              <w:t>除本附加合同另有指定外，重大疾病保险金、特定疾病保险金受益人为被保险人本人。</w:t>
            </w:r>
          </w:p>
          <w:p>
            <w:pPr>
              <w:pStyle w:val="TableParagraph"/>
              <w:spacing w:line="274" w:lineRule="exact"/>
              <w:ind w:left="117"/>
              <w:rPr>
                <w:sz w:val="21"/>
              </w:rPr>
            </w:pPr>
            <w:r>
              <w:rPr>
                <w:sz w:val="21"/>
              </w:rPr>
              <w:t>被保险人身故后，有下列情形之一的，保险金作为被保险人的遗产，由我们依照</w:t>
            </w:r>
          </w:p>
          <w:p>
            <w:pPr>
              <w:pStyle w:val="TableParagraph"/>
              <w:spacing w:before="37"/>
              <w:ind w:left="117"/>
              <w:rPr>
                <w:sz w:val="21"/>
              </w:rPr>
            </w:pPr>
            <w:r>
              <w:rPr>
                <w:sz w:val="21"/>
              </w:rPr>
              <w:t>《中华人民共和国继承法》的规定履行给付保险金的义务：</w:t>
            </w:r>
          </w:p>
          <w:p>
            <w:pPr>
              <w:pStyle w:val="TableParagraph"/>
              <w:spacing w:before="37"/>
              <w:ind w:left="117"/>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17"/>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17"/>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17" w:right="106"/>
              <w:rPr>
                <w:sz w:val="21"/>
              </w:rPr>
            </w:pPr>
            <w:r>
              <w:rPr>
                <w:sz w:val="21"/>
              </w:rPr>
              <w:t>受益人与被保险人在同一事件中身故，且不能确定身故顺序的，推定受益人身故在先。</w:t>
            </w:r>
          </w:p>
          <w:p>
            <w:pPr>
              <w:pStyle w:val="TableParagraph"/>
              <w:spacing w:line="261" w:lineRule="auto" w:before="15"/>
              <w:ind w:left="117" w:right="162"/>
              <w:rPr>
                <w:sz w:val="21"/>
              </w:rPr>
            </w:pPr>
            <w:r>
              <w:rPr>
                <w:sz w:val="21"/>
              </w:rPr>
              <w:t>受益人故意造成被保险人身故、伤残、疾病的，或者故意杀害被保险人未遂的， 该受益人丧失受益权。</w:t>
            </w:r>
          </w:p>
        </w:tc>
      </w:tr>
      <w:tr>
        <w:trPr>
          <w:trHeight w:val="717" w:hRule="atLeast"/>
        </w:trPr>
        <w:tc>
          <w:tcPr>
            <w:tcW w:w="600" w:type="dxa"/>
          </w:tcPr>
          <w:p>
            <w:pPr>
              <w:pStyle w:val="TableParagraph"/>
              <w:spacing w:before="83"/>
              <w:ind w:left="108"/>
              <w:rPr>
                <w:rFonts w:ascii="Times New Roman"/>
                <w:b/>
                <w:sz w:val="21"/>
              </w:rPr>
            </w:pPr>
            <w:r>
              <w:rPr>
                <w:rFonts w:ascii="Times New Roman"/>
                <w:b/>
                <w:sz w:val="21"/>
              </w:rPr>
              <w:t>4.2</w:t>
            </w:r>
          </w:p>
        </w:tc>
        <w:tc>
          <w:tcPr>
            <w:tcW w:w="1359" w:type="dxa"/>
          </w:tcPr>
          <w:p>
            <w:pPr>
              <w:pStyle w:val="TableParagraph"/>
              <w:spacing w:line="261" w:lineRule="auto" w:before="33"/>
              <w:ind w:left="228" w:right="283"/>
              <w:rPr>
                <w:b/>
                <w:sz w:val="21"/>
              </w:rPr>
            </w:pPr>
            <w:r>
              <w:rPr>
                <w:b/>
                <w:sz w:val="21"/>
              </w:rPr>
              <w:t>保险金申请</w:t>
            </w:r>
          </w:p>
        </w:tc>
        <w:tc>
          <w:tcPr>
            <w:tcW w:w="7639" w:type="dxa"/>
          </w:tcPr>
          <w:p>
            <w:pPr>
              <w:pStyle w:val="TableParagraph"/>
              <w:spacing w:before="33"/>
              <w:ind w:left="117"/>
              <w:rPr>
                <w:sz w:val="21"/>
              </w:rPr>
            </w:pPr>
            <w:r>
              <w:rPr>
                <w:sz w:val="21"/>
              </w:rPr>
              <w:t>在申请保险金时，请按照下列方式办理：</w:t>
            </w:r>
          </w:p>
        </w:tc>
      </w:tr>
      <w:tr>
        <w:trPr>
          <w:trHeight w:val="2582" w:hRule="atLeast"/>
        </w:trPr>
        <w:tc>
          <w:tcPr>
            <w:tcW w:w="600" w:type="dxa"/>
          </w:tcPr>
          <w:p>
            <w:pPr>
              <w:pStyle w:val="TableParagraph"/>
              <w:ind w:left="0"/>
              <w:rPr>
                <w:rFonts w:ascii="Times New Roman"/>
                <w:sz w:val="20"/>
              </w:rPr>
            </w:pPr>
          </w:p>
        </w:tc>
        <w:tc>
          <w:tcPr>
            <w:tcW w:w="1359" w:type="dxa"/>
          </w:tcPr>
          <w:p>
            <w:pPr>
              <w:pStyle w:val="TableParagraph"/>
              <w:spacing w:line="196" w:lineRule="auto" w:before="30"/>
              <w:ind w:left="228" w:right="113"/>
              <w:rPr>
                <w:rFonts w:ascii="Microsoft JhengHei" w:eastAsia="Microsoft JhengHei" w:hint="eastAsia"/>
                <w:b/>
                <w:sz w:val="21"/>
              </w:rPr>
            </w:pPr>
            <w:r>
              <w:rPr>
                <w:rFonts w:ascii="Microsoft JhengHei" w:eastAsia="Microsoft JhengHei" w:hint="eastAsia"/>
                <w:b/>
                <w:spacing w:val="-1"/>
                <w:sz w:val="21"/>
              </w:rPr>
              <w:t>重大疾病</w:t>
            </w:r>
            <w:r>
              <w:rPr>
                <w:rFonts w:ascii="Microsoft JhengHei" w:eastAsia="Microsoft JhengHei" w:hint="eastAsia"/>
                <w:b/>
                <w:spacing w:val="-10"/>
                <w:sz w:val="21"/>
              </w:rPr>
              <w:t>保险金、特</w:t>
            </w:r>
            <w:r>
              <w:rPr>
                <w:rFonts w:ascii="Microsoft JhengHei" w:eastAsia="Microsoft JhengHei" w:hint="eastAsia"/>
                <w:b/>
                <w:spacing w:val="-1"/>
                <w:sz w:val="21"/>
              </w:rPr>
              <w:t>定疾病保</w:t>
            </w:r>
            <w:r>
              <w:rPr>
                <w:rFonts w:ascii="Microsoft JhengHei" w:eastAsia="Microsoft JhengHei" w:hint="eastAsia"/>
                <w:b/>
                <w:spacing w:val="-3"/>
                <w:sz w:val="21"/>
              </w:rPr>
              <w:t>险金申请</w:t>
            </w:r>
          </w:p>
        </w:tc>
        <w:tc>
          <w:tcPr>
            <w:tcW w:w="7639" w:type="dxa"/>
          </w:tcPr>
          <w:p>
            <w:pPr>
              <w:pStyle w:val="TableParagraph"/>
              <w:spacing w:line="261" w:lineRule="auto" w:before="31"/>
              <w:ind w:left="117" w:right="51"/>
              <w:rPr>
                <w:sz w:val="21"/>
              </w:rPr>
            </w:pPr>
            <w:r>
              <w:rPr>
                <w:spacing w:val="-9"/>
                <w:sz w:val="21"/>
              </w:rPr>
              <w:t>在申请重大疾病保险金、特定疾病保险金时，申请人须填写保险金给付申请书，并</w:t>
            </w:r>
            <w:r>
              <w:rPr>
                <w:spacing w:val="-5"/>
                <w:sz w:val="21"/>
              </w:rPr>
              <w:t>提供下列证明和资料：</w:t>
            </w:r>
          </w:p>
          <w:p>
            <w:pPr>
              <w:pStyle w:val="TableParagraph"/>
              <w:spacing w:before="20"/>
              <w:ind w:left="117"/>
              <w:rPr>
                <w:sz w:val="21"/>
              </w:rPr>
            </w:pPr>
            <w:r>
              <w:rPr>
                <w:sz w:val="21"/>
              </w:rPr>
              <w:t>（</w:t>
            </w:r>
            <w:r>
              <w:rPr>
                <w:rFonts w:ascii="Times New Roman" w:eastAsia="Times New Roman"/>
                <w:sz w:val="21"/>
              </w:rPr>
              <w:t>1</w:t>
            </w:r>
            <w:r>
              <w:rPr>
                <w:sz w:val="21"/>
              </w:rPr>
              <w:t>）保险合同；</w:t>
            </w:r>
          </w:p>
          <w:p>
            <w:pPr>
              <w:pStyle w:val="TableParagraph"/>
              <w:spacing w:before="23"/>
              <w:ind w:left="117"/>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642" w:right="100" w:hanging="526"/>
              <w:jc w:val="both"/>
              <w:rPr>
                <w:sz w:val="21"/>
              </w:rPr>
            </w:pPr>
            <w:r>
              <w:rPr>
                <w:sz w:val="21"/>
              </w:rPr>
              <w:t>（</w:t>
            </w:r>
            <w:r>
              <w:rPr>
                <w:rFonts w:ascii="Times New Roman" w:eastAsia="Times New Roman"/>
                <w:sz w:val="21"/>
              </w:rPr>
              <w:t>3</w:t>
            </w:r>
            <w:r>
              <w:rPr>
                <w:sz w:val="21"/>
              </w:rPr>
              <w:t>）</w:t>
            </w:r>
            <w:r>
              <w:rPr>
                <w:b/>
                <w:sz w:val="21"/>
              </w:rPr>
              <w:t>我们认可的医院</w:t>
            </w:r>
            <w:r>
              <w:rPr>
                <w:spacing w:val="-5"/>
                <w:sz w:val="21"/>
              </w:rPr>
              <w:t>（</w:t>
            </w:r>
            <w:r>
              <w:rPr>
                <w:spacing w:val="-21"/>
                <w:sz w:val="21"/>
              </w:rPr>
              <w:t>见 </w:t>
            </w:r>
            <w:r>
              <w:rPr>
                <w:rFonts w:ascii="Times New Roman" w:eastAsia="Times New Roman"/>
                <w:sz w:val="21"/>
              </w:rPr>
              <w:t>6.6</w:t>
            </w:r>
            <w:r>
              <w:rPr>
                <w:sz w:val="21"/>
              </w:rPr>
              <w:t>）</w:t>
            </w:r>
            <w:r>
              <w:rPr>
                <w:spacing w:val="-3"/>
                <w:sz w:val="21"/>
              </w:rPr>
              <w:t>出具的疾病诊断证明书、病历记录和确诊疾病必</w:t>
            </w:r>
            <w:r>
              <w:rPr>
                <w:spacing w:val="-7"/>
                <w:sz w:val="21"/>
              </w:rPr>
              <w:t>要的病理检验、血液检验、影像学检查及其他科学方法的检查报告。我们保</w:t>
            </w:r>
            <w:r>
              <w:rPr>
                <w:spacing w:val="-5"/>
                <w:sz w:val="21"/>
              </w:rPr>
              <w:t>留就疾病诊断咨询其他医疗专家的权利；</w:t>
            </w:r>
          </w:p>
          <w:p>
            <w:pPr>
              <w:pStyle w:val="TableParagraph"/>
              <w:spacing w:before="29"/>
              <w:ind w:left="117"/>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1" w:hRule="atLeast"/>
        </w:trPr>
        <w:tc>
          <w:tcPr>
            <w:tcW w:w="600" w:type="dxa"/>
          </w:tcPr>
          <w:p>
            <w:pPr>
              <w:pStyle w:val="TableParagraph"/>
              <w:ind w:left="0"/>
              <w:rPr>
                <w:rFonts w:ascii="Times New Roman"/>
                <w:sz w:val="20"/>
              </w:rPr>
            </w:pPr>
          </w:p>
        </w:tc>
        <w:tc>
          <w:tcPr>
            <w:tcW w:w="1359" w:type="dxa"/>
          </w:tcPr>
          <w:p>
            <w:pPr>
              <w:pStyle w:val="TableParagraph"/>
              <w:ind w:left="0"/>
              <w:rPr>
                <w:rFonts w:ascii="Times New Roman"/>
                <w:sz w:val="20"/>
              </w:rPr>
            </w:pPr>
          </w:p>
        </w:tc>
        <w:tc>
          <w:tcPr>
            <w:tcW w:w="7639" w:type="dxa"/>
          </w:tcPr>
          <w:p>
            <w:pPr>
              <w:pStyle w:val="TableParagraph"/>
              <w:spacing w:before="22"/>
              <w:ind w:left="117"/>
              <w:rPr>
                <w:sz w:val="21"/>
              </w:rPr>
            </w:pPr>
            <w:r>
              <w:rPr>
                <w:sz w:val="21"/>
              </w:rPr>
              <w:t>保险金作为被保险人遗产时，必须提供可证明合法继承权的相关权利文件。</w:t>
            </w:r>
          </w:p>
          <w:p>
            <w:pPr>
              <w:pStyle w:val="TableParagraph"/>
              <w:spacing w:line="261" w:lineRule="auto" w:before="24"/>
              <w:ind w:left="117" w:right="50"/>
              <w:rPr>
                <w:sz w:val="21"/>
              </w:rPr>
            </w:pPr>
            <w:r>
              <w:rPr>
                <w:sz w:val="21"/>
              </w:rPr>
              <w:t>以上证明和资料不完整的，我们将及时一次性通知申请人补充提供有关证明和资料。</w:t>
            </w:r>
          </w:p>
        </w:tc>
      </w:tr>
      <w:tr>
        <w:trPr>
          <w:trHeight w:val="758" w:hRule="atLeast"/>
        </w:trPr>
        <w:tc>
          <w:tcPr>
            <w:tcW w:w="600" w:type="dxa"/>
          </w:tcPr>
          <w:p>
            <w:pPr>
              <w:pStyle w:val="TableParagraph"/>
              <w:spacing w:before="83"/>
              <w:ind w:left="108"/>
              <w:rPr>
                <w:rFonts w:ascii="Times New Roman"/>
                <w:b/>
                <w:sz w:val="21"/>
              </w:rPr>
            </w:pPr>
            <w:r>
              <w:rPr>
                <w:rFonts w:ascii="Times New Roman"/>
                <w:b/>
                <w:sz w:val="21"/>
              </w:rPr>
              <w:t>4.3</w:t>
            </w:r>
          </w:p>
        </w:tc>
        <w:tc>
          <w:tcPr>
            <w:tcW w:w="1359" w:type="dxa"/>
          </w:tcPr>
          <w:p>
            <w:pPr>
              <w:pStyle w:val="TableParagraph"/>
              <w:spacing w:before="33"/>
              <w:ind w:left="228"/>
              <w:rPr>
                <w:b/>
                <w:sz w:val="21"/>
              </w:rPr>
            </w:pPr>
            <w:r>
              <w:rPr>
                <w:b/>
                <w:sz w:val="21"/>
              </w:rPr>
              <w:t>诉讼时效</w:t>
            </w:r>
          </w:p>
        </w:tc>
        <w:tc>
          <w:tcPr>
            <w:tcW w:w="7639" w:type="dxa"/>
          </w:tcPr>
          <w:p>
            <w:pPr>
              <w:pStyle w:val="TableParagraph"/>
              <w:spacing w:line="247" w:lineRule="auto" w:before="33"/>
              <w:ind w:left="117" w:right="99"/>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98" w:type="dxa"/>
            <w:gridSpan w:val="3"/>
            <w:shd w:val="clear" w:color="auto" w:fill="E6E6E6"/>
          </w:tcPr>
          <w:p>
            <w:pPr>
              <w:pStyle w:val="TableParagraph"/>
              <w:tabs>
                <w:tab w:pos="845" w:val="left" w:leader="none"/>
              </w:tabs>
              <w:spacing w:line="279" w:lineRule="exact"/>
              <w:ind w:left="108"/>
              <w:rPr>
                <w:b/>
                <w:sz w:val="21"/>
              </w:rPr>
            </w:pPr>
            <w:r>
              <w:rPr>
                <w:rFonts w:ascii="Times New Roman" w:eastAsia="Times New Roman"/>
                <w:b/>
                <w:sz w:val="21"/>
              </w:rPr>
              <w:t>5</w:t>
              <w:tab/>
            </w:r>
            <w:r>
              <w:rPr>
                <w:b/>
                <w:spacing w:val="-1"/>
                <w:sz w:val="21"/>
              </w:rPr>
              <w:t>您需要关注的其他事项</w:t>
            </w:r>
          </w:p>
        </w:tc>
      </w:tr>
    </w:tbl>
    <w:p>
      <w:pPr>
        <w:spacing w:after="0" w:line="279" w:lineRule="exact"/>
        <w:rPr>
          <w:sz w:val="21"/>
        </w:rPr>
        <w:sectPr>
          <w:pgSz w:w="11910" w:h="16840"/>
          <w:pgMar w:top="1480" w:bottom="280" w:left="1160" w:right="9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99"/>
        <w:gridCol w:w="7600"/>
      </w:tblGrid>
      <w:tr>
        <w:trPr>
          <w:trHeight w:val="961" w:hRule="atLeast"/>
        </w:trPr>
        <w:tc>
          <w:tcPr>
            <w:tcW w:w="600" w:type="dxa"/>
          </w:tcPr>
          <w:p>
            <w:pPr>
              <w:pStyle w:val="TableParagraph"/>
              <w:spacing w:line="234" w:lineRule="exact"/>
              <w:ind w:left="108"/>
              <w:rPr>
                <w:rFonts w:ascii="Times New Roman"/>
                <w:b/>
                <w:sz w:val="21"/>
              </w:rPr>
            </w:pPr>
            <w:r>
              <w:rPr>
                <w:rFonts w:ascii="Times New Roman"/>
                <w:b/>
                <w:sz w:val="21"/>
              </w:rPr>
              <w:t>5.1</w:t>
            </w:r>
          </w:p>
        </w:tc>
        <w:tc>
          <w:tcPr>
            <w:tcW w:w="1399" w:type="dxa"/>
          </w:tcPr>
          <w:p>
            <w:pPr>
              <w:pStyle w:val="TableParagraph"/>
              <w:spacing w:line="218" w:lineRule="exact"/>
              <w:ind w:left="228"/>
              <w:rPr>
                <w:b/>
                <w:sz w:val="21"/>
              </w:rPr>
            </w:pPr>
            <w:r>
              <w:rPr>
                <w:b/>
                <w:sz w:val="21"/>
              </w:rPr>
              <w:t>投保范围</w:t>
            </w:r>
          </w:p>
        </w:tc>
        <w:tc>
          <w:tcPr>
            <w:tcW w:w="7600" w:type="dxa"/>
          </w:tcPr>
          <w:p>
            <w:pPr>
              <w:pStyle w:val="TableParagraph"/>
              <w:spacing w:line="218" w:lineRule="exact"/>
              <w:ind w:left="77"/>
              <w:rPr>
                <w:sz w:val="21"/>
              </w:rPr>
            </w:pPr>
            <w:r>
              <w:rPr>
                <w:sz w:val="21"/>
              </w:rPr>
              <w:t>投保人：凡具有完全民事行为能力且对被保险人具有保险利益的人可作为投保人</w:t>
            </w:r>
          </w:p>
          <w:p>
            <w:pPr>
              <w:pStyle w:val="TableParagraph"/>
              <w:spacing w:before="25"/>
              <w:ind w:left="77"/>
              <w:rPr>
                <w:sz w:val="21"/>
              </w:rPr>
            </w:pPr>
            <w:r>
              <w:rPr>
                <w:sz w:val="21"/>
              </w:rPr>
              <w:t>向我们投保本保险。</w:t>
            </w:r>
          </w:p>
          <w:p>
            <w:pPr>
              <w:pStyle w:val="TableParagraph"/>
              <w:spacing w:before="24"/>
              <w:ind w:left="77"/>
              <w:rPr>
                <w:sz w:val="21"/>
              </w:rPr>
            </w:pPr>
            <w:r>
              <w:rPr>
                <w:sz w:val="21"/>
              </w:rPr>
              <w:t>被保险人：凡符合我们规定的身体健康者均可作为被保险人。</w:t>
            </w:r>
          </w:p>
        </w:tc>
      </w:tr>
      <w:tr>
        <w:trPr>
          <w:trHeight w:val="300" w:hRule="atLeast"/>
        </w:trPr>
        <w:tc>
          <w:tcPr>
            <w:tcW w:w="9599"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6</w:t>
              <w:tab/>
            </w:r>
            <w:r>
              <w:rPr>
                <w:b/>
                <w:spacing w:val="-1"/>
                <w:sz w:val="21"/>
              </w:rPr>
              <w:t>您需要了解的重要术语</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6.1</w:t>
            </w:r>
          </w:p>
        </w:tc>
        <w:tc>
          <w:tcPr>
            <w:tcW w:w="1399" w:type="dxa"/>
          </w:tcPr>
          <w:p>
            <w:pPr>
              <w:pStyle w:val="TableParagraph"/>
              <w:spacing w:line="261" w:lineRule="auto" w:before="107"/>
              <w:ind w:left="228" w:right="323"/>
              <w:rPr>
                <w:b/>
                <w:sz w:val="21"/>
              </w:rPr>
            </w:pPr>
            <w:r>
              <w:rPr>
                <w:b/>
                <w:sz w:val="21"/>
              </w:rPr>
              <w:t>保单生效对应日</w:t>
            </w:r>
          </w:p>
        </w:tc>
        <w:tc>
          <w:tcPr>
            <w:tcW w:w="7600" w:type="dxa"/>
          </w:tcPr>
          <w:p>
            <w:pPr>
              <w:pStyle w:val="TableParagraph"/>
              <w:spacing w:line="261" w:lineRule="auto" w:before="107"/>
              <w:ind w:left="77" w:right="-15"/>
              <w:rPr>
                <w:sz w:val="21"/>
              </w:rPr>
            </w:pPr>
            <w:r>
              <w:rPr>
                <w:spacing w:val="-4"/>
                <w:sz w:val="21"/>
              </w:rPr>
              <w:t>本附加合同生效日每年</w:t>
            </w:r>
            <w:r>
              <w:rPr>
                <w:spacing w:val="-3"/>
                <w:sz w:val="21"/>
              </w:rPr>
              <w:t>（</w:t>
            </w:r>
            <w:r>
              <w:rPr>
                <w:spacing w:val="-4"/>
                <w:sz w:val="21"/>
              </w:rPr>
              <w:t>或半年、季、月</w:t>
            </w:r>
            <w:r>
              <w:rPr>
                <w:spacing w:val="-8"/>
                <w:sz w:val="21"/>
              </w:rPr>
              <w:t>）</w:t>
            </w:r>
            <w:r>
              <w:rPr>
                <w:spacing w:val="-4"/>
                <w:sz w:val="21"/>
              </w:rPr>
              <w:t>的对应日为保单年</w:t>
            </w:r>
            <w:r>
              <w:rPr>
                <w:spacing w:val="-3"/>
                <w:sz w:val="21"/>
              </w:rPr>
              <w:t>（</w:t>
            </w:r>
            <w:r>
              <w:rPr>
                <w:spacing w:val="-5"/>
                <w:sz w:val="21"/>
              </w:rPr>
              <w:t>或半年、季、月</w:t>
            </w:r>
            <w:r>
              <w:rPr>
                <w:sz w:val="21"/>
              </w:rPr>
              <w:t>） </w:t>
            </w:r>
            <w:r>
              <w:rPr>
                <w:spacing w:val="-2"/>
                <w:sz w:val="21"/>
              </w:rPr>
              <w:t>生效对应日。</w:t>
            </w:r>
          </w:p>
        </w:tc>
      </w:tr>
      <w:tr>
        <w:trPr>
          <w:trHeight w:val="420" w:hRule="atLeast"/>
        </w:trPr>
        <w:tc>
          <w:tcPr>
            <w:tcW w:w="600" w:type="dxa"/>
          </w:tcPr>
          <w:p>
            <w:pPr>
              <w:pStyle w:val="TableParagraph"/>
              <w:spacing w:before="89"/>
              <w:ind w:left="108"/>
              <w:rPr>
                <w:rFonts w:ascii="Times New Roman"/>
                <w:b/>
                <w:sz w:val="21"/>
              </w:rPr>
            </w:pPr>
            <w:r>
              <w:rPr>
                <w:rFonts w:ascii="Times New Roman"/>
                <w:b/>
                <w:sz w:val="21"/>
              </w:rPr>
              <w:t>6.2</w:t>
            </w:r>
          </w:p>
        </w:tc>
        <w:tc>
          <w:tcPr>
            <w:tcW w:w="1399" w:type="dxa"/>
          </w:tcPr>
          <w:p>
            <w:pPr>
              <w:pStyle w:val="TableParagraph"/>
              <w:spacing w:before="40"/>
              <w:ind w:left="228"/>
              <w:rPr>
                <w:b/>
                <w:sz w:val="21"/>
              </w:rPr>
            </w:pPr>
            <w:r>
              <w:rPr>
                <w:b/>
                <w:sz w:val="21"/>
              </w:rPr>
              <w:t>意外伤害</w:t>
            </w:r>
          </w:p>
        </w:tc>
        <w:tc>
          <w:tcPr>
            <w:tcW w:w="7600" w:type="dxa"/>
          </w:tcPr>
          <w:p>
            <w:pPr>
              <w:pStyle w:val="TableParagraph"/>
              <w:spacing w:before="40"/>
              <w:ind w:left="77"/>
              <w:rPr>
                <w:sz w:val="21"/>
              </w:rPr>
            </w:pPr>
            <w:r>
              <w:rPr>
                <w:sz w:val="21"/>
              </w:rPr>
              <w:t>指外来的、突发的、非本意的、非疾病的使身体受到伤害的客观事件。</w:t>
            </w:r>
          </w:p>
        </w:tc>
      </w:tr>
      <w:tr>
        <w:trPr>
          <w:trHeight w:val="1605" w:hRule="atLeast"/>
        </w:trPr>
        <w:tc>
          <w:tcPr>
            <w:tcW w:w="600" w:type="dxa"/>
          </w:tcPr>
          <w:p>
            <w:pPr>
              <w:pStyle w:val="TableParagraph"/>
              <w:spacing w:before="81"/>
              <w:ind w:left="108"/>
              <w:rPr>
                <w:rFonts w:ascii="Times New Roman"/>
                <w:b/>
                <w:sz w:val="21"/>
              </w:rPr>
            </w:pPr>
            <w:r>
              <w:rPr>
                <w:rFonts w:ascii="Times New Roman"/>
                <w:b/>
                <w:sz w:val="21"/>
              </w:rPr>
              <w:t>6.3</w:t>
            </w:r>
          </w:p>
        </w:tc>
        <w:tc>
          <w:tcPr>
            <w:tcW w:w="1399" w:type="dxa"/>
          </w:tcPr>
          <w:p>
            <w:pPr>
              <w:pStyle w:val="TableParagraph"/>
              <w:spacing w:line="261" w:lineRule="auto" w:before="32"/>
              <w:ind w:left="228" w:right="74"/>
              <w:jc w:val="both"/>
              <w:rPr>
                <w:b/>
                <w:sz w:val="21"/>
              </w:rPr>
            </w:pPr>
            <w:r>
              <w:rPr>
                <w:b/>
                <w:sz w:val="21"/>
              </w:rPr>
              <w:t>感染艾滋病病毒或患艾滋病</w:t>
            </w:r>
          </w:p>
        </w:tc>
        <w:tc>
          <w:tcPr>
            <w:tcW w:w="7600" w:type="dxa"/>
          </w:tcPr>
          <w:p>
            <w:pPr>
              <w:pStyle w:val="TableParagraph"/>
              <w:spacing w:line="247" w:lineRule="auto" w:before="32"/>
              <w:ind w:left="77" w:right="103"/>
              <w:jc w:val="both"/>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2"/>
              <w:ind w:left="77" w:right="107"/>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4" w:hRule="atLeast"/>
        </w:trPr>
        <w:tc>
          <w:tcPr>
            <w:tcW w:w="600" w:type="dxa"/>
          </w:tcPr>
          <w:p>
            <w:pPr>
              <w:pStyle w:val="TableParagraph"/>
              <w:spacing w:before="90"/>
              <w:ind w:left="108"/>
              <w:rPr>
                <w:rFonts w:ascii="Times New Roman"/>
                <w:b/>
                <w:sz w:val="21"/>
              </w:rPr>
            </w:pPr>
            <w:r>
              <w:rPr>
                <w:rFonts w:ascii="Times New Roman"/>
                <w:b/>
                <w:sz w:val="21"/>
              </w:rPr>
              <w:t>6.4</w:t>
            </w:r>
          </w:p>
        </w:tc>
        <w:tc>
          <w:tcPr>
            <w:tcW w:w="1399" w:type="dxa"/>
          </w:tcPr>
          <w:p>
            <w:pPr>
              <w:pStyle w:val="TableParagraph"/>
              <w:spacing w:line="261" w:lineRule="auto" w:before="40"/>
              <w:ind w:left="228" w:right="74"/>
              <w:rPr>
                <w:b/>
                <w:sz w:val="21"/>
              </w:rPr>
            </w:pPr>
            <w:r>
              <w:rPr>
                <w:b/>
                <w:sz w:val="21"/>
              </w:rPr>
              <w:t>遗传性疾病</w:t>
            </w:r>
          </w:p>
        </w:tc>
        <w:tc>
          <w:tcPr>
            <w:tcW w:w="7600" w:type="dxa"/>
          </w:tcPr>
          <w:p>
            <w:pPr>
              <w:pStyle w:val="TableParagraph"/>
              <w:spacing w:line="261" w:lineRule="auto" w:before="40"/>
              <w:ind w:left="77" w:right="-15"/>
              <w:rPr>
                <w:sz w:val="21"/>
              </w:rPr>
            </w:pPr>
            <w:r>
              <w:rPr>
                <w:spacing w:val="-5"/>
                <w:sz w:val="21"/>
              </w:rPr>
              <w:t>指生殖细胞或受精卵的遗传物质</w:t>
            </w:r>
            <w:r>
              <w:rPr>
                <w:sz w:val="21"/>
              </w:rPr>
              <w:t>（</w:t>
            </w:r>
            <w:r>
              <w:rPr>
                <w:spacing w:val="-3"/>
                <w:sz w:val="21"/>
              </w:rPr>
              <w:t>染色体和基因</w:t>
            </w:r>
            <w:r>
              <w:rPr>
                <w:spacing w:val="-25"/>
                <w:sz w:val="21"/>
              </w:rPr>
              <w:t>）</w:t>
            </w:r>
            <w:r>
              <w:rPr>
                <w:spacing w:val="-3"/>
                <w:sz w:val="21"/>
              </w:rPr>
              <w:t>发生突变或畸变所引起的疾病， 通常具有由亲代传至后代的垂直传递的特征。</w:t>
            </w:r>
          </w:p>
        </w:tc>
      </w:tr>
      <w:tr>
        <w:trPr>
          <w:trHeight w:val="1314" w:hRule="atLeast"/>
        </w:trPr>
        <w:tc>
          <w:tcPr>
            <w:tcW w:w="600" w:type="dxa"/>
          </w:tcPr>
          <w:p>
            <w:pPr>
              <w:pStyle w:val="TableParagraph"/>
              <w:spacing w:before="90"/>
              <w:ind w:left="108"/>
              <w:rPr>
                <w:rFonts w:ascii="Times New Roman"/>
                <w:b/>
                <w:sz w:val="21"/>
              </w:rPr>
            </w:pPr>
            <w:r>
              <w:rPr>
                <w:rFonts w:ascii="Times New Roman"/>
                <w:b/>
                <w:sz w:val="21"/>
              </w:rPr>
              <w:t>6.5</w:t>
            </w:r>
          </w:p>
        </w:tc>
        <w:tc>
          <w:tcPr>
            <w:tcW w:w="1399" w:type="dxa"/>
          </w:tcPr>
          <w:p>
            <w:pPr>
              <w:pStyle w:val="TableParagraph"/>
              <w:spacing w:line="261" w:lineRule="auto" w:before="41"/>
              <w:ind w:left="228" w:right="74"/>
              <w:jc w:val="both"/>
              <w:rPr>
                <w:b/>
                <w:sz w:val="21"/>
              </w:rPr>
            </w:pPr>
            <w:r>
              <w:rPr>
                <w:b/>
                <w:sz w:val="21"/>
              </w:rPr>
              <w:t>先天性畸形、变形或染色体异常</w:t>
            </w:r>
          </w:p>
        </w:tc>
        <w:tc>
          <w:tcPr>
            <w:tcW w:w="7600" w:type="dxa"/>
          </w:tcPr>
          <w:p>
            <w:pPr>
              <w:pStyle w:val="TableParagraph"/>
              <w:spacing w:line="261" w:lineRule="auto" w:before="41"/>
              <w:ind w:left="77" w:right="-15"/>
              <w:rPr>
                <w:sz w:val="21"/>
              </w:rPr>
            </w:pPr>
            <w:r>
              <w:rPr>
                <w:sz w:val="21"/>
              </w:rPr>
              <w:t>指被保险人出生时就具有的畸形、变形或染色体异常。先天性畸形、变形和染色</w:t>
            </w:r>
            <w:r>
              <w:rPr>
                <w:spacing w:val="-8"/>
                <w:sz w:val="21"/>
              </w:rPr>
              <w:t>体异常依照世界卫生组织《疾病和有关健康问题的国际统计分类</w:t>
            </w:r>
            <w:r>
              <w:rPr>
                <w:spacing w:val="-161"/>
                <w:sz w:val="21"/>
              </w:rPr>
              <w:t>》</w:t>
            </w:r>
            <w:r>
              <w:rPr>
                <w:spacing w:val="-8"/>
                <w:sz w:val="21"/>
              </w:rPr>
              <w:t>（</w:t>
            </w:r>
            <w:r>
              <w:rPr>
                <w:rFonts w:ascii="Times New Roman" w:eastAsia="Times New Roman"/>
                <w:spacing w:val="-8"/>
                <w:sz w:val="21"/>
              </w:rPr>
              <w:t>ICD-10</w:t>
            </w:r>
            <w:r>
              <w:rPr>
                <w:spacing w:val="-8"/>
                <w:sz w:val="21"/>
              </w:rPr>
              <w:t>）</w:t>
            </w:r>
            <w:r>
              <w:rPr>
                <w:spacing w:val="-2"/>
                <w:sz w:val="21"/>
              </w:rPr>
              <w:t>确定。</w:t>
            </w:r>
          </w:p>
        </w:tc>
      </w:tr>
      <w:tr>
        <w:trPr>
          <w:trHeight w:val="1312" w:hRule="atLeast"/>
        </w:trPr>
        <w:tc>
          <w:tcPr>
            <w:tcW w:w="600" w:type="dxa"/>
          </w:tcPr>
          <w:p>
            <w:pPr>
              <w:pStyle w:val="TableParagraph"/>
              <w:spacing w:before="89"/>
              <w:ind w:left="108"/>
              <w:rPr>
                <w:rFonts w:ascii="Times New Roman"/>
                <w:b/>
                <w:sz w:val="21"/>
              </w:rPr>
            </w:pPr>
            <w:r>
              <w:rPr>
                <w:rFonts w:ascii="Times New Roman"/>
                <w:b/>
                <w:sz w:val="21"/>
              </w:rPr>
              <w:t>6.6</w:t>
            </w:r>
          </w:p>
        </w:tc>
        <w:tc>
          <w:tcPr>
            <w:tcW w:w="1399" w:type="dxa"/>
          </w:tcPr>
          <w:p>
            <w:pPr>
              <w:pStyle w:val="TableParagraph"/>
              <w:spacing w:line="261" w:lineRule="auto" w:before="40"/>
              <w:ind w:left="228" w:right="323"/>
              <w:rPr>
                <w:b/>
                <w:sz w:val="21"/>
              </w:rPr>
            </w:pPr>
            <w:r>
              <w:rPr>
                <w:b/>
                <w:sz w:val="21"/>
              </w:rPr>
              <w:t>我们认可的医院</w:t>
            </w:r>
          </w:p>
        </w:tc>
        <w:tc>
          <w:tcPr>
            <w:tcW w:w="7600" w:type="dxa"/>
          </w:tcPr>
          <w:p>
            <w:pPr>
              <w:pStyle w:val="TableParagraph"/>
              <w:spacing w:line="261" w:lineRule="auto" w:before="40"/>
              <w:ind w:left="77" w:right="107"/>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3" w:hRule="atLeast"/>
        </w:trPr>
        <w:tc>
          <w:tcPr>
            <w:tcW w:w="600" w:type="dxa"/>
          </w:tcPr>
          <w:p>
            <w:pPr>
              <w:pStyle w:val="TableParagraph"/>
              <w:spacing w:before="89"/>
              <w:ind w:left="108"/>
              <w:rPr>
                <w:rFonts w:ascii="Times New Roman"/>
                <w:b/>
                <w:sz w:val="21"/>
              </w:rPr>
            </w:pPr>
            <w:r>
              <w:rPr>
                <w:rFonts w:ascii="Times New Roman"/>
                <w:b/>
                <w:sz w:val="21"/>
              </w:rPr>
              <w:t>6.7</w:t>
            </w:r>
          </w:p>
        </w:tc>
        <w:tc>
          <w:tcPr>
            <w:tcW w:w="1399" w:type="dxa"/>
          </w:tcPr>
          <w:p>
            <w:pPr>
              <w:pStyle w:val="TableParagraph"/>
              <w:spacing w:before="40"/>
              <w:ind w:left="228"/>
              <w:rPr>
                <w:b/>
                <w:sz w:val="21"/>
              </w:rPr>
            </w:pPr>
            <w:r>
              <w:rPr>
                <w:b/>
                <w:sz w:val="21"/>
              </w:rPr>
              <w:t>重大疾病</w:t>
            </w:r>
          </w:p>
        </w:tc>
        <w:tc>
          <w:tcPr>
            <w:tcW w:w="7600" w:type="dxa"/>
          </w:tcPr>
          <w:p>
            <w:pPr>
              <w:pStyle w:val="TableParagraph"/>
              <w:spacing w:line="247" w:lineRule="auto" w:before="40"/>
              <w:ind w:left="77" w:right="100"/>
              <w:rPr>
                <w:sz w:val="21"/>
              </w:rPr>
            </w:pPr>
            <w:r>
              <w:rPr>
                <w:spacing w:val="-3"/>
                <w:sz w:val="21"/>
              </w:rPr>
              <w:t>指被保险人经我们认可的医院的</w:t>
            </w:r>
            <w:r>
              <w:rPr>
                <w:b/>
                <w:spacing w:val="-8"/>
                <w:sz w:val="21"/>
              </w:rPr>
              <w:t>专科医生</w:t>
            </w:r>
            <w:r>
              <w:rPr>
                <w:spacing w:val="-3"/>
                <w:sz w:val="21"/>
              </w:rPr>
              <w:t>（</w:t>
            </w:r>
            <w:r>
              <w:rPr>
                <w:spacing w:val="-12"/>
                <w:sz w:val="21"/>
              </w:rPr>
              <w:t>注 </w:t>
            </w:r>
            <w:r>
              <w:rPr>
                <w:rFonts w:ascii="Times New Roman" w:eastAsia="Times New Roman"/>
                <w:spacing w:val="-18"/>
                <w:sz w:val="21"/>
              </w:rPr>
              <w:t>1</w:t>
            </w:r>
            <w:r>
              <w:rPr>
                <w:spacing w:val="-18"/>
                <w:sz w:val="21"/>
              </w:rPr>
              <w:t>）</w:t>
            </w:r>
            <w:r>
              <w:rPr>
                <w:spacing w:val="-7"/>
                <w:sz w:val="21"/>
              </w:rPr>
              <w:t>确诊，初次发生符合下列定义的</w:t>
            </w:r>
            <w:r>
              <w:rPr>
                <w:spacing w:val="-5"/>
                <w:sz w:val="21"/>
              </w:rPr>
              <w:t>疾病或初次接受符合下列定义的手术。</w:t>
            </w:r>
          </w:p>
          <w:p>
            <w:pPr>
              <w:pStyle w:val="TableParagraph"/>
              <w:spacing w:line="261" w:lineRule="auto" w:before="18"/>
              <w:ind w:left="77" w:right="163"/>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121" w:hRule="atLeast"/>
        </w:trPr>
        <w:tc>
          <w:tcPr>
            <w:tcW w:w="600" w:type="dxa"/>
          </w:tcPr>
          <w:p>
            <w:pPr>
              <w:pStyle w:val="TableParagraph"/>
              <w:spacing w:before="89"/>
              <w:ind w:left="108"/>
              <w:rPr>
                <w:rFonts w:ascii="Times New Roman"/>
                <w:b/>
                <w:sz w:val="21"/>
              </w:rPr>
            </w:pPr>
            <w:r>
              <w:rPr>
                <w:rFonts w:ascii="Times New Roman"/>
                <w:b/>
                <w:sz w:val="21"/>
              </w:rPr>
              <w:t>1.</w:t>
            </w:r>
          </w:p>
        </w:tc>
        <w:tc>
          <w:tcPr>
            <w:tcW w:w="1399" w:type="dxa"/>
          </w:tcPr>
          <w:p>
            <w:pPr>
              <w:pStyle w:val="TableParagraph"/>
              <w:spacing w:before="40"/>
              <w:ind w:left="228"/>
              <w:rPr>
                <w:b/>
                <w:sz w:val="21"/>
              </w:rPr>
            </w:pPr>
            <w:r>
              <w:rPr>
                <w:b/>
                <w:sz w:val="21"/>
              </w:rPr>
              <w:t>恶性肿瘤：</w:t>
            </w:r>
          </w:p>
        </w:tc>
        <w:tc>
          <w:tcPr>
            <w:tcW w:w="7600" w:type="dxa"/>
          </w:tcPr>
          <w:p>
            <w:pPr>
              <w:pStyle w:val="TableParagraph"/>
              <w:spacing w:line="256" w:lineRule="auto" w:before="40"/>
              <w:ind w:left="77" w:right="-15"/>
              <w:rPr>
                <w:sz w:val="21"/>
              </w:rPr>
            </w:pPr>
            <w:r>
              <w:rPr>
                <w:sz w:val="21"/>
              </w:rPr>
              <w:t>指恶性细胞不受控制的进行性增长和扩散，浸润和破坏周围正常组织，可以经血</w:t>
            </w:r>
            <w:r>
              <w:rPr>
                <w:spacing w:val="-7"/>
                <w:sz w:val="21"/>
              </w:rPr>
              <w:t>管、淋巴管和体腔扩散转移到身体其它部位的疾病。经病理学检查结果明确诊断， </w:t>
            </w:r>
            <w:r>
              <w:rPr>
                <w:spacing w:val="-6"/>
                <w:sz w:val="21"/>
              </w:rPr>
              <w:t>临床诊断属于世界卫生组织《疾病和有关健康问题的国际统计分类</w:t>
            </w:r>
            <w:r>
              <w:rPr>
                <w:spacing w:val="-123"/>
                <w:sz w:val="21"/>
              </w:rPr>
              <w:t>》</w:t>
            </w:r>
            <w:r>
              <w:rPr>
                <w:spacing w:val="-4"/>
                <w:sz w:val="21"/>
              </w:rPr>
              <w:t>（</w:t>
            </w:r>
            <w:r>
              <w:rPr>
                <w:rFonts w:ascii="Times New Roman" w:eastAsia="Times New Roman"/>
                <w:spacing w:val="-4"/>
                <w:sz w:val="21"/>
              </w:rPr>
              <w:t>ICD-10</w:t>
            </w:r>
            <w:r>
              <w:rPr>
                <w:spacing w:val="-4"/>
                <w:sz w:val="21"/>
              </w:rPr>
              <w:t>）</w:t>
            </w:r>
            <w:r>
              <w:rPr>
                <w:spacing w:val="-17"/>
                <w:sz w:val="21"/>
              </w:rPr>
              <w:t>的</w:t>
            </w:r>
            <w:r>
              <w:rPr>
                <w:spacing w:val="-3"/>
                <w:sz w:val="21"/>
              </w:rPr>
              <w:t>恶性肿瘤范畴。下列疾病不在保障范围内：</w:t>
            </w:r>
          </w:p>
          <w:p>
            <w:pPr>
              <w:pStyle w:val="TableParagraph"/>
              <w:spacing w:before="10"/>
              <w:ind w:left="77"/>
              <w:rPr>
                <w:sz w:val="21"/>
              </w:rPr>
            </w:pPr>
            <w:r>
              <w:rPr>
                <w:sz w:val="21"/>
              </w:rPr>
              <w:t>（</w:t>
            </w:r>
            <w:r>
              <w:rPr>
                <w:rFonts w:ascii="Times New Roman" w:eastAsia="Times New Roman"/>
                <w:sz w:val="21"/>
              </w:rPr>
              <w:t>1</w:t>
            </w:r>
            <w:r>
              <w:rPr>
                <w:sz w:val="21"/>
              </w:rPr>
              <w:t>）原位癌；</w:t>
            </w:r>
          </w:p>
          <w:p>
            <w:pPr>
              <w:pStyle w:val="TableParagraph"/>
              <w:spacing w:before="9"/>
              <w:ind w:left="77"/>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77"/>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77"/>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ind w:left="77"/>
              <w:rPr>
                <w:sz w:val="21"/>
              </w:rPr>
            </w:pPr>
            <w:r>
              <w:rPr>
                <w:sz w:val="21"/>
              </w:rPr>
              <w:t>（</w:t>
            </w:r>
            <w:r>
              <w:rPr>
                <w:rFonts w:ascii="Times New Roman" w:eastAsia="Times New Roman"/>
                <w:sz w:val="21"/>
              </w:rPr>
              <w:t>6</w:t>
            </w:r>
            <w:r>
              <w:rPr>
                <w:sz w:val="21"/>
              </w:rPr>
              <w:t>）感染艾滋病病毒或患艾滋病期间所患恶性肿瘤。</w:t>
            </w:r>
          </w:p>
        </w:tc>
      </w:tr>
      <w:tr>
        <w:trPr>
          <w:trHeight w:val="1823" w:hRule="atLeast"/>
        </w:trPr>
        <w:tc>
          <w:tcPr>
            <w:tcW w:w="600" w:type="dxa"/>
          </w:tcPr>
          <w:p>
            <w:pPr>
              <w:pStyle w:val="TableParagraph"/>
              <w:spacing w:before="81"/>
              <w:ind w:left="108"/>
              <w:rPr>
                <w:rFonts w:ascii="Times New Roman"/>
                <w:b/>
                <w:sz w:val="21"/>
              </w:rPr>
            </w:pPr>
            <w:r>
              <w:rPr>
                <w:rFonts w:ascii="Times New Roman"/>
                <w:b/>
                <w:sz w:val="21"/>
              </w:rPr>
              <w:t>2.</w:t>
            </w:r>
          </w:p>
        </w:tc>
        <w:tc>
          <w:tcPr>
            <w:tcW w:w="1399" w:type="dxa"/>
          </w:tcPr>
          <w:p>
            <w:pPr>
              <w:pStyle w:val="TableParagraph"/>
              <w:spacing w:line="261" w:lineRule="auto" w:before="32"/>
              <w:ind w:left="228" w:right="74"/>
              <w:rPr>
                <w:b/>
                <w:sz w:val="21"/>
              </w:rPr>
            </w:pPr>
            <w:r>
              <w:rPr>
                <w:b/>
                <w:sz w:val="21"/>
              </w:rPr>
              <w:t>急性心肌梗塞：</w:t>
            </w:r>
          </w:p>
        </w:tc>
        <w:tc>
          <w:tcPr>
            <w:tcW w:w="7600" w:type="dxa"/>
          </w:tcPr>
          <w:p>
            <w:pPr>
              <w:pStyle w:val="TableParagraph"/>
              <w:spacing w:line="261" w:lineRule="auto" w:before="32"/>
              <w:ind w:left="77" w:right="107"/>
              <w:rPr>
                <w:sz w:val="21"/>
              </w:rPr>
            </w:pPr>
            <w:r>
              <w:rPr>
                <w:sz w:val="21"/>
              </w:rPr>
              <w:t>指因冠状动脉阻塞导致的相应区域供血不足造成部分心肌坏死。须满足下列至少三项条件：</w:t>
            </w:r>
          </w:p>
          <w:p>
            <w:pPr>
              <w:pStyle w:val="TableParagraph"/>
              <w:spacing w:before="6"/>
              <w:ind w:left="77"/>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7"/>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77" w:right="-15"/>
              <w:rPr>
                <w:sz w:val="21"/>
              </w:rPr>
            </w:pPr>
            <w:r>
              <w:rPr>
                <w:spacing w:val="-26"/>
                <w:sz w:val="21"/>
              </w:rPr>
              <w:t>（</w:t>
            </w:r>
            <w:r>
              <w:rPr>
                <w:rFonts w:ascii="Times New Roman" w:eastAsia="Times New Roman"/>
                <w:spacing w:val="-26"/>
                <w:sz w:val="21"/>
              </w:rPr>
              <w:t>3</w:t>
            </w:r>
            <w:r>
              <w:rPr>
                <w:spacing w:val="-26"/>
                <w:sz w:val="21"/>
              </w:rPr>
              <w:t>）</w:t>
            </w:r>
            <w:r>
              <w:rPr>
                <w:spacing w:val="-8"/>
                <w:sz w:val="21"/>
              </w:rPr>
              <w:t>心肌酶或肌钙蛋白有诊断意义的升高，或呈符合急性心肌梗塞的动态性变化；</w:t>
            </w:r>
          </w:p>
          <w:p>
            <w:pPr>
              <w:pStyle w:val="TableParagraph"/>
              <w:spacing w:line="271" w:lineRule="exact" w:before="9"/>
              <w:ind w:left="7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bl>
    <w:p>
      <w:pPr>
        <w:spacing w:after="0" w:line="271" w:lineRule="exact"/>
        <w:rPr>
          <w:sz w:val="21"/>
        </w:rPr>
        <w:sectPr>
          <w:pgSz w:w="11910" w:h="16840"/>
          <w:pgMar w:top="1580" w:bottom="280" w:left="1160" w:right="9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01"/>
      </w:tblGrid>
      <w:tr>
        <w:trPr>
          <w:trHeight w:val="2115" w:hRule="atLeast"/>
        </w:trPr>
        <w:tc>
          <w:tcPr>
            <w:tcW w:w="692" w:type="dxa"/>
          </w:tcPr>
          <w:p>
            <w:pPr>
              <w:pStyle w:val="TableParagraph"/>
              <w:spacing w:line="227" w:lineRule="exact"/>
              <w:ind w:left="77" w:right="208"/>
              <w:jc w:val="center"/>
              <w:rPr>
                <w:rFonts w:ascii="Times New Roman"/>
                <w:b/>
                <w:sz w:val="21"/>
              </w:rPr>
            </w:pPr>
            <w:r>
              <w:rPr>
                <w:rFonts w:ascii="Times New Roman"/>
                <w:b/>
                <w:sz w:val="21"/>
              </w:rPr>
              <w:t>3.</w:t>
            </w:r>
          </w:p>
        </w:tc>
        <w:tc>
          <w:tcPr>
            <w:tcW w:w="1399" w:type="dxa"/>
          </w:tcPr>
          <w:p>
            <w:pPr>
              <w:pStyle w:val="TableParagraph"/>
              <w:spacing w:line="211" w:lineRule="exact"/>
              <w:ind w:left="227"/>
              <w:rPr>
                <w:b/>
                <w:sz w:val="21"/>
              </w:rPr>
            </w:pPr>
            <w:r>
              <w:rPr>
                <w:b/>
                <w:sz w:val="21"/>
              </w:rPr>
              <w:t>脑中风后 </w:t>
            </w:r>
          </w:p>
          <w:p>
            <w:pPr>
              <w:pStyle w:val="TableParagraph"/>
              <w:spacing w:before="25"/>
              <w:ind w:left="227"/>
              <w:rPr>
                <w:b/>
                <w:sz w:val="21"/>
              </w:rPr>
            </w:pPr>
            <w:r>
              <w:rPr>
                <w:b/>
                <w:sz w:val="21"/>
              </w:rPr>
              <w:t>遗症：</w:t>
            </w:r>
          </w:p>
        </w:tc>
        <w:tc>
          <w:tcPr>
            <w:tcW w:w="7801" w:type="dxa"/>
          </w:tcPr>
          <w:p>
            <w:pPr>
              <w:pStyle w:val="TableParagraph"/>
              <w:spacing w:line="211" w:lineRule="exact"/>
              <w:rPr>
                <w:sz w:val="21"/>
              </w:rPr>
            </w:pPr>
            <w:r>
              <w:rPr>
                <w:sz w:val="21"/>
              </w:rPr>
              <w:t>指因脑血管的突发病变引起脑血管出血、栓塞或梗塞，并导致神经系统永久性的</w:t>
            </w:r>
          </w:p>
          <w:p>
            <w:pPr>
              <w:pStyle w:val="TableParagraph"/>
              <w:spacing w:line="247" w:lineRule="auto" w:before="25"/>
              <w:ind w:right="302"/>
              <w:rPr>
                <w:sz w:val="21"/>
              </w:rPr>
            </w:pPr>
            <w:r>
              <w:rPr>
                <w:spacing w:val="-3"/>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8"/>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02" w:right="242"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1612" w:hRule="atLeast"/>
        </w:trPr>
        <w:tc>
          <w:tcPr>
            <w:tcW w:w="692" w:type="dxa"/>
          </w:tcPr>
          <w:p>
            <w:pPr>
              <w:pStyle w:val="TableParagraph"/>
              <w:spacing w:before="83"/>
              <w:ind w:left="77" w:right="208"/>
              <w:jc w:val="center"/>
              <w:rPr>
                <w:rFonts w:ascii="Times New Roman"/>
                <w:b/>
                <w:sz w:val="21"/>
              </w:rPr>
            </w:pPr>
            <w:r>
              <w:rPr>
                <w:rFonts w:ascii="Times New Roman"/>
                <w:b/>
                <w:sz w:val="21"/>
              </w:rPr>
              <w:t>4.</w:t>
            </w:r>
          </w:p>
        </w:tc>
        <w:tc>
          <w:tcPr>
            <w:tcW w:w="1399" w:type="dxa"/>
          </w:tcPr>
          <w:p>
            <w:pPr>
              <w:pStyle w:val="TableParagraph"/>
              <w:spacing w:line="261" w:lineRule="auto" w:before="33"/>
              <w:ind w:left="227" w:right="74"/>
              <w:jc w:val="both"/>
              <w:rPr>
                <w:b/>
                <w:sz w:val="21"/>
              </w:rPr>
            </w:pPr>
            <w:r>
              <w:rPr>
                <w:b/>
                <w:sz w:val="21"/>
              </w:rPr>
              <w:t>重大器官移植术或造血干细胞移植术：</w:t>
            </w:r>
          </w:p>
        </w:tc>
        <w:tc>
          <w:tcPr>
            <w:tcW w:w="7801" w:type="dxa"/>
          </w:tcPr>
          <w:p>
            <w:pPr>
              <w:pStyle w:val="TableParagraph"/>
              <w:spacing w:line="261" w:lineRule="auto" w:before="33"/>
              <w:ind w:right="308"/>
              <w:jc w:val="both"/>
              <w:rPr>
                <w:sz w:val="21"/>
              </w:rPr>
            </w:pPr>
            <w:r>
              <w:rPr>
                <w:sz w:val="21"/>
              </w:rPr>
              <w:t>重大器官移植术，指因相应器官功能衰竭，已经实施了肾脏、肝脏、心脏或肺脏的异体移植手术。</w:t>
            </w:r>
          </w:p>
          <w:p>
            <w:pPr>
              <w:pStyle w:val="TableParagraph"/>
              <w:spacing w:line="261" w:lineRule="auto" w:before="5"/>
              <w:ind w:right="308"/>
              <w:jc w:val="both"/>
              <w:rPr>
                <w:sz w:val="21"/>
              </w:rPr>
            </w:pPr>
            <w:r>
              <w:rPr>
                <w:sz w:val="21"/>
              </w:rPr>
              <w:t>造血干细胞移植术，指因造血功能损害或造血系统恶性肿瘤，已经实施了造血细胞（包括骨髓造血干细胞、外周血造血干细胞和脐血造血干细胞）的异体移植手术。</w:t>
            </w:r>
          </w:p>
        </w:tc>
      </w:tr>
      <w:tr>
        <w:trPr>
          <w:trHeight w:val="1613" w:hRule="atLeast"/>
        </w:trPr>
        <w:tc>
          <w:tcPr>
            <w:tcW w:w="692" w:type="dxa"/>
          </w:tcPr>
          <w:p>
            <w:pPr>
              <w:pStyle w:val="TableParagraph"/>
              <w:spacing w:before="83"/>
              <w:ind w:left="77" w:right="208"/>
              <w:jc w:val="center"/>
              <w:rPr>
                <w:rFonts w:ascii="Times New Roman"/>
                <w:b/>
                <w:sz w:val="21"/>
              </w:rPr>
            </w:pPr>
            <w:r>
              <w:rPr>
                <w:rFonts w:ascii="Times New Roman"/>
                <w:b/>
                <w:sz w:val="21"/>
              </w:rPr>
              <w:t>5.</w:t>
            </w:r>
          </w:p>
        </w:tc>
        <w:tc>
          <w:tcPr>
            <w:tcW w:w="1399" w:type="dxa"/>
          </w:tcPr>
          <w:p>
            <w:pPr>
              <w:pStyle w:val="TableParagraph"/>
              <w:spacing w:line="261" w:lineRule="auto" w:before="33"/>
              <w:ind w:left="227" w:right="74"/>
              <w:jc w:val="both"/>
              <w:rPr>
                <w:b/>
                <w:sz w:val="21"/>
              </w:rPr>
            </w:pPr>
            <w:r>
              <w:rPr>
                <w:b/>
                <w:sz w:val="21"/>
              </w:rPr>
              <w:t>冠状动脉搭桥术（或称冠状动脉旁路移植术）：</w:t>
            </w:r>
          </w:p>
        </w:tc>
        <w:tc>
          <w:tcPr>
            <w:tcW w:w="7801" w:type="dxa"/>
          </w:tcPr>
          <w:p>
            <w:pPr>
              <w:pStyle w:val="TableParagraph"/>
              <w:spacing w:line="261" w:lineRule="auto" w:before="33"/>
              <w:ind w:right="30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580" w:hRule="atLeast"/>
        </w:trPr>
        <w:tc>
          <w:tcPr>
            <w:tcW w:w="692" w:type="dxa"/>
          </w:tcPr>
          <w:p>
            <w:pPr>
              <w:pStyle w:val="TableParagraph"/>
              <w:spacing w:before="83"/>
              <w:ind w:left="77" w:right="208"/>
              <w:jc w:val="center"/>
              <w:rPr>
                <w:rFonts w:ascii="Times New Roman"/>
                <w:b/>
                <w:sz w:val="21"/>
              </w:rPr>
            </w:pPr>
            <w:r>
              <w:rPr>
                <w:rFonts w:ascii="Times New Roman"/>
                <w:b/>
                <w:sz w:val="21"/>
              </w:rPr>
              <w:t>6.</w:t>
            </w:r>
          </w:p>
        </w:tc>
        <w:tc>
          <w:tcPr>
            <w:tcW w:w="1399" w:type="dxa"/>
          </w:tcPr>
          <w:p>
            <w:pPr>
              <w:pStyle w:val="TableParagraph"/>
              <w:spacing w:line="261" w:lineRule="auto" w:before="33"/>
              <w:ind w:left="227" w:right="74"/>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801" w:type="dxa"/>
          </w:tcPr>
          <w:p>
            <w:pPr>
              <w:pStyle w:val="TableParagraph"/>
              <w:spacing w:line="247" w:lineRule="auto" w:before="33"/>
              <w:ind w:right="304"/>
              <w:rPr>
                <w:sz w:val="21"/>
              </w:rPr>
            </w:pPr>
            <w:r>
              <w:rPr>
                <w:spacing w:val="-7"/>
                <w:sz w:val="21"/>
              </w:rPr>
              <w:t>指双肾功能慢性不可逆性衰竭，达到尿毒症期，经诊断后已经进行了至少 </w:t>
            </w:r>
            <w:r>
              <w:rPr>
                <w:rFonts w:ascii="Times New Roman" w:eastAsia="Times New Roman"/>
                <w:sz w:val="21"/>
              </w:rPr>
              <w:t>90 </w:t>
            </w:r>
            <w:r>
              <w:rPr>
                <w:sz w:val="21"/>
              </w:rPr>
              <w:t>天的</w:t>
            </w:r>
            <w:r>
              <w:rPr>
                <w:spacing w:val="-3"/>
                <w:sz w:val="21"/>
              </w:rPr>
              <w:t>规律性透析治疗或实施了肾脏移植手术。</w:t>
            </w:r>
          </w:p>
        </w:tc>
      </w:tr>
      <w:tr>
        <w:trPr>
          <w:trHeight w:val="745" w:hRule="atLeast"/>
        </w:trPr>
        <w:tc>
          <w:tcPr>
            <w:tcW w:w="692" w:type="dxa"/>
          </w:tcPr>
          <w:p>
            <w:pPr>
              <w:pStyle w:val="TableParagraph"/>
              <w:spacing w:before="50"/>
              <w:ind w:left="77" w:right="208"/>
              <w:jc w:val="center"/>
              <w:rPr>
                <w:rFonts w:ascii="Times New Roman"/>
                <w:b/>
                <w:sz w:val="21"/>
              </w:rPr>
            </w:pPr>
            <w:r>
              <w:rPr>
                <w:rFonts w:ascii="Times New Roman"/>
                <w:b/>
                <w:sz w:val="21"/>
              </w:rPr>
              <w:t>7.</w:t>
            </w:r>
          </w:p>
        </w:tc>
        <w:tc>
          <w:tcPr>
            <w:tcW w:w="1399" w:type="dxa"/>
          </w:tcPr>
          <w:p>
            <w:pPr>
              <w:pStyle w:val="TableParagraph"/>
              <w:spacing w:line="261" w:lineRule="auto" w:before="66"/>
              <w:ind w:left="227" w:right="324"/>
              <w:rPr>
                <w:b/>
                <w:sz w:val="21"/>
              </w:rPr>
            </w:pPr>
            <w:r>
              <w:rPr>
                <w:b/>
                <w:sz w:val="21"/>
              </w:rPr>
              <w:t>多个肢体缺失：</w:t>
            </w:r>
          </w:p>
        </w:tc>
        <w:tc>
          <w:tcPr>
            <w:tcW w:w="7801" w:type="dxa"/>
          </w:tcPr>
          <w:p>
            <w:pPr>
              <w:pStyle w:val="TableParagraph"/>
              <w:spacing w:line="261" w:lineRule="auto" w:before="66"/>
              <w:ind w:right="364"/>
              <w:rPr>
                <w:sz w:val="21"/>
              </w:rPr>
            </w:pPr>
            <w:r>
              <w:rPr>
                <w:sz w:val="21"/>
              </w:rPr>
              <w:t>指因疾病或意外伤害导致两个或两个以上肢体自腕关节或踝关节近端（靠近躯干端）以上完全性断离。</w:t>
            </w:r>
          </w:p>
        </w:tc>
      </w:tr>
      <w:tr>
        <w:trPr>
          <w:trHeight w:val="1920" w:hRule="atLeast"/>
        </w:trPr>
        <w:tc>
          <w:tcPr>
            <w:tcW w:w="692" w:type="dxa"/>
          </w:tcPr>
          <w:p>
            <w:pPr>
              <w:pStyle w:val="TableParagraph"/>
              <w:spacing w:before="83"/>
              <w:ind w:left="77" w:right="208"/>
              <w:jc w:val="center"/>
              <w:rPr>
                <w:rFonts w:ascii="Times New Roman"/>
                <w:b/>
                <w:sz w:val="21"/>
              </w:rPr>
            </w:pPr>
            <w:r>
              <w:rPr>
                <w:rFonts w:ascii="Times New Roman"/>
                <w:b/>
                <w:sz w:val="21"/>
              </w:rPr>
              <w:t>8.</w:t>
            </w:r>
          </w:p>
        </w:tc>
        <w:tc>
          <w:tcPr>
            <w:tcW w:w="1399" w:type="dxa"/>
          </w:tcPr>
          <w:p>
            <w:pPr>
              <w:pStyle w:val="TableParagraph"/>
              <w:spacing w:line="261" w:lineRule="auto" w:before="34"/>
              <w:ind w:left="227" w:right="74"/>
              <w:jc w:val="both"/>
              <w:rPr>
                <w:b/>
                <w:sz w:val="21"/>
              </w:rPr>
            </w:pPr>
            <w:r>
              <w:rPr>
                <w:b/>
                <w:sz w:val="21"/>
              </w:rPr>
              <w:t>急性或亚急性重症肝炎：</w:t>
            </w:r>
          </w:p>
        </w:tc>
        <w:tc>
          <w:tcPr>
            <w:tcW w:w="7801" w:type="dxa"/>
          </w:tcPr>
          <w:p>
            <w:pPr>
              <w:pStyle w:val="TableParagraph"/>
              <w:spacing w:line="261" w:lineRule="auto" w:before="34"/>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6"/>
              <w:rPr>
                <w:sz w:val="21"/>
              </w:rPr>
            </w:pPr>
            <w:r>
              <w:rPr>
                <w:sz w:val="21"/>
              </w:rPr>
              <w:t>（</w:t>
            </w:r>
            <w:r>
              <w:rPr>
                <w:rFonts w:ascii="Times New Roman" w:eastAsia="Times New Roman"/>
                <w:sz w:val="21"/>
              </w:rPr>
              <w:t>1</w:t>
            </w:r>
            <w:r>
              <w:rPr>
                <w:sz w:val="21"/>
              </w:rPr>
              <w:t>）重度黄疸或黄疸迅速加重；</w:t>
            </w:r>
          </w:p>
          <w:p>
            <w:pPr>
              <w:pStyle w:val="TableParagraph"/>
              <w:spacing w:before="9"/>
              <w:rPr>
                <w:sz w:val="21"/>
              </w:rPr>
            </w:pPr>
            <w:r>
              <w:rPr>
                <w:sz w:val="21"/>
              </w:rPr>
              <w:t>（</w:t>
            </w:r>
            <w:r>
              <w:rPr>
                <w:rFonts w:ascii="Times New Roman" w:eastAsia="Times New Roman"/>
                <w:sz w:val="21"/>
              </w:rPr>
              <w:t>2</w:t>
            </w:r>
            <w:r>
              <w:rPr>
                <w:sz w:val="21"/>
              </w:rPr>
              <w:t>）肝性脑病；</w:t>
            </w:r>
          </w:p>
          <w:p>
            <w:pPr>
              <w:pStyle w:val="TableParagraph"/>
              <w:spacing w:before="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2206" w:hRule="atLeast"/>
        </w:trPr>
        <w:tc>
          <w:tcPr>
            <w:tcW w:w="692" w:type="dxa"/>
          </w:tcPr>
          <w:p>
            <w:pPr>
              <w:pStyle w:val="TableParagraph"/>
              <w:spacing w:before="75"/>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25"/>
              <w:ind w:left="227" w:right="74"/>
              <w:rPr>
                <w:b/>
                <w:sz w:val="21"/>
              </w:rPr>
            </w:pPr>
            <w:r>
              <w:rPr>
                <w:b/>
                <w:sz w:val="21"/>
              </w:rPr>
              <w:t>良性脑肿瘤：</w:t>
            </w:r>
          </w:p>
        </w:tc>
        <w:tc>
          <w:tcPr>
            <w:tcW w:w="7801" w:type="dxa"/>
          </w:tcPr>
          <w:p>
            <w:pPr>
              <w:pStyle w:val="TableParagraph"/>
              <w:spacing w:line="261" w:lineRule="auto" w:before="25"/>
              <w:ind w:right="197"/>
              <w:rPr>
                <w:sz w:val="21"/>
              </w:rPr>
            </w:pPr>
            <w:r>
              <w:rPr>
                <w:spacing w:val="-7"/>
                <w:sz w:val="21"/>
              </w:rPr>
              <w:t>指脑的良性肿瘤，已经引起颅内压增高，临床表现为视神经乳头水肿、精神症状、</w:t>
            </w:r>
            <w:r>
              <w:rPr>
                <w:spacing w:val="-3"/>
                <w:sz w:val="21"/>
              </w:rPr>
              <w:t>癫痫及运动感觉障碍等，并危及生命。须由头颅断层扫描</w:t>
            </w:r>
            <w:r>
              <w:rPr>
                <w:sz w:val="21"/>
              </w:rPr>
              <w:t>（</w:t>
            </w:r>
            <w:r>
              <w:rPr>
                <w:rFonts w:ascii="Times New Roman" w:eastAsia="Times New Roman"/>
                <w:sz w:val="21"/>
              </w:rPr>
              <w:t>CT</w:t>
            </w:r>
            <w:r>
              <w:rPr>
                <w:sz w:val="21"/>
              </w:rPr>
              <w:t>）</w:t>
            </w:r>
            <w:r>
              <w:rPr>
                <w:spacing w:val="-3"/>
                <w:sz w:val="21"/>
              </w:rPr>
              <w:t>、核磁共振检查</w:t>
            </w:r>
          </w:p>
          <w:p>
            <w:pPr>
              <w:pStyle w:val="TableParagraph"/>
              <w:spacing w:line="247" w:lineRule="auto"/>
              <w:ind w:right="228"/>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sz w:val="21"/>
              </w:rPr>
            </w:pPr>
            <w:r>
              <w:rPr>
                <w:sz w:val="21"/>
              </w:rPr>
              <w:t>脑垂体瘤、脑囊肿、脑血管性疾病不在保障范围内。</w:t>
            </w:r>
          </w:p>
        </w:tc>
      </w:tr>
      <w:tr>
        <w:trPr>
          <w:trHeight w:val="1816" w:hRule="atLeast"/>
        </w:trPr>
        <w:tc>
          <w:tcPr>
            <w:tcW w:w="692" w:type="dxa"/>
          </w:tcPr>
          <w:p>
            <w:pPr>
              <w:pStyle w:val="TableParagraph"/>
              <w:spacing w:before="84"/>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35"/>
              <w:ind w:left="227" w:right="74"/>
              <w:jc w:val="both"/>
              <w:rPr>
                <w:b/>
                <w:sz w:val="21"/>
              </w:rPr>
            </w:pPr>
            <w:r>
              <w:rPr>
                <w:b/>
                <w:sz w:val="21"/>
              </w:rPr>
              <w:t>慢性肝功能衰竭失代偿期：</w:t>
            </w:r>
          </w:p>
        </w:tc>
        <w:tc>
          <w:tcPr>
            <w:tcW w:w="7801" w:type="dxa"/>
          </w:tcPr>
          <w:p>
            <w:pPr>
              <w:pStyle w:val="TableParagraph"/>
              <w:spacing w:before="35"/>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line="280" w:lineRule="atLeast" w:before="9"/>
              <w:ind w:right="2573"/>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bl>
    <w:p>
      <w:pPr>
        <w:spacing w:after="0" w:line="280" w:lineRule="atLeast"/>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00"/>
      </w:tblGrid>
      <w:tr>
        <w:trPr>
          <w:trHeight w:val="18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11.</w:t>
            </w:r>
          </w:p>
        </w:tc>
        <w:tc>
          <w:tcPr>
            <w:tcW w:w="1399" w:type="dxa"/>
          </w:tcPr>
          <w:p>
            <w:pPr>
              <w:pStyle w:val="TableParagraph"/>
              <w:spacing w:line="211" w:lineRule="exact"/>
              <w:ind w:left="227"/>
              <w:rPr>
                <w:b/>
                <w:sz w:val="21"/>
              </w:rPr>
            </w:pPr>
            <w:r>
              <w:rPr>
                <w:b/>
                <w:sz w:val="21"/>
              </w:rPr>
              <w:t>脑炎后遗 </w:t>
            </w:r>
          </w:p>
          <w:p>
            <w:pPr>
              <w:pStyle w:val="TableParagraph"/>
              <w:spacing w:line="261" w:lineRule="auto" w:before="25"/>
              <w:ind w:left="227" w:right="74"/>
              <w:rPr>
                <w:b/>
                <w:sz w:val="21"/>
              </w:rPr>
            </w:pPr>
            <w:r>
              <w:rPr>
                <w:b/>
                <w:sz w:val="21"/>
              </w:rPr>
              <w:t>症或脑膜炎后遗症：</w:t>
            </w:r>
          </w:p>
        </w:tc>
        <w:tc>
          <w:tcPr>
            <w:tcW w:w="7800" w:type="dxa"/>
          </w:tcPr>
          <w:p>
            <w:pPr>
              <w:pStyle w:val="TableParagraph"/>
              <w:spacing w:line="211" w:lineRule="exact"/>
              <w:rPr>
                <w:sz w:val="21"/>
              </w:rPr>
            </w:pPr>
            <w:r>
              <w:rPr>
                <w:sz w:val="21"/>
              </w:rPr>
              <w:t>指因患脑炎或脑膜炎导致的神经系统永久性的功能障碍。神经系统永久性的功能</w:t>
            </w:r>
          </w:p>
          <w:p>
            <w:pPr>
              <w:pStyle w:val="TableParagraph"/>
              <w:spacing w:before="25"/>
              <w:rPr>
                <w:sz w:val="21"/>
              </w:rPr>
            </w:pPr>
            <w:r>
              <w:rPr>
                <w:sz w:val="21"/>
              </w:rPr>
              <w:t>障碍，指疾病确诊 </w:t>
            </w:r>
            <w:r>
              <w:rPr>
                <w:rFonts w:ascii="Times New Roman" w:eastAsia="Times New Roman"/>
                <w:sz w:val="21"/>
              </w:rPr>
              <w:t>180 </w:t>
            </w:r>
            <w:r>
              <w:rPr>
                <w:sz w:val="21"/>
              </w:rPr>
              <w:t>天后，仍遗留下列一种或一种以上障碍：</w:t>
            </w:r>
          </w:p>
          <w:p>
            <w:pPr>
              <w:pStyle w:val="TableParagraph"/>
              <w:spacing w:before="8"/>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02" w:right="25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99" w:type="dxa"/>
          </w:tcPr>
          <w:p>
            <w:pPr>
              <w:pStyle w:val="TableParagraph"/>
              <w:spacing w:before="33"/>
              <w:ind w:left="227"/>
              <w:rPr>
                <w:b/>
                <w:sz w:val="21"/>
              </w:rPr>
            </w:pPr>
            <w:r>
              <w:rPr>
                <w:b/>
                <w:sz w:val="21"/>
              </w:rPr>
              <w:t>深度昏迷：</w:t>
            </w:r>
          </w:p>
        </w:tc>
        <w:tc>
          <w:tcPr>
            <w:tcW w:w="7800" w:type="dxa"/>
          </w:tcPr>
          <w:p>
            <w:pPr>
              <w:pStyle w:val="TableParagraph"/>
              <w:spacing w:line="254" w:lineRule="auto" w:before="33"/>
              <w:ind w:right="301"/>
              <w:jc w:val="both"/>
              <w:rPr>
                <w:sz w:val="21"/>
              </w:rPr>
            </w:pPr>
            <w:r>
              <w:rPr>
                <w:sz w:val="21"/>
              </w:rPr>
              <w:t>指因疾病或意外伤害导致意识丧失，对外界刺激和体内需求均无反应，昏迷程度</w:t>
            </w:r>
            <w:r>
              <w:rPr>
                <w:spacing w:val="-3"/>
                <w:sz w:val="21"/>
              </w:rPr>
              <w:t>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w:t>
            </w:r>
            <w:r>
              <w:rPr>
                <w:spacing w:val="-6"/>
                <w:sz w:val="21"/>
              </w:rPr>
              <w:t>续使用呼吸机及其它生命维持系统 </w:t>
            </w:r>
            <w:r>
              <w:rPr>
                <w:rFonts w:ascii="Times New Roman" w:eastAsia="Times New Roman"/>
                <w:sz w:val="21"/>
              </w:rPr>
              <w:t>96 </w:t>
            </w:r>
            <w:r>
              <w:rPr>
                <w:spacing w:val="-3"/>
                <w:sz w:val="21"/>
              </w:rPr>
              <w:t>小时以上。</w:t>
            </w:r>
          </w:p>
          <w:p>
            <w:pPr>
              <w:pStyle w:val="TableParagraph"/>
              <w:spacing w:line="270" w:lineRule="exact"/>
              <w:jc w:val="both"/>
              <w:rPr>
                <w:sz w:val="21"/>
              </w:rPr>
            </w:pPr>
            <w:r>
              <w:rPr>
                <w:sz w:val="21"/>
              </w:rPr>
              <w:t>因酗酒或药物滥用导致的深度昏迷不在保障范围内。</w:t>
            </w:r>
          </w:p>
        </w:tc>
      </w:tr>
      <w:tr>
        <w:trPr>
          <w:trHeight w:val="1013"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before="33"/>
              <w:ind w:left="227"/>
              <w:rPr>
                <w:b/>
                <w:sz w:val="21"/>
              </w:rPr>
            </w:pPr>
            <w:r>
              <w:rPr>
                <w:b/>
                <w:sz w:val="21"/>
              </w:rPr>
              <w:t>双耳失聪：</w:t>
            </w:r>
          </w:p>
        </w:tc>
        <w:tc>
          <w:tcPr>
            <w:tcW w:w="7800" w:type="dxa"/>
          </w:tcPr>
          <w:p>
            <w:pPr>
              <w:pStyle w:val="TableParagraph"/>
              <w:spacing w:line="247" w:lineRule="auto" w:before="33"/>
              <w:ind w:right="303"/>
              <w:jc w:val="both"/>
              <w:rPr>
                <w:sz w:val="21"/>
              </w:rPr>
            </w:pPr>
            <w:r>
              <w:rPr>
                <w:spacing w:val="-3"/>
                <w:sz w:val="21"/>
              </w:rPr>
              <w:t>指因疾病或意外伤害导致双耳听力</w:t>
            </w:r>
            <w:r>
              <w:rPr>
                <w:b/>
                <w:spacing w:val="-5"/>
                <w:sz w:val="21"/>
              </w:rPr>
              <w:t>永久不可逆</w:t>
            </w:r>
            <w:r>
              <w:rPr>
                <w:spacing w:val="-3"/>
                <w:sz w:val="21"/>
              </w:rPr>
              <w:t>（</w:t>
            </w:r>
            <w:r>
              <w:rPr>
                <w:spacing w:val="-22"/>
                <w:sz w:val="21"/>
              </w:rPr>
              <w:t>注 </w:t>
            </w:r>
            <w:r>
              <w:rPr>
                <w:rFonts w:ascii="Times New Roman" w:eastAsia="Times New Roman"/>
                <w:spacing w:val="-14"/>
                <w:sz w:val="21"/>
              </w:rPr>
              <w:t>5</w:t>
            </w:r>
            <w:r>
              <w:rPr>
                <w:spacing w:val="-14"/>
                <w:sz w:val="21"/>
              </w:rPr>
              <w:t>）</w:t>
            </w:r>
            <w:r>
              <w:rPr>
                <w:spacing w:val="-15"/>
                <w:sz w:val="21"/>
              </w:rPr>
              <w:t>性丧失，在 </w:t>
            </w:r>
            <w:r>
              <w:rPr>
                <w:rFonts w:ascii="Times New Roman" w:eastAsia="Times New Roman"/>
                <w:sz w:val="21"/>
              </w:rPr>
              <w:t>500 </w:t>
            </w:r>
            <w:r>
              <w:rPr>
                <w:spacing w:val="-10"/>
                <w:sz w:val="21"/>
              </w:rPr>
              <w:t>赫兹、</w:t>
            </w:r>
            <w:r>
              <w:rPr>
                <w:rFonts w:ascii="Times New Roman" w:eastAsia="Times New Roman"/>
                <w:sz w:val="21"/>
              </w:rPr>
              <w:t>1000 </w:t>
            </w:r>
            <w:r>
              <w:rPr>
                <w:spacing w:val="-8"/>
                <w:sz w:val="21"/>
              </w:rPr>
              <w:t>赫兹和 </w:t>
            </w:r>
            <w:r>
              <w:rPr>
                <w:rFonts w:ascii="Times New Roman" w:eastAsia="Times New Roman"/>
                <w:sz w:val="21"/>
              </w:rPr>
              <w:t>2000 </w:t>
            </w:r>
            <w:r>
              <w:rPr>
                <w:spacing w:val="-5"/>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1" w:hRule="atLeast"/>
        </w:trPr>
        <w:tc>
          <w:tcPr>
            <w:tcW w:w="692" w:type="dxa"/>
          </w:tcPr>
          <w:p>
            <w:pPr>
              <w:pStyle w:val="TableParagraph"/>
              <w:spacing w:before="83"/>
              <w:ind w:left="181" w:right="208"/>
              <w:jc w:val="center"/>
              <w:rPr>
                <w:rFonts w:ascii="Times New Roman"/>
                <w:b/>
                <w:sz w:val="21"/>
              </w:rPr>
            </w:pPr>
            <w:r>
              <w:rPr>
                <w:rFonts w:ascii="Times New Roman"/>
                <w:b/>
                <w:sz w:val="21"/>
              </w:rPr>
              <w:t>14.</w:t>
            </w:r>
          </w:p>
        </w:tc>
        <w:tc>
          <w:tcPr>
            <w:tcW w:w="1399" w:type="dxa"/>
          </w:tcPr>
          <w:p>
            <w:pPr>
              <w:pStyle w:val="TableParagraph"/>
              <w:spacing w:before="34"/>
              <w:ind w:left="227"/>
              <w:rPr>
                <w:b/>
                <w:sz w:val="21"/>
              </w:rPr>
            </w:pPr>
            <w:r>
              <w:rPr>
                <w:b/>
                <w:sz w:val="21"/>
              </w:rPr>
              <w:t>双目失明：</w:t>
            </w:r>
          </w:p>
        </w:tc>
        <w:tc>
          <w:tcPr>
            <w:tcW w:w="7800" w:type="dxa"/>
          </w:tcPr>
          <w:p>
            <w:pPr>
              <w:pStyle w:val="TableParagraph"/>
              <w:spacing w:line="261" w:lineRule="auto" w:before="34"/>
              <w:ind w:right="306"/>
              <w:rPr>
                <w:sz w:val="21"/>
              </w:rPr>
            </w:pPr>
            <w:r>
              <w:rPr>
                <w:sz w:val="21"/>
              </w:rPr>
              <w:t>指因疾病或意外伤害导致双眼视力永久不可逆性丧失，双眼中较好眼须满足下列至少一项条件：</w:t>
            </w:r>
          </w:p>
          <w:p>
            <w:pPr>
              <w:pStyle w:val="TableParagraph"/>
              <w:spacing w:before="6"/>
              <w:rPr>
                <w:sz w:val="21"/>
              </w:rPr>
            </w:pPr>
            <w:r>
              <w:rPr>
                <w:sz w:val="21"/>
              </w:rPr>
              <w:t>（</w:t>
            </w:r>
            <w:r>
              <w:rPr>
                <w:rFonts w:ascii="Times New Roman" w:eastAsia="Times New Roman"/>
                <w:sz w:val="21"/>
              </w:rPr>
              <w:t>1</w:t>
            </w:r>
            <w:r>
              <w:rPr>
                <w:sz w:val="21"/>
              </w:rPr>
              <w:t>）眼球缺失或摘除；</w:t>
            </w:r>
          </w:p>
          <w:p>
            <w:pPr>
              <w:pStyle w:val="TableParagraph"/>
              <w:spacing w:before="9"/>
              <w:rPr>
                <w:sz w:val="21"/>
              </w:rPr>
            </w:pPr>
            <w:r>
              <w:rPr>
                <w:w w:val="100"/>
                <w:sz w:val="21"/>
              </w:rPr>
              <w:t>（</w:t>
            </w:r>
            <w:r>
              <w:rPr>
                <w:rFonts w:ascii="Times New Roman" w:eastAsia="Times New Roman"/>
                <w:w w:val="100"/>
                <w:sz w:val="21"/>
              </w:rPr>
              <w:t>2</w:t>
            </w:r>
            <w:r>
              <w:rPr>
                <w:spacing w:val="-92"/>
                <w:w w:val="100"/>
                <w:sz w:val="21"/>
              </w:rPr>
              <w:t>）</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92"/>
                <w:w w:val="100"/>
                <w:sz w:val="21"/>
              </w:rPr>
              <w:t>2</w:t>
            </w:r>
            <w:r>
              <w:rPr>
                <w:w w:val="100"/>
                <w:sz w:val="21"/>
              </w:rPr>
              <w:t>（</w:t>
            </w:r>
            <w:r>
              <w:rPr>
                <w:spacing w:val="-11"/>
                <w:w w:val="100"/>
                <w:sz w:val="21"/>
              </w:rPr>
              <w:t>采用国际标准视力表，如果使用其他视力表应进行换算</w:t>
            </w:r>
            <w:r>
              <w:rPr>
                <w:spacing w:val="-92"/>
                <w:w w:val="100"/>
                <w:sz w:val="21"/>
              </w:rPr>
              <w:t>）</w:t>
            </w:r>
            <w:r>
              <w:rPr>
                <w:w w:val="100"/>
                <w:sz w:val="21"/>
              </w:rPr>
              <w:t>；</w:t>
            </w:r>
          </w:p>
          <w:p>
            <w:pPr>
              <w:pStyle w:val="TableParagraph"/>
              <w:spacing w:before="9"/>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15.</w:t>
            </w:r>
          </w:p>
        </w:tc>
        <w:tc>
          <w:tcPr>
            <w:tcW w:w="1399" w:type="dxa"/>
          </w:tcPr>
          <w:p>
            <w:pPr>
              <w:pStyle w:val="TableParagraph"/>
              <w:spacing w:before="25"/>
              <w:ind w:left="227"/>
              <w:rPr>
                <w:b/>
                <w:sz w:val="21"/>
              </w:rPr>
            </w:pPr>
            <w:r>
              <w:rPr>
                <w:b/>
                <w:sz w:val="21"/>
              </w:rPr>
              <w:t>瘫痪：</w:t>
            </w:r>
          </w:p>
        </w:tc>
        <w:tc>
          <w:tcPr>
            <w:tcW w:w="7800" w:type="dxa"/>
          </w:tcPr>
          <w:p>
            <w:pPr>
              <w:pStyle w:val="TableParagraph"/>
              <w:spacing w:line="254" w:lineRule="auto" w:before="25"/>
              <w:ind w:right="303"/>
              <w:jc w:val="both"/>
              <w:rPr>
                <w:sz w:val="21"/>
              </w:rPr>
            </w:pPr>
            <w:r>
              <w:rPr>
                <w:sz w:val="21"/>
              </w:rPr>
              <w:t>指因疾病或意外伤害导致两肢或两肢以上肢体机能永久完全丧失。肢体机能永久</w:t>
            </w:r>
            <w:r>
              <w:rPr>
                <w:spacing w:val="-6"/>
                <w:sz w:val="21"/>
              </w:rPr>
              <w:t>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99" w:type="dxa"/>
          </w:tcPr>
          <w:p>
            <w:pPr>
              <w:pStyle w:val="TableParagraph"/>
              <w:spacing w:line="261" w:lineRule="auto" w:before="33"/>
              <w:ind w:left="227" w:right="74"/>
              <w:rPr>
                <w:b/>
                <w:sz w:val="21"/>
              </w:rPr>
            </w:pPr>
            <w:r>
              <w:rPr>
                <w:b/>
                <w:sz w:val="21"/>
              </w:rPr>
              <w:t>心脏瓣膜手术：</w:t>
            </w:r>
          </w:p>
        </w:tc>
        <w:tc>
          <w:tcPr>
            <w:tcW w:w="7800" w:type="dxa"/>
          </w:tcPr>
          <w:p>
            <w:pPr>
              <w:pStyle w:val="TableParagraph"/>
              <w:spacing w:before="33"/>
              <w:rPr>
                <w:sz w:val="21"/>
              </w:rPr>
            </w:pPr>
            <w:r>
              <w:rPr>
                <w:sz w:val="21"/>
              </w:rPr>
              <w:t>指为治疗心脏瓣膜疾病，实际实施了开胸进行的心脏瓣膜置换或修复的手术。</w:t>
            </w:r>
          </w:p>
        </w:tc>
      </w:tr>
      <w:tr>
        <w:trPr>
          <w:trHeight w:val="1914" w:hRule="atLeast"/>
        </w:trPr>
        <w:tc>
          <w:tcPr>
            <w:tcW w:w="692" w:type="dxa"/>
          </w:tcPr>
          <w:p>
            <w:pPr>
              <w:pStyle w:val="TableParagraph"/>
              <w:spacing w:before="83"/>
              <w:ind w:left="181" w:right="208"/>
              <w:jc w:val="center"/>
              <w:rPr>
                <w:rFonts w:ascii="Times New Roman"/>
                <w:b/>
                <w:sz w:val="21"/>
              </w:rPr>
            </w:pPr>
            <w:r>
              <w:rPr>
                <w:rFonts w:ascii="Times New Roman"/>
                <w:b/>
                <w:sz w:val="21"/>
              </w:rPr>
              <w:t>17.</w:t>
            </w:r>
          </w:p>
        </w:tc>
        <w:tc>
          <w:tcPr>
            <w:tcW w:w="1399" w:type="dxa"/>
          </w:tcPr>
          <w:p>
            <w:pPr>
              <w:pStyle w:val="TableParagraph"/>
              <w:spacing w:line="261" w:lineRule="auto" w:before="33"/>
              <w:ind w:left="227" w:right="74"/>
              <w:rPr>
                <w:b/>
                <w:sz w:val="21"/>
              </w:rPr>
            </w:pPr>
            <w:r>
              <w:rPr>
                <w:b/>
                <w:sz w:val="21"/>
              </w:rPr>
              <w:t>严重阿尔茨海默病：</w:t>
            </w:r>
          </w:p>
        </w:tc>
        <w:tc>
          <w:tcPr>
            <w:tcW w:w="7800" w:type="dxa"/>
          </w:tcPr>
          <w:p>
            <w:pPr>
              <w:pStyle w:val="TableParagraph"/>
              <w:spacing w:line="259" w:lineRule="auto" w:before="33"/>
              <w:ind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2514" w:hRule="atLeast"/>
        </w:trPr>
        <w:tc>
          <w:tcPr>
            <w:tcW w:w="692" w:type="dxa"/>
          </w:tcPr>
          <w:p>
            <w:pPr>
              <w:pStyle w:val="TableParagraph"/>
              <w:spacing w:before="84"/>
              <w:ind w:left="181" w:right="208"/>
              <w:jc w:val="center"/>
              <w:rPr>
                <w:rFonts w:ascii="Times New Roman"/>
                <w:b/>
                <w:sz w:val="21"/>
              </w:rPr>
            </w:pPr>
            <w:r>
              <w:rPr>
                <w:rFonts w:ascii="Times New Roman"/>
                <w:b/>
                <w:sz w:val="21"/>
              </w:rPr>
              <w:t>18.</w:t>
            </w:r>
          </w:p>
        </w:tc>
        <w:tc>
          <w:tcPr>
            <w:tcW w:w="1399" w:type="dxa"/>
          </w:tcPr>
          <w:p>
            <w:pPr>
              <w:pStyle w:val="TableParagraph"/>
              <w:spacing w:line="261" w:lineRule="auto" w:before="35"/>
              <w:ind w:left="227" w:right="74"/>
              <w:rPr>
                <w:b/>
                <w:sz w:val="21"/>
              </w:rPr>
            </w:pPr>
            <w:r>
              <w:rPr>
                <w:b/>
                <w:sz w:val="21"/>
              </w:rPr>
              <w:t>严重脑损伤：</w:t>
            </w:r>
          </w:p>
        </w:tc>
        <w:tc>
          <w:tcPr>
            <w:tcW w:w="7800" w:type="dxa"/>
          </w:tcPr>
          <w:p>
            <w:pPr>
              <w:pStyle w:val="TableParagraph"/>
              <w:spacing w:line="252" w:lineRule="auto" w:before="35"/>
              <w:ind w:right="197"/>
              <w:rPr>
                <w:sz w:val="21"/>
              </w:rPr>
            </w:pPr>
            <w:r>
              <w:rPr>
                <w:sz w:val="21"/>
              </w:rPr>
              <w:t>指因头部遭受机械性外力，引起脑重要部位损伤，导致神经系统永久性的功能障</w:t>
            </w:r>
            <w:r>
              <w:rPr>
                <w:spacing w:val="-17"/>
                <w:sz w:val="21"/>
              </w:rPr>
              <w:t>碍。须由头颅断层扫描</w:t>
            </w:r>
            <w:r>
              <w:rPr>
                <w:spacing w:val="-18"/>
                <w:sz w:val="21"/>
              </w:rPr>
              <w:t>（</w:t>
            </w:r>
            <w:r>
              <w:rPr>
                <w:rFonts w:ascii="Times New Roman" w:eastAsia="Times New Roman"/>
                <w:spacing w:val="-18"/>
                <w:sz w:val="21"/>
              </w:rPr>
              <w:t>CT</w:t>
            </w:r>
            <w:r>
              <w:rPr>
                <w:spacing w:val="-18"/>
                <w:sz w:val="21"/>
              </w:rPr>
              <w:t>）</w:t>
            </w:r>
            <w:r>
              <w:rPr>
                <w:spacing w:val="-21"/>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02" w:right="259"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15" w:hRule="atLeast"/>
        </w:trPr>
        <w:tc>
          <w:tcPr>
            <w:tcW w:w="692" w:type="dxa"/>
          </w:tcPr>
          <w:p>
            <w:pPr>
              <w:pStyle w:val="TableParagraph"/>
              <w:spacing w:before="83"/>
              <w:ind w:left="181" w:right="208"/>
              <w:jc w:val="center"/>
              <w:rPr>
                <w:rFonts w:ascii="Times New Roman"/>
                <w:b/>
                <w:sz w:val="21"/>
              </w:rPr>
            </w:pPr>
            <w:r>
              <w:rPr>
                <w:rFonts w:ascii="Times New Roman"/>
                <w:b/>
                <w:sz w:val="21"/>
              </w:rPr>
              <w:t>19.</w:t>
            </w:r>
          </w:p>
        </w:tc>
        <w:tc>
          <w:tcPr>
            <w:tcW w:w="1399" w:type="dxa"/>
          </w:tcPr>
          <w:p>
            <w:pPr>
              <w:pStyle w:val="TableParagraph"/>
              <w:spacing w:line="261" w:lineRule="auto" w:before="33"/>
              <w:ind w:left="227" w:right="74"/>
              <w:rPr>
                <w:b/>
                <w:sz w:val="21"/>
              </w:rPr>
            </w:pPr>
            <w:r>
              <w:rPr>
                <w:b/>
                <w:sz w:val="21"/>
              </w:rPr>
              <w:t>严重帕金森病：</w:t>
            </w:r>
          </w:p>
        </w:tc>
        <w:tc>
          <w:tcPr>
            <w:tcW w:w="7800" w:type="dxa"/>
          </w:tcPr>
          <w:p>
            <w:pPr>
              <w:pStyle w:val="TableParagraph"/>
              <w:spacing w:line="261" w:lineRule="auto" w:before="33"/>
              <w:ind w:right="307"/>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02" w:right="259"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62" w:lineRule="exact" w:before="18"/>
              <w:rPr>
                <w:sz w:val="21"/>
              </w:rPr>
            </w:pPr>
            <w:r>
              <w:rPr>
                <w:sz w:val="21"/>
              </w:rPr>
              <w:t>继发性帕金森综合征不在保障范围内。</w:t>
            </w:r>
          </w:p>
        </w:tc>
      </w:tr>
    </w:tbl>
    <w:p>
      <w:pPr>
        <w:spacing w:after="0" w:line="262" w:lineRule="exact"/>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00"/>
      </w:tblGrid>
      <w:tr>
        <w:trPr>
          <w:trHeight w:val="6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20.</w:t>
            </w:r>
          </w:p>
        </w:tc>
        <w:tc>
          <w:tcPr>
            <w:tcW w:w="1399" w:type="dxa"/>
          </w:tcPr>
          <w:p>
            <w:pPr>
              <w:pStyle w:val="TableParagraph"/>
              <w:spacing w:line="211" w:lineRule="exact"/>
              <w:ind w:left="227"/>
              <w:rPr>
                <w:b/>
                <w:sz w:val="21"/>
              </w:rPr>
            </w:pPr>
            <w:r>
              <w:rPr>
                <w:b/>
                <w:sz w:val="21"/>
              </w:rPr>
              <w:t>严重Ⅲ度 </w:t>
            </w:r>
          </w:p>
          <w:p>
            <w:pPr>
              <w:pStyle w:val="TableParagraph"/>
              <w:spacing w:before="25"/>
              <w:ind w:left="227"/>
              <w:rPr>
                <w:b/>
                <w:sz w:val="21"/>
              </w:rPr>
            </w:pPr>
            <w:r>
              <w:rPr>
                <w:b/>
                <w:sz w:val="21"/>
              </w:rPr>
              <w:t>烧伤：</w:t>
            </w:r>
          </w:p>
        </w:tc>
        <w:tc>
          <w:tcPr>
            <w:tcW w:w="7800" w:type="dxa"/>
          </w:tcPr>
          <w:p>
            <w:pPr>
              <w:pStyle w:val="TableParagraph"/>
              <w:spacing w:line="227"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w:t>
            </w:r>
          </w:p>
          <w:p>
            <w:pPr>
              <w:pStyle w:val="TableParagraph"/>
              <w:spacing w:before="9"/>
              <w:rPr>
                <w:sz w:val="21"/>
              </w:rPr>
            </w:pPr>
            <w:r>
              <w:rPr>
                <w:sz w:val="21"/>
              </w:rPr>
              <w:t>表面积根据《中国新九分法》计算。</w:t>
            </w:r>
          </w:p>
        </w:tc>
      </w:tr>
      <w:tr>
        <w:trPr>
          <w:trHeight w:val="1020"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99" w:type="dxa"/>
          </w:tcPr>
          <w:p>
            <w:pPr>
              <w:pStyle w:val="TableParagraph"/>
              <w:spacing w:line="261" w:lineRule="auto" w:before="33"/>
              <w:ind w:left="227" w:right="74"/>
              <w:jc w:val="both"/>
              <w:rPr>
                <w:b/>
                <w:sz w:val="21"/>
              </w:rPr>
            </w:pPr>
            <w:r>
              <w:rPr>
                <w:b/>
                <w:sz w:val="21"/>
              </w:rPr>
              <w:t>严重原发性肺动脉高压：</w:t>
            </w:r>
          </w:p>
        </w:tc>
        <w:tc>
          <w:tcPr>
            <w:tcW w:w="7800" w:type="dxa"/>
          </w:tcPr>
          <w:p>
            <w:pPr>
              <w:pStyle w:val="TableParagraph"/>
              <w:spacing w:line="254" w:lineRule="auto" w:before="33"/>
              <w:ind w:right="307"/>
              <w:jc w:val="both"/>
              <w:rPr>
                <w:sz w:val="21"/>
              </w:rPr>
            </w:pPr>
            <w:r>
              <w:rPr>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rFonts w:ascii="Times New Roman" w:eastAsia="Times New Roman"/>
                <w:spacing w:val="-6"/>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22.</w:t>
            </w:r>
          </w:p>
        </w:tc>
        <w:tc>
          <w:tcPr>
            <w:tcW w:w="1399" w:type="dxa"/>
          </w:tcPr>
          <w:p>
            <w:pPr>
              <w:pStyle w:val="TableParagraph"/>
              <w:spacing w:line="261" w:lineRule="auto" w:before="25"/>
              <w:ind w:left="227" w:right="74"/>
              <w:rPr>
                <w:b/>
                <w:sz w:val="21"/>
              </w:rPr>
            </w:pPr>
            <w:r>
              <w:rPr>
                <w:b/>
                <w:sz w:val="21"/>
              </w:rPr>
              <w:t>严重运动神经元病：</w:t>
            </w:r>
          </w:p>
        </w:tc>
        <w:tc>
          <w:tcPr>
            <w:tcW w:w="7800" w:type="dxa"/>
          </w:tcPr>
          <w:p>
            <w:pPr>
              <w:pStyle w:val="TableParagraph"/>
              <w:spacing w:line="261" w:lineRule="auto" w:before="25"/>
              <w:ind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33"/>
              <w:ind w:left="227" w:right="74"/>
              <w:rPr>
                <w:b/>
                <w:sz w:val="21"/>
              </w:rPr>
            </w:pPr>
            <w:r>
              <w:rPr>
                <w:b/>
                <w:sz w:val="21"/>
              </w:rPr>
              <w:t>语言能力丧失：</w:t>
            </w:r>
          </w:p>
        </w:tc>
        <w:tc>
          <w:tcPr>
            <w:tcW w:w="7800" w:type="dxa"/>
          </w:tcPr>
          <w:p>
            <w:pPr>
              <w:pStyle w:val="TableParagraph"/>
              <w:spacing w:line="247" w:lineRule="auto" w:before="33"/>
              <w:ind w:right="300"/>
              <w:rPr>
                <w:sz w:val="21"/>
              </w:rPr>
            </w:pPr>
            <w:r>
              <w:rPr>
                <w:spacing w:val="-6"/>
                <w:sz w:val="21"/>
              </w:rPr>
              <w:t>指因疾病或意外伤害导致完全丧失语言能力，经过积极治疗至少 </w:t>
            </w:r>
            <w:r>
              <w:rPr>
                <w:rFonts w:ascii="Times New Roman" w:eastAsia="Times New Roman"/>
                <w:sz w:val="21"/>
              </w:rPr>
              <w:t>12 </w:t>
            </w:r>
            <w:r>
              <w:rPr>
                <w:spacing w:val="-13"/>
                <w:sz w:val="21"/>
              </w:rPr>
              <w:t>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before="18"/>
              <w:rPr>
                <w:sz w:val="21"/>
              </w:rPr>
            </w:pPr>
            <w:r>
              <w:rPr>
                <w:sz w:val="21"/>
              </w:rPr>
              <w:t>精神心理因素所致的语言能力丧失不在保障范围内。</w:t>
            </w:r>
          </w:p>
        </w:tc>
      </w:tr>
      <w:tr>
        <w:trPr>
          <w:trHeight w:val="2221"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3"/>
              <w:ind w:left="227" w:right="74"/>
              <w:jc w:val="both"/>
              <w:rPr>
                <w:b/>
                <w:sz w:val="21"/>
              </w:rPr>
            </w:pPr>
            <w:r>
              <w:rPr>
                <w:b/>
                <w:sz w:val="21"/>
              </w:rPr>
              <w:t>重型再生障碍性贫血：</w:t>
            </w:r>
          </w:p>
        </w:tc>
        <w:tc>
          <w:tcPr>
            <w:tcW w:w="7800" w:type="dxa"/>
          </w:tcPr>
          <w:p>
            <w:pPr>
              <w:pStyle w:val="TableParagraph"/>
              <w:spacing w:line="261" w:lineRule="auto" w:before="33"/>
              <w:ind w:right="307"/>
              <w:rPr>
                <w:sz w:val="21"/>
              </w:rPr>
            </w:pPr>
            <w:r>
              <w:rPr>
                <w:sz w:val="21"/>
              </w:rPr>
              <w:t>指因骨髓造血功能慢性持续性衰竭导致的贫血、中性粒细胞减少及血小板减少。须满足下列全部条件：</w:t>
            </w:r>
          </w:p>
          <w:p>
            <w:pPr>
              <w:pStyle w:val="TableParagraph"/>
              <w:spacing w:before="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8"/>
              <w:ind w:left="496"/>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
              <w:ind w:left="496"/>
              <w:rPr>
                <w:sz w:val="21"/>
              </w:rPr>
            </w:pPr>
            <w:r>
              <w:rPr>
                <w:sz w:val="21"/>
              </w:rPr>
              <w:t>②网织红细胞＜</w:t>
            </w:r>
            <w:r>
              <w:rPr>
                <w:rFonts w:ascii="Times New Roman" w:hAnsi="Times New Roman" w:eastAsia="Times New Roman"/>
                <w:sz w:val="21"/>
              </w:rPr>
              <w:t>1%</w:t>
            </w:r>
            <w:r>
              <w:rPr>
                <w:sz w:val="21"/>
              </w:rPr>
              <w:t>；</w:t>
            </w:r>
          </w:p>
          <w:p>
            <w:pPr>
              <w:pStyle w:val="TableParagraph"/>
              <w:spacing w:before="8"/>
              <w:ind w:left="496"/>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5"/>
              <w:ind w:left="227" w:right="74"/>
              <w:rPr>
                <w:b/>
                <w:sz w:val="21"/>
              </w:rPr>
            </w:pPr>
            <w:r>
              <w:rPr>
                <w:b/>
                <w:sz w:val="21"/>
              </w:rPr>
              <w:t>主动脉手术：</w:t>
            </w:r>
          </w:p>
        </w:tc>
        <w:tc>
          <w:tcPr>
            <w:tcW w:w="7800" w:type="dxa"/>
          </w:tcPr>
          <w:p>
            <w:pPr>
              <w:pStyle w:val="TableParagraph"/>
              <w:spacing w:line="261" w:lineRule="auto" w:before="25"/>
              <w:ind w:right="30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sz w:val="21"/>
              </w:rPr>
            </w:pPr>
            <w:r>
              <w:rPr>
                <w:sz w:val="21"/>
              </w:rPr>
              <w:t>动脉内血管成形术不在保障范围内。</w:t>
            </w:r>
          </w:p>
        </w:tc>
      </w:tr>
      <w:tr>
        <w:trPr>
          <w:trHeight w:val="1922" w:hRule="atLeast"/>
        </w:trPr>
        <w:tc>
          <w:tcPr>
            <w:tcW w:w="692" w:type="dxa"/>
          </w:tcPr>
          <w:p>
            <w:pPr>
              <w:pStyle w:val="TableParagraph"/>
              <w:spacing w:before="83"/>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3"/>
              <w:ind w:left="227" w:right="74"/>
              <w:rPr>
                <w:b/>
                <w:sz w:val="21"/>
              </w:rPr>
            </w:pPr>
            <w:r>
              <w:rPr>
                <w:b/>
                <w:sz w:val="21"/>
              </w:rPr>
              <w:t>终末期肺病：</w:t>
            </w:r>
          </w:p>
        </w:tc>
        <w:tc>
          <w:tcPr>
            <w:tcW w:w="7800" w:type="dxa"/>
          </w:tcPr>
          <w:p>
            <w:pPr>
              <w:pStyle w:val="TableParagraph"/>
              <w:spacing w:line="261" w:lineRule="auto" w:before="33"/>
              <w:ind w:right="307"/>
              <w:rPr>
                <w:sz w:val="21"/>
              </w:rPr>
            </w:pPr>
            <w:r>
              <w:rPr>
                <w:sz w:val="21"/>
              </w:rPr>
              <w:t>指被保险人必须由我们认可的医院的呼吸科专科医师确诊患有慢性终末期肺病而出现慢性呼吸功能衰竭，必须满足以下所有条件：</w:t>
            </w:r>
          </w:p>
          <w:p>
            <w:pPr>
              <w:pStyle w:val="TableParagraph"/>
              <w:spacing w:line="316" w:lineRule="exact" w:before="10"/>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1"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6" w:hRule="atLeast"/>
        </w:trPr>
        <w:tc>
          <w:tcPr>
            <w:tcW w:w="692" w:type="dxa"/>
          </w:tcPr>
          <w:p>
            <w:pPr>
              <w:pStyle w:val="TableParagraph"/>
              <w:spacing w:before="76"/>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27"/>
              <w:ind w:left="227" w:right="74"/>
              <w:rPr>
                <w:b/>
                <w:sz w:val="21"/>
              </w:rPr>
            </w:pPr>
            <w:r>
              <w:rPr>
                <w:b/>
                <w:sz w:val="21"/>
              </w:rPr>
              <w:t>肌营养不良症：</w:t>
            </w:r>
          </w:p>
        </w:tc>
        <w:tc>
          <w:tcPr>
            <w:tcW w:w="7800" w:type="dxa"/>
          </w:tcPr>
          <w:p>
            <w:pPr>
              <w:pStyle w:val="TableParagraph"/>
              <w:spacing w:line="261" w:lineRule="auto" w:before="27"/>
              <w:ind w:right="307"/>
              <w:rPr>
                <w:sz w:val="21"/>
              </w:rPr>
            </w:pPr>
            <w:r>
              <w:rPr>
                <w:sz w:val="21"/>
              </w:rPr>
              <w:t>是一组遗传性肌肉变性性病变，临床特征为与神经系统无关的骨骼肌对称地进行性无力和萎缩，其诊断需同时符合以下条件：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9"/>
              <w:ind w:left="496" w:right="244" w:hanging="42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3"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33"/>
              <w:ind w:left="227" w:right="74"/>
              <w:rPr>
                <w:b/>
                <w:sz w:val="21"/>
              </w:rPr>
            </w:pPr>
            <w:r>
              <w:rPr>
                <w:b/>
                <w:sz w:val="21"/>
              </w:rPr>
              <w:t>多发性硬化症：</w:t>
            </w:r>
          </w:p>
        </w:tc>
        <w:tc>
          <w:tcPr>
            <w:tcW w:w="7800" w:type="dxa"/>
          </w:tcPr>
          <w:p>
            <w:pPr>
              <w:pStyle w:val="TableParagraph"/>
              <w:spacing w:line="261" w:lineRule="auto" w:before="33"/>
              <w:ind w:right="307"/>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1515" w:hRule="atLeast"/>
        </w:trPr>
        <w:tc>
          <w:tcPr>
            <w:tcW w:w="692" w:type="dxa"/>
          </w:tcPr>
          <w:p>
            <w:pPr>
              <w:pStyle w:val="TableParagraph"/>
              <w:spacing w:before="83"/>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33"/>
              <w:ind w:left="227" w:right="74"/>
              <w:jc w:val="both"/>
              <w:rPr>
                <w:b/>
                <w:sz w:val="21"/>
              </w:rPr>
            </w:pPr>
            <w:r>
              <w:rPr>
                <w:b/>
                <w:sz w:val="21"/>
              </w:rPr>
              <w:t>经输血导致的人类免疫缺陷病毒感染：</w:t>
            </w:r>
          </w:p>
        </w:tc>
        <w:tc>
          <w:tcPr>
            <w:tcW w:w="7800"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04" w:right="254"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80" w:lineRule="atLeast" w:before="18"/>
              <w:ind w:left="604" w:right="258"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tc>
      </w:tr>
    </w:tbl>
    <w:p>
      <w:pPr>
        <w:spacing w:after="0" w:line="280" w:lineRule="atLeast"/>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00"/>
      </w:tblGrid>
      <w:tr>
        <w:trPr>
          <w:trHeight w:val="2415"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00" w:type="dxa"/>
          </w:tcPr>
          <w:p>
            <w:pPr>
              <w:pStyle w:val="TableParagraph"/>
              <w:spacing w:line="227" w:lineRule="exact"/>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8"/>
              <w:ind w:right="305"/>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5"/>
              <w:ind w:right="307"/>
              <w:rPr>
                <w:sz w:val="21"/>
              </w:rPr>
            </w:pPr>
            <w:r>
              <w:rPr>
                <w:sz w:val="21"/>
              </w:rPr>
              <w:t>任何因其他传播方式（包括：性传播或静脉注射毒品）导致的人类免疫缺陷病毒感染不在本保单保障范围内。</w:t>
            </w:r>
          </w:p>
          <w:p>
            <w:pPr>
              <w:pStyle w:val="TableParagraph"/>
              <w:spacing w:line="261" w:lineRule="auto" w:before="5"/>
              <w:ind w:right="307"/>
              <w:rPr>
                <w:sz w:val="21"/>
              </w:rPr>
            </w:pPr>
            <w:r>
              <w:rPr>
                <w:sz w:val="21"/>
              </w:rPr>
              <w:t>保险公司必须拥有获得使用被保险人的血液样本的权利和能够对这些样本进行独立检验的权利。</w:t>
            </w:r>
          </w:p>
        </w:tc>
      </w:tr>
      <w:tr>
        <w:trPr>
          <w:trHeight w:val="2813" w:hRule="atLeast"/>
        </w:trPr>
        <w:tc>
          <w:tcPr>
            <w:tcW w:w="692" w:type="dxa"/>
          </w:tcPr>
          <w:p>
            <w:pPr>
              <w:pStyle w:val="TableParagraph"/>
              <w:spacing w:before="83"/>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33"/>
              <w:ind w:left="227" w:right="74"/>
              <w:rPr>
                <w:b/>
                <w:sz w:val="21"/>
              </w:rPr>
            </w:pPr>
            <w:r>
              <w:rPr>
                <w:b/>
                <w:sz w:val="21"/>
              </w:rPr>
              <w:t>重症肌无力：</w:t>
            </w:r>
          </w:p>
        </w:tc>
        <w:tc>
          <w:tcPr>
            <w:tcW w:w="7800" w:type="dxa"/>
          </w:tcPr>
          <w:p>
            <w:pPr>
              <w:pStyle w:val="TableParagraph"/>
              <w:spacing w:line="261" w:lineRule="auto" w:before="33"/>
              <w:ind w:right="307"/>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5"/>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02" w:right="301" w:hanging="526"/>
              <w:rPr>
                <w:sz w:val="21"/>
              </w:rPr>
            </w:pPr>
            <w:r>
              <w:rPr>
                <w:spacing w:val="-5"/>
                <w:sz w:val="21"/>
              </w:rPr>
              <w:t>（</w:t>
            </w:r>
            <w:r>
              <w:rPr>
                <w:rFonts w:ascii="Times New Roman" w:eastAsia="Times New Roman"/>
                <w:spacing w:val="-5"/>
                <w:sz w:val="21"/>
              </w:rPr>
              <w:t>2</w:t>
            </w:r>
            <w:r>
              <w:rPr>
                <w:spacing w:val="-5"/>
                <w:sz w:val="21"/>
              </w:rPr>
              <w:t>）</w:t>
            </w:r>
            <w:r>
              <w:rPr>
                <w:spacing w:val="-7"/>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spacing w:line="247" w:lineRule="auto" w:before="18"/>
              <w:ind w:left="602" w:right="301" w:hanging="526"/>
              <w:rPr>
                <w:sz w:val="21"/>
              </w:rPr>
            </w:pPr>
            <w:r>
              <w:rPr>
                <w:spacing w:val="-5"/>
                <w:sz w:val="21"/>
              </w:rPr>
              <w:t>（</w:t>
            </w:r>
            <w:r>
              <w:rPr>
                <w:rFonts w:ascii="Times New Roman" w:eastAsia="Times New Roman"/>
                <w:spacing w:val="-5"/>
                <w:sz w:val="21"/>
              </w:rPr>
              <w:t>3</w:t>
            </w:r>
            <w:r>
              <w:rPr>
                <w:spacing w:val="-5"/>
                <w:sz w:val="21"/>
              </w:rPr>
              <w:t>）</w:t>
            </w:r>
            <w:r>
              <w:rPr>
                <w:spacing w:val="-6"/>
                <w:sz w:val="21"/>
              </w:rPr>
              <w:t>症状缓解、复发及恶化交替出现，临床接受新斯的明等抗胆碱酯酶药物治疗</w:t>
            </w:r>
            <w:r>
              <w:rPr>
                <w:spacing w:val="-4"/>
                <w:sz w:val="21"/>
              </w:rPr>
              <w:t>的病史。</w:t>
            </w:r>
          </w:p>
        </w:tc>
      </w:tr>
      <w:tr>
        <w:trPr>
          <w:trHeight w:val="712" w:hRule="atLeast"/>
        </w:trPr>
        <w:tc>
          <w:tcPr>
            <w:tcW w:w="692" w:type="dxa"/>
          </w:tcPr>
          <w:p>
            <w:pPr>
              <w:pStyle w:val="TableParagraph"/>
              <w:spacing w:before="83"/>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33"/>
              <w:ind w:left="227" w:right="74"/>
              <w:rPr>
                <w:b/>
                <w:sz w:val="21"/>
              </w:rPr>
            </w:pPr>
            <w:r>
              <w:rPr>
                <w:b/>
                <w:sz w:val="21"/>
              </w:rPr>
              <w:t>脑动脉瘤开颅手术：</w:t>
            </w:r>
          </w:p>
        </w:tc>
        <w:tc>
          <w:tcPr>
            <w:tcW w:w="7800" w:type="dxa"/>
          </w:tcPr>
          <w:p>
            <w:pPr>
              <w:pStyle w:val="TableParagraph"/>
              <w:spacing w:before="33"/>
              <w:rPr>
                <w:sz w:val="21"/>
              </w:rPr>
            </w:pPr>
            <w:r>
              <w:rPr>
                <w:sz w:val="21"/>
              </w:rPr>
              <w:t>指确已进行开颅手术以夹闭、修复或切除脑动脉瘤。但不包括导管及血管内手术。</w:t>
            </w:r>
          </w:p>
        </w:tc>
      </w:tr>
      <w:tr>
        <w:trPr>
          <w:trHeight w:val="3833" w:hRule="atLeast"/>
        </w:trPr>
        <w:tc>
          <w:tcPr>
            <w:tcW w:w="692" w:type="dxa"/>
          </w:tcPr>
          <w:p>
            <w:pPr>
              <w:pStyle w:val="TableParagraph"/>
              <w:spacing w:before="83"/>
              <w:ind w:left="181" w:right="208"/>
              <w:jc w:val="center"/>
              <w:rPr>
                <w:rFonts w:ascii="Times New Roman"/>
                <w:b/>
                <w:sz w:val="21"/>
              </w:rPr>
            </w:pPr>
            <w:r>
              <w:rPr>
                <w:rFonts w:ascii="Times New Roman"/>
                <w:b/>
                <w:sz w:val="21"/>
              </w:rPr>
              <w:t>32.</w:t>
            </w:r>
          </w:p>
        </w:tc>
        <w:tc>
          <w:tcPr>
            <w:tcW w:w="1399" w:type="dxa"/>
          </w:tcPr>
          <w:p>
            <w:pPr>
              <w:pStyle w:val="TableParagraph"/>
              <w:spacing w:line="261" w:lineRule="auto" w:before="34"/>
              <w:ind w:left="227" w:right="74"/>
              <w:jc w:val="both"/>
              <w:rPr>
                <w:b/>
                <w:sz w:val="21"/>
              </w:rPr>
            </w:pPr>
            <w:r>
              <w:rPr>
                <w:b/>
                <w:sz w:val="21"/>
              </w:rPr>
              <w:t>严重系统性红斑狼疮性肾病：</w:t>
            </w:r>
          </w:p>
        </w:tc>
        <w:tc>
          <w:tcPr>
            <w:tcW w:w="7800" w:type="dxa"/>
          </w:tcPr>
          <w:p>
            <w:pPr>
              <w:pStyle w:val="TableParagraph"/>
              <w:spacing w:line="266" w:lineRule="auto" w:before="27"/>
              <w:ind w:right="363"/>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4"/>
              <w:ind w:left="49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6"/>
              <w:rPr>
                <w:sz w:val="21"/>
              </w:rPr>
            </w:pPr>
            <w:r>
              <w:rPr>
                <w:sz w:val="21"/>
              </w:rPr>
              <w:t>Ⅰ型（微小病变型）镜下阴性，尿液正常</w:t>
            </w:r>
          </w:p>
          <w:p>
            <w:pPr>
              <w:pStyle w:val="TableParagraph"/>
              <w:spacing w:before="37"/>
              <w:ind w:left="496"/>
              <w:rPr>
                <w:sz w:val="21"/>
              </w:rPr>
            </w:pPr>
            <w:r>
              <w:rPr>
                <w:sz w:val="21"/>
              </w:rPr>
              <w:t>Ⅱ型（系膜病变型）中度蛋白尿，偶有尿沉渣改变</w:t>
            </w:r>
          </w:p>
          <w:p>
            <w:pPr>
              <w:pStyle w:val="TableParagraph"/>
              <w:spacing w:before="36"/>
              <w:ind w:left="496"/>
              <w:rPr>
                <w:sz w:val="21"/>
              </w:rPr>
            </w:pPr>
            <w:r>
              <w:rPr>
                <w:sz w:val="21"/>
              </w:rPr>
              <w:t>Ⅲ型（局灶及节段增生型）蛋白尿，尿沉渣改变</w:t>
            </w:r>
          </w:p>
          <w:p>
            <w:pPr>
              <w:pStyle w:val="TableParagraph"/>
              <w:spacing w:before="36"/>
              <w:ind w:left="496"/>
              <w:rPr>
                <w:sz w:val="21"/>
              </w:rPr>
            </w:pPr>
            <w:r>
              <w:rPr>
                <w:sz w:val="21"/>
              </w:rPr>
              <w:t>Ⅳ型（弥漫增生型）急性肾炎伴有尿沉渣改变及／或肾病综合征</w:t>
            </w:r>
          </w:p>
          <w:p>
            <w:pPr>
              <w:pStyle w:val="TableParagraph"/>
              <w:spacing w:before="36"/>
              <w:ind w:left="496"/>
              <w:rPr>
                <w:sz w:val="21"/>
              </w:rPr>
            </w:pPr>
            <w:r>
              <w:rPr>
                <w:sz w:val="21"/>
              </w:rPr>
              <w:t>Ⅴ型（膜型）肾病综合征或重度蛋白尿</w:t>
            </w:r>
          </w:p>
          <w:p>
            <w:pPr>
              <w:pStyle w:val="TableParagraph"/>
              <w:spacing w:line="261" w:lineRule="auto" w:before="43"/>
              <w:ind w:right="307"/>
              <w:jc w:val="both"/>
              <w:rPr>
                <w:sz w:val="21"/>
              </w:rPr>
            </w:pPr>
            <w:r>
              <w:rPr>
                <w:sz w:val="21"/>
              </w:rPr>
              <w:t>其它类型的红斑性狼疮，如盘状狼疮，仅累及血液及关节等其它系统的系统性红斑狼疮不在保障范围内。</w:t>
            </w:r>
          </w:p>
        </w:tc>
      </w:tr>
      <w:tr>
        <w:trPr>
          <w:trHeight w:val="2213" w:hRule="atLeast"/>
        </w:trPr>
        <w:tc>
          <w:tcPr>
            <w:tcW w:w="692" w:type="dxa"/>
          </w:tcPr>
          <w:p>
            <w:pPr>
              <w:pStyle w:val="TableParagraph"/>
              <w:spacing w:before="83"/>
              <w:ind w:left="181" w:right="208"/>
              <w:jc w:val="center"/>
              <w:rPr>
                <w:rFonts w:ascii="Times New Roman"/>
                <w:b/>
                <w:sz w:val="21"/>
              </w:rPr>
            </w:pPr>
            <w:r>
              <w:rPr>
                <w:rFonts w:ascii="Times New Roman"/>
                <w:b/>
                <w:sz w:val="21"/>
              </w:rPr>
              <w:t>33.</w:t>
            </w:r>
          </w:p>
        </w:tc>
        <w:tc>
          <w:tcPr>
            <w:tcW w:w="1399" w:type="dxa"/>
          </w:tcPr>
          <w:p>
            <w:pPr>
              <w:pStyle w:val="TableParagraph"/>
              <w:spacing w:line="261" w:lineRule="auto" w:before="33"/>
              <w:ind w:left="227" w:right="74"/>
              <w:jc w:val="both"/>
              <w:rPr>
                <w:b/>
                <w:sz w:val="21"/>
              </w:rPr>
            </w:pPr>
            <w:r>
              <w:rPr>
                <w:b/>
                <w:sz w:val="21"/>
              </w:rPr>
              <w:t>严重的原发性心肌病：</w:t>
            </w:r>
          </w:p>
        </w:tc>
        <w:tc>
          <w:tcPr>
            <w:tcW w:w="7800" w:type="dxa"/>
          </w:tcPr>
          <w:p>
            <w:pPr>
              <w:pStyle w:val="TableParagraph"/>
              <w:spacing w:line="259" w:lineRule="auto" w:before="33"/>
              <w:ind w:right="301"/>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且有相关住院医疗记录显示四级心功能衰竭状态持续至少 </w:t>
            </w:r>
            <w:r>
              <w:rPr>
                <w:rFonts w:ascii="Times New Roman" w:eastAsia="Times New Roman"/>
                <w:sz w:val="21"/>
              </w:rPr>
              <w:t>180 </w:t>
            </w:r>
            <w:r>
              <w:rPr>
                <w:sz w:val="21"/>
              </w:rPr>
              <w:t>日。本病须经专科医生明确诊断。继发于全身性疾病或其它器官系统疾病造成的心肌病变不在保障范围。</w:t>
            </w:r>
          </w:p>
        </w:tc>
      </w:tr>
      <w:tr>
        <w:trPr>
          <w:trHeight w:val="1515" w:hRule="atLeast"/>
        </w:trPr>
        <w:tc>
          <w:tcPr>
            <w:tcW w:w="692" w:type="dxa"/>
          </w:tcPr>
          <w:p>
            <w:pPr>
              <w:pStyle w:val="TableParagraph"/>
              <w:spacing w:before="83"/>
              <w:ind w:left="181" w:right="208"/>
              <w:jc w:val="center"/>
              <w:rPr>
                <w:rFonts w:ascii="Times New Roman"/>
                <w:b/>
                <w:sz w:val="21"/>
              </w:rPr>
            </w:pPr>
            <w:r>
              <w:rPr>
                <w:rFonts w:ascii="Times New Roman"/>
                <w:b/>
                <w:sz w:val="21"/>
              </w:rPr>
              <w:t>34.</w:t>
            </w:r>
          </w:p>
        </w:tc>
        <w:tc>
          <w:tcPr>
            <w:tcW w:w="1399" w:type="dxa"/>
          </w:tcPr>
          <w:p>
            <w:pPr>
              <w:pStyle w:val="TableParagraph"/>
              <w:spacing w:before="33"/>
              <w:ind w:left="227"/>
              <w:rPr>
                <w:b/>
                <w:sz w:val="21"/>
              </w:rPr>
            </w:pPr>
            <w:r>
              <w:rPr>
                <w:b/>
                <w:sz w:val="21"/>
              </w:rPr>
              <w:t>植物人：</w:t>
            </w:r>
          </w:p>
        </w:tc>
        <w:tc>
          <w:tcPr>
            <w:tcW w:w="7800" w:type="dxa"/>
          </w:tcPr>
          <w:p>
            <w:pPr>
              <w:pStyle w:val="TableParagraph"/>
              <w:spacing w:line="261" w:lineRule="auto" w:before="33"/>
              <w:ind w:right="303"/>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300" w:lineRule="exact" w:before="15"/>
              <w:ind w:right="307"/>
              <w:rPr>
                <w:sz w:val="21"/>
              </w:rPr>
            </w:pPr>
            <w:r>
              <w:rPr>
                <w:sz w:val="21"/>
              </w:rPr>
              <w:t>上述情况必须有至少一个月的病历记录加以证实。由于酗酒或滥用药物所致的植物人状态不在保障范围内。</w:t>
            </w:r>
          </w:p>
        </w:tc>
      </w:tr>
    </w:tbl>
    <w:p>
      <w:pPr>
        <w:spacing w:after="0" w:line="300" w:lineRule="exact"/>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02"/>
      </w:tblGrid>
      <w:tr>
        <w:trPr>
          <w:trHeight w:val="33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35.</w:t>
            </w:r>
          </w:p>
        </w:tc>
        <w:tc>
          <w:tcPr>
            <w:tcW w:w="1399" w:type="dxa"/>
          </w:tcPr>
          <w:p>
            <w:pPr>
              <w:pStyle w:val="TableParagraph"/>
              <w:spacing w:line="211" w:lineRule="exact"/>
              <w:ind w:left="227"/>
              <w:rPr>
                <w:b/>
                <w:sz w:val="21"/>
              </w:rPr>
            </w:pPr>
            <w:r>
              <w:rPr>
                <w:b/>
                <w:sz w:val="21"/>
              </w:rPr>
              <w:t>因职业关 </w:t>
            </w:r>
          </w:p>
          <w:p>
            <w:pPr>
              <w:pStyle w:val="TableParagraph"/>
              <w:spacing w:line="261" w:lineRule="auto" w:before="25"/>
              <w:ind w:left="227" w:right="74"/>
              <w:jc w:val="both"/>
              <w:rPr>
                <w:b/>
                <w:sz w:val="21"/>
              </w:rPr>
            </w:pPr>
            <w:r>
              <w:rPr>
                <w:b/>
                <w:sz w:val="21"/>
              </w:rPr>
              <w:t>系导致的人类免疫缺陷病毒感染：</w:t>
            </w:r>
          </w:p>
        </w:tc>
        <w:tc>
          <w:tcPr>
            <w:tcW w:w="7802" w:type="dxa"/>
          </w:tcPr>
          <w:p>
            <w:pPr>
              <w:pStyle w:val="TableParagraph"/>
              <w:spacing w:line="211" w:lineRule="exact"/>
              <w:rPr>
                <w:sz w:val="21"/>
              </w:rPr>
            </w:pPr>
            <w:r>
              <w:rPr>
                <w:sz w:val="21"/>
              </w:rPr>
              <w:t>指被保险人在其常规职业工作过程中遭遇外伤，或者职业需要处理血液或者其他</w:t>
            </w:r>
          </w:p>
          <w:p>
            <w:pPr>
              <w:pStyle w:val="TableParagraph"/>
              <w:spacing w:line="247" w:lineRule="auto" w:before="25"/>
              <w:ind w:right="3774"/>
              <w:rPr>
                <w:sz w:val="21"/>
              </w:rPr>
            </w:pPr>
            <w:r>
              <w:rPr>
                <w:sz w:val="21"/>
              </w:rPr>
              <w:t>体液时感染上人类免疫缺陷病毒（</w:t>
            </w:r>
            <w:r>
              <w:rPr>
                <w:rFonts w:ascii="Times New Roman" w:eastAsia="Times New Roman"/>
                <w:sz w:val="21"/>
              </w:rPr>
              <w:t>HIV</w:t>
            </w:r>
            <w:r>
              <w:rPr>
                <w:sz w:val="21"/>
              </w:rPr>
              <w:t>）。必须满足下列全部条件：</w:t>
            </w:r>
          </w:p>
          <w:p>
            <w:pPr>
              <w:pStyle w:val="TableParagraph"/>
              <w:spacing w:line="254" w:lineRule="auto" w:before="18"/>
              <w:ind w:left="602" w:right="303" w:hanging="526"/>
              <w:jc w:val="both"/>
              <w:rPr>
                <w:sz w:val="21"/>
              </w:rPr>
            </w:pPr>
            <w:r>
              <w:rPr>
                <w:spacing w:val="-8"/>
                <w:sz w:val="21"/>
              </w:rPr>
              <w:t>（</w:t>
            </w:r>
            <w:r>
              <w:rPr>
                <w:rFonts w:ascii="Times New Roman" w:eastAsia="Times New Roman"/>
                <w:spacing w:val="-8"/>
                <w:sz w:val="21"/>
              </w:rPr>
              <w:t>1</w:t>
            </w:r>
            <w:r>
              <w:rPr>
                <w:spacing w:val="-8"/>
                <w:sz w:val="21"/>
              </w:rPr>
              <w:t>）</w:t>
            </w:r>
            <w:r>
              <w:rPr>
                <w:spacing w:val="-4"/>
                <w:sz w:val="21"/>
              </w:rPr>
              <w:t>感染必须是在被保险人正在从事其职业工作中发生，该职业必须属于以下职</w:t>
            </w:r>
            <w:r>
              <w:rPr>
                <w:spacing w:val="-8"/>
                <w:sz w:val="21"/>
              </w:rPr>
              <w:t>业之一：医生和牙科医生、护士、医院化验室工作人员、医院护工、医生助</w:t>
            </w:r>
            <w:r>
              <w:rPr>
                <w:spacing w:val="-5"/>
                <w:sz w:val="21"/>
              </w:rPr>
              <w:t>理和牙医助理、救护车工作人员、助产士、消防队员、警察、狱警；</w:t>
            </w:r>
          </w:p>
          <w:p>
            <w:pPr>
              <w:pStyle w:val="TableParagraph"/>
              <w:spacing w:before="1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02" w:right="303" w:hanging="526"/>
              <w:rPr>
                <w:sz w:val="21"/>
              </w:rPr>
            </w:pPr>
            <w:r>
              <w:rPr>
                <w:spacing w:val="-8"/>
                <w:sz w:val="21"/>
              </w:rPr>
              <w:t>（</w:t>
            </w:r>
            <w:r>
              <w:rPr>
                <w:rFonts w:ascii="Times New Roman" w:eastAsia="Times New Roman"/>
                <w:spacing w:val="-8"/>
                <w:sz w:val="21"/>
              </w:rPr>
              <w:t>3</w:t>
            </w:r>
            <w:r>
              <w:rPr>
                <w:spacing w:val="-8"/>
                <w:sz w:val="21"/>
              </w:rPr>
              <w:t>）</w:t>
            </w:r>
            <w:r>
              <w:rPr>
                <w:spacing w:val="-5"/>
                <w:sz w:val="21"/>
              </w:rPr>
              <w:t>必须提供被保险人在所报告事故发生后的 </w:t>
            </w:r>
            <w:r>
              <w:rPr>
                <w:rFonts w:ascii="Times New Roman" w:eastAsia="Times New Roman"/>
                <w:sz w:val="21"/>
              </w:rPr>
              <w:t>5 </w:t>
            </w:r>
            <w:r>
              <w:rPr>
                <w:spacing w:val="-5"/>
                <w:sz w:val="21"/>
              </w:rPr>
              <w:t>天内进行的检验报告，该报告必</w:t>
            </w:r>
            <w:r>
              <w:rPr>
                <w:spacing w:val="-9"/>
                <w:sz w:val="21"/>
              </w:rPr>
              <w:t>须显示被保险人血液 </w:t>
            </w:r>
            <w:r>
              <w:rPr>
                <w:rFonts w:ascii="Times New Roman" w:eastAsia="Times New Roman"/>
                <w:sz w:val="21"/>
              </w:rPr>
              <w:t>HIV </w:t>
            </w:r>
            <w:r>
              <w:rPr>
                <w:spacing w:val="-1"/>
                <w:sz w:val="21"/>
              </w:rPr>
              <w:t>病毒阴性和</w:t>
            </w:r>
            <w:r>
              <w:rPr>
                <w:rFonts w:ascii="Times New Roman" w:eastAsia="Times New Roman"/>
                <w:spacing w:val="-4"/>
                <w:sz w:val="21"/>
              </w:rPr>
              <w:t>/</w:t>
            </w:r>
            <w:r>
              <w:rPr>
                <w:spacing w:val="-26"/>
                <w:sz w:val="21"/>
              </w:rPr>
              <w:t>或 </w:t>
            </w:r>
            <w:r>
              <w:rPr>
                <w:rFonts w:ascii="Times New Roman" w:eastAsia="Times New Roman"/>
                <w:sz w:val="21"/>
              </w:rPr>
              <w:t>HIV </w:t>
            </w:r>
            <w:r>
              <w:rPr>
                <w:spacing w:val="-3"/>
                <w:sz w:val="21"/>
              </w:rPr>
              <w:t>抗体阴性；</w:t>
            </w:r>
          </w:p>
          <w:p>
            <w:pPr>
              <w:pStyle w:val="TableParagraph"/>
              <w:spacing w:line="247" w:lineRule="auto" w:before="2"/>
              <w:ind w:left="602" w:right="307" w:hanging="526"/>
              <w:rPr>
                <w:sz w:val="21"/>
              </w:rPr>
            </w:pPr>
            <w:r>
              <w:rPr>
                <w:spacing w:val="-19"/>
                <w:sz w:val="21"/>
              </w:rPr>
              <w:t>（</w:t>
            </w:r>
            <w:r>
              <w:rPr>
                <w:rFonts w:ascii="Times New Roman" w:eastAsia="Times New Roman"/>
                <w:spacing w:val="-19"/>
                <w:sz w:val="21"/>
              </w:rPr>
              <w:t>4</w:t>
            </w:r>
            <w:r>
              <w:rPr>
                <w:spacing w:val="-19"/>
                <w:sz w:val="21"/>
              </w:rPr>
              <w:t>）</w:t>
            </w:r>
            <w:r>
              <w:rPr>
                <w:spacing w:val="-8"/>
                <w:sz w:val="21"/>
              </w:rPr>
              <w:t>必须在事故发生后的 </w:t>
            </w:r>
            <w:r>
              <w:rPr>
                <w:rFonts w:ascii="Times New Roman" w:eastAsia="Times New Roman"/>
                <w:sz w:val="21"/>
              </w:rPr>
              <w:t>12 </w:t>
            </w:r>
            <w:r>
              <w:rPr>
                <w:spacing w:val="-7"/>
                <w:sz w:val="21"/>
              </w:rPr>
              <w:t>个月内证实被保险人体内存在 </w:t>
            </w:r>
            <w:r>
              <w:rPr>
                <w:rFonts w:ascii="Times New Roman" w:eastAsia="Times New Roman"/>
                <w:sz w:val="21"/>
              </w:rPr>
              <w:t>HIV </w:t>
            </w:r>
            <w:r>
              <w:rPr>
                <w:spacing w:val="-12"/>
                <w:sz w:val="21"/>
              </w:rPr>
              <w:t>病毒或者 </w:t>
            </w:r>
            <w:r>
              <w:rPr>
                <w:rFonts w:ascii="Times New Roman" w:eastAsia="Times New Roman"/>
                <w:sz w:val="21"/>
              </w:rPr>
              <w:t>HIV </w:t>
            </w:r>
            <w:r>
              <w:rPr>
                <w:sz w:val="21"/>
              </w:rPr>
              <w:t>抗体。</w:t>
            </w:r>
          </w:p>
        </w:tc>
      </w:tr>
      <w:tr>
        <w:trPr>
          <w:trHeight w:val="1321" w:hRule="atLeast"/>
        </w:trPr>
        <w:tc>
          <w:tcPr>
            <w:tcW w:w="692" w:type="dxa"/>
          </w:tcPr>
          <w:p>
            <w:pPr>
              <w:pStyle w:val="TableParagraph"/>
              <w:spacing w:before="83"/>
              <w:ind w:left="181" w:right="208"/>
              <w:jc w:val="center"/>
              <w:rPr>
                <w:rFonts w:ascii="Times New Roman"/>
                <w:b/>
                <w:sz w:val="21"/>
              </w:rPr>
            </w:pPr>
            <w:r>
              <w:rPr>
                <w:rFonts w:ascii="Times New Roman"/>
                <w:b/>
                <w:sz w:val="21"/>
              </w:rPr>
              <w:t>36.</w:t>
            </w:r>
          </w:p>
        </w:tc>
        <w:tc>
          <w:tcPr>
            <w:tcW w:w="1399" w:type="dxa"/>
          </w:tcPr>
          <w:p>
            <w:pPr>
              <w:pStyle w:val="TableParagraph"/>
              <w:spacing w:line="261" w:lineRule="auto" w:before="33"/>
              <w:ind w:left="227" w:right="74"/>
              <w:rPr>
                <w:b/>
                <w:sz w:val="21"/>
              </w:rPr>
            </w:pPr>
            <w:r>
              <w:rPr>
                <w:b/>
                <w:sz w:val="21"/>
              </w:rPr>
              <w:t>肾髓质囊性病：</w:t>
            </w:r>
          </w:p>
        </w:tc>
        <w:tc>
          <w:tcPr>
            <w:tcW w:w="7802" w:type="dxa"/>
          </w:tcPr>
          <w:p>
            <w:pPr>
              <w:pStyle w:val="TableParagraph"/>
              <w:spacing w:before="33"/>
              <w:rPr>
                <w:sz w:val="21"/>
              </w:rPr>
            </w:pPr>
            <w:r>
              <w:rPr>
                <w:sz w:val="21"/>
              </w:rPr>
              <w:t>指经肾脏内科专科医生明确诊断为肾髓质囊性病，且须同时满足下列条件：</w:t>
            </w:r>
          </w:p>
          <w:p>
            <w:pPr>
              <w:pStyle w:val="TableParagraph"/>
              <w:spacing w:before="24"/>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92" w:type="dxa"/>
          </w:tcPr>
          <w:p>
            <w:pPr>
              <w:pStyle w:val="TableParagraph"/>
              <w:spacing w:before="75"/>
              <w:ind w:left="181" w:right="208"/>
              <w:jc w:val="center"/>
              <w:rPr>
                <w:rFonts w:ascii="Times New Roman"/>
                <w:b/>
                <w:sz w:val="21"/>
              </w:rPr>
            </w:pPr>
            <w:r>
              <w:rPr>
                <w:rFonts w:ascii="Times New Roman"/>
                <w:b/>
                <w:sz w:val="21"/>
              </w:rPr>
              <w:t>37.</w:t>
            </w:r>
          </w:p>
        </w:tc>
        <w:tc>
          <w:tcPr>
            <w:tcW w:w="1399" w:type="dxa"/>
          </w:tcPr>
          <w:p>
            <w:pPr>
              <w:pStyle w:val="TableParagraph"/>
              <w:spacing w:line="261" w:lineRule="auto" w:before="25"/>
              <w:ind w:left="227" w:right="74"/>
              <w:rPr>
                <w:b/>
                <w:sz w:val="21"/>
              </w:rPr>
            </w:pPr>
            <w:r>
              <w:rPr>
                <w:b/>
                <w:sz w:val="21"/>
              </w:rPr>
              <w:t>脊髓灰质炎：</w:t>
            </w:r>
          </w:p>
        </w:tc>
        <w:tc>
          <w:tcPr>
            <w:tcW w:w="7802" w:type="dxa"/>
          </w:tcPr>
          <w:p>
            <w:pPr>
              <w:pStyle w:val="TableParagraph"/>
              <w:spacing w:line="259" w:lineRule="auto" w:before="25"/>
              <w:ind w:right="197"/>
              <w:rPr>
                <w:sz w:val="21"/>
              </w:rPr>
            </w:pPr>
            <w:r>
              <w:rPr>
                <w:sz w:val="21"/>
              </w:rPr>
              <w:t>是由于脊髓灰质炎病毒感染所致的瘫痪性疾病，临床表现为运动功能损害或呼吸无力。脊髓灰质炎必须明确诊断。我们仅对脊髓灰质炎造成的神经系统功能损害导致被保险人一肢或一肢以上肢体机能永久完全丧失的情况予以理赔。肢体机能</w:t>
            </w:r>
            <w:r>
              <w:rPr>
                <w:spacing w:val="-8"/>
                <w:sz w:val="21"/>
              </w:rPr>
              <w:t>永久完全丧失，指疾病确诊 </w:t>
            </w:r>
            <w:r>
              <w:rPr>
                <w:rFonts w:ascii="Times New Roman" w:eastAsia="Times New Roman"/>
                <w:sz w:val="21"/>
              </w:rPr>
              <w:t>180 </w:t>
            </w:r>
            <w:r>
              <w:rPr>
                <w:spacing w:val="-6"/>
                <w:sz w:val="21"/>
              </w:rPr>
              <w:t>日后，每肢三大关节中的两大关节仍然完全僵硬， </w:t>
            </w:r>
            <w:r>
              <w:rPr>
                <w:spacing w:val="-4"/>
                <w:sz w:val="21"/>
              </w:rPr>
              <w:t>或不能随意识活动。</w:t>
            </w:r>
          </w:p>
        </w:tc>
      </w:tr>
      <w:tr>
        <w:trPr>
          <w:trHeight w:val="2221" w:hRule="atLeast"/>
        </w:trPr>
        <w:tc>
          <w:tcPr>
            <w:tcW w:w="692" w:type="dxa"/>
          </w:tcPr>
          <w:p>
            <w:pPr>
              <w:pStyle w:val="TableParagraph"/>
              <w:spacing w:before="83"/>
              <w:ind w:left="181" w:right="208"/>
              <w:jc w:val="center"/>
              <w:rPr>
                <w:rFonts w:ascii="Times New Roman"/>
                <w:b/>
                <w:sz w:val="21"/>
              </w:rPr>
            </w:pPr>
            <w:r>
              <w:rPr>
                <w:rFonts w:ascii="Times New Roman"/>
                <w:b/>
                <w:sz w:val="21"/>
              </w:rPr>
              <w:t>38.</w:t>
            </w:r>
          </w:p>
        </w:tc>
        <w:tc>
          <w:tcPr>
            <w:tcW w:w="1399" w:type="dxa"/>
          </w:tcPr>
          <w:p>
            <w:pPr>
              <w:pStyle w:val="TableParagraph"/>
              <w:spacing w:before="33"/>
              <w:ind w:left="227"/>
              <w:rPr>
                <w:b/>
                <w:sz w:val="21"/>
              </w:rPr>
            </w:pPr>
            <w:r>
              <w:rPr>
                <w:b/>
                <w:sz w:val="21"/>
              </w:rPr>
              <w:t>硬皮病：</w:t>
            </w:r>
          </w:p>
        </w:tc>
        <w:tc>
          <w:tcPr>
            <w:tcW w:w="7802" w:type="dxa"/>
          </w:tcPr>
          <w:p>
            <w:pPr>
              <w:pStyle w:val="TableParagraph"/>
              <w:spacing w:line="261" w:lineRule="auto" w:before="33"/>
              <w:ind w:right="309"/>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5"/>
              <w:jc w:val="both"/>
              <w:rPr>
                <w:sz w:val="21"/>
              </w:rPr>
            </w:pPr>
            <w:r>
              <w:rPr>
                <w:sz w:val="21"/>
              </w:rPr>
              <w:t>下列疾病不在保障范围内：</w:t>
            </w:r>
          </w:p>
          <w:p>
            <w:pPr>
              <w:pStyle w:val="TableParagraph"/>
              <w:spacing w:before="24"/>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jc w:val="both"/>
              <w:rPr>
                <w:sz w:val="21"/>
              </w:rPr>
            </w:pPr>
            <w:r>
              <w:rPr>
                <w:sz w:val="21"/>
              </w:rPr>
              <w:t>（</w:t>
            </w:r>
            <w:r>
              <w:rPr>
                <w:rFonts w:ascii="Times New Roman" w:eastAsia="Times New Roman"/>
                <w:sz w:val="21"/>
              </w:rPr>
              <w:t>2</w:t>
            </w:r>
            <w:r>
              <w:rPr>
                <w:sz w:val="21"/>
              </w:rPr>
              <w:t>）嗜酸细胞性筋膜炎；</w:t>
            </w:r>
          </w:p>
          <w:p>
            <w:pPr>
              <w:pStyle w:val="TableParagraph"/>
              <w:spacing w:before="9"/>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2504" w:hRule="atLeast"/>
        </w:trPr>
        <w:tc>
          <w:tcPr>
            <w:tcW w:w="692" w:type="dxa"/>
          </w:tcPr>
          <w:p>
            <w:pPr>
              <w:pStyle w:val="TableParagraph"/>
              <w:spacing w:before="75"/>
              <w:ind w:left="181" w:right="208"/>
              <w:jc w:val="center"/>
              <w:rPr>
                <w:rFonts w:ascii="Times New Roman"/>
                <w:b/>
                <w:sz w:val="21"/>
              </w:rPr>
            </w:pPr>
            <w:r>
              <w:rPr>
                <w:rFonts w:ascii="Times New Roman"/>
                <w:b/>
                <w:sz w:val="21"/>
              </w:rPr>
              <w:t>39.</w:t>
            </w:r>
          </w:p>
        </w:tc>
        <w:tc>
          <w:tcPr>
            <w:tcW w:w="1399" w:type="dxa"/>
          </w:tcPr>
          <w:p>
            <w:pPr>
              <w:pStyle w:val="TableParagraph"/>
              <w:spacing w:line="261" w:lineRule="auto" w:before="25"/>
              <w:ind w:left="227" w:right="74"/>
              <w:rPr>
                <w:b/>
                <w:sz w:val="21"/>
              </w:rPr>
            </w:pPr>
            <w:r>
              <w:rPr>
                <w:b/>
                <w:sz w:val="21"/>
              </w:rPr>
              <w:t>肺源性心脏病：</w:t>
            </w:r>
          </w:p>
        </w:tc>
        <w:tc>
          <w:tcPr>
            <w:tcW w:w="7802" w:type="dxa"/>
          </w:tcPr>
          <w:p>
            <w:pPr>
              <w:pStyle w:val="TableParagraph"/>
              <w:spacing w:before="25"/>
              <w:rPr>
                <w:sz w:val="21"/>
              </w:rPr>
            </w:pPr>
            <w:r>
              <w:rPr>
                <w:sz w:val="21"/>
              </w:rPr>
              <w:t>由呼吸专科医生或心内科专科医生确诊为肺源性心脏病。诊断必须基于右心导管</w:t>
            </w:r>
          </w:p>
          <w:p>
            <w:pPr>
              <w:pStyle w:val="TableParagraph"/>
              <w:spacing w:before="24"/>
              <w:rPr>
                <w:sz w:val="21"/>
              </w:rPr>
            </w:pPr>
            <w:r>
              <w:rPr>
                <w:sz w:val="21"/>
              </w:rPr>
              <w:t>（心血管造影）的检查结果，且必须同时满足如下诊断标准：</w:t>
            </w:r>
          </w:p>
          <w:p>
            <w:pPr>
              <w:pStyle w:val="TableParagraph"/>
              <w:spacing w:before="24"/>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8"/>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8"/>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8"/>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61" w:lineRule="auto" w:before="8"/>
              <w:ind w:right="307"/>
              <w:rPr>
                <w:sz w:val="21"/>
              </w:rPr>
            </w:pPr>
            <w:r>
              <w:rPr>
                <w:sz w:val="21"/>
              </w:rPr>
              <w:t>因左心病变或者先天性心脏病引起的右心衰竭或者肺动脉高压不在保障范围之内。</w:t>
            </w:r>
          </w:p>
        </w:tc>
      </w:tr>
      <w:tr>
        <w:trPr>
          <w:trHeight w:val="2533" w:hRule="atLeast"/>
        </w:trPr>
        <w:tc>
          <w:tcPr>
            <w:tcW w:w="692" w:type="dxa"/>
          </w:tcPr>
          <w:p>
            <w:pPr>
              <w:pStyle w:val="TableParagraph"/>
              <w:spacing w:before="83"/>
              <w:ind w:left="181" w:right="208"/>
              <w:jc w:val="center"/>
              <w:rPr>
                <w:rFonts w:ascii="Times New Roman"/>
                <w:b/>
                <w:sz w:val="21"/>
              </w:rPr>
            </w:pPr>
            <w:r>
              <w:rPr>
                <w:rFonts w:ascii="Times New Roman"/>
                <w:b/>
                <w:sz w:val="21"/>
              </w:rPr>
              <w:t>40.</w:t>
            </w:r>
          </w:p>
        </w:tc>
        <w:tc>
          <w:tcPr>
            <w:tcW w:w="1399" w:type="dxa"/>
          </w:tcPr>
          <w:p>
            <w:pPr>
              <w:pStyle w:val="TableParagraph"/>
              <w:spacing w:line="254" w:lineRule="auto" w:before="34"/>
              <w:ind w:left="227" w:right="74"/>
              <w:rPr>
                <w:rFonts w:ascii="Times New Roman" w:eastAsia="Times New Roman"/>
                <w:b/>
                <w:sz w:val="21"/>
              </w:rPr>
            </w:pPr>
            <w:r>
              <w:rPr>
                <w:b/>
                <w:sz w:val="21"/>
              </w:rPr>
              <w:t>肝豆状核变性</w:t>
            </w:r>
            <w:r>
              <w:rPr>
                <w:rFonts w:ascii="Times New Roman" w:eastAsia="Times New Roman"/>
                <w:b/>
                <w:sz w:val="21"/>
              </w:rPr>
              <w:t>(Wilson</w:t>
            </w:r>
          </w:p>
          <w:p>
            <w:pPr>
              <w:pStyle w:val="TableParagraph"/>
              <w:spacing w:line="207" w:lineRule="exact"/>
              <w:ind w:left="227"/>
              <w:rPr>
                <w:b/>
                <w:sz w:val="21"/>
              </w:rPr>
            </w:pPr>
            <w:r>
              <w:rPr>
                <w:b/>
                <w:sz w:val="21"/>
              </w:rPr>
              <w:t>病</w:t>
            </w:r>
            <w:r>
              <w:rPr>
                <w:rFonts w:ascii="Times New Roman" w:eastAsia="Times New Roman"/>
                <w:b/>
                <w:sz w:val="21"/>
              </w:rPr>
              <w:t>)</w:t>
            </w:r>
            <w:r>
              <w:rPr>
                <w:b/>
                <w:sz w:val="21"/>
              </w:rPr>
              <w:t>：</w:t>
            </w:r>
          </w:p>
        </w:tc>
        <w:tc>
          <w:tcPr>
            <w:tcW w:w="7802" w:type="dxa"/>
          </w:tcPr>
          <w:p>
            <w:pPr>
              <w:pStyle w:val="TableParagraph"/>
              <w:spacing w:line="273" w:lineRule="auto" w:before="27"/>
              <w:ind w:right="309"/>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8"/>
              <w:ind w:left="496" w:right="305" w:hanging="420"/>
              <w:rPr>
                <w:sz w:val="21"/>
              </w:rPr>
            </w:pPr>
            <w:r>
              <w:rPr>
                <w:spacing w:val="-4"/>
                <w:sz w:val="21"/>
              </w:rPr>
              <w:t>（</w:t>
            </w:r>
            <w:r>
              <w:rPr>
                <w:rFonts w:ascii="Times New Roman" w:eastAsia="Times New Roman"/>
                <w:spacing w:val="-4"/>
                <w:sz w:val="21"/>
              </w:rPr>
              <w:t>1</w:t>
            </w:r>
            <w:r>
              <w:rPr>
                <w:spacing w:val="-4"/>
                <w:sz w:val="21"/>
              </w:rPr>
              <w:t>）</w:t>
            </w:r>
            <w:r>
              <w:rPr>
                <w:spacing w:val="-7"/>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）血清铜和血清铜蓝蛋白降低，尿铜增加；</w:t>
            </w:r>
          </w:p>
          <w:p>
            <w:pPr>
              <w:pStyle w:val="TableParagraph"/>
              <w:spacing w:line="273" w:lineRule="exact" w:before="21"/>
              <w:rPr>
                <w:sz w:val="21"/>
              </w:rPr>
            </w:pPr>
            <w:r>
              <w:rPr>
                <w:sz w:val="21"/>
              </w:rPr>
              <w:t>（</w:t>
            </w:r>
            <w:r>
              <w:rPr>
                <w:rFonts w:ascii="Times New Roman" w:eastAsia="Times New Roman"/>
                <w:sz w:val="21"/>
              </w:rPr>
              <w:t>4</w:t>
            </w:r>
            <w:r>
              <w:rPr>
                <w:sz w:val="21"/>
              </w:rPr>
              <w:t>）食管静脉曲张；</w:t>
            </w:r>
          </w:p>
          <w:p>
            <w:pPr>
              <w:pStyle w:val="TableParagraph"/>
              <w:spacing w:line="273" w:lineRule="exact"/>
              <w:rPr>
                <w:sz w:val="21"/>
              </w:rPr>
            </w:pPr>
            <w:r>
              <w:rPr>
                <w:sz w:val="21"/>
              </w:rPr>
              <w:t>（</w:t>
            </w:r>
            <w:r>
              <w:rPr>
                <w:rFonts w:ascii="Times New Roman" w:eastAsia="Times New Roman"/>
                <w:sz w:val="21"/>
              </w:rPr>
              <w:t>5</w:t>
            </w:r>
            <w:r>
              <w:rPr>
                <w:sz w:val="21"/>
              </w:rPr>
              <w:t>）腹水。</w:t>
            </w:r>
          </w:p>
        </w:tc>
      </w:tr>
      <w:tr>
        <w:trPr>
          <w:trHeight w:val="316" w:hRule="atLeast"/>
        </w:trPr>
        <w:tc>
          <w:tcPr>
            <w:tcW w:w="692" w:type="dxa"/>
          </w:tcPr>
          <w:p>
            <w:pPr>
              <w:pStyle w:val="TableParagraph"/>
              <w:spacing w:line="228" w:lineRule="exact" w:before="68"/>
              <w:ind w:left="181" w:right="208"/>
              <w:jc w:val="center"/>
              <w:rPr>
                <w:rFonts w:ascii="Times New Roman"/>
                <w:b/>
                <w:sz w:val="21"/>
              </w:rPr>
            </w:pPr>
            <w:r>
              <w:rPr>
                <w:rFonts w:ascii="Times New Roman"/>
                <w:b/>
                <w:sz w:val="21"/>
              </w:rPr>
              <w:t>41.</w:t>
            </w:r>
          </w:p>
        </w:tc>
        <w:tc>
          <w:tcPr>
            <w:tcW w:w="1399" w:type="dxa"/>
          </w:tcPr>
          <w:p>
            <w:pPr>
              <w:pStyle w:val="TableParagraph"/>
              <w:spacing w:before="19"/>
              <w:ind w:left="227"/>
              <w:rPr>
                <w:b/>
                <w:sz w:val="21"/>
              </w:rPr>
            </w:pPr>
            <w:r>
              <w:rPr>
                <w:b/>
                <w:sz w:val="21"/>
              </w:rPr>
              <w:t>象皮病：</w:t>
            </w:r>
          </w:p>
        </w:tc>
        <w:tc>
          <w:tcPr>
            <w:tcW w:w="7802" w:type="dxa"/>
          </w:tcPr>
          <w:p>
            <w:pPr>
              <w:pStyle w:val="TableParagraph"/>
              <w:spacing w:before="11"/>
              <w:rPr>
                <w:sz w:val="21"/>
              </w:rPr>
            </w:pPr>
            <w:r>
              <w:rPr>
                <w:sz w:val="21"/>
              </w:rPr>
              <w:t>指末期丝虫病，按国际淋巴学会分级为三度淋巴液肿，其临床表现为肢体非凹陷</w:t>
            </w:r>
          </w:p>
        </w:tc>
      </w:tr>
    </w:tbl>
    <w:p>
      <w:pPr>
        <w:spacing w:after="0"/>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696"/>
      </w:tblGrid>
      <w:tr>
        <w:trPr>
          <w:trHeight w:val="630"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696" w:type="dxa"/>
          </w:tcPr>
          <w:p>
            <w:pPr>
              <w:pStyle w:val="TableParagraph"/>
              <w:spacing w:line="204" w:lineRule="exact"/>
              <w:rPr>
                <w:sz w:val="21"/>
              </w:rPr>
            </w:pPr>
            <w:r>
              <w:rPr>
                <w:sz w:val="21"/>
              </w:rPr>
              <w:t>性水肿伴畸形增大、硬皮症和疣状增生。此病症须经专科医生根据临床表现和微</w:t>
            </w:r>
          </w:p>
          <w:p>
            <w:pPr>
              <w:pStyle w:val="TableParagraph"/>
              <w:spacing w:before="37"/>
              <w:rPr>
                <w:sz w:val="21"/>
              </w:rPr>
            </w:pPr>
            <w:r>
              <w:rPr>
                <w:sz w:val="21"/>
              </w:rPr>
              <w:t>丝蚴的化验结果确诊。</w:t>
            </w:r>
          </w:p>
        </w:tc>
      </w:tr>
      <w:tr>
        <w:trPr>
          <w:trHeight w:val="2532" w:hRule="atLeast"/>
        </w:trPr>
        <w:tc>
          <w:tcPr>
            <w:tcW w:w="692" w:type="dxa"/>
          </w:tcPr>
          <w:p>
            <w:pPr>
              <w:pStyle w:val="TableParagraph"/>
              <w:spacing w:before="92"/>
              <w:ind w:left="181" w:right="208"/>
              <w:jc w:val="center"/>
              <w:rPr>
                <w:rFonts w:ascii="Times New Roman"/>
                <w:b/>
                <w:sz w:val="21"/>
              </w:rPr>
            </w:pPr>
            <w:r>
              <w:rPr>
                <w:rFonts w:ascii="Times New Roman"/>
                <w:b/>
                <w:sz w:val="21"/>
              </w:rPr>
              <w:t>42.</w:t>
            </w:r>
          </w:p>
        </w:tc>
        <w:tc>
          <w:tcPr>
            <w:tcW w:w="1399" w:type="dxa"/>
          </w:tcPr>
          <w:p>
            <w:pPr>
              <w:pStyle w:val="TableParagraph"/>
              <w:spacing w:line="261" w:lineRule="auto" w:before="43"/>
              <w:ind w:left="227" w:right="74"/>
              <w:jc w:val="both"/>
              <w:rPr>
                <w:b/>
                <w:sz w:val="21"/>
              </w:rPr>
            </w:pPr>
            <w:r>
              <w:rPr>
                <w:b/>
                <w:sz w:val="21"/>
              </w:rPr>
              <w:t>严重自身免疫性肝炎：</w:t>
            </w:r>
          </w:p>
        </w:tc>
        <w:tc>
          <w:tcPr>
            <w:tcW w:w="7696" w:type="dxa"/>
          </w:tcPr>
          <w:p>
            <w:pPr>
              <w:pStyle w:val="TableParagraph"/>
              <w:spacing w:line="261" w:lineRule="auto" w:before="43"/>
              <w:ind w:right="203"/>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02" w:right="160"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2"/>
              <w:jc w:val="both"/>
              <w:rPr>
                <w:sz w:val="21"/>
              </w:rPr>
            </w:pPr>
            <w:r>
              <w:rPr>
                <w:sz w:val="21"/>
              </w:rPr>
              <w:t>（</w:t>
            </w:r>
            <w:r>
              <w:rPr>
                <w:rFonts w:ascii="Times New Roman" w:eastAsia="Times New Roman"/>
                <w:sz w:val="21"/>
              </w:rPr>
              <w:t>3</w:t>
            </w:r>
            <w:r>
              <w:rPr>
                <w:sz w:val="21"/>
              </w:rPr>
              <w:t>）肝脏活检证实免疫性肝炎；</w:t>
            </w:r>
          </w:p>
          <w:p>
            <w:pPr>
              <w:pStyle w:val="TableParagraph"/>
              <w:spacing w:before="1"/>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22" w:hRule="atLeast"/>
        </w:trPr>
        <w:tc>
          <w:tcPr>
            <w:tcW w:w="692" w:type="dxa"/>
          </w:tcPr>
          <w:p>
            <w:pPr>
              <w:pStyle w:val="TableParagraph"/>
              <w:spacing w:before="84"/>
              <w:ind w:left="181" w:right="208"/>
              <w:jc w:val="center"/>
              <w:rPr>
                <w:rFonts w:ascii="Times New Roman"/>
                <w:b/>
                <w:sz w:val="21"/>
              </w:rPr>
            </w:pPr>
            <w:r>
              <w:rPr>
                <w:rFonts w:ascii="Times New Roman"/>
                <w:b/>
                <w:sz w:val="21"/>
              </w:rPr>
              <w:t>43.</w:t>
            </w:r>
          </w:p>
        </w:tc>
        <w:tc>
          <w:tcPr>
            <w:tcW w:w="1399" w:type="dxa"/>
          </w:tcPr>
          <w:p>
            <w:pPr>
              <w:pStyle w:val="TableParagraph"/>
              <w:spacing w:line="261" w:lineRule="auto" w:before="35"/>
              <w:ind w:left="227" w:right="74"/>
              <w:rPr>
                <w:b/>
                <w:sz w:val="21"/>
              </w:rPr>
            </w:pPr>
            <w:r>
              <w:rPr>
                <w:b/>
                <w:sz w:val="21"/>
              </w:rPr>
              <w:t>严重心肌炎：</w:t>
            </w:r>
          </w:p>
        </w:tc>
        <w:tc>
          <w:tcPr>
            <w:tcW w:w="7696" w:type="dxa"/>
          </w:tcPr>
          <w:p>
            <w:pPr>
              <w:pStyle w:val="TableParagraph"/>
              <w:spacing w:line="261" w:lineRule="auto" w:before="35"/>
              <w:ind w:right="203"/>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5" w:hRule="atLeast"/>
        </w:trPr>
        <w:tc>
          <w:tcPr>
            <w:tcW w:w="692" w:type="dxa"/>
          </w:tcPr>
          <w:p>
            <w:pPr>
              <w:pStyle w:val="TableParagraph"/>
              <w:spacing w:before="74"/>
              <w:ind w:left="181" w:right="208"/>
              <w:jc w:val="center"/>
              <w:rPr>
                <w:rFonts w:ascii="Times New Roman"/>
                <w:b/>
                <w:sz w:val="21"/>
              </w:rPr>
            </w:pPr>
            <w:r>
              <w:rPr>
                <w:rFonts w:ascii="Times New Roman"/>
                <w:b/>
                <w:sz w:val="21"/>
              </w:rPr>
              <w:t>44.</w:t>
            </w:r>
          </w:p>
        </w:tc>
        <w:tc>
          <w:tcPr>
            <w:tcW w:w="1399" w:type="dxa"/>
          </w:tcPr>
          <w:p>
            <w:pPr>
              <w:pStyle w:val="TableParagraph"/>
              <w:spacing w:line="261" w:lineRule="auto" w:before="25"/>
              <w:ind w:left="227" w:right="74"/>
              <w:rPr>
                <w:b/>
                <w:sz w:val="21"/>
              </w:rPr>
            </w:pPr>
            <w:r>
              <w:rPr>
                <w:b/>
                <w:sz w:val="21"/>
              </w:rPr>
              <w:t>急性坏死性胰腺炎：</w:t>
            </w:r>
          </w:p>
        </w:tc>
        <w:tc>
          <w:tcPr>
            <w:tcW w:w="7696" w:type="dxa"/>
          </w:tcPr>
          <w:p>
            <w:pPr>
              <w:pStyle w:val="TableParagraph"/>
              <w:spacing w:line="261" w:lineRule="auto" w:before="25"/>
              <w:ind w:right="203"/>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2" w:hRule="atLeast"/>
        </w:trPr>
        <w:tc>
          <w:tcPr>
            <w:tcW w:w="692" w:type="dxa"/>
          </w:tcPr>
          <w:p>
            <w:pPr>
              <w:pStyle w:val="TableParagraph"/>
              <w:spacing w:before="82"/>
              <w:ind w:left="181" w:right="208"/>
              <w:jc w:val="center"/>
              <w:rPr>
                <w:rFonts w:ascii="Times New Roman"/>
                <w:b/>
                <w:sz w:val="21"/>
              </w:rPr>
            </w:pPr>
            <w:r>
              <w:rPr>
                <w:rFonts w:ascii="Times New Roman"/>
                <w:b/>
                <w:sz w:val="21"/>
              </w:rPr>
              <w:t>45.</w:t>
            </w:r>
          </w:p>
        </w:tc>
        <w:tc>
          <w:tcPr>
            <w:tcW w:w="1399" w:type="dxa"/>
          </w:tcPr>
          <w:p>
            <w:pPr>
              <w:pStyle w:val="TableParagraph"/>
              <w:spacing w:line="261" w:lineRule="auto" w:before="33"/>
              <w:ind w:left="227" w:right="74"/>
              <w:rPr>
                <w:b/>
                <w:sz w:val="21"/>
              </w:rPr>
            </w:pPr>
            <w:r>
              <w:rPr>
                <w:b/>
                <w:sz w:val="21"/>
              </w:rPr>
              <w:t>严重克隆病：</w:t>
            </w:r>
          </w:p>
        </w:tc>
        <w:tc>
          <w:tcPr>
            <w:tcW w:w="7696" w:type="dxa"/>
          </w:tcPr>
          <w:p>
            <w:pPr>
              <w:pStyle w:val="TableParagraph"/>
              <w:spacing w:line="261" w:lineRule="auto" w:before="33"/>
              <w:ind w:right="203"/>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692" w:type="dxa"/>
          </w:tcPr>
          <w:p>
            <w:pPr>
              <w:pStyle w:val="TableParagraph"/>
              <w:spacing w:before="82"/>
              <w:ind w:left="181" w:right="208"/>
              <w:jc w:val="center"/>
              <w:rPr>
                <w:rFonts w:ascii="Times New Roman"/>
                <w:b/>
                <w:sz w:val="21"/>
              </w:rPr>
            </w:pPr>
            <w:r>
              <w:rPr>
                <w:rFonts w:ascii="Times New Roman"/>
                <w:b/>
                <w:sz w:val="21"/>
              </w:rPr>
              <w:t>46.</w:t>
            </w:r>
          </w:p>
        </w:tc>
        <w:tc>
          <w:tcPr>
            <w:tcW w:w="1399" w:type="dxa"/>
          </w:tcPr>
          <w:p>
            <w:pPr>
              <w:pStyle w:val="TableParagraph"/>
              <w:spacing w:line="261" w:lineRule="auto" w:before="33"/>
              <w:ind w:left="227" w:right="74"/>
              <w:rPr>
                <w:b/>
                <w:sz w:val="21"/>
              </w:rPr>
            </w:pPr>
            <w:r>
              <w:rPr>
                <w:b/>
                <w:sz w:val="21"/>
              </w:rPr>
              <w:t>严重冠心病：</w:t>
            </w:r>
          </w:p>
        </w:tc>
        <w:tc>
          <w:tcPr>
            <w:tcW w:w="7696" w:type="dxa"/>
          </w:tcPr>
          <w:p>
            <w:pPr>
              <w:pStyle w:val="TableParagraph"/>
              <w:spacing w:line="256" w:lineRule="auto" w:before="33"/>
              <w:ind w:right="197"/>
              <w:jc w:val="both"/>
              <w:rPr>
                <w:sz w:val="21"/>
              </w:rPr>
            </w:pPr>
            <w:r>
              <w:rPr>
                <w:sz w:val="21"/>
              </w:rPr>
              <w:t>指根据冠状动脉造影检查结果确诊的三支主要血管（左冠状动脉主干和右冠状动脉，或前降支、左旋支和右冠状动脉）严重狭窄性病变（至少一支血管管腔直径</w:t>
            </w:r>
            <w:r>
              <w:rPr>
                <w:spacing w:val="-8"/>
                <w:sz w:val="21"/>
              </w:rPr>
              <w:t>减少 </w:t>
            </w:r>
            <w:r>
              <w:rPr>
                <w:rFonts w:ascii="Times New Roman" w:eastAsia="Times New Roman"/>
                <w:sz w:val="21"/>
              </w:rPr>
              <w:t>75%</w:t>
            </w:r>
            <w:r>
              <w:rPr>
                <w:spacing w:val="-5"/>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。前降支、左旋支及右冠状动脉的分支血管的狭窄不作为本保障的衡量指标。</w:t>
            </w:r>
          </w:p>
        </w:tc>
      </w:tr>
      <w:tr>
        <w:trPr>
          <w:trHeight w:val="2514" w:hRule="atLeast"/>
        </w:trPr>
        <w:tc>
          <w:tcPr>
            <w:tcW w:w="692" w:type="dxa"/>
          </w:tcPr>
          <w:p>
            <w:pPr>
              <w:pStyle w:val="TableParagraph"/>
              <w:spacing w:before="82"/>
              <w:ind w:left="181" w:right="208"/>
              <w:jc w:val="center"/>
              <w:rPr>
                <w:rFonts w:ascii="Times New Roman"/>
                <w:b/>
                <w:sz w:val="21"/>
              </w:rPr>
            </w:pPr>
            <w:r>
              <w:rPr>
                <w:rFonts w:ascii="Times New Roman"/>
                <w:b/>
                <w:sz w:val="21"/>
              </w:rPr>
              <w:t>47.</w:t>
            </w:r>
          </w:p>
        </w:tc>
        <w:tc>
          <w:tcPr>
            <w:tcW w:w="1399" w:type="dxa"/>
          </w:tcPr>
          <w:p>
            <w:pPr>
              <w:pStyle w:val="TableParagraph"/>
              <w:spacing w:line="261" w:lineRule="auto" w:before="33"/>
              <w:ind w:left="227" w:right="74"/>
              <w:jc w:val="both"/>
              <w:rPr>
                <w:b/>
                <w:sz w:val="21"/>
              </w:rPr>
            </w:pPr>
            <w:r>
              <w:rPr>
                <w:b/>
                <w:sz w:val="21"/>
              </w:rPr>
              <w:t>艾迪森氏病( 慢性肾上腺皮质功 能 衰竭)：</w:t>
            </w:r>
          </w:p>
        </w:tc>
        <w:tc>
          <w:tcPr>
            <w:tcW w:w="7696" w:type="dxa"/>
          </w:tcPr>
          <w:p>
            <w:pPr>
              <w:pStyle w:val="TableParagraph"/>
              <w:spacing w:line="261" w:lineRule="auto" w:before="33"/>
              <w:ind w:right="203"/>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jc w:val="both"/>
              <w:rPr>
                <w:sz w:val="21"/>
              </w:rPr>
            </w:pPr>
            <w:r>
              <w:rPr>
                <w:sz w:val="21"/>
              </w:rPr>
              <w:t>（</w:t>
            </w:r>
            <w:r>
              <w:rPr>
                <w:rFonts w:ascii="Times New Roman" w:eastAsia="Times New Roman"/>
                <w:sz w:val="21"/>
              </w:rPr>
              <w:t>2</w:t>
            </w:r>
            <w:r>
              <w:rPr>
                <w:sz w:val="21"/>
              </w:rPr>
              <w:t>）胰岛素血糖减少测试；</w:t>
            </w:r>
          </w:p>
          <w:p>
            <w:pPr>
              <w:pStyle w:val="TableParagraph"/>
              <w:spacing w:before="9"/>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jc w:val="both"/>
              <w:rPr>
                <w:sz w:val="21"/>
              </w:rPr>
            </w:pPr>
            <w:r>
              <w:rPr>
                <w:sz w:val="21"/>
              </w:rPr>
              <w:t>非由自身免疫功能紊乱引起的慢性肾上腺皮质功能衰竭不在保障范围内。</w:t>
            </w:r>
          </w:p>
        </w:tc>
      </w:tr>
      <w:tr>
        <w:trPr>
          <w:trHeight w:val="1013" w:hRule="atLeast"/>
        </w:trPr>
        <w:tc>
          <w:tcPr>
            <w:tcW w:w="692" w:type="dxa"/>
          </w:tcPr>
          <w:p>
            <w:pPr>
              <w:pStyle w:val="TableParagraph"/>
              <w:spacing w:before="83"/>
              <w:ind w:left="181" w:right="208"/>
              <w:jc w:val="center"/>
              <w:rPr>
                <w:rFonts w:ascii="Times New Roman"/>
                <w:b/>
                <w:sz w:val="21"/>
              </w:rPr>
            </w:pPr>
            <w:r>
              <w:rPr>
                <w:rFonts w:ascii="Times New Roman"/>
                <w:b/>
                <w:sz w:val="21"/>
              </w:rPr>
              <w:t>48.</w:t>
            </w:r>
          </w:p>
        </w:tc>
        <w:tc>
          <w:tcPr>
            <w:tcW w:w="1399" w:type="dxa"/>
          </w:tcPr>
          <w:p>
            <w:pPr>
              <w:pStyle w:val="TableParagraph"/>
              <w:spacing w:line="261" w:lineRule="auto" w:before="34"/>
              <w:ind w:left="227" w:right="74"/>
              <w:rPr>
                <w:b/>
                <w:sz w:val="21"/>
              </w:rPr>
            </w:pPr>
            <w:r>
              <w:rPr>
                <w:b/>
                <w:sz w:val="21"/>
              </w:rPr>
              <w:t>埃博拉病毒感染：</w:t>
            </w:r>
          </w:p>
        </w:tc>
        <w:tc>
          <w:tcPr>
            <w:tcW w:w="7696" w:type="dxa"/>
          </w:tcPr>
          <w:p>
            <w:pPr>
              <w:pStyle w:val="TableParagraph"/>
              <w:spacing w:line="254" w:lineRule="auto" w:before="34"/>
              <w:ind w:right="199"/>
              <w:jc w:val="both"/>
              <w:rPr>
                <w:sz w:val="21"/>
              </w:rPr>
            </w:pPr>
            <w:r>
              <w:rPr>
                <w:sz w:val="21"/>
              </w:rPr>
              <w:t>受埃博拉病毒感染导致出血性发热。埃博拉病必须经传染病专科医生确诊，并且</w:t>
            </w:r>
            <w:r>
              <w:rPr>
                <w:spacing w:val="-6"/>
                <w:sz w:val="21"/>
              </w:rPr>
              <w:t>埃博拉病毒的存在必须经过实验室检查证实。该病必须从症状开始后 </w:t>
            </w:r>
            <w:r>
              <w:rPr>
                <w:rFonts w:ascii="Times New Roman" w:eastAsia="Times New Roman"/>
                <w:sz w:val="21"/>
              </w:rPr>
              <w:t>30 </w:t>
            </w:r>
            <w:r>
              <w:rPr>
                <w:spacing w:val="-2"/>
                <w:sz w:val="21"/>
              </w:rPr>
              <w:t>日后持续</w:t>
            </w:r>
            <w:r>
              <w:rPr>
                <w:spacing w:val="-3"/>
                <w:sz w:val="21"/>
              </w:rPr>
              <w:t>出现并发症。</w:t>
            </w:r>
          </w:p>
        </w:tc>
      </w:tr>
      <w:tr>
        <w:trPr>
          <w:trHeight w:val="2213" w:hRule="atLeast"/>
        </w:trPr>
        <w:tc>
          <w:tcPr>
            <w:tcW w:w="692" w:type="dxa"/>
          </w:tcPr>
          <w:p>
            <w:pPr>
              <w:pStyle w:val="TableParagraph"/>
              <w:spacing w:before="82"/>
              <w:ind w:left="181" w:right="208"/>
              <w:jc w:val="center"/>
              <w:rPr>
                <w:rFonts w:ascii="Times New Roman"/>
                <w:b/>
                <w:sz w:val="21"/>
              </w:rPr>
            </w:pPr>
            <w:r>
              <w:rPr>
                <w:rFonts w:ascii="Times New Roman"/>
                <w:b/>
                <w:sz w:val="21"/>
              </w:rPr>
              <w:t>49.</w:t>
            </w:r>
          </w:p>
        </w:tc>
        <w:tc>
          <w:tcPr>
            <w:tcW w:w="1399" w:type="dxa"/>
          </w:tcPr>
          <w:p>
            <w:pPr>
              <w:pStyle w:val="TableParagraph"/>
              <w:spacing w:line="261" w:lineRule="auto" w:before="33"/>
              <w:ind w:left="227" w:right="74"/>
              <w:jc w:val="both"/>
              <w:rPr>
                <w:b/>
                <w:sz w:val="21"/>
              </w:rPr>
            </w:pPr>
            <w:r>
              <w:rPr>
                <w:b/>
                <w:sz w:val="21"/>
              </w:rPr>
              <w:t>原发性硬化性胆管炎：</w:t>
            </w:r>
          </w:p>
        </w:tc>
        <w:tc>
          <w:tcPr>
            <w:tcW w:w="7696" w:type="dxa"/>
          </w:tcPr>
          <w:p>
            <w:pPr>
              <w:pStyle w:val="TableParagraph"/>
              <w:spacing w:line="261" w:lineRule="auto" w:before="33"/>
              <w:ind w:right="203"/>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10"/>
              <w:jc w:val="both"/>
              <w:rPr>
                <w:sz w:val="21"/>
              </w:rPr>
            </w:pPr>
            <w:r>
              <w:rPr>
                <w:sz w:val="21"/>
              </w:rPr>
              <w:t>（</w:t>
            </w:r>
            <w:r>
              <w:rPr>
                <w:rFonts w:ascii="Times New Roman" w:eastAsia="Times New Roman"/>
                <w:sz w:val="21"/>
              </w:rPr>
              <w:t>2</w:t>
            </w:r>
            <w:r>
              <w:rPr>
                <w:sz w:val="21"/>
              </w:rPr>
              <w:t>）持续性黄疸病史；</w:t>
            </w:r>
          </w:p>
          <w:p>
            <w:pPr>
              <w:pStyle w:val="TableParagraph"/>
              <w:spacing w:before="9"/>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9"/>
              <w:jc w:val="both"/>
              <w:rPr>
                <w:sz w:val="21"/>
              </w:rPr>
            </w:pPr>
            <w:r>
              <w:rPr>
                <w:sz w:val="21"/>
              </w:rPr>
              <w:t>因肿瘤或胆管损伤等继发性的硬化性胆管炎不在保障范围内。</w:t>
            </w:r>
          </w:p>
        </w:tc>
      </w:tr>
      <w:tr>
        <w:trPr>
          <w:trHeight w:val="1231" w:hRule="atLeast"/>
        </w:trPr>
        <w:tc>
          <w:tcPr>
            <w:tcW w:w="692" w:type="dxa"/>
          </w:tcPr>
          <w:p>
            <w:pPr>
              <w:pStyle w:val="TableParagraph"/>
              <w:spacing w:before="82"/>
              <w:ind w:left="181" w:right="208"/>
              <w:jc w:val="center"/>
              <w:rPr>
                <w:rFonts w:ascii="Times New Roman"/>
                <w:b/>
                <w:sz w:val="21"/>
              </w:rPr>
            </w:pPr>
            <w:r>
              <w:rPr>
                <w:rFonts w:ascii="Times New Roman"/>
                <w:b/>
                <w:sz w:val="21"/>
              </w:rPr>
              <w:t>50.</w:t>
            </w:r>
          </w:p>
        </w:tc>
        <w:tc>
          <w:tcPr>
            <w:tcW w:w="1399" w:type="dxa"/>
          </w:tcPr>
          <w:p>
            <w:pPr>
              <w:pStyle w:val="TableParagraph"/>
              <w:spacing w:before="33"/>
              <w:ind w:left="227"/>
              <w:rPr>
                <w:b/>
                <w:sz w:val="21"/>
              </w:rPr>
            </w:pPr>
            <w:r>
              <w:rPr>
                <w:b/>
                <w:sz w:val="21"/>
              </w:rPr>
              <w:t>疯牛病：</w:t>
            </w:r>
          </w:p>
        </w:tc>
        <w:tc>
          <w:tcPr>
            <w:tcW w:w="7696" w:type="dxa"/>
          </w:tcPr>
          <w:p>
            <w:pPr>
              <w:pStyle w:val="TableParagraph"/>
              <w:spacing w:before="33"/>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line="278" w:lineRule="exact" w:before="9"/>
              <w:rPr>
                <w:sz w:val="21"/>
              </w:rPr>
            </w:pPr>
            <w:r>
              <w:rPr>
                <w:sz w:val="21"/>
              </w:rPr>
              <w:t>（</w:t>
            </w:r>
            <w:r>
              <w:rPr>
                <w:rFonts w:ascii="Times New Roman" w:eastAsia="Times New Roman"/>
                <w:sz w:val="21"/>
              </w:rPr>
              <w:t>3</w:t>
            </w:r>
            <w:r>
              <w:rPr>
                <w:sz w:val="21"/>
              </w:rPr>
              <w:t>）小脑功能不良，共济失调；</w:t>
            </w:r>
          </w:p>
        </w:tc>
      </w:tr>
    </w:tbl>
    <w:p>
      <w:pPr>
        <w:spacing w:after="0" w:line="278" w:lineRule="exact"/>
        <w:rPr>
          <w:sz w:val="21"/>
        </w:rPr>
        <w:sectPr>
          <w:pgSz w:w="11910" w:h="16840"/>
          <w:pgMar w:top="1480" w:bottom="280" w:left="108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21"/>
        <w:gridCol w:w="7799"/>
      </w:tblGrid>
      <w:tr>
        <w:trPr>
          <w:trHeight w:val="923" w:hRule="atLeast"/>
        </w:trPr>
        <w:tc>
          <w:tcPr>
            <w:tcW w:w="770"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7799" w:type="dxa"/>
          </w:tcPr>
          <w:p>
            <w:pPr>
              <w:pStyle w:val="TableParagraph"/>
              <w:spacing w:line="227" w:lineRule="exact"/>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306"/>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4" w:hRule="atLeast"/>
        </w:trPr>
        <w:tc>
          <w:tcPr>
            <w:tcW w:w="770" w:type="dxa"/>
          </w:tcPr>
          <w:p>
            <w:pPr>
              <w:pStyle w:val="TableParagraph"/>
              <w:spacing w:before="75"/>
              <w:ind w:left="200"/>
              <w:rPr>
                <w:rFonts w:ascii="Times New Roman"/>
                <w:b/>
                <w:sz w:val="21"/>
              </w:rPr>
            </w:pPr>
            <w:r>
              <w:rPr>
                <w:rFonts w:ascii="Times New Roman"/>
                <w:b/>
                <w:sz w:val="21"/>
              </w:rPr>
              <w:t>51.</w:t>
            </w:r>
          </w:p>
        </w:tc>
        <w:tc>
          <w:tcPr>
            <w:tcW w:w="1321" w:type="dxa"/>
          </w:tcPr>
          <w:p>
            <w:pPr>
              <w:pStyle w:val="TableParagraph"/>
              <w:spacing w:line="261" w:lineRule="auto" w:before="25"/>
              <w:ind w:left="149" w:right="74"/>
              <w:rPr>
                <w:b/>
                <w:sz w:val="21"/>
              </w:rPr>
            </w:pPr>
            <w:r>
              <w:rPr>
                <w:b/>
                <w:sz w:val="21"/>
              </w:rPr>
              <w:t>严重溃疡性结肠炎：</w:t>
            </w:r>
          </w:p>
        </w:tc>
        <w:tc>
          <w:tcPr>
            <w:tcW w:w="7799" w:type="dxa"/>
          </w:tcPr>
          <w:p>
            <w:pPr>
              <w:pStyle w:val="TableParagraph"/>
              <w:spacing w:line="261" w:lineRule="auto" w:before="25"/>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813" w:hRule="atLeast"/>
        </w:trPr>
        <w:tc>
          <w:tcPr>
            <w:tcW w:w="770" w:type="dxa"/>
          </w:tcPr>
          <w:p>
            <w:pPr>
              <w:pStyle w:val="TableParagraph"/>
              <w:spacing w:before="83"/>
              <w:ind w:left="200"/>
              <w:rPr>
                <w:rFonts w:ascii="Times New Roman"/>
                <w:b/>
                <w:sz w:val="21"/>
              </w:rPr>
            </w:pPr>
            <w:r>
              <w:rPr>
                <w:rFonts w:ascii="Times New Roman"/>
                <w:b/>
                <w:sz w:val="21"/>
              </w:rPr>
              <w:t>52.</w:t>
            </w:r>
          </w:p>
        </w:tc>
        <w:tc>
          <w:tcPr>
            <w:tcW w:w="1321" w:type="dxa"/>
          </w:tcPr>
          <w:p>
            <w:pPr>
              <w:pStyle w:val="TableParagraph"/>
              <w:spacing w:line="261" w:lineRule="auto" w:before="33"/>
              <w:ind w:left="149" w:right="74"/>
              <w:jc w:val="both"/>
              <w:rPr>
                <w:b/>
                <w:sz w:val="21"/>
              </w:rPr>
            </w:pPr>
            <w:r>
              <w:rPr>
                <w:b/>
                <w:sz w:val="21"/>
              </w:rPr>
              <w:t>严重类风湿性关节炎：</w:t>
            </w:r>
          </w:p>
        </w:tc>
        <w:tc>
          <w:tcPr>
            <w:tcW w:w="7799" w:type="dxa"/>
          </w:tcPr>
          <w:p>
            <w:pPr>
              <w:pStyle w:val="TableParagraph"/>
              <w:spacing w:before="33"/>
              <w:rPr>
                <w:sz w:val="21"/>
              </w:rPr>
            </w:pPr>
            <w:r>
              <w:rPr>
                <w:sz w:val="21"/>
              </w:rPr>
              <w:t>指类风湿性关节炎患者符合以下三项标准的：</w:t>
            </w:r>
          </w:p>
          <w:p>
            <w:pPr>
              <w:pStyle w:val="TableParagraph"/>
              <w:spacing w:line="247" w:lineRule="auto" w:before="24"/>
              <w:ind w:left="602" w:right="305"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8"/>
              <w:ind w:left="602" w:right="300" w:hanging="526"/>
              <w:rPr>
                <w:sz w:val="21"/>
              </w:rPr>
            </w:pPr>
            <w:r>
              <w:rPr>
                <w:spacing w:val="-16"/>
                <w:sz w:val="21"/>
              </w:rPr>
              <w:t>（</w:t>
            </w:r>
            <w:r>
              <w:rPr>
                <w:rFonts w:ascii="Times New Roman" w:eastAsia="Times New Roman"/>
                <w:spacing w:val="-16"/>
                <w:sz w:val="21"/>
              </w:rPr>
              <w:t>2</w:t>
            </w:r>
            <w:r>
              <w:rPr>
                <w:spacing w:val="-16"/>
                <w:sz w:val="21"/>
              </w:rPr>
              <w:t>）</w:t>
            </w:r>
            <w:r>
              <w:rPr>
                <w:spacing w:val="-8"/>
                <w:sz w:val="21"/>
              </w:rPr>
              <w:t>手和腕的后前位 </w:t>
            </w:r>
            <w:r>
              <w:rPr>
                <w:rFonts w:ascii="Times New Roman" w:eastAsia="Times New Roman"/>
                <w:sz w:val="21"/>
              </w:rPr>
              <w:t>X </w:t>
            </w:r>
            <w:r>
              <w:rPr>
                <w:spacing w:val="-6"/>
                <w:sz w:val="21"/>
              </w:rPr>
              <w:t>线拍片检查可见类风湿性关节炎的典型变化，包括骨质侵</w:t>
            </w:r>
            <w:r>
              <w:rPr>
                <w:spacing w:val="-4"/>
                <w:sz w:val="21"/>
              </w:rPr>
              <w:t>蚀或钙流失，位于受累关节及其邻近部位尤其明显；</w:t>
            </w:r>
          </w:p>
          <w:p>
            <w:pPr>
              <w:pStyle w:val="TableParagraph"/>
              <w:spacing w:before="18"/>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306"/>
              <w:rPr>
                <w:sz w:val="21"/>
              </w:rPr>
            </w:pPr>
            <w:r>
              <w:rPr>
                <w:sz w:val="21"/>
              </w:rPr>
              <w:t>类风湿性关节炎系指以关节滑膜炎为特征的慢性全身性自身免疫性疾病，诊断必须符合国际认可的该疾病的诊断标准。</w:t>
            </w:r>
          </w:p>
          <w:p>
            <w:pPr>
              <w:pStyle w:val="TableParagraph"/>
              <w:spacing w:before="6"/>
              <w:rPr>
                <w:sz w:val="21"/>
              </w:rPr>
            </w:pPr>
            <w:r>
              <w:rPr>
                <w:sz w:val="21"/>
              </w:rPr>
              <w:t>只有被保险人已接受膝关节或髋关节置换手术，我们才承担赔偿责任。</w:t>
            </w:r>
          </w:p>
        </w:tc>
      </w:tr>
      <w:tr>
        <w:trPr>
          <w:trHeight w:val="1912" w:hRule="atLeast"/>
        </w:trPr>
        <w:tc>
          <w:tcPr>
            <w:tcW w:w="770" w:type="dxa"/>
          </w:tcPr>
          <w:p>
            <w:pPr>
              <w:pStyle w:val="TableParagraph"/>
              <w:spacing w:before="83"/>
              <w:ind w:left="200"/>
              <w:rPr>
                <w:rFonts w:ascii="Times New Roman"/>
                <w:b/>
                <w:sz w:val="21"/>
              </w:rPr>
            </w:pPr>
            <w:r>
              <w:rPr>
                <w:rFonts w:ascii="Times New Roman"/>
                <w:b/>
                <w:sz w:val="21"/>
              </w:rPr>
              <w:t>53.</w:t>
            </w:r>
          </w:p>
        </w:tc>
        <w:tc>
          <w:tcPr>
            <w:tcW w:w="1321" w:type="dxa"/>
          </w:tcPr>
          <w:p>
            <w:pPr>
              <w:pStyle w:val="TableParagraph"/>
              <w:spacing w:line="261" w:lineRule="auto" w:before="33"/>
              <w:ind w:left="149" w:right="74"/>
              <w:jc w:val="both"/>
              <w:rPr>
                <w:b/>
                <w:sz w:val="21"/>
              </w:rPr>
            </w:pPr>
            <w:r>
              <w:rPr>
                <w:b/>
                <w:sz w:val="21"/>
              </w:rPr>
              <w:t>非阿尔茨海默病所致严重痴呆：</w:t>
            </w:r>
          </w:p>
        </w:tc>
        <w:tc>
          <w:tcPr>
            <w:tcW w:w="7799" w:type="dxa"/>
          </w:tcPr>
          <w:p>
            <w:pPr>
              <w:pStyle w:val="TableParagraph"/>
              <w:spacing w:line="261" w:lineRule="auto" w:before="33"/>
              <w:ind w:right="30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精神疾病不在保障范围内。</w:t>
            </w:r>
          </w:p>
        </w:tc>
      </w:tr>
      <w:tr>
        <w:trPr>
          <w:trHeight w:val="1613" w:hRule="atLeast"/>
        </w:trPr>
        <w:tc>
          <w:tcPr>
            <w:tcW w:w="770" w:type="dxa"/>
          </w:tcPr>
          <w:p>
            <w:pPr>
              <w:pStyle w:val="TableParagraph"/>
              <w:spacing w:before="83"/>
              <w:ind w:left="200"/>
              <w:rPr>
                <w:rFonts w:ascii="Times New Roman"/>
                <w:b/>
                <w:sz w:val="21"/>
              </w:rPr>
            </w:pPr>
            <w:r>
              <w:rPr>
                <w:rFonts w:ascii="Times New Roman"/>
                <w:b/>
                <w:sz w:val="21"/>
              </w:rPr>
              <w:t>54.</w:t>
            </w:r>
          </w:p>
        </w:tc>
        <w:tc>
          <w:tcPr>
            <w:tcW w:w="1321" w:type="dxa"/>
          </w:tcPr>
          <w:p>
            <w:pPr>
              <w:pStyle w:val="TableParagraph"/>
              <w:spacing w:line="261" w:lineRule="auto" w:before="33"/>
              <w:ind w:left="149" w:right="74"/>
              <w:rPr>
                <w:b/>
                <w:sz w:val="21"/>
              </w:rPr>
            </w:pPr>
            <w:r>
              <w:rPr>
                <w:b/>
                <w:sz w:val="21"/>
              </w:rPr>
              <w:t>坏死性筋膜炎：</w:t>
            </w:r>
          </w:p>
        </w:tc>
        <w:tc>
          <w:tcPr>
            <w:tcW w:w="7799" w:type="dxa"/>
          </w:tcPr>
          <w:p>
            <w:pPr>
              <w:pStyle w:val="TableParagraph"/>
              <w:spacing w:before="33"/>
              <w:rPr>
                <w:sz w:val="21"/>
              </w:rPr>
            </w:pPr>
            <w:r>
              <w:rPr>
                <w:sz w:val="21"/>
              </w:rPr>
              <w:t>坏死性筋膜炎的诊断须同时符合下列要求：</w:t>
            </w:r>
          </w:p>
          <w:p>
            <w:pPr>
              <w:pStyle w:val="TableParagraph"/>
              <w:spacing w:before="24"/>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10"/>
              <w:ind w:right="259"/>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70" w:type="dxa"/>
          </w:tcPr>
          <w:p>
            <w:pPr>
              <w:pStyle w:val="TableParagraph"/>
              <w:spacing w:before="83"/>
              <w:ind w:left="200"/>
              <w:rPr>
                <w:rFonts w:ascii="Times New Roman"/>
                <w:b/>
                <w:sz w:val="21"/>
              </w:rPr>
            </w:pPr>
            <w:r>
              <w:rPr>
                <w:rFonts w:ascii="Times New Roman"/>
                <w:b/>
                <w:sz w:val="21"/>
              </w:rPr>
              <w:t>55.</w:t>
            </w:r>
          </w:p>
        </w:tc>
        <w:tc>
          <w:tcPr>
            <w:tcW w:w="1321" w:type="dxa"/>
          </w:tcPr>
          <w:p>
            <w:pPr>
              <w:pStyle w:val="TableParagraph"/>
              <w:spacing w:line="261" w:lineRule="auto" w:before="33"/>
              <w:ind w:left="149" w:right="74"/>
              <w:jc w:val="both"/>
              <w:rPr>
                <w:b/>
                <w:sz w:val="21"/>
              </w:rPr>
            </w:pPr>
            <w:r>
              <w:rPr>
                <w:b/>
                <w:sz w:val="21"/>
              </w:rPr>
              <w:t>严重慢性复发性胰腺炎：</w:t>
            </w:r>
          </w:p>
        </w:tc>
        <w:tc>
          <w:tcPr>
            <w:tcW w:w="7799" w:type="dxa"/>
          </w:tcPr>
          <w:p>
            <w:pPr>
              <w:pStyle w:val="TableParagraph"/>
              <w:spacing w:line="261" w:lineRule="auto" w:before="33"/>
              <w:ind w:right="197"/>
              <w:rPr>
                <w:sz w:val="21"/>
              </w:rPr>
            </w:pPr>
            <w:r>
              <w:rPr>
                <w:sz w:val="21"/>
              </w:rPr>
              <w:t>指慢性反复发作的胰腺炎症导致胰腺的广泛纤维化、坏死、弥漫性钙化及假性囊</w:t>
            </w:r>
            <w:r>
              <w:rPr>
                <w:spacing w:val="-7"/>
                <w:sz w:val="21"/>
              </w:rPr>
              <w:t>肿形成，造成胰腺功能障碍出现严重糖尿病和营养不良。必须满足以下所有条件：</w:t>
            </w:r>
          </w:p>
          <w:p>
            <w:pPr>
              <w:pStyle w:val="TableParagraph"/>
              <w:spacing w:line="247" w:lineRule="auto" w:before="5"/>
              <w:ind w:left="602" w:right="241"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47" w:lineRule="auto" w:before="18"/>
              <w:ind w:right="2718"/>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日以上。酒精导致的慢性复发性胰腺炎不在本保障范围内。</w:t>
            </w:r>
          </w:p>
        </w:tc>
      </w:tr>
      <w:tr>
        <w:trPr>
          <w:trHeight w:val="2214" w:hRule="atLeast"/>
        </w:trPr>
        <w:tc>
          <w:tcPr>
            <w:tcW w:w="770" w:type="dxa"/>
          </w:tcPr>
          <w:p>
            <w:pPr>
              <w:pStyle w:val="TableParagraph"/>
              <w:spacing w:before="83"/>
              <w:ind w:left="200"/>
              <w:rPr>
                <w:rFonts w:ascii="Times New Roman"/>
                <w:b/>
                <w:sz w:val="21"/>
              </w:rPr>
            </w:pPr>
            <w:r>
              <w:rPr>
                <w:rFonts w:ascii="Times New Roman"/>
                <w:b/>
                <w:sz w:val="21"/>
              </w:rPr>
              <w:t>56.</w:t>
            </w:r>
          </w:p>
        </w:tc>
        <w:tc>
          <w:tcPr>
            <w:tcW w:w="1321" w:type="dxa"/>
          </w:tcPr>
          <w:p>
            <w:pPr>
              <w:pStyle w:val="TableParagraph"/>
              <w:spacing w:line="261" w:lineRule="auto" w:before="33"/>
              <w:ind w:left="149" w:right="74"/>
              <w:jc w:val="both"/>
              <w:rPr>
                <w:b/>
                <w:sz w:val="21"/>
              </w:rPr>
            </w:pPr>
            <w:r>
              <w:rPr>
                <w:b/>
                <w:spacing w:val="45"/>
                <w:sz w:val="21"/>
              </w:rPr>
              <w:t>胰岛素依赖型糖尿</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799" w:type="dxa"/>
          </w:tcPr>
          <w:p>
            <w:pPr>
              <w:pStyle w:val="TableParagraph"/>
              <w:spacing w:before="33"/>
              <w:rPr>
                <w:sz w:val="21"/>
              </w:rPr>
            </w:pPr>
            <w:r>
              <w:rPr>
                <w:sz w:val="21"/>
              </w:rPr>
              <w:t>经内分泌专科医生明确诊断为Ｉ型糖尿病，且须同时满足下列条件：</w:t>
            </w:r>
          </w:p>
          <w:p>
            <w:pPr>
              <w:pStyle w:val="TableParagraph"/>
              <w:spacing w:before="24"/>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496"/>
              <w:rPr>
                <w:sz w:val="21"/>
              </w:rPr>
            </w:pPr>
            <w:r>
              <w:rPr>
                <w:sz w:val="21"/>
              </w:rPr>
              <w:t>①并发增殖性视网膜病变；</w:t>
            </w:r>
          </w:p>
          <w:p>
            <w:pPr>
              <w:pStyle w:val="TableParagraph"/>
              <w:spacing w:before="24"/>
              <w:ind w:left="496"/>
              <w:rPr>
                <w:sz w:val="21"/>
              </w:rPr>
            </w:pPr>
            <w:r>
              <w:rPr>
                <w:sz w:val="21"/>
              </w:rPr>
              <w:t>②并发心脏病变，并须植入心脏起搏器进行治疗；</w:t>
            </w:r>
          </w:p>
          <w:p>
            <w:pPr>
              <w:pStyle w:val="TableParagraph"/>
              <w:spacing w:before="24"/>
              <w:ind w:left="496"/>
              <w:rPr>
                <w:sz w:val="21"/>
              </w:rPr>
            </w:pPr>
            <w:r>
              <w:rPr>
                <w:sz w:val="21"/>
              </w:rPr>
              <w:t>③至少一个脚趾发生坏疽并已达到手术切除指征。</w:t>
            </w:r>
          </w:p>
        </w:tc>
      </w:tr>
      <w:tr>
        <w:trPr>
          <w:trHeight w:val="932" w:hRule="atLeast"/>
        </w:trPr>
        <w:tc>
          <w:tcPr>
            <w:tcW w:w="770" w:type="dxa"/>
          </w:tcPr>
          <w:p>
            <w:pPr>
              <w:pStyle w:val="TableParagraph"/>
              <w:spacing w:before="35"/>
              <w:ind w:left="200"/>
              <w:rPr>
                <w:rFonts w:ascii="Times New Roman" w:eastAsia="Times New Roman"/>
                <w:b/>
                <w:sz w:val="21"/>
              </w:rPr>
            </w:pPr>
            <w:r>
              <w:rPr>
                <w:b/>
                <w:sz w:val="21"/>
              </w:rPr>
              <w:t>注 </w:t>
            </w:r>
            <w:r>
              <w:rPr>
                <w:rFonts w:ascii="Times New Roman" w:eastAsia="Times New Roman"/>
                <w:b/>
                <w:sz w:val="21"/>
              </w:rPr>
              <w:t>1.</w:t>
            </w:r>
          </w:p>
        </w:tc>
        <w:tc>
          <w:tcPr>
            <w:tcW w:w="1321" w:type="dxa"/>
          </w:tcPr>
          <w:p>
            <w:pPr>
              <w:pStyle w:val="TableParagraph"/>
              <w:spacing w:before="35"/>
              <w:ind w:left="149"/>
              <w:rPr>
                <w:b/>
                <w:sz w:val="21"/>
              </w:rPr>
            </w:pPr>
            <w:r>
              <w:rPr>
                <w:b/>
                <w:sz w:val="21"/>
              </w:rPr>
              <w:t>专科医生：</w:t>
            </w:r>
          </w:p>
        </w:tc>
        <w:tc>
          <w:tcPr>
            <w:tcW w:w="7799" w:type="dxa"/>
          </w:tcPr>
          <w:p>
            <w:pPr>
              <w:pStyle w:val="TableParagraph"/>
              <w:spacing w:line="300" w:lineRule="atLeast" w:before="25"/>
              <w:ind w:right="300"/>
              <w:jc w:val="both"/>
              <w:rPr>
                <w:sz w:val="21"/>
              </w:rPr>
            </w:pPr>
            <w:r>
              <w:rPr>
                <w:spacing w:val="-4"/>
                <w:sz w:val="21"/>
              </w:rPr>
              <w:t>专科医生应当同时满足以下四项资格条件：</w:t>
            </w:r>
            <w:r>
              <w:rPr>
                <w:spacing w:val="-9"/>
                <w:sz w:val="21"/>
              </w:rPr>
              <w:t>（</w:t>
            </w:r>
            <w:r>
              <w:rPr>
                <w:rFonts w:ascii="Times New Roman" w:eastAsia="Times New Roman"/>
                <w:spacing w:val="-9"/>
                <w:sz w:val="21"/>
              </w:rPr>
              <w:t>1</w:t>
            </w:r>
            <w:r>
              <w:rPr>
                <w:spacing w:val="-9"/>
                <w:sz w:val="21"/>
              </w:rPr>
              <w:t>）</w:t>
            </w:r>
            <w:r>
              <w:rPr>
                <w:spacing w:val="-4"/>
                <w:sz w:val="21"/>
              </w:rPr>
              <w:t>具有有效的中华人民共和国《医</w:t>
            </w:r>
            <w:r>
              <w:rPr>
                <w:spacing w:val="-5"/>
                <w:sz w:val="21"/>
              </w:rPr>
              <w:t>师资格证书》；</w:t>
            </w:r>
            <w:r>
              <w:rPr>
                <w:spacing w:val="-6"/>
                <w:sz w:val="21"/>
              </w:rPr>
              <w:t>（</w:t>
            </w:r>
            <w:r>
              <w:rPr>
                <w:rFonts w:ascii="Times New Roman" w:eastAsia="Times New Roman"/>
                <w:spacing w:val="-6"/>
                <w:sz w:val="21"/>
              </w:rPr>
              <w:t>2</w:t>
            </w:r>
            <w:r>
              <w:rPr>
                <w:spacing w:val="-6"/>
                <w:sz w:val="21"/>
              </w:rPr>
              <w:t>）</w:t>
            </w:r>
            <w:r>
              <w:rPr>
                <w:spacing w:val="-5"/>
                <w:sz w:val="21"/>
              </w:rPr>
              <w:t>具有有效的中华人民共和国《医师执业证书》，并按期到相关部门登记注册；</w:t>
            </w:r>
            <w:r>
              <w:rPr>
                <w:spacing w:val="-12"/>
                <w:sz w:val="21"/>
              </w:rPr>
              <w:t>（</w:t>
            </w:r>
            <w:r>
              <w:rPr>
                <w:rFonts w:ascii="Times New Roman" w:eastAsia="Times New Roman"/>
                <w:spacing w:val="-12"/>
                <w:sz w:val="21"/>
              </w:rPr>
              <w:t>3</w:t>
            </w:r>
            <w:r>
              <w:rPr>
                <w:spacing w:val="-12"/>
                <w:sz w:val="21"/>
              </w:rPr>
              <w:t>）</w:t>
            </w:r>
            <w:r>
              <w:rPr>
                <w:spacing w:val="-3"/>
                <w:sz w:val="21"/>
              </w:rPr>
              <w:t>具有有效的中华人民共和国主治医师或主治医师以上职称</w:t>
            </w:r>
          </w:p>
        </w:tc>
      </w:tr>
    </w:tbl>
    <w:p>
      <w:pPr>
        <w:spacing w:after="0" w:line="300" w:lineRule="atLeast"/>
        <w:jc w:val="both"/>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20"/>
        <w:gridCol w:w="7802"/>
      </w:tblGrid>
      <w:tr>
        <w:trPr>
          <w:trHeight w:val="615" w:hRule="atLeast"/>
        </w:trPr>
        <w:tc>
          <w:tcPr>
            <w:tcW w:w="771" w:type="dxa"/>
          </w:tcPr>
          <w:p>
            <w:pPr>
              <w:pStyle w:val="TableParagraph"/>
              <w:ind w:left="0"/>
              <w:rPr>
                <w:rFonts w:ascii="Times New Roman"/>
                <w:sz w:val="20"/>
              </w:rPr>
            </w:pPr>
          </w:p>
        </w:tc>
        <w:tc>
          <w:tcPr>
            <w:tcW w:w="1320" w:type="dxa"/>
          </w:tcPr>
          <w:p>
            <w:pPr>
              <w:pStyle w:val="TableParagraph"/>
              <w:ind w:left="0"/>
              <w:rPr>
                <w:rFonts w:ascii="Times New Roman"/>
                <w:sz w:val="20"/>
              </w:rPr>
            </w:pPr>
          </w:p>
        </w:tc>
        <w:tc>
          <w:tcPr>
            <w:tcW w:w="7802" w:type="dxa"/>
          </w:tcPr>
          <w:p>
            <w:pPr>
              <w:pStyle w:val="TableParagraph"/>
              <w:spacing w:line="227" w:lineRule="exact"/>
              <w:rPr>
                <w:sz w:val="21"/>
              </w:rPr>
            </w:pPr>
            <w:r>
              <w:rPr>
                <w:sz w:val="21"/>
              </w:rPr>
              <w:t>的《医师职称证书》；（</w:t>
            </w:r>
            <w:r>
              <w:rPr>
                <w:rFonts w:ascii="Times New Roman" w:eastAsia="Times New Roman"/>
                <w:sz w:val="21"/>
              </w:rPr>
              <w:t>4</w:t>
            </w:r>
            <w:r>
              <w:rPr>
                <w:sz w:val="21"/>
              </w:rPr>
              <w:t>）在二级或二级以上医院的相应科室从事临床工作三年</w:t>
            </w:r>
          </w:p>
          <w:p>
            <w:pPr>
              <w:pStyle w:val="TableParagraph"/>
              <w:spacing w:before="9"/>
              <w:rPr>
                <w:sz w:val="21"/>
              </w:rPr>
            </w:pPr>
            <w:r>
              <w:rPr>
                <w:sz w:val="21"/>
              </w:rPr>
              <w:t>以上。</w:t>
            </w:r>
          </w:p>
        </w:tc>
      </w:tr>
      <w:tr>
        <w:trPr>
          <w:trHeight w:val="7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2.</w:t>
            </w:r>
          </w:p>
        </w:tc>
        <w:tc>
          <w:tcPr>
            <w:tcW w:w="1320" w:type="dxa"/>
          </w:tcPr>
          <w:p>
            <w:pPr>
              <w:pStyle w:val="TableParagraph"/>
              <w:spacing w:line="261" w:lineRule="auto" w:before="33"/>
              <w:ind w:left="148" w:right="74"/>
              <w:rPr>
                <w:b/>
                <w:sz w:val="21"/>
              </w:rPr>
            </w:pPr>
            <w:r>
              <w:rPr>
                <w:b/>
                <w:sz w:val="21"/>
              </w:rPr>
              <w:t>肢体机能完全丧失：</w:t>
            </w:r>
          </w:p>
        </w:tc>
        <w:tc>
          <w:tcPr>
            <w:tcW w:w="7802" w:type="dxa"/>
          </w:tcPr>
          <w:p>
            <w:pPr>
              <w:pStyle w:val="TableParagraph"/>
              <w:spacing w:line="261" w:lineRule="auto" w:before="33"/>
              <w:ind w:right="309"/>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320" w:type="dxa"/>
          </w:tcPr>
          <w:p>
            <w:pPr>
              <w:pStyle w:val="TableParagraph"/>
              <w:spacing w:line="261" w:lineRule="auto" w:before="33"/>
              <w:ind w:left="148" w:right="74"/>
              <w:jc w:val="both"/>
              <w:rPr>
                <w:b/>
                <w:sz w:val="21"/>
              </w:rPr>
            </w:pPr>
            <w:r>
              <w:rPr>
                <w:b/>
                <w:sz w:val="21"/>
              </w:rPr>
              <w:t>语言能力或咀嚼吞咽能力完全丧失：</w:t>
            </w:r>
          </w:p>
        </w:tc>
        <w:tc>
          <w:tcPr>
            <w:tcW w:w="7802" w:type="dxa"/>
          </w:tcPr>
          <w:p>
            <w:pPr>
              <w:pStyle w:val="TableParagraph"/>
              <w:spacing w:line="261" w:lineRule="auto" w:before="33"/>
              <w:ind w:right="309"/>
              <w:rPr>
                <w:sz w:val="21"/>
              </w:rPr>
            </w:pPr>
            <w:r>
              <w:rPr>
                <w:sz w:val="21"/>
              </w:rPr>
              <w:t>语言能力完全丧失，指无法发出四种语音（包括口唇音、齿舌音、口盖音和喉头音）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1"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320" w:type="dxa"/>
          </w:tcPr>
          <w:p>
            <w:pPr>
              <w:pStyle w:val="TableParagraph"/>
              <w:spacing w:line="261" w:lineRule="auto" w:before="33"/>
              <w:ind w:left="148" w:right="74"/>
              <w:jc w:val="both"/>
              <w:rPr>
                <w:b/>
                <w:sz w:val="21"/>
              </w:rPr>
            </w:pPr>
            <w:r>
              <w:rPr>
                <w:b/>
                <w:sz w:val="21"/>
              </w:rPr>
              <w:t>六项基本日常生活活动：</w:t>
            </w:r>
          </w:p>
        </w:tc>
        <w:tc>
          <w:tcPr>
            <w:tcW w:w="7802" w:type="dxa"/>
          </w:tcPr>
          <w:p>
            <w:pPr>
              <w:pStyle w:val="TableParagraph"/>
              <w:spacing w:line="247" w:lineRule="auto" w:before="33"/>
              <w:ind w:right="262"/>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1"/>
              <w:jc w:val="both"/>
              <w:rPr>
                <w:sz w:val="21"/>
              </w:rPr>
            </w:pPr>
            <w:r>
              <w:rPr>
                <w:sz w:val="21"/>
              </w:rPr>
              <w:t>（</w:t>
            </w:r>
            <w:r>
              <w:rPr>
                <w:rFonts w:ascii="Times New Roman" w:eastAsia="Times New Roman"/>
                <w:sz w:val="21"/>
              </w:rPr>
              <w:t>6</w:t>
            </w:r>
            <w:r>
              <w:rPr>
                <w:sz w:val="21"/>
              </w:rPr>
              <w:t>）洗澡：自己进行淋浴或盆浴。</w:t>
            </w:r>
          </w:p>
        </w:tc>
      </w:tr>
      <w:tr>
        <w:trPr>
          <w:trHeight w:val="705" w:hRule="atLeast"/>
        </w:trPr>
        <w:tc>
          <w:tcPr>
            <w:tcW w:w="771" w:type="dxa"/>
          </w:tcPr>
          <w:p>
            <w:pPr>
              <w:pStyle w:val="TableParagraph"/>
              <w:spacing w:before="26"/>
              <w:ind w:left="200"/>
              <w:rPr>
                <w:rFonts w:ascii="Times New Roman" w:eastAsia="Times New Roman"/>
                <w:b/>
                <w:sz w:val="21"/>
              </w:rPr>
            </w:pPr>
            <w:r>
              <w:rPr>
                <w:b/>
                <w:sz w:val="21"/>
              </w:rPr>
              <w:t>注 </w:t>
            </w:r>
            <w:r>
              <w:rPr>
                <w:rFonts w:ascii="Times New Roman" w:eastAsia="Times New Roman"/>
                <w:b/>
                <w:sz w:val="21"/>
              </w:rPr>
              <w:t>5.</w:t>
            </w:r>
          </w:p>
        </w:tc>
        <w:tc>
          <w:tcPr>
            <w:tcW w:w="1320" w:type="dxa"/>
          </w:tcPr>
          <w:p>
            <w:pPr>
              <w:pStyle w:val="TableParagraph"/>
              <w:spacing w:line="261" w:lineRule="auto" w:before="26"/>
              <w:ind w:left="148" w:right="74"/>
              <w:rPr>
                <w:b/>
                <w:sz w:val="21"/>
              </w:rPr>
            </w:pPr>
            <w:r>
              <w:rPr>
                <w:b/>
                <w:sz w:val="21"/>
              </w:rPr>
              <w:t>永久不可逆：</w:t>
            </w:r>
          </w:p>
        </w:tc>
        <w:tc>
          <w:tcPr>
            <w:tcW w:w="7802" w:type="dxa"/>
          </w:tcPr>
          <w:p>
            <w:pPr>
              <w:pStyle w:val="TableParagraph"/>
              <w:spacing w:line="247" w:lineRule="auto" w:before="26"/>
              <w:ind w:right="303"/>
              <w:rPr>
                <w:sz w:val="21"/>
              </w:rPr>
            </w:pPr>
            <w:r>
              <w:rPr>
                <w:spacing w:val="-3"/>
                <w:sz w:val="21"/>
              </w:rPr>
              <w:t>指自疾病确诊或意外伤害发生之日起，经过积极治疗 </w:t>
            </w:r>
            <w:r>
              <w:rPr>
                <w:rFonts w:ascii="Times New Roman" w:eastAsia="Times New Roman"/>
                <w:sz w:val="21"/>
              </w:rPr>
              <w:t>180 </w:t>
            </w:r>
            <w:r>
              <w:rPr>
                <w:spacing w:val="-3"/>
                <w:sz w:val="21"/>
              </w:rPr>
              <w:t>日后，仍无法通过现有医疗手段恢复。</w:t>
            </w:r>
          </w:p>
        </w:tc>
      </w:tr>
      <w:tr>
        <w:trPr>
          <w:trHeight w:val="712" w:hRule="atLeast"/>
        </w:trPr>
        <w:tc>
          <w:tcPr>
            <w:tcW w:w="771" w:type="dxa"/>
          </w:tcPr>
          <w:p>
            <w:pPr>
              <w:pStyle w:val="TableParagraph"/>
              <w:spacing w:before="83"/>
              <w:ind w:left="200"/>
              <w:rPr>
                <w:rFonts w:ascii="Times New Roman"/>
                <w:b/>
                <w:sz w:val="21"/>
              </w:rPr>
            </w:pPr>
            <w:r>
              <w:rPr>
                <w:rFonts w:ascii="Times New Roman"/>
                <w:b/>
                <w:sz w:val="21"/>
              </w:rPr>
              <w:t>6.8</w:t>
            </w:r>
          </w:p>
        </w:tc>
        <w:tc>
          <w:tcPr>
            <w:tcW w:w="1320" w:type="dxa"/>
          </w:tcPr>
          <w:p>
            <w:pPr>
              <w:pStyle w:val="TableParagraph"/>
              <w:spacing w:before="33"/>
              <w:ind w:left="148"/>
              <w:rPr>
                <w:b/>
                <w:sz w:val="21"/>
              </w:rPr>
            </w:pPr>
            <w:r>
              <w:rPr>
                <w:b/>
                <w:sz w:val="21"/>
              </w:rPr>
              <w:t>特定疾病</w:t>
            </w:r>
          </w:p>
        </w:tc>
        <w:tc>
          <w:tcPr>
            <w:tcW w:w="7802" w:type="dxa"/>
          </w:tcPr>
          <w:p>
            <w:pPr>
              <w:pStyle w:val="TableParagraph"/>
              <w:spacing w:line="261" w:lineRule="auto" w:before="33"/>
              <w:ind w:right="307"/>
              <w:rPr>
                <w:sz w:val="21"/>
              </w:rPr>
            </w:pPr>
            <w:r>
              <w:rPr>
                <w:sz w:val="21"/>
              </w:rPr>
              <w:t>指被保险人经我们认可的医院的专科医生确诊，初次发生符合下列定义的疾病或初次接受符合下列定义的手术。</w:t>
            </w:r>
          </w:p>
        </w:tc>
      </w:tr>
      <w:tr>
        <w:trPr>
          <w:trHeight w:val="1989" w:hRule="atLeast"/>
        </w:trPr>
        <w:tc>
          <w:tcPr>
            <w:tcW w:w="771" w:type="dxa"/>
          </w:tcPr>
          <w:p>
            <w:pPr>
              <w:pStyle w:val="TableParagraph"/>
              <w:spacing w:before="83"/>
              <w:ind w:left="200"/>
              <w:rPr>
                <w:rFonts w:ascii="Times New Roman"/>
                <w:b/>
                <w:sz w:val="21"/>
              </w:rPr>
            </w:pPr>
            <w:r>
              <w:rPr>
                <w:rFonts w:ascii="Times New Roman"/>
                <w:b/>
                <w:sz w:val="21"/>
              </w:rPr>
              <w:t>1.</w:t>
            </w:r>
          </w:p>
        </w:tc>
        <w:tc>
          <w:tcPr>
            <w:tcW w:w="1320" w:type="dxa"/>
          </w:tcPr>
          <w:p>
            <w:pPr>
              <w:pStyle w:val="TableParagraph"/>
              <w:spacing w:line="261" w:lineRule="auto" w:before="34"/>
              <w:ind w:left="148" w:right="74"/>
              <w:jc w:val="both"/>
              <w:rPr>
                <w:b/>
                <w:sz w:val="21"/>
              </w:rPr>
            </w:pPr>
            <w:r>
              <w:rPr>
                <w:b/>
                <w:sz w:val="21"/>
              </w:rPr>
              <w:t>极早期的恶性肿瘤或恶性病变：</w:t>
            </w:r>
          </w:p>
        </w:tc>
        <w:tc>
          <w:tcPr>
            <w:tcW w:w="7802" w:type="dxa"/>
          </w:tcPr>
          <w:p>
            <w:pPr>
              <w:pStyle w:val="TableParagraph"/>
              <w:spacing w:before="27"/>
              <w:rPr>
                <w:sz w:val="21"/>
              </w:rPr>
            </w:pPr>
            <w:r>
              <w:rPr>
                <w:sz w:val="21"/>
              </w:rPr>
              <w:t>指经组织病理学检查被明确诊断为下列恶性病变，并且接受了相应的治疗。</w:t>
            </w:r>
          </w:p>
          <w:p>
            <w:pPr>
              <w:pStyle w:val="TableParagraph"/>
              <w:spacing w:before="37"/>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sz w:val="21"/>
              </w:rPr>
              <w:t>（</w:t>
            </w:r>
            <w:r>
              <w:rPr>
                <w:rFonts w:ascii="Times New Roman" w:eastAsia="Times New Roman"/>
                <w:sz w:val="21"/>
              </w:rPr>
              <w:t>4</w:t>
            </w:r>
            <w:r>
              <w:rPr>
                <w:sz w:val="21"/>
              </w:rPr>
              <w:t>）皮肤癌；</w:t>
            </w:r>
          </w:p>
          <w:p>
            <w:pPr>
              <w:pStyle w:val="TableParagraph"/>
              <w:spacing w:before="2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1957" w:hRule="atLeast"/>
        </w:trPr>
        <w:tc>
          <w:tcPr>
            <w:tcW w:w="771" w:type="dxa"/>
          </w:tcPr>
          <w:p>
            <w:pPr>
              <w:pStyle w:val="TableParagraph"/>
              <w:spacing w:before="68"/>
              <w:ind w:left="200"/>
              <w:rPr>
                <w:rFonts w:ascii="Times New Roman"/>
                <w:b/>
                <w:sz w:val="21"/>
              </w:rPr>
            </w:pPr>
            <w:r>
              <w:rPr>
                <w:rFonts w:ascii="Times New Roman"/>
                <w:b/>
                <w:sz w:val="21"/>
              </w:rPr>
              <w:t>2.</w:t>
            </w:r>
          </w:p>
        </w:tc>
        <w:tc>
          <w:tcPr>
            <w:tcW w:w="1320" w:type="dxa"/>
          </w:tcPr>
          <w:p>
            <w:pPr>
              <w:pStyle w:val="TableParagraph"/>
              <w:spacing w:line="261" w:lineRule="auto" w:before="19"/>
              <w:ind w:left="148" w:right="74"/>
              <w:jc w:val="both"/>
              <w:rPr>
                <w:b/>
                <w:sz w:val="21"/>
              </w:rPr>
            </w:pPr>
            <w:r>
              <w:rPr>
                <w:b/>
                <w:sz w:val="21"/>
              </w:rPr>
              <w:t>不典型的急性心肌梗塞：</w:t>
            </w:r>
          </w:p>
        </w:tc>
        <w:tc>
          <w:tcPr>
            <w:tcW w:w="7802" w:type="dxa"/>
          </w:tcPr>
          <w:p>
            <w:pPr>
              <w:pStyle w:val="TableParagraph"/>
              <w:spacing w:before="12"/>
              <w:rPr>
                <w:sz w:val="21"/>
              </w:rPr>
            </w:pPr>
            <w:r>
              <w:rPr>
                <w:sz w:val="21"/>
              </w:rPr>
              <w:t>指被临床诊断为急性心肌梗塞并接受了急性心肌梗塞治疗，虽然未达到重大疾病</w:t>
            </w:r>
          </w:p>
          <w:p>
            <w:pPr>
              <w:pStyle w:val="TableParagraph"/>
              <w:spacing w:before="37"/>
              <w:rPr>
                <w:sz w:val="21"/>
              </w:rPr>
            </w:pPr>
            <w:r>
              <w:rPr>
                <w:sz w:val="21"/>
              </w:rPr>
              <w:t>“急性心肌梗塞”的给付标准，但满足下列全部条件：</w:t>
            </w:r>
          </w:p>
          <w:p>
            <w:pPr>
              <w:pStyle w:val="TableParagraph"/>
              <w:spacing w:before="37"/>
              <w:rPr>
                <w:sz w:val="21"/>
              </w:rPr>
            </w:pPr>
            <w:r>
              <w:rPr>
                <w:sz w:val="21"/>
              </w:rPr>
              <w:t>（</w:t>
            </w:r>
            <w:r>
              <w:rPr>
                <w:rFonts w:ascii="Times New Roman" w:eastAsia="Times New Roman"/>
                <w:sz w:val="21"/>
              </w:rPr>
              <w:t>1</w:t>
            </w:r>
            <w:r>
              <w:rPr>
                <w:sz w:val="21"/>
              </w:rPr>
              <w:t>）肌钙蛋白有诊断意义的升高；</w:t>
            </w:r>
          </w:p>
          <w:p>
            <w:pPr>
              <w:pStyle w:val="TableParagraph"/>
              <w:spacing w:before="21"/>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73" w:lineRule="auto" w:before="21"/>
              <w:ind w:right="309"/>
              <w:rPr>
                <w:sz w:val="21"/>
              </w:rPr>
            </w:pPr>
            <w:r>
              <w:rPr>
                <w:sz w:val="21"/>
              </w:rPr>
              <w:t>若被保险人在出现不典型的急性心肌梗塞后接受冠状动脉介入手术治疗，该冠状动脉介入手术与不典型的急性心肌梗塞视为同一特定疾病。</w:t>
            </w:r>
          </w:p>
        </w:tc>
      </w:tr>
      <w:tr>
        <w:trPr>
          <w:trHeight w:val="1684" w:hRule="atLeast"/>
        </w:trPr>
        <w:tc>
          <w:tcPr>
            <w:tcW w:w="771" w:type="dxa"/>
          </w:tcPr>
          <w:p>
            <w:pPr>
              <w:pStyle w:val="TableParagraph"/>
              <w:spacing w:before="96"/>
              <w:ind w:left="200"/>
              <w:rPr>
                <w:rFonts w:ascii="Times New Roman"/>
                <w:b/>
                <w:sz w:val="21"/>
              </w:rPr>
            </w:pPr>
            <w:r>
              <w:rPr>
                <w:rFonts w:ascii="Times New Roman"/>
                <w:b/>
                <w:sz w:val="21"/>
              </w:rPr>
              <w:t>3.</w:t>
            </w:r>
          </w:p>
        </w:tc>
        <w:tc>
          <w:tcPr>
            <w:tcW w:w="1320" w:type="dxa"/>
          </w:tcPr>
          <w:p>
            <w:pPr>
              <w:pStyle w:val="TableParagraph"/>
              <w:spacing w:line="261" w:lineRule="auto" w:before="47"/>
              <w:ind w:left="148" w:right="74"/>
              <w:rPr>
                <w:b/>
                <w:sz w:val="21"/>
              </w:rPr>
            </w:pPr>
            <w:r>
              <w:rPr>
                <w:b/>
                <w:sz w:val="21"/>
              </w:rPr>
              <w:t>轻微脑中风：</w:t>
            </w:r>
          </w:p>
        </w:tc>
        <w:tc>
          <w:tcPr>
            <w:tcW w:w="7802" w:type="dxa"/>
          </w:tcPr>
          <w:p>
            <w:pPr>
              <w:pStyle w:val="TableParagraph"/>
              <w:spacing w:line="256" w:lineRule="auto" w:before="39"/>
              <w:ind w:right="303"/>
              <w:jc w:val="both"/>
              <w:rPr>
                <w:sz w:val="21"/>
              </w:rPr>
            </w:pPr>
            <w:r>
              <w:rPr>
                <w:spacing w:val="-10"/>
                <w:w w:val="100"/>
                <w:sz w:val="21"/>
              </w:rPr>
              <w:t>指实际发生了脑血管的突发病变出现神经系统功能障碍表现，头颅断层扫描</w:t>
            </w:r>
            <w:r>
              <w:rPr>
                <w:spacing w:val="-2"/>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z w:val="21"/>
              </w:rPr>
              <w:t>核磁共振（</w:t>
            </w:r>
            <w:r>
              <w:rPr>
                <w:rFonts w:ascii="Times New Roman" w:hAnsi="Times New Roman" w:eastAsia="Times New Roman"/>
                <w:sz w:val="21"/>
              </w:rPr>
              <w:t>MRI</w:t>
            </w:r>
            <w:r>
              <w:rPr>
                <w:sz w:val="21"/>
              </w:rPr>
              <w:t>）等影像学检查证实存在对应病灶，确诊为脑出血、脑栓塞或脑</w:t>
            </w:r>
            <w:r>
              <w:rPr>
                <w:spacing w:val="-2"/>
                <w:sz w:val="21"/>
              </w:rPr>
              <w:t>梗塞，在确诊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1"/>
              <w:jc w:val="both"/>
              <w:rPr>
                <w:sz w:val="21"/>
              </w:rPr>
            </w:pPr>
            <w:r>
              <w:rPr>
                <w:sz w:val="21"/>
              </w:rPr>
              <w:t>短暂性脑缺血发作(</w:t>
            </w:r>
            <w:r>
              <w:rPr>
                <w:rFonts w:ascii="Times New Roman" w:eastAsia="Times New Roman"/>
                <w:sz w:val="21"/>
              </w:rPr>
              <w:t>TIA</w:t>
            </w:r>
            <w:r>
              <w:rPr>
                <w:sz w:val="21"/>
              </w:rPr>
              <w:t>)和腔隙性脑梗塞不在保障范围内。</w:t>
            </w:r>
          </w:p>
        </w:tc>
      </w:tr>
      <w:tr>
        <w:trPr>
          <w:trHeight w:val="1353" w:hRule="atLeast"/>
        </w:trPr>
        <w:tc>
          <w:tcPr>
            <w:tcW w:w="771" w:type="dxa"/>
          </w:tcPr>
          <w:p>
            <w:pPr>
              <w:pStyle w:val="TableParagraph"/>
              <w:spacing w:before="85"/>
              <w:ind w:left="200"/>
              <w:rPr>
                <w:rFonts w:ascii="Times New Roman"/>
                <w:b/>
                <w:sz w:val="21"/>
              </w:rPr>
            </w:pPr>
            <w:r>
              <w:rPr>
                <w:rFonts w:ascii="Times New Roman"/>
                <w:b/>
                <w:sz w:val="21"/>
              </w:rPr>
              <w:t>4.</w:t>
            </w:r>
          </w:p>
        </w:tc>
        <w:tc>
          <w:tcPr>
            <w:tcW w:w="1320" w:type="dxa"/>
          </w:tcPr>
          <w:p>
            <w:pPr>
              <w:pStyle w:val="TableParagraph"/>
              <w:spacing w:line="261" w:lineRule="auto" w:before="35"/>
              <w:ind w:left="148" w:right="74"/>
              <w:rPr>
                <w:b/>
                <w:sz w:val="21"/>
              </w:rPr>
            </w:pPr>
            <w:r>
              <w:rPr>
                <w:b/>
                <w:sz w:val="21"/>
              </w:rPr>
              <w:t>冠状动脉介入手术：</w:t>
            </w:r>
          </w:p>
        </w:tc>
        <w:tc>
          <w:tcPr>
            <w:tcW w:w="7802" w:type="dxa"/>
          </w:tcPr>
          <w:p>
            <w:pPr>
              <w:pStyle w:val="TableParagraph"/>
              <w:spacing w:line="273" w:lineRule="auto" w:before="28"/>
              <w:ind w:right="198"/>
              <w:rPr>
                <w:sz w:val="21"/>
              </w:rPr>
            </w:pPr>
            <w:r>
              <w:rPr>
                <w:spacing w:val="-6"/>
                <w:sz w:val="21"/>
              </w:rPr>
              <w:t>为了治疗明显的冠状动脉狭窄性疾病，首次实际实施了冠状动脉球囊扩张成形术、</w:t>
            </w:r>
            <w:r>
              <w:rPr>
                <w:spacing w:val="-4"/>
                <w:sz w:val="21"/>
              </w:rPr>
              <w:t>冠状动脉支架植入术或激光冠状动脉成形术。</w:t>
            </w:r>
          </w:p>
          <w:p>
            <w:pPr>
              <w:pStyle w:val="TableParagraph"/>
              <w:spacing w:line="273" w:lineRule="auto" w:before="8"/>
              <w:ind w:right="309"/>
              <w:rPr>
                <w:sz w:val="21"/>
              </w:rPr>
            </w:pPr>
            <w:r>
              <w:rPr>
                <w:sz w:val="21"/>
              </w:rPr>
              <w:t>若被保险人在出现不典型的急性心肌梗塞后接受冠状动脉介入手术治疗，该冠状动脉介入手术与不典型的急性心肌梗塞视为同一特定疾病。</w:t>
            </w:r>
          </w:p>
        </w:tc>
      </w:tr>
      <w:tr>
        <w:trPr>
          <w:trHeight w:val="1253" w:hRule="atLeast"/>
        </w:trPr>
        <w:tc>
          <w:tcPr>
            <w:tcW w:w="771" w:type="dxa"/>
          </w:tcPr>
          <w:p>
            <w:pPr>
              <w:pStyle w:val="TableParagraph"/>
              <w:spacing w:before="93"/>
              <w:ind w:left="200"/>
              <w:rPr>
                <w:rFonts w:ascii="Times New Roman"/>
                <w:b/>
                <w:sz w:val="21"/>
              </w:rPr>
            </w:pPr>
            <w:r>
              <w:rPr>
                <w:rFonts w:ascii="Times New Roman"/>
                <w:b/>
                <w:sz w:val="21"/>
              </w:rPr>
              <w:t>5.</w:t>
            </w:r>
          </w:p>
        </w:tc>
        <w:tc>
          <w:tcPr>
            <w:tcW w:w="1320" w:type="dxa"/>
          </w:tcPr>
          <w:p>
            <w:pPr>
              <w:pStyle w:val="TableParagraph"/>
              <w:spacing w:line="261" w:lineRule="auto" w:before="43"/>
              <w:ind w:left="148" w:right="74"/>
              <w:rPr>
                <w:b/>
                <w:sz w:val="21"/>
              </w:rPr>
            </w:pPr>
            <w:r>
              <w:rPr>
                <w:b/>
                <w:sz w:val="21"/>
              </w:rPr>
              <w:t>肝功能衰竭：</w:t>
            </w:r>
          </w:p>
        </w:tc>
        <w:tc>
          <w:tcPr>
            <w:tcW w:w="7802" w:type="dxa"/>
          </w:tcPr>
          <w:p>
            <w:pPr>
              <w:pStyle w:val="TableParagraph"/>
              <w:spacing w:before="36"/>
              <w:rPr>
                <w:sz w:val="21"/>
              </w:rPr>
            </w:pPr>
            <w:r>
              <w:rPr>
                <w:sz w:val="21"/>
              </w:rPr>
              <w:t>指因慢性肝脏疾病导致肝功能衰竭失代偿期，须满足下列任意三个条件：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line="262" w:lineRule="exact" w:before="36"/>
              <w:rPr>
                <w:sz w:val="21"/>
              </w:rPr>
            </w:pPr>
            <w:r>
              <w:rPr>
                <w:sz w:val="21"/>
              </w:rPr>
              <w:t>（3）肝性脑病；</w:t>
            </w:r>
          </w:p>
        </w:tc>
      </w:tr>
    </w:tbl>
    <w:p>
      <w:pPr>
        <w:spacing w:after="0" w:line="262" w:lineRule="exact"/>
        <w:rPr>
          <w:sz w:val="21"/>
        </w:rPr>
        <w:sectPr>
          <w:pgSz w:w="11910" w:h="16840"/>
          <w:pgMar w:top="1480" w:bottom="280" w:left="1080" w:right="7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802"/>
      </w:tblGrid>
      <w:tr>
        <w:trPr>
          <w:trHeight w:val="313"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802" w:type="dxa"/>
          </w:tcPr>
          <w:p>
            <w:pPr>
              <w:pStyle w:val="TableParagraph"/>
              <w:spacing w:line="204" w:lineRule="exact"/>
              <w:rPr>
                <w:sz w:val="21"/>
              </w:rPr>
            </w:pPr>
            <w:r>
              <w:rPr>
                <w:sz w:val="21"/>
              </w:rPr>
              <w:t>（4）充血性脾肿大伴脾功能亢进或食管胃底静脉曲张。</w:t>
            </w:r>
          </w:p>
        </w:tc>
      </w:tr>
      <w:tr>
        <w:trPr>
          <w:trHeight w:val="1269" w:hRule="atLeast"/>
        </w:trPr>
        <w:tc>
          <w:tcPr>
            <w:tcW w:w="692" w:type="dxa"/>
          </w:tcPr>
          <w:p>
            <w:pPr>
              <w:pStyle w:val="TableParagraph"/>
              <w:spacing w:before="97"/>
              <w:ind w:left="77" w:right="208"/>
              <w:jc w:val="center"/>
              <w:rPr>
                <w:rFonts w:ascii="Times New Roman"/>
                <w:b/>
                <w:sz w:val="21"/>
              </w:rPr>
            </w:pPr>
            <w:r>
              <w:rPr>
                <w:rFonts w:ascii="Times New Roman"/>
                <w:b/>
                <w:sz w:val="21"/>
              </w:rPr>
              <w:t>6.</w:t>
            </w:r>
          </w:p>
        </w:tc>
        <w:tc>
          <w:tcPr>
            <w:tcW w:w="1399" w:type="dxa"/>
          </w:tcPr>
          <w:p>
            <w:pPr>
              <w:pStyle w:val="TableParagraph"/>
              <w:spacing w:line="261" w:lineRule="auto" w:before="48"/>
              <w:ind w:left="227" w:right="74"/>
              <w:rPr>
                <w:b/>
                <w:sz w:val="21"/>
              </w:rPr>
            </w:pPr>
            <w:r>
              <w:rPr>
                <w:b/>
                <w:sz w:val="21"/>
              </w:rPr>
              <w:t>肺功能衰竭：</w:t>
            </w:r>
          </w:p>
        </w:tc>
        <w:tc>
          <w:tcPr>
            <w:tcW w:w="7802" w:type="dxa"/>
          </w:tcPr>
          <w:p>
            <w:pPr>
              <w:pStyle w:val="TableParagraph"/>
              <w:spacing w:before="31"/>
              <w:rPr>
                <w:sz w:val="21"/>
              </w:rPr>
            </w:pPr>
            <w:r>
              <w:rPr>
                <w:sz w:val="21"/>
              </w:rPr>
              <w:t>指因慢性呼吸系统疾病导致呼吸功能衰竭，且诊断必须满足以下所有条件：</w:t>
            </w:r>
          </w:p>
          <w:p>
            <w:pPr>
              <w:pStyle w:val="TableParagraph"/>
              <w:spacing w:before="5"/>
              <w:rPr>
                <w:sz w:val="21"/>
              </w:rPr>
            </w:pPr>
            <w:r>
              <w:rPr>
                <w:sz w:val="21"/>
              </w:rPr>
              <w:t>（1）第一秒末用力呼气量（FEV1）小于 1 升；</w:t>
            </w:r>
          </w:p>
          <w:p>
            <w:pPr>
              <w:pStyle w:val="TableParagraph"/>
              <w:numPr>
                <w:ilvl w:val="0"/>
                <w:numId w:val="6"/>
              </w:numPr>
              <w:tabs>
                <w:tab w:pos="709" w:val="left" w:leader="none"/>
              </w:tabs>
              <w:spacing w:line="240" w:lineRule="auto" w:before="3" w:after="0"/>
              <w:ind w:left="708" w:right="0" w:hanging="632"/>
              <w:jc w:val="left"/>
              <w:rPr>
                <w:sz w:val="21"/>
              </w:rPr>
            </w:pPr>
            <w:r>
              <w:rPr>
                <w:spacing w:val="-3"/>
                <w:sz w:val="21"/>
              </w:rPr>
              <w:t>残气容积占肺总量(</w:t>
            </w:r>
            <w:r>
              <w:rPr>
                <w:sz w:val="21"/>
              </w:rPr>
              <w:t>TLC</w:t>
            </w:r>
            <w:r>
              <w:rPr>
                <w:spacing w:val="-14"/>
                <w:sz w:val="21"/>
              </w:rPr>
              <w:t>)的 </w:t>
            </w:r>
            <w:r>
              <w:rPr>
                <w:sz w:val="21"/>
              </w:rPr>
              <w:t>50</w:t>
            </w:r>
            <w:r>
              <w:rPr>
                <w:spacing w:val="-1"/>
                <w:sz w:val="21"/>
              </w:rPr>
              <w:t>%以上；</w:t>
            </w:r>
          </w:p>
          <w:p>
            <w:pPr>
              <w:pStyle w:val="TableParagraph"/>
              <w:numPr>
                <w:ilvl w:val="0"/>
                <w:numId w:val="6"/>
              </w:numPr>
              <w:tabs>
                <w:tab w:pos="709" w:val="left" w:leader="none"/>
              </w:tabs>
              <w:spacing w:line="240" w:lineRule="auto" w:before="15" w:after="0"/>
              <w:ind w:left="708" w:right="0" w:hanging="632"/>
              <w:jc w:val="left"/>
              <w:rPr>
                <w:sz w:val="21"/>
              </w:rPr>
            </w:pPr>
            <w:r>
              <w:rPr>
                <w:spacing w:val="-1"/>
                <w:sz w:val="21"/>
              </w:rPr>
              <w:t>PaO2&lt;60mmHg，PaCO2&gt;50mmHg</w:t>
            </w:r>
            <w:r>
              <w:rPr>
                <w:sz w:val="21"/>
              </w:rPr>
              <w:t>。</w:t>
            </w:r>
          </w:p>
        </w:tc>
      </w:tr>
      <w:tr>
        <w:trPr>
          <w:trHeight w:val="1929" w:hRule="atLeast"/>
        </w:trPr>
        <w:tc>
          <w:tcPr>
            <w:tcW w:w="692" w:type="dxa"/>
          </w:tcPr>
          <w:p>
            <w:pPr>
              <w:pStyle w:val="TableParagraph"/>
              <w:spacing w:before="92"/>
              <w:ind w:left="77" w:right="208"/>
              <w:jc w:val="center"/>
              <w:rPr>
                <w:rFonts w:ascii="Times New Roman"/>
                <w:b/>
                <w:sz w:val="21"/>
              </w:rPr>
            </w:pPr>
            <w:r>
              <w:rPr>
                <w:rFonts w:ascii="Times New Roman"/>
                <w:b/>
                <w:sz w:val="21"/>
              </w:rPr>
              <w:t>7.</w:t>
            </w:r>
          </w:p>
        </w:tc>
        <w:tc>
          <w:tcPr>
            <w:tcW w:w="1399" w:type="dxa"/>
          </w:tcPr>
          <w:p>
            <w:pPr>
              <w:pStyle w:val="TableParagraph"/>
              <w:spacing w:line="261" w:lineRule="auto" w:before="43"/>
              <w:ind w:left="227" w:right="74"/>
              <w:rPr>
                <w:b/>
                <w:sz w:val="21"/>
              </w:rPr>
            </w:pPr>
            <w:r>
              <w:rPr>
                <w:b/>
                <w:sz w:val="21"/>
              </w:rPr>
              <w:t>视力严重受损：</w:t>
            </w:r>
          </w:p>
        </w:tc>
        <w:tc>
          <w:tcPr>
            <w:tcW w:w="7802" w:type="dxa"/>
          </w:tcPr>
          <w:p>
            <w:pPr>
              <w:pStyle w:val="TableParagraph"/>
              <w:spacing w:before="36"/>
              <w:rPr>
                <w:sz w:val="21"/>
              </w:rPr>
            </w:pPr>
            <w:r>
              <w:rPr>
                <w:sz w:val="21"/>
              </w:rPr>
              <w:t>指因疾病或意外伤害导致双目视力永久不可逆性丧失，须满足下列全部条件：</w:t>
            </w:r>
          </w:p>
          <w:p>
            <w:pPr>
              <w:pStyle w:val="TableParagraph"/>
              <w:spacing w:line="256" w:lineRule="auto" w:before="37"/>
              <w:ind w:left="602" w:right="305" w:hanging="526"/>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采用国际标准视力表，若使用其他视力表</w:t>
            </w:r>
            <w:r>
              <w:rPr>
                <w:spacing w:val="-3"/>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44" w:lineRule="auto" w:before="11"/>
              <w:ind w:right="309"/>
              <w:rPr>
                <w:sz w:val="21"/>
              </w:rPr>
            </w:pPr>
            <w:r>
              <w:rPr>
                <w:sz w:val="21"/>
              </w:rPr>
              <w:t>被保险人申请理赔时年龄必须在三周岁以上，并且需提供理赔当时的视力丧失诊断及检查证据。</w:t>
            </w:r>
          </w:p>
        </w:tc>
      </w:tr>
      <w:tr>
        <w:trPr>
          <w:trHeight w:val="1665" w:hRule="atLeast"/>
        </w:trPr>
        <w:tc>
          <w:tcPr>
            <w:tcW w:w="692" w:type="dxa"/>
          </w:tcPr>
          <w:p>
            <w:pPr>
              <w:pStyle w:val="TableParagraph"/>
              <w:spacing w:before="85"/>
              <w:ind w:left="77" w:right="208"/>
              <w:jc w:val="center"/>
              <w:rPr>
                <w:rFonts w:ascii="Times New Roman"/>
                <w:b/>
                <w:sz w:val="21"/>
              </w:rPr>
            </w:pPr>
            <w:r>
              <w:rPr>
                <w:rFonts w:ascii="Times New Roman"/>
                <w:b/>
                <w:sz w:val="21"/>
              </w:rPr>
              <w:t>8.</w:t>
            </w:r>
          </w:p>
        </w:tc>
        <w:tc>
          <w:tcPr>
            <w:tcW w:w="1399" w:type="dxa"/>
          </w:tcPr>
          <w:p>
            <w:pPr>
              <w:pStyle w:val="TableParagraph"/>
              <w:spacing w:line="261" w:lineRule="auto" w:before="35"/>
              <w:ind w:left="227" w:right="74"/>
              <w:rPr>
                <w:b/>
                <w:sz w:val="21"/>
              </w:rPr>
            </w:pPr>
            <w:r>
              <w:rPr>
                <w:b/>
                <w:sz w:val="21"/>
              </w:rPr>
              <w:t>听力严重受损：</w:t>
            </w:r>
          </w:p>
        </w:tc>
        <w:tc>
          <w:tcPr>
            <w:tcW w:w="7802" w:type="dxa"/>
          </w:tcPr>
          <w:p>
            <w:pPr>
              <w:pStyle w:val="TableParagraph"/>
              <w:spacing w:before="28"/>
              <w:rPr>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59" w:lineRule="auto" w:before="21"/>
              <w:ind w:right="305"/>
              <w:rPr>
                <w:sz w:val="21"/>
              </w:rPr>
            </w:pPr>
            <w:r>
              <w:rPr>
                <w:rFonts w:ascii="Times New Roman" w:eastAsia="Times New Roman"/>
                <w:sz w:val="21"/>
              </w:rPr>
              <w:t>2000 </w:t>
            </w:r>
            <w:r>
              <w:rPr>
                <w:spacing w:val="-10"/>
                <w:sz w:val="21"/>
              </w:rPr>
              <w:t>赫兹语音频率下，平均听阈大于 </w:t>
            </w:r>
            <w:r>
              <w:rPr>
                <w:rFonts w:ascii="Times New Roman" w:eastAsia="Times New Roman"/>
                <w:sz w:val="21"/>
              </w:rPr>
              <w:t>70 </w:t>
            </w:r>
            <w:r>
              <w:rPr>
                <w:spacing w:val="-10"/>
                <w:sz w:val="21"/>
              </w:rPr>
              <w:t>分贝，且经纯音听力测试、声导抗检测或</w:t>
            </w:r>
            <w:r>
              <w:rPr>
                <w:spacing w:val="-5"/>
                <w:sz w:val="21"/>
              </w:rPr>
              <w:t>听觉诱发电位检测等证实。</w:t>
            </w:r>
          </w:p>
          <w:p>
            <w:pPr>
              <w:pStyle w:val="TableParagraph"/>
              <w:spacing w:line="273" w:lineRule="auto" w:before="20"/>
              <w:ind w:right="309"/>
              <w:rPr>
                <w:sz w:val="21"/>
              </w:rPr>
            </w:pPr>
            <w:r>
              <w:rPr>
                <w:sz w:val="21"/>
              </w:rPr>
              <w:t>被保险人申请理赔时年龄必须在三周岁以上，并且需提供理赔当时的听力丧失诊断及检查证据。</w:t>
            </w:r>
          </w:p>
        </w:tc>
      </w:tr>
      <w:tr>
        <w:trPr>
          <w:trHeight w:val="737" w:hRule="atLeast"/>
        </w:trPr>
        <w:tc>
          <w:tcPr>
            <w:tcW w:w="692" w:type="dxa"/>
          </w:tcPr>
          <w:p>
            <w:pPr>
              <w:pStyle w:val="TableParagraph"/>
              <w:spacing w:before="92"/>
              <w:ind w:left="77" w:right="208"/>
              <w:jc w:val="center"/>
              <w:rPr>
                <w:rFonts w:ascii="Times New Roman"/>
                <w:b/>
                <w:sz w:val="21"/>
              </w:rPr>
            </w:pPr>
            <w:r>
              <w:rPr>
                <w:rFonts w:ascii="Times New Roman"/>
                <w:b/>
                <w:sz w:val="21"/>
              </w:rPr>
              <w:t>9.</w:t>
            </w:r>
          </w:p>
        </w:tc>
        <w:tc>
          <w:tcPr>
            <w:tcW w:w="1399" w:type="dxa"/>
          </w:tcPr>
          <w:p>
            <w:pPr>
              <w:pStyle w:val="TableParagraph"/>
              <w:spacing w:line="261" w:lineRule="auto" w:before="43"/>
              <w:ind w:left="227" w:right="74"/>
              <w:rPr>
                <w:b/>
                <w:sz w:val="21"/>
              </w:rPr>
            </w:pPr>
            <w:r>
              <w:rPr>
                <w:b/>
                <w:sz w:val="21"/>
              </w:rPr>
              <w:t>心脏瓣膜介入手术：</w:t>
            </w:r>
          </w:p>
        </w:tc>
        <w:tc>
          <w:tcPr>
            <w:tcW w:w="7802" w:type="dxa"/>
          </w:tcPr>
          <w:p>
            <w:pPr>
              <w:pStyle w:val="TableParagraph"/>
              <w:spacing w:line="273" w:lineRule="auto" w:before="36"/>
              <w:ind w:right="309"/>
              <w:rPr>
                <w:sz w:val="21"/>
              </w:rPr>
            </w:pPr>
            <w:r>
              <w:rPr>
                <w:sz w:val="21"/>
              </w:rPr>
              <w:t>为了治疗心脏瓣膜疾病，实际实施了非开胸的经胸壁打孔内镜手术或经皮经导管介入手术进行的心脏瓣膜置换或修复手术。</w:t>
            </w:r>
          </w:p>
        </w:tc>
      </w:tr>
      <w:tr>
        <w:trPr>
          <w:trHeight w:val="728" w:hRule="atLeast"/>
        </w:trPr>
        <w:tc>
          <w:tcPr>
            <w:tcW w:w="692" w:type="dxa"/>
          </w:tcPr>
          <w:p>
            <w:pPr>
              <w:pStyle w:val="TableParagraph"/>
              <w:spacing w:before="92"/>
              <w:ind w:left="181" w:right="208"/>
              <w:jc w:val="center"/>
              <w:rPr>
                <w:rFonts w:ascii="Times New Roman"/>
                <w:b/>
                <w:sz w:val="21"/>
              </w:rPr>
            </w:pPr>
            <w:r>
              <w:rPr>
                <w:rFonts w:ascii="Times New Roman"/>
                <w:b/>
                <w:sz w:val="21"/>
              </w:rPr>
              <w:t>10.</w:t>
            </w:r>
          </w:p>
        </w:tc>
        <w:tc>
          <w:tcPr>
            <w:tcW w:w="1399" w:type="dxa"/>
          </w:tcPr>
          <w:p>
            <w:pPr>
              <w:pStyle w:val="TableParagraph"/>
              <w:spacing w:line="261" w:lineRule="auto" w:before="43"/>
              <w:ind w:left="227" w:right="74"/>
              <w:rPr>
                <w:b/>
                <w:sz w:val="21"/>
              </w:rPr>
            </w:pPr>
            <w:r>
              <w:rPr>
                <w:b/>
                <w:sz w:val="21"/>
              </w:rPr>
              <w:t>主动脉内手术：</w:t>
            </w:r>
          </w:p>
        </w:tc>
        <w:tc>
          <w:tcPr>
            <w:tcW w:w="7802" w:type="dxa"/>
          </w:tcPr>
          <w:p>
            <w:pPr>
              <w:pStyle w:val="TableParagraph"/>
              <w:spacing w:before="43"/>
              <w:rPr>
                <w:sz w:val="21"/>
              </w:rPr>
            </w:pPr>
            <w:r>
              <w:rPr>
                <w:sz w:val="21"/>
              </w:rPr>
              <w:t>为了治疗主动脉疾病实际实施了经皮经导管进行的动脉内手术。</w:t>
            </w:r>
          </w:p>
          <w:p>
            <w:pPr>
              <w:pStyle w:val="TableParagraph"/>
              <w:spacing w:before="18"/>
              <w:rPr>
                <w:sz w:val="21"/>
              </w:rPr>
            </w:pPr>
            <w:r>
              <w:rPr>
                <w:sz w:val="21"/>
              </w:rPr>
              <w:t>主动脉指胸主动脉和腹主动脉，不包括胸主动脉和腹主动脉的分支血管。</w:t>
            </w:r>
          </w:p>
        </w:tc>
      </w:tr>
      <w:tr>
        <w:trPr>
          <w:trHeight w:val="1047" w:hRule="atLeast"/>
        </w:trPr>
        <w:tc>
          <w:tcPr>
            <w:tcW w:w="692" w:type="dxa"/>
          </w:tcPr>
          <w:p>
            <w:pPr>
              <w:pStyle w:val="TableParagraph"/>
              <w:spacing w:before="88"/>
              <w:ind w:left="181" w:right="208"/>
              <w:jc w:val="center"/>
              <w:rPr>
                <w:rFonts w:ascii="Times New Roman"/>
                <w:b/>
                <w:sz w:val="21"/>
              </w:rPr>
            </w:pPr>
            <w:r>
              <w:rPr>
                <w:rFonts w:ascii="Times New Roman"/>
                <w:b/>
                <w:sz w:val="21"/>
              </w:rPr>
              <w:t>11.</w:t>
            </w:r>
          </w:p>
        </w:tc>
        <w:tc>
          <w:tcPr>
            <w:tcW w:w="1399" w:type="dxa"/>
          </w:tcPr>
          <w:p>
            <w:pPr>
              <w:pStyle w:val="TableParagraph"/>
              <w:spacing w:line="261" w:lineRule="auto" w:before="39"/>
              <w:ind w:left="227" w:right="74"/>
              <w:rPr>
                <w:b/>
                <w:sz w:val="21"/>
              </w:rPr>
            </w:pPr>
            <w:r>
              <w:rPr>
                <w:b/>
                <w:sz w:val="21"/>
              </w:rPr>
              <w:t>慢性肾功能衰竭：</w:t>
            </w:r>
          </w:p>
        </w:tc>
        <w:tc>
          <w:tcPr>
            <w:tcW w:w="7802" w:type="dxa"/>
          </w:tcPr>
          <w:p>
            <w:pPr>
              <w:pStyle w:val="TableParagraph"/>
              <w:spacing w:before="32"/>
              <w:rPr>
                <w:sz w:val="21"/>
              </w:rPr>
            </w:pPr>
            <w:r>
              <w:rPr>
                <w:sz w:val="21"/>
              </w:rPr>
              <w:t>指双肾慢性肾功能衰竭，须满足下列全部条件：</w:t>
            </w:r>
          </w:p>
          <w:p>
            <w:pPr>
              <w:pStyle w:val="TableParagraph"/>
              <w:spacing w:before="37"/>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8"/>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6" w:hRule="atLeast"/>
        </w:trPr>
        <w:tc>
          <w:tcPr>
            <w:tcW w:w="692" w:type="dxa"/>
          </w:tcPr>
          <w:p>
            <w:pPr>
              <w:pStyle w:val="TableParagraph"/>
              <w:spacing w:before="78"/>
              <w:ind w:left="181" w:right="208"/>
              <w:jc w:val="center"/>
              <w:rPr>
                <w:rFonts w:ascii="Times New Roman"/>
                <w:b/>
                <w:sz w:val="21"/>
              </w:rPr>
            </w:pPr>
            <w:r>
              <w:rPr>
                <w:rFonts w:ascii="Times New Roman"/>
                <w:b/>
                <w:sz w:val="21"/>
              </w:rPr>
              <w:t>12.</w:t>
            </w:r>
          </w:p>
        </w:tc>
        <w:tc>
          <w:tcPr>
            <w:tcW w:w="1399" w:type="dxa"/>
          </w:tcPr>
          <w:p>
            <w:pPr>
              <w:pStyle w:val="TableParagraph"/>
              <w:spacing w:line="261" w:lineRule="auto" w:before="29"/>
              <w:ind w:left="227" w:right="74"/>
              <w:jc w:val="both"/>
              <w:rPr>
                <w:b/>
                <w:sz w:val="21"/>
              </w:rPr>
            </w:pPr>
            <w:r>
              <w:rPr>
                <w:b/>
                <w:sz w:val="21"/>
              </w:rPr>
              <w:t>脑垂体瘤、</w:t>
            </w:r>
            <w:r>
              <w:rPr>
                <w:b/>
                <w:spacing w:val="-6"/>
                <w:sz w:val="21"/>
              </w:rPr>
              <w:t>脑囊肿、脑</w:t>
            </w:r>
            <w:r>
              <w:rPr>
                <w:b/>
                <w:spacing w:val="45"/>
                <w:sz w:val="21"/>
              </w:rPr>
              <w:t>动脉瘤及脑血管瘤：</w:t>
            </w:r>
          </w:p>
        </w:tc>
        <w:tc>
          <w:tcPr>
            <w:tcW w:w="7802" w:type="dxa"/>
          </w:tcPr>
          <w:p>
            <w:pPr>
              <w:pStyle w:val="TableParagraph"/>
              <w:spacing w:line="256" w:lineRule="auto" w:before="22"/>
              <w:ind w:right="197"/>
              <w:rPr>
                <w:sz w:val="21"/>
              </w:rPr>
            </w:pPr>
            <w:r>
              <w:rPr>
                <w:spacing w:val="-9"/>
                <w:w w:val="100"/>
                <w:sz w:val="21"/>
              </w:rPr>
              <w:t>指经头颅断层扫描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20"/>
                <w:w w:val="100"/>
                <w:sz w:val="21"/>
              </w:rPr>
              <w:t>、核磁共振</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46"/>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22"/>
              <w:rPr>
                <w:sz w:val="21"/>
              </w:rPr>
            </w:pPr>
            <w:r>
              <w:rPr>
                <w:sz w:val="21"/>
              </w:rPr>
              <w:t>（</w:t>
            </w:r>
            <w:r>
              <w:rPr>
                <w:rFonts w:ascii="Times New Roman" w:eastAsia="Times New Roman"/>
                <w:sz w:val="21"/>
              </w:rPr>
              <w:t>1</w:t>
            </w:r>
            <w:r>
              <w:rPr>
                <w:sz w:val="21"/>
              </w:rPr>
              <w:t>）脑垂体瘤；</w:t>
            </w:r>
          </w:p>
          <w:p>
            <w:pPr>
              <w:pStyle w:val="TableParagraph"/>
              <w:spacing w:before="20"/>
              <w:rPr>
                <w:sz w:val="21"/>
              </w:rPr>
            </w:pPr>
            <w:r>
              <w:rPr>
                <w:sz w:val="21"/>
              </w:rPr>
              <w:t>（</w:t>
            </w:r>
            <w:r>
              <w:rPr>
                <w:rFonts w:ascii="Times New Roman" w:eastAsia="Times New Roman"/>
                <w:sz w:val="21"/>
              </w:rPr>
              <w:t>2</w:t>
            </w:r>
            <w:r>
              <w:rPr>
                <w:sz w:val="21"/>
              </w:rPr>
              <w:t>）脑囊肿；</w:t>
            </w:r>
          </w:p>
          <w:p>
            <w:pPr>
              <w:pStyle w:val="TableParagraph"/>
              <w:spacing w:before="20"/>
              <w:rPr>
                <w:sz w:val="21"/>
              </w:rPr>
            </w:pPr>
            <w:r>
              <w:rPr>
                <w:sz w:val="21"/>
              </w:rPr>
              <w:t>（</w:t>
            </w:r>
            <w:r>
              <w:rPr>
                <w:rFonts w:ascii="Times New Roman" w:eastAsia="Times New Roman"/>
                <w:sz w:val="21"/>
              </w:rPr>
              <w:t>3</w:t>
            </w:r>
            <w:r>
              <w:rPr>
                <w:sz w:val="21"/>
              </w:rPr>
              <w:t>）脑动脉瘤、脑血管瘤。</w:t>
            </w:r>
          </w:p>
        </w:tc>
      </w:tr>
      <w:tr>
        <w:trPr>
          <w:trHeight w:val="1664" w:hRule="atLeast"/>
        </w:trPr>
        <w:tc>
          <w:tcPr>
            <w:tcW w:w="692" w:type="dxa"/>
          </w:tcPr>
          <w:p>
            <w:pPr>
              <w:pStyle w:val="TableParagraph"/>
              <w:spacing w:before="84"/>
              <w:ind w:left="181" w:right="208"/>
              <w:jc w:val="center"/>
              <w:rPr>
                <w:rFonts w:ascii="Times New Roman"/>
                <w:b/>
                <w:sz w:val="21"/>
              </w:rPr>
            </w:pPr>
            <w:r>
              <w:rPr>
                <w:rFonts w:ascii="Times New Roman"/>
                <w:b/>
                <w:sz w:val="21"/>
              </w:rPr>
              <w:t>13.</w:t>
            </w:r>
          </w:p>
        </w:tc>
        <w:tc>
          <w:tcPr>
            <w:tcW w:w="1399" w:type="dxa"/>
          </w:tcPr>
          <w:p>
            <w:pPr>
              <w:pStyle w:val="TableParagraph"/>
              <w:spacing w:line="261" w:lineRule="auto" w:before="35"/>
              <w:ind w:left="227" w:right="74"/>
              <w:rPr>
                <w:b/>
                <w:sz w:val="21"/>
              </w:rPr>
            </w:pPr>
            <w:r>
              <w:rPr>
                <w:b/>
                <w:sz w:val="21"/>
              </w:rPr>
              <w:t>轻度帕金森病：</w:t>
            </w:r>
          </w:p>
        </w:tc>
        <w:tc>
          <w:tcPr>
            <w:tcW w:w="7802" w:type="dxa"/>
          </w:tcPr>
          <w:p>
            <w:pPr>
              <w:pStyle w:val="TableParagraph"/>
              <w:spacing w:line="273" w:lineRule="auto" w:before="28"/>
              <w:ind w:right="309"/>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602" w:right="262" w:hanging="526"/>
              <w:rPr>
                <w:sz w:val="21"/>
              </w:rPr>
            </w:pPr>
            <w:r>
              <w:rPr>
                <w:sz w:val="21"/>
              </w:rPr>
              <w:t>（</w:t>
            </w:r>
            <w:r>
              <w:rPr>
                <w:rFonts w:ascii="Times New Roman" w:eastAsia="Times New Roman"/>
                <w:sz w:val="21"/>
              </w:rPr>
              <w:t>2</w:t>
            </w:r>
            <w:r>
              <w:rPr>
                <w:sz w:val="21"/>
              </w:rPr>
              <w:t>）自主生活能力完全丧失，无法独立完成六项基本日常生活活动中的二项或以上。</w:t>
            </w:r>
          </w:p>
        </w:tc>
      </w:tr>
      <w:tr>
        <w:trPr>
          <w:trHeight w:val="1358" w:hRule="atLeast"/>
        </w:trPr>
        <w:tc>
          <w:tcPr>
            <w:tcW w:w="692" w:type="dxa"/>
          </w:tcPr>
          <w:p>
            <w:pPr>
              <w:pStyle w:val="TableParagraph"/>
              <w:spacing w:before="92"/>
              <w:ind w:left="181" w:right="208"/>
              <w:jc w:val="center"/>
              <w:rPr>
                <w:rFonts w:ascii="Times New Roman"/>
                <w:b/>
                <w:sz w:val="21"/>
              </w:rPr>
            </w:pPr>
            <w:r>
              <w:rPr>
                <w:rFonts w:ascii="Times New Roman"/>
                <w:b/>
                <w:sz w:val="21"/>
              </w:rPr>
              <w:t>14.</w:t>
            </w:r>
          </w:p>
        </w:tc>
        <w:tc>
          <w:tcPr>
            <w:tcW w:w="1399" w:type="dxa"/>
          </w:tcPr>
          <w:p>
            <w:pPr>
              <w:pStyle w:val="TableParagraph"/>
              <w:spacing w:before="43"/>
              <w:ind w:left="227"/>
              <w:rPr>
                <w:b/>
                <w:sz w:val="21"/>
              </w:rPr>
            </w:pPr>
            <w:r>
              <w:rPr>
                <w:b/>
                <w:sz w:val="21"/>
              </w:rPr>
              <w:t>脑损伤：</w:t>
            </w:r>
          </w:p>
        </w:tc>
        <w:tc>
          <w:tcPr>
            <w:tcW w:w="7802" w:type="dxa"/>
          </w:tcPr>
          <w:p>
            <w:pPr>
              <w:pStyle w:val="TableParagraph"/>
              <w:spacing w:line="261" w:lineRule="auto" w:before="36"/>
              <w:ind w:right="199"/>
              <w:rPr>
                <w:sz w:val="21"/>
              </w:rPr>
            </w:pPr>
            <w:r>
              <w:rPr>
                <w:sz w:val="21"/>
              </w:rPr>
              <w:t>指因头部遭受机械性外力，引起脑重要部位损伤，导致神经系统永久性的功能障</w:t>
            </w:r>
            <w:r>
              <w:rPr>
                <w:spacing w:val="-15"/>
                <w:w w:val="100"/>
                <w:sz w:val="21"/>
              </w:rPr>
              <w:t>碍。须由头颅断层扫描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9"/>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60"/>
                <w:w w:val="100"/>
                <w:sz w:val="21"/>
              </w:rPr>
              <w:t>）</w:t>
            </w:r>
            <w:r>
              <w:rPr>
                <w:spacing w:val="-9"/>
                <w:w w:val="100"/>
                <w:sz w:val="21"/>
              </w:rPr>
              <w:t>或正电子发射断层扫描</w:t>
            </w:r>
            <w:r>
              <w:rPr>
                <w:spacing w:val="-3"/>
                <w:w w:val="100"/>
                <w:sz w:val="21"/>
              </w:rPr>
              <w:t>（</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0"/>
                <w:w w:val="100"/>
                <w:sz w:val="21"/>
              </w:rPr>
              <w:t>T</w:t>
            </w:r>
            <w:r>
              <w:rPr>
                <w:w w:val="100"/>
                <w:sz w:val="21"/>
              </w:rPr>
              <w:t>）</w:t>
            </w:r>
            <w:r>
              <w:rPr>
                <w:spacing w:val="-4"/>
                <w:sz w:val="21"/>
              </w:rPr>
              <w:t>等影像学检查证实。神经系统永久性的功能障碍，指脑损伤 </w:t>
            </w:r>
            <w:r>
              <w:rPr>
                <w:rFonts w:ascii="Times New Roman" w:eastAsia="Times New Roman"/>
                <w:sz w:val="21"/>
              </w:rPr>
              <w:t>180 </w:t>
            </w:r>
            <w:r>
              <w:rPr>
                <w:spacing w:val="-3"/>
                <w:sz w:val="21"/>
              </w:rPr>
              <w:t>日后，仍完全丧失自主生活能力，无法独立完成六项基本日常生活活动中的二项或以上。</w:t>
            </w:r>
          </w:p>
        </w:tc>
      </w:tr>
      <w:tr>
        <w:trPr>
          <w:trHeight w:val="649" w:hRule="atLeast"/>
        </w:trPr>
        <w:tc>
          <w:tcPr>
            <w:tcW w:w="692" w:type="dxa"/>
          </w:tcPr>
          <w:p>
            <w:pPr>
              <w:pStyle w:val="TableParagraph"/>
              <w:spacing w:before="95"/>
              <w:ind w:left="181" w:right="208"/>
              <w:jc w:val="center"/>
              <w:rPr>
                <w:rFonts w:ascii="Times New Roman"/>
                <w:b/>
                <w:sz w:val="21"/>
              </w:rPr>
            </w:pPr>
            <w:r>
              <w:rPr>
                <w:rFonts w:ascii="Times New Roman"/>
                <w:b/>
                <w:sz w:val="21"/>
              </w:rPr>
              <w:t>15.</w:t>
            </w:r>
          </w:p>
        </w:tc>
        <w:tc>
          <w:tcPr>
            <w:tcW w:w="1399" w:type="dxa"/>
          </w:tcPr>
          <w:p>
            <w:pPr>
              <w:pStyle w:val="TableParagraph"/>
              <w:spacing w:line="300" w:lineRule="atLeast" w:before="21"/>
              <w:ind w:left="227" w:right="74"/>
              <w:rPr>
                <w:b/>
                <w:sz w:val="21"/>
              </w:rPr>
            </w:pPr>
            <w:r>
              <w:rPr>
                <w:b/>
                <w:sz w:val="21"/>
              </w:rPr>
              <w:t>较小面积Ⅲ度烧伤：</w:t>
            </w:r>
          </w:p>
        </w:tc>
        <w:tc>
          <w:tcPr>
            <w:tcW w:w="7802" w:type="dxa"/>
          </w:tcPr>
          <w:p>
            <w:pPr>
              <w:pStyle w:val="TableParagraph"/>
              <w:spacing w:line="310" w:lineRule="atLeast" w:before="20"/>
              <w:ind w:right="302"/>
              <w:rPr>
                <w:sz w:val="21"/>
              </w:rPr>
            </w:pPr>
            <w:r>
              <w:rPr>
                <w:spacing w:val="-5"/>
                <w:sz w:val="21"/>
              </w:rPr>
              <w:t>指烧伤程度为Ⅲ度，且Ⅲ度烧伤的面积达到全身体表面积的 </w:t>
            </w:r>
            <w:r>
              <w:rPr>
                <w:rFonts w:ascii="Times New Roman" w:hAnsi="Times New Roman" w:eastAsia="Times New Roman"/>
                <w:sz w:val="21"/>
              </w:rPr>
              <w:t>15</w:t>
            </w:r>
            <w:r>
              <w:rPr>
                <w:spacing w:val="-13"/>
                <w:sz w:val="21"/>
              </w:rPr>
              <w:t>％或 </w:t>
            </w:r>
            <w:r>
              <w:rPr>
                <w:rFonts w:ascii="Times New Roman" w:hAnsi="Times New Roman" w:eastAsia="Times New Roman"/>
                <w:sz w:val="21"/>
              </w:rPr>
              <w:t>15%</w:t>
            </w:r>
            <w:r>
              <w:rPr>
                <w:spacing w:val="-3"/>
                <w:sz w:val="21"/>
              </w:rPr>
              <w:t>以上，但</w:t>
            </w:r>
            <w:r>
              <w:rPr>
                <w:spacing w:val="-13"/>
                <w:sz w:val="21"/>
              </w:rPr>
              <w:t>少于 </w:t>
            </w:r>
            <w:r>
              <w:rPr>
                <w:rFonts w:ascii="Times New Roman" w:hAnsi="Times New Roman" w:eastAsia="Times New Roman"/>
                <w:sz w:val="21"/>
              </w:rPr>
              <w:t>20%</w:t>
            </w:r>
            <w:r>
              <w:rPr>
                <w:spacing w:val="-3"/>
                <w:sz w:val="21"/>
              </w:rPr>
              <w:t>。体表面积根据《中国新九分法》计算。</w:t>
            </w:r>
          </w:p>
        </w:tc>
      </w:tr>
    </w:tbl>
    <w:p>
      <w:pPr>
        <w:pStyle w:val="BodyText"/>
        <w:rPr>
          <w:sz w:val="20"/>
        </w:rPr>
      </w:pPr>
    </w:p>
    <w:p>
      <w:pPr>
        <w:pStyle w:val="BodyText"/>
        <w:spacing w:before="8"/>
        <w:rPr>
          <w:sz w:val="18"/>
        </w:rPr>
      </w:pPr>
    </w:p>
    <w:p>
      <w:pPr>
        <w:pStyle w:val="BodyText"/>
        <w:spacing w:before="36"/>
        <w:ind w:left="4017" w:right="4372"/>
        <w:jc w:val="center"/>
      </w:pPr>
      <w:r>
        <w:rPr/>
        <w:t>（条款全文结束）</w:t>
      </w:r>
    </w:p>
    <w:sectPr>
      <w:pgSz w:w="11910" w:h="16840"/>
      <w:pgMar w:top="148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708" w:hanging="632"/>
        <w:jc w:val="left"/>
      </w:pPr>
      <w:rPr>
        <w:rFonts w:hint="default" w:ascii="宋体" w:hAnsi="宋体" w:eastAsia="宋体" w:cs="宋体"/>
        <w:w w:val="100"/>
        <w:sz w:val="21"/>
        <w:szCs w:val="21"/>
      </w:rPr>
    </w:lvl>
    <w:lvl w:ilvl="1">
      <w:start w:val="0"/>
      <w:numFmt w:val="bullet"/>
      <w:lvlText w:val="•"/>
      <w:lvlJc w:val="left"/>
      <w:pPr>
        <w:ind w:left="1410" w:hanging="632"/>
      </w:pPr>
      <w:rPr>
        <w:rFonts w:hint="default"/>
      </w:rPr>
    </w:lvl>
    <w:lvl w:ilvl="2">
      <w:start w:val="0"/>
      <w:numFmt w:val="bullet"/>
      <w:lvlText w:val="•"/>
      <w:lvlJc w:val="left"/>
      <w:pPr>
        <w:ind w:left="2120" w:hanging="632"/>
      </w:pPr>
      <w:rPr>
        <w:rFonts w:hint="default"/>
      </w:rPr>
    </w:lvl>
    <w:lvl w:ilvl="3">
      <w:start w:val="0"/>
      <w:numFmt w:val="bullet"/>
      <w:lvlText w:val="•"/>
      <w:lvlJc w:val="left"/>
      <w:pPr>
        <w:ind w:left="2830" w:hanging="632"/>
      </w:pPr>
      <w:rPr>
        <w:rFonts w:hint="default"/>
      </w:rPr>
    </w:lvl>
    <w:lvl w:ilvl="4">
      <w:start w:val="0"/>
      <w:numFmt w:val="bullet"/>
      <w:lvlText w:val="•"/>
      <w:lvlJc w:val="left"/>
      <w:pPr>
        <w:ind w:left="3540" w:hanging="632"/>
      </w:pPr>
      <w:rPr>
        <w:rFonts w:hint="default"/>
      </w:rPr>
    </w:lvl>
    <w:lvl w:ilvl="5">
      <w:start w:val="0"/>
      <w:numFmt w:val="bullet"/>
      <w:lvlText w:val="•"/>
      <w:lvlJc w:val="left"/>
      <w:pPr>
        <w:ind w:left="4251" w:hanging="632"/>
      </w:pPr>
      <w:rPr>
        <w:rFonts w:hint="default"/>
      </w:rPr>
    </w:lvl>
    <w:lvl w:ilvl="6">
      <w:start w:val="0"/>
      <w:numFmt w:val="bullet"/>
      <w:lvlText w:val="•"/>
      <w:lvlJc w:val="left"/>
      <w:pPr>
        <w:ind w:left="4961" w:hanging="632"/>
      </w:pPr>
      <w:rPr>
        <w:rFonts w:hint="default"/>
      </w:rPr>
    </w:lvl>
    <w:lvl w:ilvl="7">
      <w:start w:val="0"/>
      <w:numFmt w:val="bullet"/>
      <w:lvlText w:val="•"/>
      <w:lvlJc w:val="left"/>
      <w:pPr>
        <w:ind w:left="5671" w:hanging="632"/>
      </w:pPr>
      <w:rPr>
        <w:rFonts w:hint="default"/>
      </w:rPr>
    </w:lvl>
    <w:lvl w:ilvl="8">
      <w:start w:val="0"/>
      <w:numFmt w:val="bullet"/>
      <w:lvlText w:val="•"/>
      <w:lvlJc w:val="left"/>
      <w:pPr>
        <w:ind w:left="6381" w:hanging="632"/>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62"/>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2018-10-19T21:53:50Z</dcterms:created>
  <dcterms:modified xsi:type="dcterms:W3CDTF">2018-10-19T21:53:50Z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2015-11-30T00:00:00Z</vt:filetime>
  </property>
  <property fmtid="{D5CDD505-2E9C-101B-9397-08002B2CF9AE}" pid="3" name="Creator">
    <vt:lpwstr>Microsoft® Word 2010</vt:lpwstr>
  </property>
  <property fmtid="{D5CDD505-2E9C-101B-9397-08002B2CF9AE}" pid="4" name="LastSaved">
    <vt:filetime>2018-10-19T00:00:00Z</vt:filetime>
  </property>
</Properties>
</file>