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 w:after="1"/>
        <w:rPr>
          <w:rFonts w:ascii="Times New Roman"/>
          <w:sz w:val="12"/>
        </w:rPr>
      </w:pPr>
    </w:p>
    <w:p>
      <w:pPr>
        <w:pStyle w:val="BodyText"/>
        <w:ind w:left="114"/>
        <w:rPr>
          <w:rFonts w:ascii="Times New Roman"/>
          <w:sz w:val="20"/>
        </w:rPr>
      </w:pPr>
      <w:r>
        <w:rPr>
          <w:rFonts w:ascii="Times New Roman"/>
          <w:sz w:val="20"/>
        </w:rPr>
        <w:drawing>
          <wp:inline distT="0" distB="0" distL="0" distR="0">
            <wp:extent cx="2465730" cy="493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465730" cy="493775"/>
                    </a:xfrm>
                    <a:prstGeom prst="rect">
                      <a:avLst/>
                    </a:prstGeom>
                  </pic:spPr>
                </pic:pic>
              </a:graphicData>
            </a:graphic>
          </wp:inline>
        </w:drawing>
      </w:r>
      <w:r>
        <w:rPr>
          <w:rFonts w:ascii="Times New Roman"/>
          <w:sz w:val="20"/>
        </w:rPr>
      </w:r>
    </w:p>
    <w:p>
      <w:pPr>
        <w:pStyle w:val="BodyText"/>
        <w:rPr>
          <w:rFonts w:ascii="Times New Roman"/>
          <w:sz w:val="20"/>
        </w:rPr>
      </w:pPr>
    </w:p>
    <w:p>
      <w:pPr>
        <w:pStyle w:val="BodyText"/>
        <w:rPr>
          <w:rFonts w:ascii="Times New Roman"/>
          <w:sz w:val="20"/>
        </w:rPr>
      </w:pPr>
    </w:p>
    <w:p>
      <w:pPr>
        <w:pStyle w:val="BodyText"/>
        <w:spacing w:before="1"/>
        <w:rPr>
          <w:rFonts w:ascii="Times New Roman"/>
          <w:sz w:val="10"/>
        </w:rPr>
      </w:pPr>
      <w:r>
        <w:rPr/>
        <w:drawing>
          <wp:anchor distT="0" distB="0" distL="0" distR="0" allowOverlap="1" layoutInCell="1" locked="0" behindDoc="0" simplePos="0" relativeHeight="0">
            <wp:simplePos x="0" y="0"/>
            <wp:positionH relativeFrom="page">
              <wp:posOffset>2748279</wp:posOffset>
            </wp:positionH>
            <wp:positionV relativeFrom="paragraph">
              <wp:posOffset>98449</wp:posOffset>
            </wp:positionV>
            <wp:extent cx="2144558" cy="346709"/>
            <wp:effectExtent l="0" t="0" r="0" b="0"/>
            <wp:wrapTopAndBottom/>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2144558" cy="346709"/>
                    </a:xfrm>
                    <a:prstGeom prst="rect">
                      <a:avLst/>
                    </a:prstGeom>
                  </pic:spPr>
                </pic:pic>
              </a:graphicData>
            </a:graphic>
          </wp:anchor>
        </w:drawing>
      </w:r>
    </w:p>
    <w:p>
      <w:pPr>
        <w:spacing w:before="114"/>
        <w:ind w:left="3795" w:right="70" w:firstLine="0"/>
        <w:jc w:val="center"/>
        <w:rPr>
          <w:b/>
          <w:sz w:val="30"/>
        </w:rPr>
      </w:pPr>
      <w:r>
        <w:rPr>
          <w:b/>
          <w:w w:val="95"/>
          <w:sz w:val="30"/>
        </w:rPr>
        <w:t>太平隽福重大疾病保险条款</w:t>
      </w:r>
    </w:p>
    <w:p>
      <w:pPr>
        <w:pStyle w:val="BodyText"/>
        <w:rPr>
          <w:b/>
          <w:sz w:val="30"/>
        </w:rPr>
      </w:pPr>
    </w:p>
    <w:p>
      <w:pPr>
        <w:pStyle w:val="BodyText"/>
        <w:spacing w:before="3"/>
        <w:rPr>
          <w:b/>
          <w:sz w:val="24"/>
        </w:rPr>
      </w:pPr>
    </w:p>
    <w:p>
      <w:pPr>
        <w:spacing w:before="1"/>
        <w:ind w:left="0" w:right="1243" w:firstLine="0"/>
        <w:jc w:val="right"/>
        <w:rPr>
          <w:b/>
          <w:sz w:val="28"/>
        </w:rPr>
      </w:pPr>
      <w:r>
        <w:rPr>
          <w:b/>
          <w:sz w:val="28"/>
        </w:rPr>
        <w:t>特别提示</w:t>
      </w:r>
    </w:p>
    <w:p>
      <w:pPr>
        <w:spacing w:before="38"/>
        <w:ind w:left="73" w:right="72" w:firstLine="0"/>
        <w:jc w:val="center"/>
        <w:rPr>
          <w:sz w:val="18"/>
        </w:rPr>
      </w:pPr>
      <w:r>
        <w:rPr/>
        <w:br w:type="column"/>
      </w:r>
      <w:r>
        <w:rPr>
          <w:sz w:val="18"/>
        </w:rPr>
        <w:t>太平人寿</w:t>
      </w:r>
      <w:r>
        <w:rPr>
          <w:rFonts w:ascii="Times New Roman" w:eastAsia="Times New Roman"/>
          <w:sz w:val="18"/>
        </w:rPr>
        <w:t>[2017]</w:t>
      </w:r>
      <w:r>
        <w:rPr>
          <w:sz w:val="18"/>
        </w:rPr>
        <w:t>疾病保险 </w:t>
      </w:r>
      <w:r>
        <w:rPr>
          <w:rFonts w:ascii="Times New Roman" w:eastAsia="Times New Roman"/>
          <w:sz w:val="18"/>
        </w:rPr>
        <w:t>054 </w:t>
      </w:r>
      <w:r>
        <w:rPr>
          <w:sz w:val="18"/>
        </w:rPr>
        <w:t>号</w:t>
      </w:r>
    </w:p>
    <w:p>
      <w:pPr>
        <w:pStyle w:val="BodyText"/>
        <w:spacing w:before="7"/>
        <w:rPr>
          <w:sz w:val="5"/>
        </w:rPr>
      </w:pPr>
    </w:p>
    <w:p>
      <w:pPr>
        <w:pStyle w:val="BodyText"/>
        <w:ind w:left="755"/>
        <w:rPr>
          <w:sz w:val="20"/>
        </w:rPr>
      </w:pPr>
      <w:r>
        <w:rPr>
          <w:sz w:val="20"/>
        </w:rPr>
        <w:drawing>
          <wp:inline distT="0" distB="0" distL="0" distR="0">
            <wp:extent cx="723900" cy="723900"/>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7" cstate="print"/>
                    <a:stretch>
                      <a:fillRect/>
                    </a:stretch>
                  </pic:blipFill>
                  <pic:spPr>
                    <a:xfrm>
                      <a:off x="0" y="0"/>
                      <a:ext cx="723900" cy="723900"/>
                    </a:xfrm>
                    <a:prstGeom prst="rect">
                      <a:avLst/>
                    </a:prstGeom>
                  </pic:spPr>
                </pic:pic>
              </a:graphicData>
            </a:graphic>
          </wp:inline>
        </w:drawing>
      </w:r>
      <w:r>
        <w:rPr>
          <w:sz w:val="20"/>
        </w:rPr>
      </w:r>
    </w:p>
    <w:p>
      <w:pPr>
        <w:spacing w:before="86"/>
        <w:ind w:left="71" w:right="72" w:firstLine="0"/>
        <w:jc w:val="center"/>
        <w:rPr>
          <w:sz w:val="18"/>
        </w:rPr>
      </w:pPr>
      <w:r>
        <w:rPr>
          <w:sz w:val="18"/>
        </w:rPr>
        <w:t>请扫描以查询验证条款</w:t>
      </w:r>
    </w:p>
    <w:p>
      <w:pPr>
        <w:spacing w:after="0"/>
        <w:jc w:val="center"/>
        <w:rPr>
          <w:sz w:val="18"/>
        </w:rPr>
        <w:sectPr>
          <w:type w:val="continuous"/>
          <w:pgSz w:w="11910" w:h="16160"/>
          <w:pgMar w:top="440" w:bottom="280" w:left="500" w:right="480"/>
          <w:cols w:num="2" w:equalWidth="0">
            <w:col w:w="7340" w:space="899"/>
            <w:col w:w="2691"/>
          </w:cols>
        </w:sectPr>
      </w:pPr>
    </w:p>
    <w:p>
      <w:pPr>
        <w:pStyle w:val="BodyText"/>
        <w:rPr>
          <w:sz w:val="20"/>
        </w:rPr>
      </w:pPr>
    </w:p>
    <w:p>
      <w:pPr>
        <w:pStyle w:val="BodyText"/>
        <w:rPr>
          <w:sz w:val="20"/>
        </w:rPr>
      </w:pPr>
    </w:p>
    <w:p>
      <w:pPr>
        <w:pStyle w:val="BodyText"/>
        <w:spacing w:before="2"/>
        <w:rPr>
          <w:sz w:val="16"/>
        </w:rPr>
      </w:pPr>
    </w:p>
    <w:p>
      <w:pPr>
        <w:spacing w:before="26"/>
        <w:ind w:left="1058" w:right="0" w:firstLine="0"/>
        <w:jc w:val="left"/>
        <w:rPr>
          <w:sz w:val="24"/>
        </w:rPr>
      </w:pPr>
      <w:r>
        <w:rPr>
          <w:sz w:val="24"/>
        </w:rPr>
        <w:t>感谢您选择了太平人寿保险有限公司。</w:t>
      </w:r>
    </w:p>
    <w:p>
      <w:pPr>
        <w:spacing w:line="549" w:lineRule="auto" w:before="45"/>
        <w:ind w:left="1060" w:right="2178" w:hanging="3"/>
        <w:jc w:val="left"/>
        <w:rPr>
          <w:b/>
          <w:sz w:val="24"/>
        </w:rPr>
      </w:pPr>
      <w:r>
        <w:rPr/>
        <w:pict>
          <v:shapetype id="_x0000_t202" o:spt="202" coordsize="21600,21600" path="m,l,21600r21600,l21600,xe">
            <v:stroke joinstyle="miter"/>
            <v:path gradientshapeok="t" o:connecttype="rect"/>
          </v:shapetype>
          <v:shape style="position:absolute;margin-left:67.664001pt;margin-top:59.953102pt;width:480.95pt;height:141.15pt;mso-position-horizontal-relative:page;mso-position-vertical-relative:paragraph;z-index:104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88"/>
                    <w:gridCol w:w="468"/>
                    <w:gridCol w:w="7765"/>
                  </w:tblGrid>
                  <w:tr>
                    <w:trPr>
                      <w:trHeight w:val="855" w:hRule="atLeast"/>
                    </w:trPr>
                    <w:tc>
                      <w:tcPr>
                        <w:tcW w:w="1388" w:type="dxa"/>
                      </w:tcPr>
                      <w:p>
                        <w:pPr>
                          <w:pStyle w:val="TableParagraph"/>
                          <w:spacing w:line="240" w:lineRule="exact"/>
                          <w:ind w:left="200"/>
                          <w:rPr>
                            <w:b/>
                            <w:sz w:val="24"/>
                          </w:rPr>
                        </w:pPr>
                        <w:r>
                          <w:rPr>
                            <w:b/>
                            <w:w w:val="95"/>
                            <w:sz w:val="24"/>
                          </w:rPr>
                          <w:t>投保人</w:t>
                        </w:r>
                      </w:p>
                    </w:tc>
                    <w:tc>
                      <w:tcPr>
                        <w:tcW w:w="468" w:type="dxa"/>
                      </w:tcPr>
                      <w:p>
                        <w:pPr>
                          <w:pStyle w:val="TableParagraph"/>
                          <w:spacing w:line="240" w:lineRule="exact"/>
                          <w:ind w:right="122"/>
                          <w:jc w:val="right"/>
                          <w:rPr>
                            <w:b/>
                            <w:sz w:val="24"/>
                          </w:rPr>
                        </w:pPr>
                        <w:r>
                          <w:rPr>
                            <w:b/>
                            <w:w w:val="99"/>
                            <w:sz w:val="24"/>
                          </w:rPr>
                          <w:t>:</w:t>
                        </w:r>
                      </w:p>
                    </w:tc>
                    <w:tc>
                      <w:tcPr>
                        <w:tcW w:w="7765" w:type="dxa"/>
                      </w:tcPr>
                      <w:p>
                        <w:pPr>
                          <w:pStyle w:val="TableParagraph"/>
                          <w:spacing w:line="240" w:lineRule="exact"/>
                          <w:ind w:left="122"/>
                          <w:rPr>
                            <w:sz w:val="24"/>
                          </w:rPr>
                        </w:pPr>
                        <w:r>
                          <w:rPr>
                            <w:sz w:val="24"/>
                          </w:rPr>
                          <w:t>是指与保险公司订立保险合同的人，按照保险合同负有支付保险费的义</w:t>
                        </w:r>
                      </w:p>
                      <w:p>
                        <w:pPr>
                          <w:pStyle w:val="TableParagraph"/>
                          <w:spacing w:before="46"/>
                          <w:ind w:left="122"/>
                          <w:rPr>
                            <w:sz w:val="24"/>
                          </w:rPr>
                        </w:pPr>
                        <w:r>
                          <w:rPr>
                            <w:sz w:val="24"/>
                          </w:rPr>
                          <w:t>务。在本合同中以“您”代称。</w:t>
                        </w:r>
                      </w:p>
                    </w:tc>
                  </w:tr>
                  <w:tr>
                    <w:trPr>
                      <w:trHeight w:val="1111" w:hRule="atLeast"/>
                    </w:trPr>
                    <w:tc>
                      <w:tcPr>
                        <w:tcW w:w="1388" w:type="dxa"/>
                      </w:tcPr>
                      <w:p>
                        <w:pPr>
                          <w:pStyle w:val="TableParagraph"/>
                          <w:spacing w:before="181"/>
                          <w:ind w:left="200"/>
                          <w:rPr>
                            <w:b/>
                            <w:sz w:val="24"/>
                          </w:rPr>
                        </w:pPr>
                        <w:r>
                          <w:rPr>
                            <w:b/>
                            <w:sz w:val="24"/>
                          </w:rPr>
                          <w:t>被保险人</w:t>
                        </w:r>
                      </w:p>
                    </w:tc>
                    <w:tc>
                      <w:tcPr>
                        <w:tcW w:w="468" w:type="dxa"/>
                      </w:tcPr>
                      <w:p>
                        <w:pPr>
                          <w:pStyle w:val="TableParagraph"/>
                          <w:spacing w:before="181"/>
                          <w:ind w:right="122"/>
                          <w:jc w:val="right"/>
                          <w:rPr>
                            <w:b/>
                            <w:sz w:val="24"/>
                          </w:rPr>
                        </w:pPr>
                        <w:r>
                          <w:rPr>
                            <w:b/>
                            <w:w w:val="99"/>
                            <w:sz w:val="24"/>
                          </w:rPr>
                          <w:t>:</w:t>
                        </w:r>
                      </w:p>
                    </w:tc>
                    <w:tc>
                      <w:tcPr>
                        <w:tcW w:w="7765" w:type="dxa"/>
                      </w:tcPr>
                      <w:p>
                        <w:pPr>
                          <w:pStyle w:val="TableParagraph"/>
                          <w:spacing w:line="276" w:lineRule="auto" w:before="181"/>
                          <w:ind w:left="122" w:right="200"/>
                          <w:rPr>
                            <w:sz w:val="24"/>
                          </w:rPr>
                        </w:pPr>
                        <w:r>
                          <w:rPr>
                            <w:sz w:val="24"/>
                          </w:rPr>
                          <w:t>在人身保险合同中是指人身受保险合同保障，享有保险金请求权的人。投保人也可以为自己投保，成为被保险人。</w:t>
                        </w:r>
                      </w:p>
                    </w:tc>
                  </w:tr>
                  <w:tr>
                    <w:trPr>
                      <w:trHeight w:val="855" w:hRule="atLeast"/>
                    </w:trPr>
                    <w:tc>
                      <w:tcPr>
                        <w:tcW w:w="1388" w:type="dxa"/>
                      </w:tcPr>
                      <w:p>
                        <w:pPr>
                          <w:pStyle w:val="TableParagraph"/>
                          <w:spacing w:before="181"/>
                          <w:ind w:left="200"/>
                          <w:rPr>
                            <w:b/>
                            <w:sz w:val="24"/>
                          </w:rPr>
                        </w:pPr>
                        <w:r>
                          <w:rPr>
                            <w:b/>
                            <w:w w:val="95"/>
                            <w:sz w:val="24"/>
                          </w:rPr>
                          <w:t>受益人</w:t>
                        </w:r>
                      </w:p>
                    </w:tc>
                    <w:tc>
                      <w:tcPr>
                        <w:tcW w:w="468" w:type="dxa"/>
                      </w:tcPr>
                      <w:p>
                        <w:pPr>
                          <w:pStyle w:val="TableParagraph"/>
                          <w:spacing w:before="181"/>
                          <w:ind w:right="122"/>
                          <w:jc w:val="right"/>
                          <w:rPr>
                            <w:b/>
                            <w:sz w:val="24"/>
                          </w:rPr>
                        </w:pPr>
                        <w:r>
                          <w:rPr>
                            <w:b/>
                            <w:w w:val="99"/>
                            <w:sz w:val="24"/>
                          </w:rPr>
                          <w:t>:</w:t>
                        </w:r>
                      </w:p>
                    </w:tc>
                    <w:tc>
                      <w:tcPr>
                        <w:tcW w:w="7765" w:type="dxa"/>
                      </w:tcPr>
                      <w:p>
                        <w:pPr>
                          <w:pStyle w:val="TableParagraph"/>
                          <w:spacing w:line="360" w:lineRule="atLeast" w:before="136"/>
                          <w:ind w:left="122" w:right="187"/>
                          <w:rPr>
                            <w:sz w:val="24"/>
                          </w:rPr>
                        </w:pPr>
                        <w:r>
                          <w:rPr>
                            <w:sz w:val="24"/>
                          </w:rPr>
                          <w:t>是指人身保险合同中，由被保险人或者投保人指定的，享有保险金请求权的人。</w:t>
                        </w:r>
                      </w:p>
                    </w:tc>
                  </w:tr>
                </w:tbl>
                <w:p>
                  <w:pPr>
                    <w:pStyle w:val="BodyText"/>
                  </w:pPr>
                </w:p>
              </w:txbxContent>
            </v:textbox>
            <w10:wrap type="none"/>
          </v:shape>
        </w:pict>
      </w:r>
      <w:r>
        <w:rPr>
          <w:sz w:val="24"/>
        </w:rPr>
        <w:t>为了方便您更好地理解保险条款，我们提供了以下常用的</w:t>
      </w:r>
      <w:r>
        <w:rPr>
          <w:b/>
          <w:sz w:val="24"/>
        </w:rPr>
        <w:t>基本名词释义。</w:t>
      </w:r>
      <w:r>
        <w:rPr>
          <w:b/>
          <w:w w:val="95"/>
          <w:sz w:val="24"/>
        </w:rPr>
        <w:t>基本名词释义：</w:t>
      </w: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rPr>
          <w:b/>
          <w:sz w:val="24"/>
        </w:rPr>
      </w:pPr>
    </w:p>
    <w:p>
      <w:pPr>
        <w:pStyle w:val="BodyText"/>
        <w:spacing w:before="1"/>
        <w:rPr>
          <w:b/>
          <w:sz w:val="22"/>
        </w:rPr>
      </w:pPr>
    </w:p>
    <w:p>
      <w:pPr>
        <w:spacing w:before="0"/>
        <w:ind w:left="1060" w:right="0" w:firstLine="0"/>
        <w:jc w:val="left"/>
        <w:rPr>
          <w:b/>
          <w:sz w:val="24"/>
        </w:rPr>
      </w:pPr>
      <w:r>
        <w:rPr>
          <w:b/>
          <w:w w:val="95"/>
          <w:sz w:val="24"/>
        </w:rPr>
        <w:t>您应当特别注意的事项：</w:t>
      </w:r>
    </w:p>
    <w:p>
      <w:pPr>
        <w:pStyle w:val="ListParagraph"/>
        <w:numPr>
          <w:ilvl w:val="0"/>
          <w:numId w:val="1"/>
        </w:numPr>
        <w:tabs>
          <w:tab w:pos="1897" w:val="left" w:leader="none"/>
          <w:tab w:pos="1898" w:val="left" w:leader="none"/>
        </w:tabs>
        <w:spacing w:line="259" w:lineRule="auto" w:before="46" w:after="0"/>
        <w:ind w:left="1898" w:right="442" w:hanging="420"/>
        <w:jc w:val="left"/>
        <w:rPr>
          <w:b/>
          <w:sz w:val="24"/>
        </w:rPr>
      </w:pPr>
      <w:r>
        <w:rPr>
          <w:b/>
          <w:spacing w:val="-5"/>
          <w:sz w:val="24"/>
        </w:rPr>
        <w:t>签收本合同之日起 </w:t>
      </w:r>
      <w:r>
        <w:rPr>
          <w:rFonts w:ascii="Times New Roman" w:eastAsia="Times New Roman"/>
          <w:b/>
          <w:sz w:val="24"/>
        </w:rPr>
        <w:t>15</w:t>
      </w:r>
      <w:r>
        <w:rPr>
          <w:rFonts w:ascii="Times New Roman" w:eastAsia="Times New Roman"/>
          <w:b/>
          <w:spacing w:val="10"/>
          <w:sz w:val="24"/>
        </w:rPr>
        <w:t> </w:t>
      </w:r>
      <w:r>
        <w:rPr>
          <w:b/>
          <w:sz w:val="24"/>
        </w:rPr>
        <w:t>日（即犹豫期）内您若要求解除保险合同，我们仅扣除工本</w:t>
      </w:r>
      <w:r>
        <w:rPr>
          <w:b/>
          <w:w w:val="85"/>
          <w:sz w:val="24"/>
        </w:rPr>
        <w:t>费</w:t>
      </w:r>
      <w:r>
        <w:rPr>
          <w:rFonts w:ascii="Courier New" w:eastAsia="Courier New"/>
          <w:b/>
          <w:w w:val="85"/>
          <w:sz w:val="24"/>
        </w:rPr>
        <w:t>...........................................................</w:t>
      </w:r>
      <w:r>
        <w:rPr>
          <w:b/>
          <w:w w:val="85"/>
          <w:sz w:val="24"/>
        </w:rPr>
        <w:t>第二十一条</w:t>
      </w:r>
    </w:p>
    <w:p>
      <w:pPr>
        <w:pStyle w:val="ListParagraph"/>
        <w:numPr>
          <w:ilvl w:val="0"/>
          <w:numId w:val="1"/>
        </w:numPr>
        <w:tabs>
          <w:tab w:pos="1897" w:val="left" w:leader="none"/>
          <w:tab w:pos="1898" w:val="left" w:leader="none"/>
        </w:tabs>
        <w:spacing w:line="316" w:lineRule="exact" w:before="0" w:after="0"/>
        <w:ind w:left="1898" w:right="0" w:hanging="420"/>
        <w:jc w:val="left"/>
        <w:rPr>
          <w:b/>
          <w:sz w:val="24"/>
        </w:rPr>
      </w:pPr>
      <w:r>
        <w:rPr>
          <w:b/>
          <w:spacing w:val="-8"/>
          <w:w w:val="95"/>
          <w:sz w:val="24"/>
        </w:rPr>
        <w:t>本产品保险责任有等待期，请您留意..................................第六条</w:t>
      </w:r>
    </w:p>
    <w:p>
      <w:pPr>
        <w:pStyle w:val="ListParagraph"/>
        <w:numPr>
          <w:ilvl w:val="0"/>
          <w:numId w:val="1"/>
        </w:numPr>
        <w:tabs>
          <w:tab w:pos="1897" w:val="left" w:leader="none"/>
          <w:tab w:pos="1898" w:val="left" w:leader="none"/>
        </w:tabs>
        <w:spacing w:line="240" w:lineRule="auto" w:before="29" w:after="0"/>
        <w:ind w:left="1898" w:right="0" w:hanging="420"/>
        <w:jc w:val="left"/>
        <w:rPr>
          <w:b/>
          <w:sz w:val="24"/>
        </w:rPr>
      </w:pPr>
      <w:r>
        <w:rPr>
          <w:b/>
          <w:spacing w:val="-11"/>
          <w:w w:val="90"/>
          <w:sz w:val="24"/>
        </w:rPr>
        <w:t>在部分情况下，我们不承担保险责任</w:t>
      </w:r>
      <w:r>
        <w:rPr>
          <w:rFonts w:ascii="Courier New" w:eastAsia="Courier New"/>
          <w:b/>
          <w:w w:val="90"/>
          <w:sz w:val="24"/>
        </w:rPr>
        <w:t>..................................</w:t>
      </w:r>
      <w:r>
        <w:rPr>
          <w:b/>
          <w:w w:val="90"/>
          <w:sz w:val="24"/>
        </w:rPr>
        <w:t>第八条</w:t>
      </w:r>
    </w:p>
    <w:p>
      <w:pPr>
        <w:pStyle w:val="ListParagraph"/>
        <w:numPr>
          <w:ilvl w:val="0"/>
          <w:numId w:val="1"/>
        </w:numPr>
        <w:tabs>
          <w:tab w:pos="1897" w:val="left" w:leader="none"/>
          <w:tab w:pos="1898" w:val="left" w:leader="none"/>
        </w:tabs>
        <w:spacing w:line="240" w:lineRule="auto" w:before="7" w:after="0"/>
        <w:ind w:left="1898" w:right="0" w:hanging="420"/>
        <w:jc w:val="left"/>
        <w:rPr>
          <w:b/>
          <w:sz w:val="24"/>
        </w:rPr>
      </w:pPr>
      <w:r>
        <w:rPr>
          <w:b/>
          <w:spacing w:val="-6"/>
          <w:w w:val="95"/>
          <w:sz w:val="24"/>
        </w:rPr>
        <w:t>解除保险合同会给您造成一定的损失，请您慎重决策</w:t>
      </w:r>
      <w:r>
        <w:rPr>
          <w:rFonts w:ascii="Courier New" w:eastAsia="Courier New"/>
          <w:b/>
          <w:w w:val="95"/>
          <w:sz w:val="24"/>
        </w:rPr>
        <w:t>................</w:t>
      </w:r>
      <w:r>
        <w:rPr>
          <w:b/>
          <w:w w:val="95"/>
          <w:sz w:val="24"/>
        </w:rPr>
        <w:t>第二十二条</w:t>
      </w:r>
    </w:p>
    <w:p>
      <w:pPr>
        <w:pStyle w:val="BodyText"/>
        <w:rPr>
          <w:b/>
          <w:sz w:val="26"/>
        </w:rPr>
      </w:pPr>
    </w:p>
    <w:p>
      <w:pPr>
        <w:pStyle w:val="BodyText"/>
        <w:spacing w:before="7"/>
        <w:rPr>
          <w:b/>
          <w:sz w:val="29"/>
        </w:rPr>
      </w:pPr>
    </w:p>
    <w:p>
      <w:pPr>
        <w:spacing w:line="276" w:lineRule="auto" w:before="1"/>
        <w:ind w:left="1058" w:right="320" w:firstLine="0"/>
        <w:jc w:val="left"/>
        <w:rPr>
          <w:sz w:val="24"/>
        </w:rPr>
      </w:pPr>
      <w:r>
        <w:rPr>
          <w:spacing w:val="-6"/>
          <w:sz w:val="24"/>
        </w:rPr>
        <w:t>此外，在您阅读本条款正文之前，请先浏览一下</w:t>
      </w:r>
      <w:r>
        <w:rPr>
          <w:b/>
          <w:sz w:val="24"/>
        </w:rPr>
        <w:t>目录</w:t>
      </w:r>
      <w:r>
        <w:rPr>
          <w:spacing w:val="-5"/>
          <w:sz w:val="24"/>
        </w:rPr>
        <w:t>，以便对条款结构有一个大致的了解。</w:t>
      </w:r>
      <w:r>
        <w:rPr>
          <w:spacing w:val="-5"/>
          <w:w w:val="95"/>
          <w:sz w:val="24"/>
        </w:rPr>
        <w:t>本条款中的每一部分都关乎到您的切身利益，</w:t>
      </w:r>
      <w:r>
        <w:rPr>
          <w:b/>
          <w:spacing w:val="-168"/>
          <w:w w:val="95"/>
          <w:sz w:val="24"/>
        </w:rPr>
        <w:t>请</w:t>
      </w:r>
      <w:r>
        <w:rPr>
          <w:spacing w:val="-70"/>
          <w:w w:val="95"/>
          <w:position w:val="-8"/>
          <w:sz w:val="24"/>
        </w:rPr>
        <w:t>．</w:t>
      </w:r>
      <w:r>
        <w:rPr>
          <w:b/>
          <w:spacing w:val="-168"/>
          <w:w w:val="95"/>
          <w:sz w:val="24"/>
        </w:rPr>
        <w:t>务</w:t>
      </w:r>
      <w:r>
        <w:rPr>
          <w:spacing w:val="-73"/>
          <w:w w:val="95"/>
          <w:position w:val="-8"/>
          <w:sz w:val="24"/>
        </w:rPr>
        <w:t>．</w:t>
      </w:r>
      <w:r>
        <w:rPr>
          <w:b/>
          <w:spacing w:val="-168"/>
          <w:w w:val="95"/>
          <w:sz w:val="24"/>
        </w:rPr>
        <w:t>必</w:t>
      </w:r>
      <w:r>
        <w:rPr>
          <w:spacing w:val="-71"/>
          <w:w w:val="95"/>
          <w:position w:val="-8"/>
          <w:sz w:val="24"/>
        </w:rPr>
        <w:t>．</w:t>
      </w:r>
      <w:r>
        <w:rPr>
          <w:b/>
          <w:spacing w:val="-168"/>
          <w:w w:val="95"/>
          <w:sz w:val="24"/>
        </w:rPr>
        <w:t>逐</w:t>
      </w:r>
      <w:r>
        <w:rPr>
          <w:spacing w:val="-73"/>
          <w:w w:val="95"/>
          <w:position w:val="-8"/>
          <w:sz w:val="24"/>
        </w:rPr>
        <w:t>．</w:t>
      </w:r>
      <w:r>
        <w:rPr>
          <w:b/>
          <w:spacing w:val="-168"/>
          <w:w w:val="95"/>
          <w:sz w:val="24"/>
        </w:rPr>
        <w:t>条</w:t>
      </w:r>
      <w:r>
        <w:rPr>
          <w:spacing w:val="-73"/>
          <w:w w:val="95"/>
          <w:position w:val="-8"/>
          <w:sz w:val="24"/>
        </w:rPr>
        <w:t>．</w:t>
      </w:r>
      <w:r>
        <w:rPr>
          <w:b/>
          <w:spacing w:val="-168"/>
          <w:w w:val="95"/>
          <w:sz w:val="24"/>
        </w:rPr>
        <w:t>仔</w:t>
      </w:r>
      <w:r>
        <w:rPr>
          <w:spacing w:val="-71"/>
          <w:w w:val="95"/>
          <w:position w:val="-8"/>
          <w:sz w:val="24"/>
        </w:rPr>
        <w:t>．</w:t>
      </w:r>
      <w:r>
        <w:rPr>
          <w:b/>
          <w:spacing w:val="-167"/>
          <w:w w:val="95"/>
          <w:sz w:val="24"/>
        </w:rPr>
        <w:t>细</w:t>
      </w:r>
      <w:r>
        <w:rPr>
          <w:spacing w:val="-74"/>
          <w:w w:val="95"/>
          <w:position w:val="-8"/>
          <w:sz w:val="24"/>
        </w:rPr>
        <w:t>．</w:t>
      </w:r>
      <w:r>
        <w:rPr>
          <w:b/>
          <w:spacing w:val="-167"/>
          <w:w w:val="95"/>
          <w:sz w:val="24"/>
        </w:rPr>
        <w:t>阅</w:t>
      </w:r>
      <w:r>
        <w:rPr>
          <w:spacing w:val="-72"/>
          <w:w w:val="95"/>
          <w:position w:val="-8"/>
          <w:sz w:val="24"/>
        </w:rPr>
        <w:t>．</w:t>
      </w:r>
      <w:r>
        <w:rPr>
          <w:b/>
          <w:spacing w:val="-167"/>
          <w:w w:val="95"/>
          <w:sz w:val="24"/>
        </w:rPr>
        <w:t>读</w:t>
      </w:r>
      <w:r>
        <w:rPr>
          <w:spacing w:val="-74"/>
          <w:w w:val="95"/>
          <w:position w:val="-8"/>
          <w:sz w:val="24"/>
        </w:rPr>
        <w:t>．</w:t>
      </w:r>
      <w:r>
        <w:rPr>
          <w:b/>
          <w:spacing w:val="-167"/>
          <w:w w:val="95"/>
          <w:sz w:val="24"/>
        </w:rPr>
        <w:t>并</w:t>
      </w:r>
      <w:r>
        <w:rPr>
          <w:spacing w:val="-74"/>
          <w:w w:val="95"/>
          <w:position w:val="-8"/>
          <w:sz w:val="24"/>
        </w:rPr>
        <w:t>．</w:t>
      </w:r>
      <w:r>
        <w:rPr>
          <w:b/>
          <w:spacing w:val="-167"/>
          <w:w w:val="95"/>
          <w:sz w:val="24"/>
        </w:rPr>
        <w:t>关</w:t>
      </w:r>
      <w:r>
        <w:rPr>
          <w:spacing w:val="-72"/>
          <w:w w:val="95"/>
          <w:position w:val="-8"/>
          <w:sz w:val="24"/>
        </w:rPr>
        <w:t>．</w:t>
      </w:r>
      <w:r>
        <w:rPr>
          <w:b/>
          <w:spacing w:val="-167"/>
          <w:w w:val="95"/>
          <w:sz w:val="24"/>
        </w:rPr>
        <w:t>注</w:t>
      </w:r>
      <w:r>
        <w:rPr>
          <w:spacing w:val="-74"/>
          <w:w w:val="95"/>
          <w:position w:val="-8"/>
          <w:sz w:val="24"/>
        </w:rPr>
        <w:t>．</w:t>
      </w:r>
      <w:r>
        <w:rPr>
          <w:b/>
          <w:spacing w:val="-167"/>
          <w:w w:val="95"/>
          <w:sz w:val="24"/>
        </w:rPr>
        <w:t>注</w:t>
      </w:r>
      <w:r>
        <w:rPr>
          <w:spacing w:val="-72"/>
          <w:w w:val="95"/>
          <w:position w:val="-8"/>
          <w:sz w:val="24"/>
        </w:rPr>
        <w:t>．</w:t>
      </w:r>
      <w:r>
        <w:rPr>
          <w:b/>
          <w:spacing w:val="-166"/>
          <w:w w:val="95"/>
          <w:sz w:val="24"/>
        </w:rPr>
        <w:t>释</w:t>
      </w:r>
      <w:r>
        <w:rPr>
          <w:spacing w:val="-75"/>
          <w:w w:val="95"/>
          <w:position w:val="-8"/>
          <w:sz w:val="24"/>
        </w:rPr>
        <w:t>．</w:t>
      </w:r>
      <w:r>
        <w:rPr>
          <w:b/>
          <w:spacing w:val="-166"/>
          <w:w w:val="95"/>
          <w:sz w:val="24"/>
        </w:rPr>
        <w:t>内</w:t>
      </w:r>
      <w:r>
        <w:rPr>
          <w:spacing w:val="-75"/>
          <w:w w:val="95"/>
          <w:position w:val="-8"/>
          <w:sz w:val="24"/>
        </w:rPr>
        <w:t>．</w:t>
      </w:r>
      <w:r>
        <w:rPr>
          <w:b/>
          <w:spacing w:val="-166"/>
          <w:w w:val="95"/>
          <w:sz w:val="24"/>
        </w:rPr>
        <w:t>容</w:t>
      </w:r>
      <w:r>
        <w:rPr>
          <w:spacing w:val="-70"/>
          <w:w w:val="95"/>
          <w:position w:val="-8"/>
          <w:sz w:val="24"/>
        </w:rPr>
        <w:t>．</w:t>
      </w:r>
      <w:r>
        <w:rPr>
          <w:w w:val="95"/>
          <w:sz w:val="24"/>
        </w:rPr>
        <w:t>。</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pStyle w:val="BodyText"/>
        <w:spacing w:before="43"/>
        <w:ind w:left="4831" w:right="4693"/>
        <w:jc w:val="center"/>
      </w:pPr>
      <w:r>
        <w:rPr/>
        <w:t>第</w:t>
      </w:r>
      <w:r>
        <w:rPr>
          <w:rFonts w:ascii="Times New Roman" w:eastAsia="Times New Roman"/>
        </w:rPr>
        <w:t>1</w:t>
      </w:r>
      <w:r>
        <w:rPr/>
        <w:t>页，共</w:t>
      </w:r>
      <w:r>
        <w:rPr>
          <w:rFonts w:ascii="Times New Roman" w:eastAsia="Times New Roman"/>
        </w:rPr>
        <w:t>25</w:t>
      </w:r>
      <w:r>
        <w:rPr/>
        <w:t>页</w:t>
      </w:r>
    </w:p>
    <w:p>
      <w:pPr>
        <w:spacing w:after="0"/>
        <w:jc w:val="center"/>
        <w:sectPr>
          <w:type w:val="continuous"/>
          <w:pgSz w:w="11910" w:h="16160"/>
          <w:pgMar w:top="440" w:bottom="280" w:left="500" w:right="480"/>
        </w:sectPr>
      </w:pPr>
    </w:p>
    <w:p>
      <w:pPr>
        <w:tabs>
          <w:tab w:pos="1478" w:val="left" w:leader="none"/>
        </w:tabs>
        <w:spacing w:line="314" w:lineRule="exact" w:before="0"/>
        <w:ind w:left="636" w:right="0" w:firstLine="0"/>
        <w:jc w:val="center"/>
        <w:rPr>
          <w:b/>
          <w:sz w:val="24"/>
        </w:rPr>
      </w:pPr>
      <w:r>
        <w:rPr>
          <w:b/>
          <w:sz w:val="24"/>
        </w:rPr>
        <w:t>目</w:t>
        <w:tab/>
        <w:t>录</w:t>
      </w:r>
    </w:p>
    <w:sdt>
      <w:sdtPr>
        <w:docPartObj>
          <w:docPartGallery w:val="Table of Contents"/>
          <w:docPartUnique/>
        </w:docPartObj>
      </w:sdtPr>
      <w:sdtEndPr/>
      <w:sdtContent>
        <w:p>
          <w:pPr>
            <w:pStyle w:val="TOC1"/>
            <w:tabs>
              <w:tab w:pos="1377" w:val="left" w:leader="none"/>
              <w:tab w:pos="9748" w:val="right" w:leader="dot"/>
            </w:tabs>
            <w:spacing w:before="374"/>
            <w:rPr>
              <w:rFonts w:ascii="Times New Roman" w:eastAsia="Times New Roman"/>
            </w:rPr>
          </w:pPr>
          <w:hyperlink w:history="true" w:anchor="_bookmark0">
            <w:r>
              <w:rPr/>
              <w:t>第一部分</w:t>
              <w:tab/>
              <w:t>您（投保人）与我</w:t>
            </w:r>
            <w:r>
              <w:rPr>
                <w:spacing w:val="-3"/>
              </w:rPr>
              <w:t>们</w:t>
            </w:r>
            <w:r>
              <w:rPr/>
              <w:t>（</w:t>
            </w:r>
            <w:r>
              <w:rPr>
                <w:spacing w:val="-3"/>
              </w:rPr>
              <w:t>太</w:t>
            </w:r>
            <w:r>
              <w:rPr/>
              <w:t>平人寿保险有限公</w:t>
            </w:r>
            <w:r>
              <w:rPr>
                <w:spacing w:val="-3"/>
              </w:rPr>
              <w:t>司</w:t>
            </w:r>
            <w:r>
              <w:rPr/>
              <w:t>）</w:t>
            </w:r>
            <w:r>
              <w:rPr>
                <w:spacing w:val="-3"/>
              </w:rPr>
              <w:t>的</w:t>
            </w:r>
            <w:r>
              <w:rPr/>
              <w:t>合同</w:t>
              <w:tab/>
            </w:r>
            <w:r>
              <w:rPr>
                <w:rFonts w:ascii="Times New Roman" w:eastAsia="Times New Roman"/>
              </w:rPr>
              <w:t>3</w:t>
            </w:r>
          </w:hyperlink>
        </w:p>
        <w:p>
          <w:pPr>
            <w:pStyle w:val="TOC2"/>
            <w:tabs>
              <w:tab w:pos="1797" w:val="left" w:leader="none"/>
              <w:tab w:pos="9747" w:val="right" w:leader="dot"/>
            </w:tabs>
            <w:spacing w:before="41"/>
            <w:rPr>
              <w:rFonts w:ascii="Times New Roman" w:eastAsia="Times New Roman"/>
            </w:rPr>
          </w:pPr>
          <w:hyperlink w:history="true" w:anchor="_bookmark1">
            <w:r>
              <w:rPr/>
              <w:t>第一条</w:t>
              <w:tab/>
              <w:t>保险合同的构成</w:t>
              <w:tab/>
            </w:r>
            <w:r>
              <w:rPr>
                <w:rFonts w:ascii="Times New Roman" w:eastAsia="Times New Roman"/>
              </w:rPr>
              <w:t>3</w:t>
            </w:r>
          </w:hyperlink>
        </w:p>
        <w:p>
          <w:pPr>
            <w:pStyle w:val="TOC2"/>
            <w:tabs>
              <w:tab w:pos="1797" w:val="left" w:leader="none"/>
              <w:tab w:pos="9747" w:val="right" w:leader="dot"/>
            </w:tabs>
            <w:rPr>
              <w:rFonts w:ascii="Times New Roman" w:eastAsia="Times New Roman"/>
            </w:rPr>
          </w:pPr>
          <w:hyperlink w:history="true" w:anchor="_bookmark2">
            <w:r>
              <w:rPr/>
              <w:t>第二条</w:t>
              <w:tab/>
              <w:t>投保范围</w:t>
              <w:tab/>
            </w:r>
            <w:r>
              <w:rPr>
                <w:rFonts w:ascii="Times New Roman" w:eastAsia="Times New Roman"/>
              </w:rPr>
              <w:t>3</w:t>
            </w:r>
          </w:hyperlink>
        </w:p>
        <w:p>
          <w:pPr>
            <w:pStyle w:val="TOC2"/>
            <w:tabs>
              <w:tab w:pos="1797" w:val="left" w:leader="none"/>
              <w:tab w:pos="9747" w:val="right" w:leader="dot"/>
            </w:tabs>
            <w:rPr>
              <w:rFonts w:ascii="Times New Roman" w:eastAsia="Times New Roman"/>
            </w:rPr>
          </w:pPr>
          <w:hyperlink w:history="true" w:anchor="_bookmark3">
            <w:r>
              <w:rPr/>
              <w:t>第三条</w:t>
              <w:tab/>
              <w:t>保险合同成立与生效</w:t>
              <w:tab/>
            </w:r>
            <w:r>
              <w:rPr>
                <w:rFonts w:ascii="Times New Roman" w:eastAsia="Times New Roman"/>
              </w:rPr>
              <w:t>3</w:t>
            </w:r>
          </w:hyperlink>
        </w:p>
        <w:p>
          <w:pPr>
            <w:pStyle w:val="TOC2"/>
            <w:tabs>
              <w:tab w:pos="1797" w:val="left" w:leader="none"/>
              <w:tab w:pos="9747" w:val="right" w:leader="dot"/>
            </w:tabs>
            <w:rPr>
              <w:rFonts w:ascii="Times New Roman" w:eastAsia="Times New Roman"/>
            </w:rPr>
          </w:pPr>
          <w:hyperlink w:history="true" w:anchor="_bookmark4">
            <w:r>
              <w:rPr/>
              <w:t>第四条</w:t>
              <w:tab/>
              <w:t>保险期间</w:t>
              <w:tab/>
            </w:r>
            <w:r>
              <w:rPr>
                <w:rFonts w:ascii="Times New Roman" w:eastAsia="Times New Roman"/>
              </w:rPr>
              <w:t>3</w:t>
            </w:r>
          </w:hyperlink>
        </w:p>
        <w:p>
          <w:pPr>
            <w:pStyle w:val="TOC1"/>
            <w:tabs>
              <w:tab w:pos="1377" w:val="left" w:leader="none"/>
              <w:tab w:pos="9748" w:val="right" w:leader="dot"/>
            </w:tabs>
            <w:spacing w:before="42"/>
            <w:rPr>
              <w:rFonts w:ascii="Times New Roman" w:eastAsia="Times New Roman"/>
            </w:rPr>
          </w:pPr>
          <w:hyperlink w:history="true" w:anchor="_bookmark5">
            <w:r>
              <w:rPr/>
              <w:t>第二部分</w:t>
              <w:tab/>
              <w:t>我们提供哪些保障</w:t>
            </w:r>
            <w:r>
              <w:rPr>
                <w:spacing w:val="-3"/>
              </w:rPr>
              <w:t>利</w:t>
            </w:r>
            <w:r>
              <w:rPr/>
              <w:t>益</w:t>
              <w:tab/>
            </w:r>
            <w:r>
              <w:rPr>
                <w:rFonts w:ascii="Times New Roman" w:eastAsia="Times New Roman"/>
              </w:rPr>
              <w:t>3</w:t>
            </w:r>
          </w:hyperlink>
        </w:p>
        <w:p>
          <w:pPr>
            <w:pStyle w:val="TOC2"/>
            <w:tabs>
              <w:tab w:pos="1797" w:val="left" w:leader="none"/>
              <w:tab w:pos="9747" w:val="right" w:leader="dot"/>
            </w:tabs>
            <w:spacing w:before="42"/>
            <w:rPr>
              <w:rFonts w:ascii="Times New Roman" w:eastAsia="Times New Roman"/>
            </w:rPr>
          </w:pPr>
          <w:hyperlink w:history="true" w:anchor="_bookmark6">
            <w:r>
              <w:rPr/>
              <w:t>第五条</w:t>
              <w:tab/>
              <w:t>基本保险金额</w:t>
              <w:tab/>
            </w:r>
            <w:r>
              <w:rPr>
                <w:rFonts w:ascii="Times New Roman" w:eastAsia="Times New Roman"/>
              </w:rPr>
              <w:t>3</w:t>
            </w:r>
          </w:hyperlink>
        </w:p>
        <w:p>
          <w:pPr>
            <w:pStyle w:val="TOC2"/>
            <w:tabs>
              <w:tab w:pos="1797" w:val="left" w:leader="none"/>
              <w:tab w:pos="9747" w:val="right" w:leader="dot"/>
            </w:tabs>
            <w:spacing w:before="63"/>
            <w:rPr>
              <w:rFonts w:ascii="Times New Roman" w:eastAsia="Times New Roman"/>
            </w:rPr>
          </w:pPr>
          <w:hyperlink w:history="true" w:anchor="_bookmark7">
            <w:r>
              <w:rPr/>
              <w:t>第六条</w:t>
              <w:tab/>
              <w:t>等待期</w:t>
              <w:tab/>
            </w:r>
            <w:r>
              <w:rPr>
                <w:rFonts w:ascii="Times New Roman" w:eastAsia="Times New Roman"/>
              </w:rPr>
              <w:t>3</w:t>
            </w:r>
          </w:hyperlink>
        </w:p>
        <w:p>
          <w:pPr>
            <w:pStyle w:val="TOC2"/>
            <w:tabs>
              <w:tab w:pos="1797" w:val="left" w:leader="none"/>
              <w:tab w:pos="9747" w:val="right" w:leader="dot"/>
            </w:tabs>
            <w:spacing w:before="63"/>
            <w:rPr>
              <w:rFonts w:ascii="Times New Roman" w:eastAsia="Times New Roman"/>
            </w:rPr>
          </w:pPr>
          <w:hyperlink w:history="true" w:anchor="_bookmark8">
            <w:r>
              <w:rPr/>
              <w:t>第七条</w:t>
              <w:tab/>
              <w:t>保险责任</w:t>
              <w:tab/>
            </w:r>
            <w:r>
              <w:rPr>
                <w:rFonts w:ascii="Times New Roman" w:eastAsia="Times New Roman"/>
              </w:rPr>
              <w:t>3</w:t>
            </w:r>
          </w:hyperlink>
        </w:p>
        <w:p>
          <w:pPr>
            <w:pStyle w:val="TOC2"/>
            <w:tabs>
              <w:tab w:pos="1797" w:val="left" w:leader="none"/>
              <w:tab w:pos="9747" w:val="right" w:leader="dot"/>
            </w:tabs>
            <w:spacing w:before="63"/>
            <w:rPr>
              <w:rFonts w:ascii="Times New Roman" w:eastAsia="Times New Roman"/>
            </w:rPr>
          </w:pPr>
          <w:hyperlink w:history="true" w:anchor="_bookmark9">
            <w:r>
              <w:rPr/>
              <w:t>第八条</w:t>
              <w:tab/>
              <w:t>责任免除</w:t>
              <w:tab/>
            </w:r>
            <w:r>
              <w:rPr>
                <w:rFonts w:ascii="Times New Roman" w:eastAsia="Times New Roman"/>
              </w:rPr>
              <w:t>5</w:t>
            </w:r>
          </w:hyperlink>
        </w:p>
        <w:p>
          <w:pPr>
            <w:pStyle w:val="TOC1"/>
            <w:tabs>
              <w:tab w:pos="1377" w:val="left" w:leader="none"/>
              <w:tab w:pos="9748" w:val="right" w:leader="dot"/>
            </w:tabs>
            <w:rPr>
              <w:rFonts w:ascii="Times New Roman" w:eastAsia="Times New Roman"/>
            </w:rPr>
          </w:pPr>
          <w:hyperlink w:history="true" w:anchor="_bookmark10">
            <w:r>
              <w:rPr/>
              <w:t>第三部分</w:t>
              <w:tab/>
              <w:t>如何支付保险费</w:t>
              <w:tab/>
            </w:r>
            <w:r>
              <w:rPr>
                <w:rFonts w:ascii="Times New Roman" w:eastAsia="Times New Roman"/>
              </w:rPr>
              <w:t>6</w:t>
            </w:r>
          </w:hyperlink>
        </w:p>
        <w:p>
          <w:pPr>
            <w:pStyle w:val="TOC2"/>
            <w:tabs>
              <w:tab w:pos="1797" w:val="left" w:leader="none"/>
              <w:tab w:pos="9747" w:val="right" w:leader="dot"/>
            </w:tabs>
            <w:spacing w:before="41"/>
            <w:rPr>
              <w:rFonts w:ascii="Times New Roman" w:eastAsia="Times New Roman"/>
            </w:rPr>
          </w:pPr>
          <w:hyperlink w:history="true" w:anchor="_bookmark11">
            <w:r>
              <w:rPr/>
              <w:t>第九条</w:t>
              <w:tab/>
              <w:t>保险费的支付</w:t>
              <w:tab/>
            </w:r>
            <w:r>
              <w:rPr>
                <w:rFonts w:ascii="Times New Roman" w:eastAsia="Times New Roman"/>
              </w:rPr>
              <w:t>6</w:t>
            </w:r>
          </w:hyperlink>
        </w:p>
        <w:p>
          <w:pPr>
            <w:pStyle w:val="TOC2"/>
            <w:tabs>
              <w:tab w:pos="1797" w:val="left" w:leader="none"/>
              <w:tab w:pos="9747" w:val="right" w:leader="dot"/>
            </w:tabs>
            <w:rPr>
              <w:rFonts w:ascii="Times New Roman" w:eastAsia="Times New Roman"/>
            </w:rPr>
          </w:pPr>
          <w:hyperlink w:history="true" w:anchor="_bookmark12">
            <w:r>
              <w:rPr/>
              <w:t>第十条</w:t>
              <w:tab/>
              <w:t>宽限期</w:t>
              <w:tab/>
            </w:r>
            <w:r>
              <w:rPr>
                <w:rFonts w:ascii="Times New Roman" w:eastAsia="Times New Roman"/>
              </w:rPr>
              <w:t>6</w:t>
            </w:r>
          </w:hyperlink>
        </w:p>
        <w:p>
          <w:pPr>
            <w:pStyle w:val="TOC1"/>
            <w:tabs>
              <w:tab w:pos="1377" w:val="left" w:leader="none"/>
              <w:tab w:pos="9748" w:val="right" w:leader="dot"/>
            </w:tabs>
            <w:rPr>
              <w:rFonts w:ascii="Times New Roman" w:eastAsia="Times New Roman"/>
            </w:rPr>
          </w:pPr>
          <w:hyperlink w:history="true" w:anchor="_bookmark13">
            <w:r>
              <w:rPr/>
              <w:t>第四部分</w:t>
              <w:tab/>
              <w:t>如何申请保险金</w:t>
              <w:tab/>
            </w:r>
            <w:r>
              <w:rPr>
                <w:rFonts w:ascii="Times New Roman" w:eastAsia="Times New Roman"/>
              </w:rPr>
              <w:t>6</w:t>
            </w:r>
          </w:hyperlink>
        </w:p>
        <w:p>
          <w:pPr>
            <w:pStyle w:val="TOC2"/>
            <w:tabs>
              <w:tab w:pos="1797" w:val="left" w:leader="none"/>
              <w:tab w:pos="9747" w:val="right" w:leader="dot"/>
            </w:tabs>
            <w:spacing w:before="41"/>
            <w:rPr>
              <w:rFonts w:ascii="Times New Roman" w:eastAsia="Times New Roman"/>
            </w:rPr>
          </w:pPr>
          <w:hyperlink w:history="true" w:anchor="_bookmark14">
            <w:r>
              <w:rPr/>
              <w:t>第十一条</w:t>
              <w:tab/>
              <w:t>受益人</w:t>
              <w:tab/>
            </w:r>
            <w:r>
              <w:rPr>
                <w:rFonts w:ascii="Times New Roman" w:eastAsia="Times New Roman"/>
              </w:rPr>
              <w:t>6</w:t>
            </w:r>
          </w:hyperlink>
        </w:p>
        <w:p>
          <w:pPr>
            <w:pStyle w:val="TOC2"/>
            <w:tabs>
              <w:tab w:pos="1797" w:val="left" w:leader="none"/>
              <w:tab w:pos="9747" w:val="right" w:leader="dot"/>
            </w:tabs>
            <w:rPr>
              <w:rFonts w:ascii="Times New Roman" w:eastAsia="Times New Roman"/>
            </w:rPr>
          </w:pPr>
          <w:hyperlink w:history="true" w:anchor="_bookmark15">
            <w:r>
              <w:rPr/>
              <w:t>第十二条</w:t>
              <w:tab/>
              <w:t>保险事故通知</w:t>
              <w:tab/>
            </w:r>
            <w:r>
              <w:rPr>
                <w:rFonts w:ascii="Times New Roman" w:eastAsia="Times New Roman"/>
              </w:rPr>
              <w:t>7</w:t>
            </w:r>
          </w:hyperlink>
        </w:p>
        <w:p>
          <w:pPr>
            <w:pStyle w:val="TOC2"/>
            <w:tabs>
              <w:tab w:pos="1797" w:val="left" w:leader="none"/>
              <w:tab w:pos="9747" w:val="right" w:leader="dot"/>
            </w:tabs>
            <w:rPr>
              <w:rFonts w:ascii="Times New Roman" w:eastAsia="Times New Roman"/>
            </w:rPr>
          </w:pPr>
          <w:hyperlink w:history="true" w:anchor="_bookmark16">
            <w:r>
              <w:rPr/>
              <w:t>第十三条</w:t>
              <w:tab/>
              <w:t>诉讼时效</w:t>
              <w:tab/>
            </w:r>
            <w:r>
              <w:rPr>
                <w:rFonts w:ascii="Times New Roman" w:eastAsia="Times New Roman"/>
              </w:rPr>
              <w:t>7</w:t>
            </w:r>
          </w:hyperlink>
        </w:p>
        <w:p>
          <w:pPr>
            <w:pStyle w:val="TOC2"/>
            <w:tabs>
              <w:tab w:pos="1797" w:val="left" w:leader="none"/>
              <w:tab w:pos="9747" w:val="right" w:leader="dot"/>
            </w:tabs>
            <w:rPr>
              <w:rFonts w:ascii="Times New Roman" w:eastAsia="Times New Roman"/>
            </w:rPr>
          </w:pPr>
          <w:hyperlink w:history="true" w:anchor="_bookmark17">
            <w:r>
              <w:rPr/>
              <w:t>第十四条</w:t>
              <w:tab/>
              <w:t>保险金申请</w:t>
              <w:tab/>
            </w:r>
            <w:r>
              <w:rPr>
                <w:rFonts w:ascii="Times New Roman" w:eastAsia="Times New Roman"/>
              </w:rPr>
              <w:t>7</w:t>
            </w:r>
          </w:hyperlink>
        </w:p>
        <w:p>
          <w:pPr>
            <w:pStyle w:val="TOC2"/>
            <w:tabs>
              <w:tab w:pos="1797" w:val="left" w:leader="none"/>
              <w:tab w:pos="9747" w:val="right" w:leader="dot"/>
            </w:tabs>
            <w:rPr>
              <w:rFonts w:ascii="Times New Roman" w:eastAsia="Times New Roman"/>
            </w:rPr>
          </w:pPr>
          <w:hyperlink w:history="true" w:anchor="_bookmark18">
            <w:r>
              <w:rPr/>
              <w:t>第十五条</w:t>
              <w:tab/>
              <w:t>保险金给付</w:t>
              <w:tab/>
            </w:r>
            <w:r>
              <w:rPr>
                <w:rFonts w:ascii="Times New Roman" w:eastAsia="Times New Roman"/>
              </w:rPr>
              <w:t>8</w:t>
            </w:r>
          </w:hyperlink>
        </w:p>
        <w:p>
          <w:pPr>
            <w:pStyle w:val="TOC2"/>
            <w:tabs>
              <w:tab w:pos="1797" w:val="left" w:leader="none"/>
              <w:tab w:pos="9747" w:val="right" w:leader="dot"/>
            </w:tabs>
            <w:rPr>
              <w:rFonts w:ascii="Times New Roman" w:eastAsia="Times New Roman"/>
            </w:rPr>
          </w:pPr>
          <w:hyperlink w:history="true" w:anchor="_bookmark19">
            <w:r>
              <w:rPr/>
              <w:t>第十六条</w:t>
              <w:tab/>
              <w:t>司法鉴定</w:t>
              <w:tab/>
            </w:r>
            <w:r>
              <w:rPr>
                <w:rFonts w:ascii="Times New Roman" w:eastAsia="Times New Roman"/>
              </w:rPr>
              <w:t>8</w:t>
            </w:r>
          </w:hyperlink>
        </w:p>
        <w:p>
          <w:pPr>
            <w:pStyle w:val="TOC2"/>
            <w:tabs>
              <w:tab w:pos="1797" w:val="left" w:leader="none"/>
              <w:tab w:pos="9747" w:val="right" w:leader="dot"/>
            </w:tabs>
            <w:rPr>
              <w:rFonts w:ascii="Times New Roman" w:eastAsia="Times New Roman"/>
            </w:rPr>
          </w:pPr>
          <w:hyperlink w:history="true" w:anchor="_bookmark20">
            <w:r>
              <w:rPr/>
              <w:t>第十七条</w:t>
              <w:tab/>
              <w:t>失踪处理</w:t>
              <w:tab/>
            </w:r>
            <w:r>
              <w:rPr>
                <w:rFonts w:ascii="Times New Roman" w:eastAsia="Times New Roman"/>
              </w:rPr>
              <w:t>8</w:t>
            </w:r>
          </w:hyperlink>
        </w:p>
        <w:p>
          <w:pPr>
            <w:pStyle w:val="TOC1"/>
            <w:tabs>
              <w:tab w:pos="1377" w:val="left" w:leader="none"/>
              <w:tab w:pos="9748" w:val="right" w:leader="dot"/>
            </w:tabs>
            <w:rPr>
              <w:rFonts w:ascii="Times New Roman" w:eastAsia="Times New Roman"/>
            </w:rPr>
          </w:pPr>
          <w:hyperlink w:history="true" w:anchor="_bookmark21">
            <w:r>
              <w:rPr/>
              <w:t>第五部分</w:t>
              <w:tab/>
              <w:t>您还享有哪些权益</w:t>
              <w:tab/>
            </w:r>
            <w:r>
              <w:rPr>
                <w:rFonts w:ascii="Times New Roman" w:eastAsia="Times New Roman"/>
              </w:rPr>
              <w:t>8</w:t>
            </w:r>
          </w:hyperlink>
        </w:p>
        <w:p>
          <w:pPr>
            <w:pStyle w:val="TOC2"/>
            <w:tabs>
              <w:tab w:pos="1797" w:val="left" w:leader="none"/>
              <w:tab w:pos="9747" w:val="right" w:leader="dot"/>
            </w:tabs>
            <w:spacing w:before="41"/>
            <w:rPr>
              <w:rFonts w:ascii="Times New Roman" w:eastAsia="Times New Roman"/>
            </w:rPr>
          </w:pPr>
          <w:hyperlink w:history="true" w:anchor="_bookmark22">
            <w:r>
              <w:rPr/>
              <w:t>第十八条</w:t>
              <w:tab/>
              <w:t>保单贷款</w:t>
              <w:tab/>
            </w:r>
            <w:r>
              <w:rPr>
                <w:rFonts w:ascii="Times New Roman" w:eastAsia="Times New Roman"/>
              </w:rPr>
              <w:t>8</w:t>
            </w:r>
          </w:hyperlink>
        </w:p>
        <w:p>
          <w:pPr>
            <w:pStyle w:val="TOC2"/>
            <w:tabs>
              <w:tab w:pos="1797" w:val="left" w:leader="none"/>
              <w:tab w:pos="9747" w:val="right" w:leader="dot"/>
            </w:tabs>
            <w:rPr>
              <w:rFonts w:ascii="Times New Roman" w:eastAsia="Times New Roman"/>
            </w:rPr>
          </w:pPr>
          <w:hyperlink w:history="true" w:anchor="_bookmark23">
            <w:r>
              <w:rPr/>
              <w:t>第十九条</w:t>
              <w:tab/>
              <w:t>合同内容的变更权</w:t>
              <w:tab/>
            </w:r>
            <w:r>
              <w:rPr>
                <w:rFonts w:ascii="Times New Roman" w:eastAsia="Times New Roman"/>
              </w:rPr>
              <w:t>9</w:t>
            </w:r>
          </w:hyperlink>
        </w:p>
        <w:p>
          <w:pPr>
            <w:pStyle w:val="TOC2"/>
            <w:tabs>
              <w:tab w:pos="1797" w:val="left" w:leader="none"/>
              <w:tab w:pos="9747" w:val="right" w:leader="dot"/>
            </w:tabs>
            <w:rPr>
              <w:rFonts w:ascii="Times New Roman" w:eastAsia="Times New Roman"/>
            </w:rPr>
          </w:pPr>
          <w:hyperlink w:history="true" w:anchor="_bookmark24">
            <w:r>
              <w:rPr/>
              <w:t>第二十条</w:t>
              <w:tab/>
              <w:t>合同效力的中止与恢复</w:t>
              <w:tab/>
            </w:r>
            <w:r>
              <w:rPr>
                <w:rFonts w:ascii="Times New Roman" w:eastAsia="Times New Roman"/>
              </w:rPr>
              <w:t>9</w:t>
            </w:r>
          </w:hyperlink>
        </w:p>
        <w:p>
          <w:pPr>
            <w:pStyle w:val="TOC2"/>
            <w:tabs>
              <w:tab w:pos="1797" w:val="left" w:leader="none"/>
              <w:tab w:pos="9747" w:val="right" w:leader="dot"/>
            </w:tabs>
            <w:rPr>
              <w:rFonts w:ascii="Times New Roman" w:eastAsia="Times New Roman"/>
            </w:rPr>
          </w:pPr>
          <w:hyperlink w:history="true" w:anchor="_bookmark25">
            <w:r>
              <w:rPr/>
              <w:t>第二十一条</w:t>
              <w:tab/>
              <w:t>犹豫期</w:t>
              <w:tab/>
            </w:r>
            <w:r>
              <w:rPr>
                <w:rFonts w:ascii="Times New Roman" w:eastAsia="Times New Roman"/>
              </w:rPr>
              <w:t>9</w:t>
            </w:r>
          </w:hyperlink>
        </w:p>
        <w:p>
          <w:pPr>
            <w:pStyle w:val="TOC2"/>
            <w:tabs>
              <w:tab w:pos="1797" w:val="left" w:leader="none"/>
              <w:tab w:pos="9747" w:val="right" w:leader="dot"/>
            </w:tabs>
            <w:rPr>
              <w:rFonts w:ascii="Times New Roman" w:eastAsia="Times New Roman"/>
            </w:rPr>
          </w:pPr>
          <w:hyperlink w:history="true" w:anchor="_bookmark26">
            <w:r>
              <w:rPr/>
              <w:t>第二十二条</w:t>
              <w:tab/>
              <w:t>您解除合同的手续及风险</w:t>
              <w:tab/>
            </w:r>
            <w:r>
              <w:rPr>
                <w:rFonts w:ascii="Times New Roman" w:eastAsia="Times New Roman"/>
              </w:rPr>
              <w:t>9</w:t>
            </w:r>
          </w:hyperlink>
        </w:p>
        <w:p>
          <w:pPr>
            <w:pStyle w:val="TOC1"/>
            <w:tabs>
              <w:tab w:pos="1377" w:val="left" w:leader="none"/>
              <w:tab w:pos="9748" w:val="right" w:leader="dot"/>
            </w:tabs>
            <w:spacing w:before="42"/>
            <w:rPr>
              <w:rFonts w:ascii="Times New Roman" w:eastAsia="Times New Roman"/>
            </w:rPr>
          </w:pPr>
          <w:hyperlink w:history="true" w:anchor="_bookmark27">
            <w:r>
              <w:rPr/>
              <w:t>第六部分</w:t>
              <w:tab/>
              <w:t>您必须了解的其他</w:t>
            </w:r>
            <w:r>
              <w:rPr>
                <w:spacing w:val="-3"/>
              </w:rPr>
              <w:t>事</w:t>
            </w:r>
            <w:r>
              <w:rPr/>
              <w:t>项</w:t>
              <w:tab/>
            </w:r>
            <w:r>
              <w:rPr>
                <w:rFonts w:ascii="Times New Roman" w:eastAsia="Times New Roman"/>
              </w:rPr>
              <w:t>9</w:t>
            </w:r>
          </w:hyperlink>
        </w:p>
        <w:p>
          <w:pPr>
            <w:pStyle w:val="TOC2"/>
            <w:tabs>
              <w:tab w:pos="1797" w:val="left" w:leader="none"/>
              <w:tab w:pos="9747" w:val="right" w:leader="dot"/>
            </w:tabs>
            <w:spacing w:before="42"/>
            <w:rPr>
              <w:rFonts w:ascii="Times New Roman" w:eastAsia="Times New Roman"/>
            </w:rPr>
          </w:pPr>
          <w:hyperlink w:history="true" w:anchor="_bookmark28">
            <w:r>
              <w:rPr/>
              <w:t>第二十三条</w:t>
              <w:tab/>
              <w:t>明确说明与如实告知</w:t>
              <w:tab/>
            </w:r>
            <w:r>
              <w:rPr>
                <w:rFonts w:ascii="Times New Roman" w:eastAsia="Times New Roman"/>
              </w:rPr>
              <w:t>9</w:t>
            </w:r>
          </w:hyperlink>
        </w:p>
        <w:p>
          <w:pPr>
            <w:pStyle w:val="TOC2"/>
            <w:tabs>
              <w:tab w:pos="1797" w:val="left" w:leader="none"/>
              <w:tab w:pos="9751" w:val="right" w:leader="dot"/>
            </w:tabs>
            <w:rPr>
              <w:rFonts w:ascii="Times New Roman" w:eastAsia="Times New Roman"/>
            </w:rPr>
          </w:pPr>
          <w:hyperlink w:history="true" w:anchor="_bookmark29">
            <w:r>
              <w:rPr/>
              <w:t>第二十四条</w:t>
              <w:tab/>
              <w:t>我们合同解除权的限制</w:t>
              <w:tab/>
            </w:r>
            <w:r>
              <w:rPr>
                <w:rFonts w:ascii="Times New Roman" w:eastAsia="Times New Roman"/>
              </w:rPr>
              <w:t>10</w:t>
            </w:r>
          </w:hyperlink>
        </w:p>
        <w:p>
          <w:pPr>
            <w:pStyle w:val="TOC2"/>
            <w:tabs>
              <w:tab w:pos="1797" w:val="left" w:leader="none"/>
              <w:tab w:pos="9751" w:val="right" w:leader="dot"/>
            </w:tabs>
            <w:rPr>
              <w:rFonts w:ascii="Times New Roman" w:eastAsia="Times New Roman"/>
            </w:rPr>
          </w:pPr>
          <w:hyperlink w:history="true" w:anchor="_bookmark30">
            <w:r>
              <w:rPr/>
              <w:t>第二十五条</w:t>
              <w:tab/>
              <w:t>年龄错误</w:t>
              <w:tab/>
            </w:r>
            <w:r>
              <w:rPr>
                <w:rFonts w:ascii="Times New Roman" w:eastAsia="Times New Roman"/>
              </w:rPr>
              <w:t>10</w:t>
            </w:r>
          </w:hyperlink>
        </w:p>
        <w:p>
          <w:pPr>
            <w:pStyle w:val="TOC2"/>
            <w:tabs>
              <w:tab w:pos="1797" w:val="left" w:leader="none"/>
              <w:tab w:pos="9751" w:val="right" w:leader="dot"/>
            </w:tabs>
            <w:spacing w:before="63"/>
            <w:rPr>
              <w:rFonts w:ascii="Times New Roman" w:eastAsia="Times New Roman"/>
            </w:rPr>
          </w:pPr>
          <w:hyperlink w:history="true" w:anchor="_bookmark31">
            <w:r>
              <w:rPr/>
              <w:t>第二十六条</w:t>
              <w:tab/>
              <w:t>性别错误</w:t>
              <w:tab/>
            </w:r>
            <w:r>
              <w:rPr>
                <w:rFonts w:ascii="Times New Roman" w:eastAsia="Times New Roman"/>
              </w:rPr>
              <w:t>10</w:t>
            </w:r>
          </w:hyperlink>
        </w:p>
        <w:p>
          <w:pPr>
            <w:pStyle w:val="TOC2"/>
            <w:tabs>
              <w:tab w:pos="1797" w:val="left" w:leader="none"/>
              <w:tab w:pos="9751" w:val="right" w:leader="dot"/>
            </w:tabs>
            <w:rPr>
              <w:rFonts w:ascii="Times New Roman" w:eastAsia="Times New Roman"/>
            </w:rPr>
          </w:pPr>
          <w:hyperlink w:history="true" w:anchor="_bookmark32">
            <w:r>
              <w:rPr/>
              <w:t>第二十七条</w:t>
              <w:tab/>
              <w:t>未还款项</w:t>
              <w:tab/>
            </w:r>
            <w:r>
              <w:rPr>
                <w:rFonts w:ascii="Times New Roman" w:eastAsia="Times New Roman"/>
              </w:rPr>
              <w:t>10</w:t>
            </w:r>
          </w:hyperlink>
        </w:p>
        <w:p>
          <w:pPr>
            <w:pStyle w:val="TOC2"/>
            <w:tabs>
              <w:tab w:pos="1797" w:val="left" w:leader="none"/>
              <w:tab w:pos="9751" w:val="right" w:leader="dot"/>
            </w:tabs>
            <w:rPr>
              <w:rFonts w:ascii="Times New Roman" w:eastAsia="Times New Roman"/>
            </w:rPr>
          </w:pPr>
          <w:hyperlink w:history="true" w:anchor="_bookmark33">
            <w:r>
              <w:rPr/>
              <w:t>第二十八条</w:t>
              <w:tab/>
              <w:t>保险合同的终止</w:t>
              <w:tab/>
            </w:r>
            <w:r>
              <w:rPr>
                <w:rFonts w:ascii="Times New Roman" w:eastAsia="Times New Roman"/>
              </w:rPr>
              <w:t>10</w:t>
            </w:r>
          </w:hyperlink>
        </w:p>
        <w:p>
          <w:pPr>
            <w:pStyle w:val="TOC2"/>
            <w:tabs>
              <w:tab w:pos="1797" w:val="left" w:leader="none"/>
              <w:tab w:pos="9751" w:val="right" w:leader="dot"/>
            </w:tabs>
            <w:rPr>
              <w:rFonts w:ascii="Times New Roman" w:eastAsia="Times New Roman"/>
            </w:rPr>
          </w:pPr>
          <w:hyperlink w:history="true" w:anchor="_bookmark34">
            <w:r>
              <w:rPr/>
              <w:t>第二十九条</w:t>
              <w:tab/>
              <w:t>联系方式的变更</w:t>
              <w:tab/>
            </w:r>
            <w:r>
              <w:rPr>
                <w:rFonts w:ascii="Times New Roman" w:eastAsia="Times New Roman"/>
              </w:rPr>
              <w:t>10</w:t>
            </w:r>
          </w:hyperlink>
        </w:p>
        <w:p>
          <w:pPr>
            <w:pStyle w:val="TOC2"/>
            <w:tabs>
              <w:tab w:pos="1797" w:val="left" w:leader="none"/>
              <w:tab w:pos="9751" w:val="right" w:leader="dot"/>
            </w:tabs>
            <w:rPr>
              <w:rFonts w:ascii="Times New Roman" w:eastAsia="Times New Roman"/>
            </w:rPr>
          </w:pPr>
          <w:hyperlink w:history="true" w:anchor="_bookmark35">
            <w:r>
              <w:rPr/>
              <w:t>第三十条</w:t>
              <w:tab/>
              <w:t>争议处理</w:t>
              <w:tab/>
            </w:r>
            <w:r>
              <w:rPr>
                <w:rFonts w:ascii="Times New Roman" w:eastAsia="Times New Roman"/>
              </w:rPr>
              <w:t>10</w:t>
            </w:r>
          </w:hyperlink>
        </w:p>
        <w:p>
          <w:pPr>
            <w:pStyle w:val="TOC2"/>
            <w:tabs>
              <w:tab w:pos="1797" w:val="left" w:leader="none"/>
              <w:tab w:pos="9743" w:val="right" w:leader="dot"/>
            </w:tabs>
            <w:rPr>
              <w:rFonts w:ascii="Times New Roman" w:eastAsia="Times New Roman"/>
            </w:rPr>
          </w:pPr>
          <w:hyperlink w:history="true" w:anchor="_bookmark36">
            <w:r>
              <w:rPr/>
              <w:t>第三十一条</w:t>
              <w:tab/>
              <w:t>特定疾病的种类及定义</w:t>
              <w:tab/>
            </w:r>
            <w:r>
              <w:rPr>
                <w:rFonts w:ascii="Times New Roman" w:eastAsia="Times New Roman"/>
                <w:spacing w:val="-6"/>
              </w:rPr>
              <w:t>11</w:t>
            </w:r>
          </w:hyperlink>
        </w:p>
        <w:p>
          <w:pPr>
            <w:pStyle w:val="TOC2"/>
            <w:tabs>
              <w:tab w:pos="1797" w:val="left" w:leader="none"/>
              <w:tab w:pos="9751" w:val="right" w:leader="dot"/>
            </w:tabs>
            <w:rPr>
              <w:rFonts w:ascii="Times New Roman" w:eastAsia="Times New Roman"/>
            </w:rPr>
          </w:pPr>
          <w:hyperlink w:history="true" w:anchor="_bookmark37">
            <w:r>
              <w:rPr/>
              <w:t>第三十二条</w:t>
              <w:tab/>
              <w:t>重大疾病的种类及定义</w:t>
              <w:tab/>
            </w:r>
            <w:r>
              <w:rPr>
                <w:rFonts w:ascii="Times New Roman" w:eastAsia="Times New Roman"/>
              </w:rPr>
              <w:t>13</w:t>
            </w:r>
          </w:hyperlink>
        </w:p>
      </w:sdtContent>
    </w:sdt>
    <w:p>
      <w:pPr>
        <w:spacing w:after="0"/>
        <w:rPr>
          <w:rFonts w:ascii="Times New Roman" w:eastAsia="Times New Roman"/>
        </w:rPr>
        <w:sectPr>
          <w:footerReference w:type="default" r:id="rId8"/>
          <w:pgSz w:w="11910" w:h="16160"/>
          <w:pgMar w:footer="879" w:header="0" w:top="1340" w:bottom="1060" w:left="960" w:right="1080"/>
          <w:pgNumType w:start="2"/>
        </w:sectPr>
      </w:pPr>
    </w:p>
    <w:p>
      <w:pPr>
        <w:pStyle w:val="Heading1"/>
        <w:tabs>
          <w:tab w:pos="2888" w:val="left" w:leader="none"/>
        </w:tabs>
        <w:spacing w:line="314" w:lineRule="exact"/>
        <w:ind w:left="1469"/>
      </w:pPr>
      <w:bookmarkStart w:name="_bookmark0" w:id="1"/>
      <w:bookmarkEnd w:id="1"/>
      <w:r>
        <w:rPr>
          <w:b w:val="0"/>
        </w:rPr>
      </w:r>
      <w:r>
        <w:rPr/>
        <w:t>第一部分</w:t>
        <w:tab/>
      </w:r>
      <w:r>
        <w:rPr>
          <w:w w:val="95"/>
        </w:rPr>
        <w:t>您（投保人）与我们（太平人寿保险有限公司）的合同</w:t>
      </w:r>
    </w:p>
    <w:p>
      <w:pPr>
        <w:pStyle w:val="BodyText"/>
        <w:spacing w:before="11"/>
        <w:rPr>
          <w:b/>
          <w:sz w:val="25"/>
        </w:rPr>
      </w:pPr>
    </w:p>
    <w:p>
      <w:pPr>
        <w:pStyle w:val="Heading2"/>
        <w:tabs>
          <w:tab w:pos="969" w:val="left" w:leader="none"/>
        </w:tabs>
      </w:pPr>
      <w:bookmarkStart w:name="_bookmark1" w:id="2"/>
      <w:bookmarkEnd w:id="2"/>
      <w:r>
        <w:rPr>
          <w:b w:val="0"/>
        </w:rPr>
      </w:r>
      <w:r>
        <w:rPr/>
        <w:t>第一条</w:t>
        <w:tab/>
        <w:t>保险合同的构成</w:t>
      </w:r>
    </w:p>
    <w:p>
      <w:pPr>
        <w:pStyle w:val="BodyText"/>
        <w:spacing w:line="273" w:lineRule="auto" w:before="37"/>
        <w:ind w:left="117" w:right="120" w:firstLine="420"/>
      </w:pPr>
      <w:r>
        <w:rPr>
          <w:spacing w:val="-3"/>
        </w:rPr>
        <w:t>本合同由以下几个部分构成：保险单及所附条款、投保单</w:t>
      </w:r>
      <w:r>
        <w:rPr/>
        <w:t>（</w:t>
      </w:r>
      <w:r>
        <w:rPr>
          <w:spacing w:val="-3"/>
        </w:rPr>
        <w:t>其复印件或电子影像印刷件与正本具有同等效力</w:t>
      </w:r>
      <w:r>
        <w:rPr>
          <w:spacing w:val="-108"/>
        </w:rPr>
        <w:t>）</w:t>
      </w:r>
      <w:r>
        <w:rPr>
          <w:spacing w:val="-3"/>
        </w:rPr>
        <w:t>、批注，以及经您与我们共同认可的、与本合同有关的其他书面文件。</w:t>
      </w:r>
    </w:p>
    <w:p>
      <w:pPr>
        <w:pStyle w:val="BodyText"/>
        <w:spacing w:before="5"/>
        <w:rPr>
          <w:sz w:val="24"/>
        </w:rPr>
      </w:pPr>
    </w:p>
    <w:p>
      <w:pPr>
        <w:pStyle w:val="Heading2"/>
        <w:tabs>
          <w:tab w:pos="969" w:val="left" w:leader="none"/>
        </w:tabs>
      </w:pPr>
      <w:bookmarkStart w:name="_bookmark2" w:id="3"/>
      <w:bookmarkEnd w:id="3"/>
      <w:r>
        <w:rPr>
          <w:b w:val="0"/>
        </w:rPr>
      </w:r>
      <w:r>
        <w:rPr/>
        <w:t>第二条</w:t>
        <w:tab/>
        <w:t>投保范围</w:t>
      </w:r>
    </w:p>
    <w:p>
      <w:pPr>
        <w:pStyle w:val="BodyText"/>
        <w:spacing w:before="36"/>
        <w:ind w:left="538"/>
      </w:pPr>
      <w:r>
        <w:rPr/>
        <w:t>本合同接受的被保险人的投保年龄为出生满 </w:t>
      </w:r>
      <w:r>
        <w:rPr>
          <w:rFonts w:ascii="Times New Roman" w:eastAsia="Times New Roman"/>
        </w:rPr>
        <w:t>28 </w:t>
      </w:r>
      <w:r>
        <w:rPr/>
        <w:t>日至 </w:t>
      </w:r>
      <w:r>
        <w:rPr>
          <w:rFonts w:ascii="Times New Roman" w:eastAsia="Times New Roman"/>
        </w:rPr>
        <w:t>55 </w:t>
      </w:r>
      <w:r>
        <w:rPr>
          <w:b/>
        </w:rPr>
        <w:t>周岁</w:t>
      </w:r>
      <w:r>
        <w:rPr>
          <w:rFonts w:ascii="Times New Roman" w:eastAsia="Times New Roman"/>
          <w:b/>
          <w:vertAlign w:val="superscript"/>
        </w:rPr>
        <w:t>1</w:t>
      </w:r>
      <w:r>
        <w:rPr>
          <w:rFonts w:ascii="Times New Roman" w:eastAsia="Times New Roman"/>
          <w:b/>
          <w:vertAlign w:val="baseline"/>
        </w:rPr>
      </w:r>
      <w:r>
        <w:rPr>
          <w:vertAlign w:val="baseline"/>
        </w:rPr>
        <w:t>。</w:t>
      </w:r>
    </w:p>
    <w:p>
      <w:pPr>
        <w:pStyle w:val="BodyText"/>
        <w:spacing w:before="5"/>
        <w:rPr>
          <w:sz w:val="25"/>
        </w:rPr>
      </w:pPr>
    </w:p>
    <w:p>
      <w:pPr>
        <w:pStyle w:val="Heading2"/>
        <w:tabs>
          <w:tab w:pos="969" w:val="left" w:leader="none"/>
        </w:tabs>
      </w:pPr>
      <w:bookmarkStart w:name="_bookmark3" w:id="4"/>
      <w:bookmarkEnd w:id="4"/>
      <w:r>
        <w:rPr>
          <w:b w:val="0"/>
        </w:rPr>
      </w:r>
      <w:r>
        <w:rPr/>
        <w:t>第三条</w:t>
        <w:tab/>
        <w:t>保险合同成立与生效</w:t>
      </w:r>
    </w:p>
    <w:p>
      <w:pPr>
        <w:pStyle w:val="BodyText"/>
        <w:spacing w:before="36"/>
        <w:ind w:left="538"/>
      </w:pPr>
      <w:r>
        <w:rPr/>
        <w:t>您提出保险申请、我们同意承保，本合同成立。</w:t>
      </w:r>
    </w:p>
    <w:p>
      <w:pPr>
        <w:spacing w:before="37"/>
        <w:ind w:left="538" w:right="0" w:firstLine="0"/>
        <w:jc w:val="left"/>
        <w:rPr>
          <w:sz w:val="21"/>
        </w:rPr>
      </w:pPr>
      <w:r>
        <w:rPr>
          <w:sz w:val="21"/>
        </w:rPr>
        <w:t>合同生效日期在保险单上载明。</w:t>
      </w:r>
      <w:r>
        <w:rPr>
          <w:b/>
          <w:sz w:val="21"/>
        </w:rPr>
        <w:t>保单年度</w:t>
      </w:r>
      <w:r>
        <w:rPr>
          <w:rFonts w:ascii="Times New Roman" w:eastAsia="Times New Roman"/>
          <w:b/>
          <w:sz w:val="21"/>
          <w:vertAlign w:val="superscript"/>
        </w:rPr>
        <w:t>2</w:t>
      </w:r>
      <w:r>
        <w:rPr>
          <w:rFonts w:ascii="Times New Roman" w:eastAsia="Times New Roman"/>
          <w:b/>
          <w:sz w:val="21"/>
          <w:vertAlign w:val="baseline"/>
        </w:rPr>
      </w:r>
      <w:r>
        <w:rPr>
          <w:sz w:val="21"/>
          <w:vertAlign w:val="baseline"/>
        </w:rPr>
        <w:t>、</w:t>
      </w:r>
      <w:r>
        <w:rPr>
          <w:b/>
          <w:sz w:val="21"/>
          <w:vertAlign w:val="baseline"/>
        </w:rPr>
        <w:t>保险费约定支付日</w:t>
      </w:r>
      <w:r>
        <w:rPr>
          <w:rFonts w:ascii="Times New Roman" w:eastAsia="Times New Roman"/>
          <w:b/>
          <w:sz w:val="21"/>
          <w:vertAlign w:val="superscript"/>
        </w:rPr>
        <w:t>3</w:t>
      </w:r>
      <w:r>
        <w:rPr>
          <w:rFonts w:ascii="Times New Roman" w:eastAsia="Times New Roman"/>
          <w:b/>
          <w:sz w:val="21"/>
          <w:vertAlign w:val="baseline"/>
        </w:rPr>
      </w:r>
      <w:r>
        <w:rPr>
          <w:sz w:val="21"/>
          <w:vertAlign w:val="baseline"/>
        </w:rPr>
        <w:t>均以该日期计算。</w:t>
      </w:r>
    </w:p>
    <w:p>
      <w:pPr>
        <w:pStyle w:val="BodyText"/>
        <w:spacing w:before="6"/>
        <w:rPr>
          <w:sz w:val="25"/>
        </w:rPr>
      </w:pPr>
    </w:p>
    <w:p>
      <w:pPr>
        <w:pStyle w:val="Heading2"/>
        <w:tabs>
          <w:tab w:pos="969" w:val="left" w:leader="none"/>
        </w:tabs>
      </w:pPr>
      <w:bookmarkStart w:name="_bookmark4" w:id="5"/>
      <w:bookmarkEnd w:id="5"/>
      <w:r>
        <w:rPr>
          <w:b w:val="0"/>
        </w:rPr>
      </w:r>
      <w:r>
        <w:rPr/>
        <w:t>第四条</w:t>
        <w:tab/>
      </w:r>
      <w:r>
        <w:rPr>
          <w:spacing w:val="-1"/>
        </w:rPr>
        <w:t>保</w:t>
      </w:r>
      <w:r>
        <w:rPr/>
        <w:t>险期间</w:t>
      </w:r>
    </w:p>
    <w:p>
      <w:pPr>
        <w:pStyle w:val="BodyText"/>
        <w:spacing w:before="37"/>
        <w:ind w:left="538"/>
      </w:pPr>
      <w:r>
        <w:rPr/>
        <w:t>本合同的保险期间为终身，自本合同生效日零时起至被保险人身故时止，并在保险单上载明。</w:t>
      </w:r>
    </w:p>
    <w:p>
      <w:pPr>
        <w:pStyle w:val="BodyText"/>
        <w:spacing w:before="7"/>
        <w:rPr>
          <w:sz w:val="24"/>
        </w:rPr>
      </w:pPr>
    </w:p>
    <w:p>
      <w:pPr>
        <w:pStyle w:val="Heading1"/>
        <w:tabs>
          <w:tab w:pos="1418" w:val="left" w:leader="none"/>
        </w:tabs>
        <w:ind w:right="2"/>
        <w:jc w:val="center"/>
      </w:pPr>
      <w:bookmarkStart w:name="_bookmark5" w:id="6"/>
      <w:bookmarkEnd w:id="6"/>
      <w:r>
        <w:rPr>
          <w:b w:val="0"/>
        </w:rPr>
      </w:r>
      <w:r>
        <w:rPr/>
        <w:t>第二部分</w:t>
        <w:tab/>
      </w:r>
      <w:r>
        <w:rPr>
          <w:w w:val="95"/>
        </w:rPr>
        <w:t>我们提供哪些保障利益</w:t>
      </w:r>
    </w:p>
    <w:p>
      <w:pPr>
        <w:pStyle w:val="BodyText"/>
        <w:spacing w:before="10"/>
        <w:rPr>
          <w:b/>
          <w:sz w:val="25"/>
        </w:rPr>
      </w:pPr>
    </w:p>
    <w:p>
      <w:pPr>
        <w:pStyle w:val="Heading2"/>
        <w:tabs>
          <w:tab w:pos="969" w:val="left" w:leader="none"/>
        </w:tabs>
      </w:pPr>
      <w:bookmarkStart w:name="_bookmark6" w:id="7"/>
      <w:bookmarkEnd w:id="7"/>
      <w:r>
        <w:rPr>
          <w:b w:val="0"/>
        </w:rPr>
      </w:r>
      <w:r>
        <w:rPr/>
        <w:t>第五条</w:t>
        <w:tab/>
        <w:t>基本保险金额</w:t>
      </w:r>
    </w:p>
    <w:p>
      <w:pPr>
        <w:pStyle w:val="BodyText"/>
        <w:spacing w:line="273" w:lineRule="auto" w:before="36"/>
        <w:ind w:left="117" w:right="120" w:firstLine="420"/>
      </w:pPr>
      <w:r>
        <w:rPr/>
        <w:t>本合同的基本保险金额在投保时由您和我们约定，并在保险单或批注上列明。如果该金额发生变更，则以变更后的金额为基本保险金额。</w:t>
      </w:r>
    </w:p>
    <w:p>
      <w:pPr>
        <w:pStyle w:val="BodyText"/>
        <w:spacing w:before="5"/>
        <w:rPr>
          <w:sz w:val="24"/>
        </w:rPr>
      </w:pPr>
    </w:p>
    <w:p>
      <w:pPr>
        <w:pStyle w:val="Heading2"/>
        <w:tabs>
          <w:tab w:pos="969" w:val="left" w:leader="none"/>
        </w:tabs>
      </w:pPr>
      <w:bookmarkStart w:name="_bookmark7" w:id="8"/>
      <w:bookmarkEnd w:id="8"/>
      <w:r>
        <w:rPr>
          <w:b w:val="0"/>
        </w:rPr>
      </w:r>
      <w:r>
        <w:rPr/>
        <w:t>第六条</w:t>
        <w:tab/>
        <w:t>等待期</w:t>
      </w:r>
    </w:p>
    <w:p>
      <w:pPr>
        <w:pStyle w:val="BodyText"/>
        <w:spacing w:before="36"/>
        <w:ind w:left="538"/>
      </w:pPr>
      <w:r>
        <w:rPr/>
        <w:t>自本合同生效日零时起 </w:t>
      </w:r>
      <w:r>
        <w:rPr>
          <w:rFonts w:ascii="Times New Roman" w:eastAsia="Times New Roman"/>
        </w:rPr>
        <w:t>90 </w:t>
      </w:r>
      <w:r>
        <w:rPr/>
        <w:t>日为等待期。如果本合同曾一次或多次恢复效力，则自每次合同效力恢复之日</w:t>
      </w:r>
    </w:p>
    <w:p>
      <w:pPr>
        <w:pStyle w:val="BodyText"/>
        <w:spacing w:before="20"/>
        <w:ind w:left="117"/>
      </w:pPr>
      <w:r>
        <w:rPr/>
        <w:t>零时起 </w:t>
      </w:r>
      <w:r>
        <w:rPr>
          <w:rFonts w:ascii="Times New Roman" w:eastAsia="Times New Roman"/>
        </w:rPr>
        <w:t>90 </w:t>
      </w:r>
      <w:r>
        <w:rPr/>
        <w:t>日均为等待期。</w:t>
      </w:r>
    </w:p>
    <w:p>
      <w:pPr>
        <w:pStyle w:val="BodyText"/>
        <w:spacing w:before="5"/>
        <w:rPr>
          <w:sz w:val="25"/>
        </w:rPr>
      </w:pPr>
    </w:p>
    <w:p>
      <w:pPr>
        <w:pStyle w:val="Heading2"/>
        <w:tabs>
          <w:tab w:pos="969" w:val="left" w:leader="none"/>
        </w:tabs>
      </w:pPr>
      <w:bookmarkStart w:name="_bookmark8" w:id="9"/>
      <w:bookmarkEnd w:id="9"/>
      <w:r>
        <w:rPr>
          <w:b w:val="0"/>
        </w:rPr>
      </w:r>
      <w:r>
        <w:rPr/>
        <w:t>第七条</w:t>
        <w:tab/>
        <w:t>保险责任</w:t>
      </w:r>
    </w:p>
    <w:p>
      <w:pPr>
        <w:pStyle w:val="BodyText"/>
        <w:spacing w:line="273" w:lineRule="auto" w:before="36"/>
        <w:ind w:left="598" w:right="1829" w:hanging="60"/>
      </w:pPr>
      <w:r>
        <w:rPr/>
        <w:t>在本合同保险期间内且本合同有效，我们按照下列约定承担给付相应保险金的责任： 一、重大疾病保险金</w:t>
      </w:r>
    </w:p>
    <w:p>
      <w:pPr>
        <w:pStyle w:val="ListParagraph"/>
        <w:numPr>
          <w:ilvl w:val="0"/>
          <w:numId w:val="2"/>
        </w:numPr>
        <w:tabs>
          <w:tab w:pos="803" w:val="left" w:leader="none"/>
        </w:tabs>
        <w:spacing w:line="256" w:lineRule="auto" w:before="7" w:after="0"/>
        <w:ind w:left="117" w:right="112" w:firstLine="421"/>
        <w:jc w:val="left"/>
        <w:rPr>
          <w:sz w:val="21"/>
        </w:rPr>
      </w:pPr>
      <w:r>
        <w:rPr>
          <w:sz w:val="21"/>
        </w:rPr>
        <w:t>如果被保险人因</w:t>
      </w:r>
      <w:r>
        <w:rPr>
          <w:b/>
          <w:sz w:val="21"/>
        </w:rPr>
        <w:t>意外伤害事故</w:t>
      </w:r>
      <w:r>
        <w:rPr>
          <w:rFonts w:ascii="Times New Roman" w:eastAsia="Times New Roman"/>
          <w:b/>
          <w:sz w:val="21"/>
          <w:vertAlign w:val="superscript"/>
        </w:rPr>
        <w:t>4</w:t>
      </w:r>
      <w:r>
        <w:rPr>
          <w:rFonts w:ascii="Times New Roman" w:eastAsia="Times New Roman"/>
          <w:b/>
          <w:sz w:val="21"/>
          <w:vertAlign w:val="baseline"/>
        </w:rPr>
      </w:r>
      <w:r>
        <w:rPr>
          <w:spacing w:val="-2"/>
          <w:sz w:val="21"/>
          <w:vertAlign w:val="baseline"/>
        </w:rPr>
        <w:t>或等待期后因意外伤害事故以外的原因导致首次</w:t>
      </w:r>
      <w:r>
        <w:rPr>
          <w:b/>
          <w:sz w:val="21"/>
          <w:vertAlign w:val="baseline"/>
        </w:rPr>
        <w:t>发病</w:t>
      </w:r>
      <w:r>
        <w:rPr>
          <w:rFonts w:ascii="Times New Roman" w:eastAsia="Times New Roman"/>
          <w:b/>
          <w:sz w:val="21"/>
          <w:vertAlign w:val="superscript"/>
        </w:rPr>
        <w:t>5</w:t>
      </w:r>
      <w:r>
        <w:rPr>
          <w:rFonts w:ascii="Times New Roman" w:eastAsia="Times New Roman"/>
          <w:b/>
          <w:sz w:val="21"/>
          <w:vertAlign w:val="baseline"/>
        </w:rPr>
      </w:r>
      <w:r>
        <w:rPr>
          <w:sz w:val="21"/>
          <w:vertAlign w:val="baseline"/>
        </w:rPr>
        <w:t>，并在附加隽福</w:t>
      </w:r>
      <w:r>
        <w:rPr>
          <w:spacing w:val="-3"/>
          <w:sz w:val="21"/>
          <w:vertAlign w:val="baseline"/>
        </w:rPr>
        <w:t>两全合同期满日零时前经</w:t>
      </w:r>
      <w:r>
        <w:rPr>
          <w:b/>
          <w:sz w:val="21"/>
          <w:vertAlign w:val="baseline"/>
        </w:rPr>
        <w:t>医院</w:t>
      </w:r>
      <w:r>
        <w:rPr>
          <w:rFonts w:ascii="Times New Roman" w:eastAsia="Times New Roman"/>
          <w:b/>
          <w:sz w:val="21"/>
          <w:vertAlign w:val="superscript"/>
        </w:rPr>
        <w:t>6</w:t>
      </w:r>
      <w:r>
        <w:rPr>
          <w:rFonts w:ascii="Times New Roman" w:eastAsia="Times New Roman"/>
          <w:b/>
          <w:sz w:val="21"/>
          <w:vertAlign w:val="baseline"/>
        </w:rPr>
      </w:r>
      <w:r>
        <w:rPr>
          <w:spacing w:val="-5"/>
          <w:sz w:val="21"/>
          <w:vertAlign w:val="baseline"/>
        </w:rPr>
        <w:t>确诊初次患上一种或多种本合同第三十二条所定义的重大疾病，我们按以下两</w:t>
      </w:r>
    </w:p>
    <w:p>
      <w:pPr>
        <w:pStyle w:val="BodyText"/>
        <w:spacing w:before="8"/>
        <w:rPr>
          <w:sz w:val="23"/>
        </w:rPr>
      </w:pPr>
      <w:r>
        <w:rPr/>
        <w:pict>
          <v:line style="position:absolute;mso-position-horizontal-relative:page;mso-position-vertical-relative:paragraph;z-index:1072;mso-wrap-distance-left:0;mso-wrap-distance-right:0" from="53.880001pt,17.664328pt" to="197.930001pt,17.664328pt" stroked="true" strokeweight=".48004pt" strokecolor="#000000">
            <v:stroke dashstyle="solid"/>
            <w10:wrap type="topAndBottom"/>
          </v:line>
        </w:pict>
      </w:r>
    </w:p>
    <w:p>
      <w:pPr>
        <w:pStyle w:val="BodyText"/>
        <w:spacing w:line="275" w:lineRule="exact" w:before="35"/>
        <w:ind w:left="117"/>
        <w:rPr>
          <w:rFonts w:ascii="楷体" w:eastAsia="楷体" w:hint="eastAsia"/>
        </w:rPr>
      </w:pPr>
      <w:r>
        <w:rPr>
          <w:rFonts w:ascii="Times New Roman" w:eastAsia="Times New Roman"/>
          <w:position w:val="10"/>
          <w:sz w:val="14"/>
        </w:rPr>
        <w:t>1</w:t>
      </w:r>
      <w:r>
        <w:rPr>
          <w:rFonts w:ascii="楷体" w:eastAsia="楷体" w:hint="eastAsia"/>
          <w:b/>
        </w:rPr>
        <w:t>周岁：</w:t>
      </w:r>
      <w:r>
        <w:rPr>
          <w:rFonts w:ascii="楷体" w:eastAsia="楷体" w:hint="eastAsia"/>
        </w:rPr>
        <w:t>指按照居民身份证、军官证、警官证、士兵证等有效身份证件中记载的出生日期计算的年龄，自出生</w:t>
      </w:r>
    </w:p>
    <w:p>
      <w:pPr>
        <w:pStyle w:val="BodyText"/>
        <w:spacing w:line="275" w:lineRule="exact"/>
        <w:ind w:left="117"/>
        <w:rPr>
          <w:rFonts w:ascii="楷体" w:eastAsia="楷体" w:hint="eastAsia"/>
        </w:rPr>
      </w:pPr>
      <w:r>
        <w:rPr>
          <w:rFonts w:ascii="楷体" w:eastAsia="楷体" w:hint="eastAsia"/>
        </w:rPr>
        <w:t>之日起为零周岁，每经过一年增加一岁，不足一年的不计。</w:t>
      </w:r>
    </w:p>
    <w:p>
      <w:pPr>
        <w:pStyle w:val="BodyText"/>
        <w:spacing w:before="18"/>
        <w:ind w:left="117"/>
        <w:rPr>
          <w:rFonts w:ascii="楷体" w:eastAsia="楷体" w:hint="eastAsia"/>
        </w:rPr>
      </w:pPr>
      <w:r>
        <w:rPr>
          <w:rFonts w:ascii="Times New Roman" w:eastAsia="Times New Roman"/>
          <w:position w:val="10"/>
          <w:sz w:val="14"/>
        </w:rPr>
        <w:t>2</w:t>
      </w:r>
      <w:r>
        <w:rPr>
          <w:rFonts w:ascii="楷体" w:eastAsia="楷体" w:hint="eastAsia"/>
          <w:b/>
        </w:rPr>
        <w:t>保单年度：</w:t>
      </w:r>
      <w:r>
        <w:rPr>
          <w:rFonts w:ascii="楷体" w:eastAsia="楷体" w:hint="eastAsia"/>
        </w:rPr>
        <w:t>从保险合同生效日或年生效对应日零时起至下一年度保险合同生效对应日零时止为一个保单年</w:t>
      </w:r>
    </w:p>
    <w:p>
      <w:pPr>
        <w:pStyle w:val="BodyText"/>
        <w:spacing w:before="37"/>
        <w:ind w:left="117"/>
        <w:rPr>
          <w:rFonts w:ascii="楷体" w:eastAsia="楷体" w:hint="eastAsia"/>
        </w:rPr>
      </w:pPr>
      <w:r>
        <w:rPr>
          <w:rFonts w:ascii="楷体" w:eastAsia="楷体" w:hint="eastAsia"/>
        </w:rPr>
        <w:t>度。如果当月无对应的同一日，则以该月最后一日为对应日。</w:t>
      </w:r>
    </w:p>
    <w:p>
      <w:pPr>
        <w:spacing w:line="273" w:lineRule="exact" w:before="15"/>
        <w:ind w:left="117" w:right="0" w:firstLine="0"/>
        <w:jc w:val="left"/>
        <w:rPr>
          <w:rFonts w:ascii="楷体" w:eastAsia="楷体" w:hint="eastAsia"/>
          <w:sz w:val="21"/>
        </w:rPr>
      </w:pPr>
      <w:r>
        <w:rPr>
          <w:rFonts w:ascii="Times New Roman" w:eastAsia="Times New Roman"/>
          <w:position w:val="10"/>
          <w:sz w:val="14"/>
        </w:rPr>
        <w:t>3</w:t>
      </w:r>
      <w:r>
        <w:rPr>
          <w:rFonts w:ascii="楷体" w:eastAsia="楷体" w:hint="eastAsia"/>
          <w:b/>
          <w:sz w:val="21"/>
        </w:rPr>
        <w:t>保险费约定支付日：</w:t>
      </w:r>
      <w:r>
        <w:rPr>
          <w:rFonts w:ascii="楷体" w:eastAsia="楷体" w:hint="eastAsia"/>
          <w:sz w:val="21"/>
        </w:rPr>
        <w:t>指在本合同交费期限内，保险单或批注上列明的合同生效日在每月、每季、每半年或每</w:t>
      </w:r>
    </w:p>
    <w:p>
      <w:pPr>
        <w:pStyle w:val="BodyText"/>
        <w:spacing w:line="272" w:lineRule="exact"/>
        <w:ind w:left="117"/>
        <w:rPr>
          <w:rFonts w:ascii="楷体" w:eastAsia="楷体" w:hint="eastAsia"/>
        </w:rPr>
      </w:pPr>
      <w:r>
        <w:rPr>
          <w:rFonts w:ascii="楷体" w:eastAsia="楷体" w:hint="eastAsia"/>
        </w:rPr>
        <w:t>年（根据交费方式确定）的对应日。如果当月无对应的同一日，则以该月最后一日作为对应日。</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4</w:t>
      </w:r>
      <w:r>
        <w:rPr>
          <w:rFonts w:ascii="楷体" w:eastAsia="楷体" w:hint="eastAsia"/>
          <w:b/>
          <w:sz w:val="21"/>
        </w:rPr>
        <w:t>意外伤害事故：</w:t>
      </w:r>
      <w:r>
        <w:rPr>
          <w:rFonts w:ascii="楷体" w:eastAsia="楷体" w:hint="eastAsia"/>
          <w:sz w:val="21"/>
        </w:rPr>
        <w:t>指外来的、突发的、非本意的、非疾病的使身体受到伤害的客观事件。</w:t>
      </w:r>
    </w:p>
    <w:p>
      <w:pPr>
        <w:pStyle w:val="BodyText"/>
        <w:spacing w:line="272" w:lineRule="exact"/>
        <w:ind w:left="117"/>
        <w:rPr>
          <w:rFonts w:ascii="楷体" w:eastAsia="楷体" w:hint="eastAsia"/>
        </w:rPr>
      </w:pPr>
      <w:r>
        <w:rPr>
          <w:rFonts w:ascii="Times New Roman" w:eastAsia="Times New Roman"/>
          <w:position w:val="10"/>
          <w:sz w:val="14"/>
        </w:rPr>
        <w:t>5</w:t>
      </w:r>
      <w:r>
        <w:rPr>
          <w:rFonts w:ascii="楷体" w:eastAsia="楷体" w:hint="eastAsia"/>
          <w:b/>
        </w:rPr>
        <w:t>发病：</w:t>
      </w:r>
      <w:r>
        <w:rPr>
          <w:rFonts w:ascii="楷体" w:eastAsia="楷体" w:hint="eastAsia"/>
        </w:rPr>
        <w:t>指被保险人出现本合同所界定疾病的前兆或异常的身体状况，且已经显现足以使一般人士引起注意并</w:t>
      </w:r>
    </w:p>
    <w:p>
      <w:pPr>
        <w:pStyle w:val="BodyText"/>
        <w:spacing w:line="272" w:lineRule="exact"/>
        <w:ind w:left="117"/>
        <w:rPr>
          <w:rFonts w:ascii="楷体" w:eastAsia="楷体" w:hint="eastAsia"/>
        </w:rPr>
      </w:pPr>
      <w:r>
        <w:rPr>
          <w:rFonts w:ascii="楷体" w:eastAsia="楷体" w:hint="eastAsia"/>
        </w:rPr>
        <w:t>寻求诊断、治疗或护理的病症。</w:t>
      </w:r>
    </w:p>
    <w:p>
      <w:pPr>
        <w:pStyle w:val="BodyText"/>
        <w:spacing w:line="272" w:lineRule="exact"/>
        <w:ind w:left="117"/>
        <w:rPr>
          <w:rFonts w:ascii="楷体" w:eastAsia="楷体" w:hint="eastAsia"/>
        </w:rPr>
      </w:pPr>
      <w:r>
        <w:rPr>
          <w:rFonts w:ascii="Times New Roman" w:eastAsia="Times New Roman"/>
          <w:position w:val="10"/>
          <w:sz w:val="14"/>
        </w:rPr>
        <w:t>6</w:t>
      </w:r>
      <w:r>
        <w:rPr>
          <w:rFonts w:ascii="楷体" w:eastAsia="楷体" w:hint="eastAsia"/>
          <w:b/>
        </w:rPr>
        <w:t>医院：</w:t>
      </w:r>
      <w:r>
        <w:rPr>
          <w:rFonts w:ascii="楷体" w:eastAsia="楷体" w:hint="eastAsia"/>
        </w:rPr>
        <w:t>国家卫生部医院等级分类中的二级或二级以上的医院，但不包括主要为门诊、康复、护理、疗养、戒</w:t>
      </w:r>
    </w:p>
    <w:p>
      <w:pPr>
        <w:pStyle w:val="BodyText"/>
        <w:spacing w:line="272" w:lineRule="exact"/>
        <w:ind w:left="117"/>
        <w:rPr>
          <w:rFonts w:ascii="楷体" w:eastAsia="楷体" w:hint="eastAsia"/>
        </w:rPr>
      </w:pPr>
      <w:r>
        <w:rPr>
          <w:rFonts w:ascii="楷体" w:eastAsia="楷体" w:hint="eastAsia"/>
        </w:rPr>
        <w:t>酒、戒毒或相类似的医疗机构。同时该医院必须具有符合有关医院管理规定设置标准的医疗设备，并且提供</w:t>
      </w:r>
    </w:p>
    <w:p>
      <w:pPr>
        <w:pStyle w:val="BodyText"/>
        <w:spacing w:line="289" w:lineRule="exact"/>
        <w:ind w:left="117"/>
        <w:rPr>
          <w:rFonts w:ascii="楷体" w:eastAsia="楷体" w:hint="eastAsia"/>
        </w:rPr>
      </w:pPr>
      <w:r>
        <w:rPr>
          <w:rFonts w:ascii="Times New Roman" w:eastAsia="Times New Roman"/>
        </w:rPr>
        <w:t>24 </w:t>
      </w:r>
      <w:r>
        <w:rPr>
          <w:rFonts w:ascii="楷体" w:eastAsia="楷体" w:hint="eastAsia"/>
        </w:rPr>
        <w:t>小时有合格医师及护士驻院的医疗和护理等服务。</w:t>
      </w:r>
    </w:p>
    <w:p>
      <w:pPr>
        <w:spacing w:after="0" w:line="289" w:lineRule="exact"/>
        <w:rPr>
          <w:rFonts w:ascii="楷体" w:eastAsia="楷体" w:hint="eastAsia"/>
        </w:rPr>
        <w:sectPr>
          <w:pgSz w:w="11910" w:h="16160"/>
          <w:pgMar w:header="0" w:footer="879" w:top="1340" w:bottom="1060" w:left="960" w:right="800"/>
        </w:sectPr>
      </w:pPr>
    </w:p>
    <w:p>
      <w:pPr>
        <w:pStyle w:val="BodyText"/>
        <w:spacing w:line="273" w:lineRule="auto" w:before="7"/>
        <w:ind w:left="117" w:right="152"/>
      </w:pPr>
      <w:r>
        <w:rPr/>
        <w:t>项金额中的较大者给付重大疾病保险金，</w:t>
      </w:r>
      <w:r>
        <w:rPr>
          <w:b/>
        </w:rPr>
        <w:t>同时本合同终止</w:t>
      </w:r>
      <w:r>
        <w:rPr/>
        <w:t>。本合同中提及的附加隽福两全合同是指本合同的附加合同《太平附加隽福两全保险》。</w:t>
      </w:r>
    </w:p>
    <w:p>
      <w:pPr>
        <w:pStyle w:val="BodyText"/>
        <w:spacing w:before="7"/>
        <w:ind w:left="538"/>
      </w:pPr>
      <w:r>
        <w:rPr/>
        <w:t>（</w:t>
      </w:r>
      <w:r>
        <w:rPr>
          <w:rFonts w:ascii="Times New Roman" w:eastAsia="Times New Roman"/>
        </w:rPr>
        <w:t>1</w:t>
      </w:r>
      <w:r>
        <w:rPr/>
        <w:t>）本合同的基本保险金额；</w:t>
      </w:r>
    </w:p>
    <w:p>
      <w:pPr>
        <w:pStyle w:val="BodyText"/>
        <w:spacing w:before="21"/>
        <w:ind w:left="538"/>
      </w:pPr>
      <w:r>
        <w:rPr/>
        <w:t>（</w:t>
      </w:r>
      <w:r>
        <w:rPr>
          <w:rFonts w:ascii="Times New Roman" w:eastAsia="Times New Roman"/>
        </w:rPr>
        <w:t>2</w:t>
      </w:r>
      <w:r>
        <w:rPr/>
        <w:t>）本合同的</w:t>
      </w:r>
      <w:r>
        <w:rPr>
          <w:b/>
        </w:rPr>
        <w:t>现金价值</w:t>
      </w:r>
      <w:r>
        <w:rPr>
          <w:rFonts w:ascii="Times New Roman" w:eastAsia="Times New Roman"/>
          <w:b/>
          <w:vertAlign w:val="superscript"/>
        </w:rPr>
        <w:t>7</w:t>
      </w:r>
      <w:r>
        <w:rPr>
          <w:rFonts w:ascii="Times New Roman" w:eastAsia="Times New Roman"/>
          <w:b/>
          <w:vertAlign w:val="baseline"/>
        </w:rPr>
      </w:r>
      <w:r>
        <w:rPr>
          <w:vertAlign w:val="baseline"/>
        </w:rPr>
        <w:t>与附加隽福两全合同的现金价值之和。</w:t>
      </w:r>
    </w:p>
    <w:p>
      <w:pPr>
        <w:pStyle w:val="ListParagraph"/>
        <w:numPr>
          <w:ilvl w:val="0"/>
          <w:numId w:val="2"/>
        </w:numPr>
        <w:tabs>
          <w:tab w:pos="803" w:val="left" w:leader="none"/>
        </w:tabs>
        <w:spacing w:line="264" w:lineRule="auto" w:before="21" w:after="0"/>
        <w:ind w:left="117" w:right="154" w:firstLine="421"/>
        <w:jc w:val="both"/>
        <w:rPr>
          <w:sz w:val="21"/>
        </w:rPr>
      </w:pPr>
      <w:r>
        <w:rPr>
          <w:spacing w:val="-4"/>
          <w:sz w:val="21"/>
        </w:rPr>
        <w:t>如果被保险人因意外伤害事故或等待期后因意外伤害事故以外的原因导致首次发病，并在附加隽福两全合同期满日零时后经医院确诊初次患上一种或多种本合同第三十二条所定义的重大疾病，我们按本合同的</w:t>
      </w:r>
      <w:r>
        <w:rPr>
          <w:spacing w:val="-3"/>
          <w:sz w:val="21"/>
        </w:rPr>
        <w:t>基本保险金额给付重大疾病保险金，</w:t>
      </w:r>
      <w:r>
        <w:rPr>
          <w:b/>
          <w:spacing w:val="-1"/>
          <w:sz w:val="21"/>
        </w:rPr>
        <w:t>同时本合同终止</w:t>
      </w:r>
      <w:r>
        <w:rPr>
          <w:sz w:val="21"/>
        </w:rPr>
        <w:t>。</w:t>
      </w:r>
    </w:p>
    <w:p>
      <w:pPr>
        <w:spacing w:line="273" w:lineRule="auto" w:before="16"/>
        <w:ind w:left="117" w:right="157" w:firstLine="420"/>
        <w:jc w:val="both"/>
        <w:rPr>
          <w:sz w:val="21"/>
        </w:rPr>
      </w:pPr>
      <w:r>
        <w:rPr>
          <w:sz w:val="21"/>
        </w:rPr>
        <w:t>如果被保险人在申请重大疾病保险金时，我们已按附加隽福两全合同的约定给付过满期金，且被保险人经医院确诊初次患上该重大疾病的时间早于附加隽福两全合同满期日零时，</w:t>
      </w:r>
      <w:r>
        <w:rPr>
          <w:b/>
          <w:sz w:val="21"/>
        </w:rPr>
        <w:t>我们按上述约定给付重大疾病保险金时会扣除附加隽福两全合同已给付过的满期金</w:t>
      </w:r>
      <w:r>
        <w:rPr>
          <w:sz w:val="21"/>
        </w:rPr>
        <w:t>。</w:t>
      </w:r>
    </w:p>
    <w:p>
      <w:pPr>
        <w:pStyle w:val="ListParagraph"/>
        <w:numPr>
          <w:ilvl w:val="0"/>
          <w:numId w:val="2"/>
        </w:numPr>
        <w:tabs>
          <w:tab w:pos="807" w:val="left" w:leader="none"/>
        </w:tabs>
        <w:spacing w:line="264" w:lineRule="auto" w:before="8" w:after="0"/>
        <w:ind w:left="117" w:right="157" w:firstLine="421"/>
        <w:jc w:val="both"/>
        <w:rPr>
          <w:sz w:val="21"/>
        </w:rPr>
      </w:pPr>
      <w:r>
        <w:rPr>
          <w:sz w:val="21"/>
        </w:rPr>
        <w:t>如果被保险人因意外伤害事故以外的原因经医院确诊初次患上一种或多种本合同第三十二条所定义</w:t>
      </w:r>
      <w:r>
        <w:rPr>
          <w:spacing w:val="-3"/>
          <w:sz w:val="21"/>
        </w:rPr>
        <w:t>的重大疾病，并且首次发病时间在等待期内，我们按本合同及附加隽福两全合同的已交保险费给付重大疾病</w:t>
      </w:r>
      <w:r>
        <w:rPr>
          <w:spacing w:val="-2"/>
          <w:sz w:val="21"/>
        </w:rPr>
        <w:t>保险金，</w:t>
      </w:r>
      <w:r>
        <w:rPr>
          <w:b/>
          <w:spacing w:val="-1"/>
          <w:sz w:val="21"/>
        </w:rPr>
        <w:t>同时本合同终止</w:t>
      </w:r>
      <w:r>
        <w:rPr>
          <w:sz w:val="21"/>
        </w:rPr>
        <w:t>。</w:t>
      </w:r>
    </w:p>
    <w:p>
      <w:pPr>
        <w:pStyle w:val="BodyText"/>
        <w:spacing w:before="16"/>
        <w:ind w:left="538"/>
      </w:pPr>
      <w:r>
        <w:rPr/>
        <w:t>二、特定疾病保险金</w:t>
      </w:r>
    </w:p>
    <w:p>
      <w:pPr>
        <w:pStyle w:val="ListParagraph"/>
        <w:numPr>
          <w:ilvl w:val="0"/>
          <w:numId w:val="3"/>
        </w:numPr>
        <w:tabs>
          <w:tab w:pos="807" w:val="left" w:leader="none"/>
        </w:tabs>
        <w:spacing w:line="256" w:lineRule="auto" w:before="37" w:after="0"/>
        <w:ind w:left="117" w:right="152" w:firstLine="421"/>
        <w:jc w:val="both"/>
        <w:rPr>
          <w:sz w:val="21"/>
        </w:rPr>
      </w:pPr>
      <w:r>
        <w:rPr>
          <w:sz w:val="21"/>
        </w:rPr>
        <w:t>如果被保险人因意外伤害事故或等待期后因意外伤害事故以外的原因导致首次发病并经医院确诊初</w:t>
      </w:r>
      <w:r>
        <w:rPr>
          <w:spacing w:val="-3"/>
          <w:sz w:val="21"/>
        </w:rPr>
        <w:t>次患上一种或多种本合同第三十一条所定义的特定疾病，我们按本合同基本保险金额的 </w:t>
      </w:r>
      <w:r>
        <w:rPr>
          <w:rFonts w:ascii="Times New Roman" w:eastAsia="Times New Roman"/>
          <w:sz w:val="21"/>
        </w:rPr>
        <w:t>20%</w:t>
      </w:r>
      <w:r>
        <w:rPr>
          <w:spacing w:val="-2"/>
          <w:sz w:val="21"/>
        </w:rPr>
        <w:t>额外给付特定疾</w:t>
      </w:r>
      <w:r>
        <w:rPr>
          <w:spacing w:val="-3"/>
          <w:sz w:val="21"/>
        </w:rPr>
        <w:t>病保险金，给付以一次为限，</w:t>
      </w:r>
      <w:r>
        <w:rPr>
          <w:b/>
          <w:sz w:val="21"/>
        </w:rPr>
        <w:t>同时本项责任终止</w:t>
      </w:r>
      <w:r>
        <w:rPr>
          <w:sz w:val="21"/>
        </w:rPr>
        <w:t>。</w:t>
      </w:r>
    </w:p>
    <w:p>
      <w:pPr>
        <w:pStyle w:val="ListParagraph"/>
        <w:numPr>
          <w:ilvl w:val="0"/>
          <w:numId w:val="3"/>
        </w:numPr>
        <w:tabs>
          <w:tab w:pos="807" w:val="left" w:leader="none"/>
        </w:tabs>
        <w:spacing w:line="256" w:lineRule="auto" w:before="22" w:after="0"/>
        <w:ind w:left="117" w:right="157" w:firstLine="421"/>
        <w:jc w:val="both"/>
        <w:rPr>
          <w:sz w:val="21"/>
        </w:rPr>
      </w:pPr>
      <w:r>
        <w:rPr>
          <w:sz w:val="21"/>
        </w:rPr>
        <w:t>如果被保险人因意外伤害事故以外的原因经医院确诊初次患上一种或多种本合同第三十一条所定义</w:t>
      </w:r>
      <w:r>
        <w:rPr>
          <w:spacing w:val="-3"/>
          <w:sz w:val="21"/>
        </w:rPr>
        <w:t>的特定疾病，并且</w:t>
      </w:r>
      <w:r>
        <w:rPr>
          <w:b/>
          <w:spacing w:val="-3"/>
          <w:sz w:val="21"/>
        </w:rPr>
        <w:t>首次发病时间在等待期内，我们不承担本项责任，同时本项责任终止</w:t>
      </w:r>
      <w:r>
        <w:rPr>
          <w:sz w:val="21"/>
        </w:rPr>
        <w:t>。</w:t>
      </w:r>
    </w:p>
    <w:p>
      <w:pPr>
        <w:pStyle w:val="BodyText"/>
        <w:spacing w:before="22"/>
        <w:ind w:left="538"/>
      </w:pPr>
      <w:r>
        <w:rPr/>
        <w:t>三、身故保险金</w:t>
      </w:r>
    </w:p>
    <w:p>
      <w:pPr>
        <w:pStyle w:val="ListParagraph"/>
        <w:numPr>
          <w:ilvl w:val="0"/>
          <w:numId w:val="4"/>
        </w:numPr>
        <w:tabs>
          <w:tab w:pos="803" w:val="left" w:leader="none"/>
        </w:tabs>
        <w:spacing w:line="256" w:lineRule="auto" w:before="37" w:after="0"/>
        <w:ind w:left="117" w:right="154" w:firstLine="421"/>
        <w:jc w:val="both"/>
        <w:rPr>
          <w:sz w:val="21"/>
        </w:rPr>
      </w:pPr>
      <w:r>
        <w:rPr>
          <w:spacing w:val="-8"/>
          <w:sz w:val="21"/>
        </w:rPr>
        <w:t>如果被保险人在 </w:t>
      </w:r>
      <w:r>
        <w:rPr>
          <w:rFonts w:ascii="Times New Roman" w:hAnsi="Times New Roman" w:eastAsia="Times New Roman"/>
          <w:sz w:val="21"/>
        </w:rPr>
        <w:t>18</w:t>
      </w:r>
      <w:r>
        <w:rPr>
          <w:rFonts w:ascii="Times New Roman" w:hAnsi="Times New Roman" w:eastAsia="Times New Roman"/>
          <w:spacing w:val="13"/>
          <w:sz w:val="21"/>
        </w:rPr>
        <w:t> </w:t>
      </w:r>
      <w:r>
        <w:rPr>
          <w:spacing w:val="-3"/>
          <w:sz w:val="21"/>
        </w:rPr>
        <w:t>周岁的</w:t>
      </w:r>
      <w:r>
        <w:rPr>
          <w:b/>
          <w:spacing w:val="-1"/>
          <w:sz w:val="21"/>
        </w:rPr>
        <w:t>保险单周年日</w:t>
      </w:r>
      <w:r>
        <w:rPr>
          <w:rFonts w:ascii="Times New Roman" w:hAnsi="Times New Roman" w:eastAsia="Times New Roman"/>
          <w:b/>
          <w:sz w:val="21"/>
          <w:vertAlign w:val="superscript"/>
        </w:rPr>
        <w:t>8</w:t>
      </w:r>
      <w:r>
        <w:rPr>
          <w:rFonts w:ascii="Times New Roman" w:hAnsi="Times New Roman" w:eastAsia="Times New Roman"/>
          <w:b/>
          <w:sz w:val="21"/>
          <w:vertAlign w:val="baseline"/>
        </w:rPr>
      </w:r>
      <w:r>
        <w:rPr>
          <w:spacing w:val="-9"/>
          <w:sz w:val="21"/>
          <w:vertAlign w:val="baseline"/>
        </w:rPr>
        <w:t>零时之前身故，身故保险金</w:t>
      </w:r>
      <w:r>
        <w:rPr>
          <w:sz w:val="21"/>
          <w:vertAlign w:val="baseline"/>
        </w:rPr>
        <w:t>＝</w:t>
      </w:r>
      <w:r>
        <w:rPr>
          <w:spacing w:val="-3"/>
          <w:sz w:val="21"/>
          <w:vertAlign w:val="baseline"/>
        </w:rPr>
        <w:t>本合同的</w:t>
      </w:r>
      <w:r>
        <w:rPr>
          <w:b/>
          <w:spacing w:val="-1"/>
          <w:sz w:val="21"/>
          <w:vertAlign w:val="baseline"/>
        </w:rPr>
        <w:t>标准体</w:t>
      </w:r>
      <w:r>
        <w:rPr>
          <w:rFonts w:ascii="Times New Roman" w:hAnsi="Times New Roman" w:eastAsia="Times New Roman"/>
          <w:b/>
          <w:sz w:val="21"/>
          <w:vertAlign w:val="superscript"/>
        </w:rPr>
        <w:t>9</w:t>
      </w:r>
      <w:r>
        <w:rPr>
          <w:rFonts w:ascii="Times New Roman" w:hAnsi="Times New Roman" w:eastAsia="Times New Roman"/>
          <w:b/>
          <w:sz w:val="21"/>
          <w:vertAlign w:val="baseline"/>
        </w:rPr>
      </w:r>
      <w:r>
        <w:rPr>
          <w:spacing w:val="-2"/>
          <w:sz w:val="21"/>
          <w:vertAlign w:val="baseline"/>
        </w:rPr>
        <w:t>年交保险费× </w:t>
      </w:r>
      <w:r>
        <w:rPr>
          <w:b/>
          <w:spacing w:val="-2"/>
          <w:w w:val="100"/>
          <w:sz w:val="21"/>
          <w:vertAlign w:val="baseline"/>
        </w:rPr>
        <w:t>保单年度数</w:t>
      </w:r>
      <w:r>
        <w:rPr>
          <w:rFonts w:ascii="Times New Roman" w:hAnsi="Times New Roman" w:eastAsia="Times New Roman"/>
          <w:b/>
          <w:w w:val="97"/>
          <w:sz w:val="21"/>
          <w:vertAlign w:val="superscript"/>
        </w:rPr>
        <w:t>10</w:t>
      </w:r>
      <w:r>
        <w:rPr>
          <w:rFonts w:ascii="Times New Roman" w:hAnsi="Times New Roman" w:eastAsia="Times New Roman"/>
          <w:b/>
          <w:w w:val="97"/>
          <w:sz w:val="21"/>
          <w:vertAlign w:val="baseline"/>
        </w:rPr>
      </w:r>
      <w:r>
        <w:rPr>
          <w:w w:val="100"/>
          <w:sz w:val="21"/>
          <w:vertAlign w:val="baseline"/>
        </w:rPr>
        <w:t>或</w:t>
      </w:r>
      <w:r>
        <w:rPr>
          <w:b/>
          <w:spacing w:val="-1"/>
          <w:w w:val="100"/>
          <w:sz w:val="21"/>
          <w:vertAlign w:val="baseline"/>
        </w:rPr>
        <w:t>交费年期数</w:t>
      </w:r>
      <w:r>
        <w:rPr>
          <w:rFonts w:ascii="Times New Roman" w:hAnsi="Times New Roman" w:eastAsia="Times New Roman"/>
          <w:b/>
          <w:w w:val="97"/>
          <w:sz w:val="21"/>
          <w:vertAlign w:val="superscript"/>
        </w:rPr>
        <w:t>11</w:t>
      </w:r>
      <w:r>
        <w:rPr>
          <w:rFonts w:ascii="Times New Roman" w:hAnsi="Times New Roman" w:eastAsia="Times New Roman"/>
          <w:b/>
          <w:w w:val="97"/>
          <w:sz w:val="21"/>
          <w:vertAlign w:val="baseline"/>
        </w:rPr>
      </w:r>
      <w:r>
        <w:rPr>
          <w:w w:val="100"/>
          <w:sz w:val="21"/>
          <w:vertAlign w:val="baseline"/>
        </w:rPr>
        <w:t>（</w:t>
      </w:r>
      <w:r>
        <w:rPr>
          <w:spacing w:val="-3"/>
          <w:w w:val="100"/>
          <w:sz w:val="21"/>
          <w:vertAlign w:val="baseline"/>
        </w:rPr>
        <w:t>以较小者为准</w:t>
      </w:r>
      <w:r>
        <w:rPr>
          <w:spacing w:val="-106"/>
          <w:w w:val="100"/>
          <w:sz w:val="21"/>
          <w:vertAlign w:val="baseline"/>
        </w:rPr>
        <w:t>）</w:t>
      </w:r>
      <w:r>
        <w:rPr>
          <w:spacing w:val="-3"/>
          <w:w w:val="100"/>
          <w:sz w:val="21"/>
          <w:vertAlign w:val="baseline"/>
        </w:rPr>
        <w:t>，</w:t>
      </w:r>
      <w:r>
        <w:rPr>
          <w:b/>
          <w:spacing w:val="-1"/>
          <w:w w:val="100"/>
          <w:sz w:val="21"/>
          <w:vertAlign w:val="baseline"/>
        </w:rPr>
        <w:t>同时本合同终止</w:t>
      </w:r>
      <w:r>
        <w:rPr>
          <w:w w:val="100"/>
          <w:sz w:val="21"/>
          <w:vertAlign w:val="baseline"/>
        </w:rPr>
        <w:t>。</w:t>
      </w:r>
    </w:p>
    <w:p>
      <w:pPr>
        <w:pStyle w:val="BodyText"/>
        <w:spacing w:line="273" w:lineRule="auto" w:before="5"/>
        <w:ind w:left="117" w:right="160" w:firstLine="420"/>
        <w:jc w:val="both"/>
      </w:pPr>
      <w:r>
        <w:rPr/>
        <w:t>上述标准体年交保险费以被保险人身故时本合同的基本保险金额对应的标准体年交保险费率为基础，按投保时被保险人的年龄计算。</w:t>
      </w:r>
    </w:p>
    <w:p>
      <w:pPr>
        <w:pStyle w:val="ListParagraph"/>
        <w:numPr>
          <w:ilvl w:val="0"/>
          <w:numId w:val="4"/>
        </w:numPr>
        <w:tabs>
          <w:tab w:pos="803" w:val="left" w:leader="none"/>
        </w:tabs>
        <w:spacing w:line="256" w:lineRule="auto" w:before="7" w:after="0"/>
        <w:ind w:left="117" w:right="154" w:firstLine="421"/>
        <w:jc w:val="both"/>
        <w:rPr>
          <w:sz w:val="21"/>
        </w:rPr>
      </w:pPr>
      <w:r>
        <w:rPr>
          <w:spacing w:val="-8"/>
          <w:sz w:val="21"/>
        </w:rPr>
        <w:t>如果被保险人在 </w:t>
      </w:r>
      <w:r>
        <w:rPr>
          <w:rFonts w:ascii="Times New Roman" w:eastAsia="Times New Roman"/>
          <w:sz w:val="21"/>
        </w:rPr>
        <w:t>18</w:t>
      </w:r>
      <w:r>
        <w:rPr>
          <w:rFonts w:ascii="Times New Roman" w:eastAsia="Times New Roman"/>
          <w:spacing w:val="10"/>
          <w:sz w:val="21"/>
        </w:rPr>
        <w:t> </w:t>
      </w:r>
      <w:r>
        <w:rPr>
          <w:spacing w:val="-6"/>
          <w:sz w:val="21"/>
        </w:rPr>
        <w:t>周岁的保险单周年日零时之后身故，或被保险人投保时年龄已满 </w:t>
      </w:r>
      <w:r>
        <w:rPr>
          <w:rFonts w:ascii="Times New Roman" w:eastAsia="Times New Roman"/>
          <w:sz w:val="21"/>
        </w:rPr>
        <w:t>18</w:t>
      </w:r>
      <w:r>
        <w:rPr>
          <w:rFonts w:ascii="Times New Roman" w:eastAsia="Times New Roman"/>
          <w:spacing w:val="6"/>
          <w:sz w:val="21"/>
        </w:rPr>
        <w:t> </w:t>
      </w:r>
      <w:r>
        <w:rPr>
          <w:spacing w:val="-3"/>
          <w:sz w:val="21"/>
        </w:rPr>
        <w:t>周岁且在本合同保险期间内身故，我们按以下约定给付身故保险金：</w:t>
      </w:r>
    </w:p>
    <w:p>
      <w:pPr>
        <w:pStyle w:val="BodyText"/>
        <w:spacing w:line="256" w:lineRule="auto" w:before="21"/>
        <w:ind w:left="117" w:right="154" w:firstLine="420"/>
        <w:jc w:val="both"/>
      </w:pPr>
      <w:r>
        <w:rPr>
          <w:spacing w:val="-13"/>
        </w:rPr>
        <w:t>（</w:t>
      </w:r>
      <w:r>
        <w:rPr>
          <w:rFonts w:ascii="Times New Roman" w:eastAsia="Times New Roman"/>
          <w:spacing w:val="-13"/>
        </w:rPr>
        <w:t>1</w:t>
      </w:r>
      <w:r>
        <w:rPr>
          <w:spacing w:val="-13"/>
        </w:rPr>
        <w:t>）</w:t>
      </w:r>
      <w:r>
        <w:rPr>
          <w:spacing w:val="-5"/>
        </w:rPr>
        <w:t>如果被保险人在附加隽福两全合同期满日零时前身故，我们按被保险人身故时以下两项金额中的较</w:t>
      </w:r>
      <w:r>
        <w:rPr>
          <w:spacing w:val="-4"/>
        </w:rPr>
        <w:t>大者给付身故保险金，</w:t>
      </w:r>
      <w:r>
        <w:rPr>
          <w:b/>
        </w:rPr>
        <w:t>同时本合同终止</w:t>
      </w:r>
      <w:r>
        <w:rPr/>
        <w:t>。</w:t>
      </w:r>
    </w:p>
    <w:p>
      <w:pPr>
        <w:pStyle w:val="BodyText"/>
        <w:spacing w:before="21"/>
        <w:ind w:left="538"/>
      </w:pPr>
      <w:r>
        <w:rPr/>
        <w:t>① 本合同的基本保险金额；</w:t>
      </w:r>
    </w:p>
    <w:p>
      <w:pPr>
        <w:pStyle w:val="BodyText"/>
        <w:spacing w:before="36"/>
        <w:ind w:left="538"/>
      </w:pPr>
      <w:r>
        <w:rPr/>
        <w:t>② 本合同的现金价值与附加隽福两全合同的现金价值之和。</w:t>
      </w:r>
    </w:p>
    <w:p>
      <w:pPr>
        <w:pStyle w:val="BodyText"/>
        <w:spacing w:before="36"/>
        <w:ind w:left="538"/>
      </w:pPr>
      <w:r>
        <w:rPr/>
        <w:t>（</w:t>
      </w:r>
      <w:r>
        <w:rPr>
          <w:rFonts w:ascii="Times New Roman" w:eastAsia="Times New Roman"/>
        </w:rPr>
        <w:t>2</w:t>
      </w:r>
      <w:r>
        <w:rPr/>
        <w:t>）如果被保险人在附加隽福两全合同期满日零时后身故，我们按被保险人身故时本合同的基本保险金</w:t>
      </w:r>
    </w:p>
    <w:p>
      <w:pPr>
        <w:pStyle w:val="BodyText"/>
        <w:rPr>
          <w:sz w:val="20"/>
        </w:rPr>
      </w:pPr>
    </w:p>
    <w:p>
      <w:pPr>
        <w:pStyle w:val="BodyText"/>
        <w:spacing w:before="7"/>
        <w:rPr>
          <w:sz w:val="19"/>
        </w:rPr>
      </w:pPr>
    </w:p>
    <w:p>
      <w:pPr>
        <w:pStyle w:val="BodyText"/>
        <w:spacing w:line="274" w:lineRule="exact"/>
        <w:ind w:left="117"/>
        <w:rPr>
          <w:rFonts w:ascii="楷体" w:eastAsia="楷体" w:hint="eastAsia"/>
        </w:rPr>
      </w:pPr>
      <w:r>
        <w:rPr>
          <w:rFonts w:ascii="Times New Roman" w:eastAsia="Times New Roman"/>
          <w:position w:val="10"/>
          <w:sz w:val="14"/>
        </w:rPr>
        <w:t>7</w:t>
      </w:r>
      <w:r>
        <w:rPr>
          <w:rFonts w:ascii="楷体" w:eastAsia="楷体" w:hint="eastAsia"/>
          <w:b/>
        </w:rPr>
        <w:t>现金价值：</w:t>
      </w:r>
      <w:r>
        <w:rPr>
          <w:rFonts w:ascii="楷体" w:eastAsia="楷体" w:hint="eastAsia"/>
        </w:rPr>
        <w:t>指保险单所具有的价值，通常体现为解除合同时，根据精算原理计算的，由我们退还的那部分金</w:t>
      </w:r>
    </w:p>
    <w:p>
      <w:pPr>
        <w:pStyle w:val="BodyText"/>
        <w:spacing w:line="237" w:lineRule="auto" w:before="1"/>
        <w:ind w:left="117" w:right="158"/>
        <w:rPr>
          <w:rFonts w:ascii="楷体" w:eastAsia="楷体" w:hint="eastAsia"/>
        </w:rPr>
      </w:pPr>
      <w:r>
        <w:rPr>
          <w:rFonts w:ascii="楷体" w:eastAsia="楷体" w:hint="eastAsia"/>
        </w:rPr>
        <w:t>额。保单年度末本合同所具有的现金价值在保险单或批注上列明。每个保单年度中，本合同所具有的现金价值根据本合同实际经过的日数计算。</w:t>
      </w:r>
    </w:p>
    <w:p>
      <w:pPr>
        <w:pStyle w:val="BodyText"/>
        <w:spacing w:line="272" w:lineRule="exact"/>
        <w:ind w:left="117"/>
        <w:rPr>
          <w:rFonts w:ascii="楷体" w:eastAsia="楷体" w:hint="eastAsia"/>
        </w:rPr>
      </w:pPr>
      <w:r>
        <w:rPr>
          <w:rFonts w:ascii="Times New Roman" w:eastAsia="Times New Roman"/>
          <w:position w:val="10"/>
          <w:sz w:val="14"/>
        </w:rPr>
        <w:t>8</w:t>
      </w:r>
      <w:r>
        <w:rPr>
          <w:rFonts w:ascii="楷体" w:eastAsia="楷体" w:hint="eastAsia"/>
          <w:b/>
        </w:rPr>
        <w:t>保险单周年日：</w:t>
      </w:r>
      <w:r>
        <w:rPr>
          <w:rFonts w:ascii="楷体" w:eastAsia="楷体" w:hint="eastAsia"/>
        </w:rPr>
        <w:t>指在本合同有效期内，每一个保单年度内本合同生效日期的对应日。如果当月无对应的同一</w:t>
      </w:r>
    </w:p>
    <w:p>
      <w:pPr>
        <w:pStyle w:val="BodyText"/>
        <w:spacing w:line="271" w:lineRule="exact"/>
        <w:ind w:left="117"/>
        <w:rPr>
          <w:rFonts w:ascii="楷体" w:eastAsia="楷体" w:hint="eastAsia"/>
        </w:rPr>
      </w:pPr>
      <w:r>
        <w:rPr>
          <w:rFonts w:ascii="楷体" w:eastAsia="楷体" w:hint="eastAsia"/>
        </w:rPr>
        <w:t>日，则以该月最后一日为对应日。</w:t>
      </w:r>
    </w:p>
    <w:p>
      <w:pPr>
        <w:pStyle w:val="BodyText"/>
        <w:spacing w:line="272" w:lineRule="exact"/>
        <w:ind w:left="117"/>
        <w:rPr>
          <w:rFonts w:ascii="楷体" w:eastAsia="楷体" w:hint="eastAsia"/>
        </w:rPr>
      </w:pPr>
      <w:r>
        <w:rPr>
          <w:rFonts w:ascii="Times New Roman" w:eastAsia="Times New Roman"/>
          <w:position w:val="10"/>
          <w:sz w:val="14"/>
        </w:rPr>
        <w:t>9</w:t>
      </w:r>
      <w:r>
        <w:rPr>
          <w:rFonts w:ascii="楷体" w:eastAsia="楷体" w:hint="eastAsia"/>
          <w:b/>
        </w:rPr>
        <w:t>标准体：</w:t>
      </w:r>
      <w:r>
        <w:rPr>
          <w:rFonts w:ascii="楷体" w:eastAsia="楷体" w:hint="eastAsia"/>
        </w:rPr>
        <w:t>指经保险公司授权的专业人员审核后，保险公司不用增加额外保险费或特殊限制，而同意接受投保</w:t>
      </w:r>
    </w:p>
    <w:p>
      <w:pPr>
        <w:pStyle w:val="BodyText"/>
        <w:spacing w:line="272" w:lineRule="exact"/>
        <w:ind w:left="117"/>
        <w:rPr>
          <w:rFonts w:ascii="楷体" w:eastAsia="楷体" w:hint="eastAsia"/>
        </w:rPr>
      </w:pPr>
      <w:r>
        <w:rPr>
          <w:rFonts w:ascii="楷体" w:eastAsia="楷体" w:hint="eastAsia"/>
        </w:rPr>
        <w:t>申请的被保险人。</w:t>
      </w:r>
    </w:p>
    <w:p>
      <w:pPr>
        <w:pStyle w:val="BodyText"/>
        <w:spacing w:line="225" w:lineRule="auto" w:before="15"/>
        <w:ind w:left="117" w:right="154"/>
        <w:rPr>
          <w:rFonts w:ascii="Times New Roman" w:eastAsia="Times New Roman"/>
        </w:rPr>
      </w:pPr>
      <w:r>
        <w:rPr>
          <w:rFonts w:ascii="Times New Roman" w:eastAsia="Times New Roman"/>
          <w:position w:val="10"/>
          <w:sz w:val="14"/>
        </w:rPr>
        <w:t>10</w:t>
      </w:r>
      <w:r>
        <w:rPr>
          <w:rFonts w:ascii="楷体" w:eastAsia="楷体" w:hint="eastAsia"/>
          <w:b/>
          <w:spacing w:val="-4"/>
        </w:rPr>
        <w:t>保单年度数：</w:t>
      </w:r>
      <w:r>
        <w:rPr>
          <w:rFonts w:ascii="楷体" w:eastAsia="楷体" w:hint="eastAsia"/>
          <w:spacing w:val="-6"/>
        </w:rPr>
        <w:t>指保险单自承保后所处的年度数。承保后首年的保单年度数为 </w:t>
      </w:r>
      <w:r>
        <w:rPr>
          <w:rFonts w:ascii="Times New Roman" w:eastAsia="Times New Roman"/>
          <w:spacing w:val="-10"/>
        </w:rPr>
        <w:t>1</w:t>
      </w:r>
      <w:r>
        <w:rPr>
          <w:rFonts w:ascii="楷体" w:eastAsia="楷体" w:hint="eastAsia"/>
          <w:spacing w:val="-4"/>
        </w:rPr>
        <w:t>，此后每到达一个保险单周年</w:t>
      </w:r>
      <w:r>
        <w:rPr>
          <w:rFonts w:ascii="楷体" w:eastAsia="楷体" w:hint="eastAsia"/>
          <w:spacing w:val="-8"/>
        </w:rPr>
        <w:t>日，保单年度数增加 </w:t>
      </w:r>
      <w:r>
        <w:rPr>
          <w:rFonts w:ascii="Times New Roman" w:eastAsia="Times New Roman"/>
        </w:rPr>
        <w:t>1</w:t>
      </w:r>
      <w:r>
        <w:rPr>
          <w:rFonts w:ascii="楷体" w:eastAsia="楷体" w:hint="eastAsia"/>
          <w:spacing w:val="-7"/>
        </w:rPr>
        <w:t>。例如，若本合同生效日为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6"/>
        </w:rPr>
        <w:t>月 </w:t>
      </w:r>
      <w:r>
        <w:rPr>
          <w:rFonts w:ascii="Times New Roman" w:eastAsia="Times New Roman"/>
        </w:rPr>
        <w:t>1 </w:t>
      </w:r>
      <w:r>
        <w:rPr>
          <w:rFonts w:ascii="楷体" w:eastAsia="楷体" w:hint="eastAsia"/>
          <w:spacing w:val="-15"/>
        </w:rPr>
        <w:t>日，自 </w:t>
      </w:r>
      <w:r>
        <w:rPr>
          <w:rFonts w:ascii="Times New Roman" w:eastAsia="Times New Roman"/>
        </w:rPr>
        <w:t>2003 </w:t>
      </w:r>
      <w:r>
        <w:rPr>
          <w:rFonts w:ascii="楷体" w:eastAsia="楷体" w:hint="eastAsia"/>
          <w:spacing w:val="-26"/>
        </w:rPr>
        <w:t>年 </w:t>
      </w:r>
      <w:r>
        <w:rPr>
          <w:rFonts w:ascii="Times New Roman" w:eastAsia="Times New Roman"/>
        </w:rPr>
        <w:t>7 </w:t>
      </w:r>
      <w:r>
        <w:rPr>
          <w:rFonts w:ascii="楷体" w:eastAsia="楷体" w:hint="eastAsia"/>
          <w:spacing w:val="-26"/>
        </w:rPr>
        <w:t>月 </w:t>
      </w:r>
      <w:r>
        <w:rPr>
          <w:rFonts w:ascii="Times New Roman" w:eastAsia="Times New Roman"/>
        </w:rPr>
        <w:t>1 </w:t>
      </w:r>
      <w:r>
        <w:rPr>
          <w:rFonts w:ascii="楷体" w:eastAsia="楷体" w:hint="eastAsia"/>
          <w:spacing w:val="-18"/>
        </w:rPr>
        <w:t>日至 </w:t>
      </w:r>
      <w:r>
        <w:rPr>
          <w:rFonts w:ascii="Times New Roman" w:eastAsia="Times New Roman"/>
        </w:rPr>
        <w:t>2004 </w:t>
      </w:r>
      <w:r>
        <w:rPr>
          <w:rFonts w:ascii="楷体" w:eastAsia="楷体" w:hint="eastAsia"/>
          <w:spacing w:val="-27"/>
        </w:rPr>
        <w:t>年 </w:t>
      </w:r>
      <w:r>
        <w:rPr>
          <w:rFonts w:ascii="Times New Roman" w:eastAsia="Times New Roman"/>
        </w:rPr>
        <w:t>6 </w:t>
      </w:r>
      <w:r>
        <w:rPr>
          <w:rFonts w:ascii="楷体" w:eastAsia="楷体" w:hint="eastAsia"/>
          <w:spacing w:val="-26"/>
        </w:rPr>
        <w:t>月 </w:t>
      </w:r>
      <w:r>
        <w:rPr>
          <w:rFonts w:ascii="Times New Roman" w:eastAsia="Times New Roman"/>
        </w:rPr>
        <w:t>30</w:t>
      </w:r>
    </w:p>
    <w:p>
      <w:pPr>
        <w:pStyle w:val="BodyText"/>
        <w:spacing w:line="225" w:lineRule="auto"/>
        <w:ind w:left="117" w:right="154"/>
        <w:rPr>
          <w:rFonts w:ascii="楷体" w:eastAsia="楷体" w:hint="eastAsia"/>
        </w:rPr>
      </w:pPr>
      <w:r>
        <w:rPr>
          <w:rFonts w:ascii="楷体" w:eastAsia="楷体" w:hint="eastAsia"/>
          <w:spacing w:val="-9"/>
        </w:rPr>
        <w:t>日保单年度数为 </w:t>
      </w:r>
      <w:r>
        <w:rPr>
          <w:rFonts w:ascii="Times New Roman" w:eastAsia="Times New Roman"/>
          <w:spacing w:val="-14"/>
        </w:rPr>
        <w:t>1</w:t>
      </w:r>
      <w:r>
        <w:rPr>
          <w:rFonts w:ascii="楷体" w:eastAsia="楷体" w:hint="eastAsia"/>
          <w:spacing w:val="-22"/>
        </w:rPr>
        <w:t>，自 </w:t>
      </w:r>
      <w:r>
        <w:rPr>
          <w:rFonts w:ascii="Times New Roman" w:eastAsia="Times New Roman"/>
        </w:rPr>
        <w:t>2004 </w:t>
      </w:r>
      <w:r>
        <w:rPr>
          <w:rFonts w:ascii="楷体" w:eastAsia="楷体" w:hint="eastAsia"/>
          <w:spacing w:val="-25"/>
        </w:rPr>
        <w:t>年 </w:t>
      </w:r>
      <w:r>
        <w:rPr>
          <w:rFonts w:ascii="Times New Roman" w:eastAsia="Times New Roman"/>
        </w:rPr>
        <w:t>7 </w:t>
      </w:r>
      <w:r>
        <w:rPr>
          <w:rFonts w:ascii="楷体" w:eastAsia="楷体" w:hint="eastAsia"/>
          <w:spacing w:val="-25"/>
        </w:rPr>
        <w:t>月 </w:t>
      </w:r>
      <w:r>
        <w:rPr>
          <w:rFonts w:ascii="Times New Roman" w:eastAsia="Times New Roman"/>
        </w:rPr>
        <w:t>1 </w:t>
      </w:r>
      <w:r>
        <w:rPr>
          <w:rFonts w:ascii="楷体" w:eastAsia="楷体" w:hint="eastAsia"/>
          <w:spacing w:val="-18"/>
        </w:rPr>
        <w:t>日至 </w:t>
      </w:r>
      <w:r>
        <w:rPr>
          <w:rFonts w:ascii="Times New Roman" w:eastAsia="Times New Roman"/>
        </w:rPr>
        <w:t>2005 </w:t>
      </w:r>
      <w:r>
        <w:rPr>
          <w:rFonts w:ascii="楷体" w:eastAsia="楷体" w:hint="eastAsia"/>
          <w:spacing w:val="-26"/>
        </w:rPr>
        <w:t>年 </w:t>
      </w:r>
      <w:r>
        <w:rPr>
          <w:rFonts w:ascii="Times New Roman" w:eastAsia="Times New Roman"/>
        </w:rPr>
        <w:t>6 </w:t>
      </w:r>
      <w:r>
        <w:rPr>
          <w:rFonts w:ascii="楷体" w:eastAsia="楷体" w:hint="eastAsia"/>
          <w:spacing w:val="-25"/>
        </w:rPr>
        <w:t>月 </w:t>
      </w:r>
      <w:r>
        <w:rPr>
          <w:rFonts w:ascii="Times New Roman" w:eastAsia="Times New Roman"/>
        </w:rPr>
        <w:t>30 </w:t>
      </w:r>
      <w:r>
        <w:rPr>
          <w:rFonts w:ascii="楷体" w:eastAsia="楷体" w:hint="eastAsia"/>
          <w:spacing w:val="-9"/>
        </w:rPr>
        <w:t>日保单年度数为 </w:t>
      </w:r>
      <w:r>
        <w:rPr>
          <w:rFonts w:ascii="Times New Roman" w:eastAsia="Times New Roman"/>
          <w:spacing w:val="-14"/>
        </w:rPr>
        <w:t>2</w:t>
      </w:r>
      <w:r>
        <w:rPr>
          <w:rFonts w:ascii="楷体" w:eastAsia="楷体" w:hint="eastAsia"/>
          <w:spacing w:val="-4"/>
        </w:rPr>
        <w:t>，后续年度以此类推</w:t>
      </w:r>
      <w:r>
        <w:rPr>
          <w:rFonts w:ascii="楷体" w:eastAsia="楷体" w:hint="eastAsia"/>
          <w:spacing w:val="-130"/>
        </w:rPr>
        <w:t>。</w:t>
      </w:r>
      <w:r>
        <w:rPr>
          <w:rFonts w:ascii="楷体" w:eastAsia="楷体" w:hint="eastAsia"/>
          <w:spacing w:val="-3"/>
        </w:rPr>
        <w:t>（</w:t>
      </w:r>
      <w:r>
        <w:rPr>
          <w:rFonts w:ascii="楷体" w:eastAsia="楷体" w:hint="eastAsia"/>
          <w:spacing w:val="-2"/>
        </w:rPr>
        <w:t>以上示例</w:t>
      </w:r>
      <w:r>
        <w:rPr>
          <w:rFonts w:ascii="楷体" w:eastAsia="楷体" w:hint="eastAsia"/>
          <w:spacing w:val="-3"/>
        </w:rPr>
        <w:t>仅供您辅助理解之用，实际合同生效日在保险单或批注上列明</w:t>
      </w:r>
      <w:r>
        <w:rPr>
          <w:rFonts w:ascii="楷体" w:eastAsia="楷体" w:hint="eastAsia"/>
        </w:rPr>
        <w:t>）</w:t>
      </w:r>
    </w:p>
    <w:p>
      <w:pPr>
        <w:spacing w:line="271" w:lineRule="exact" w:before="2"/>
        <w:ind w:left="117" w:right="0" w:firstLine="0"/>
        <w:jc w:val="left"/>
        <w:rPr>
          <w:rFonts w:ascii="楷体" w:eastAsia="楷体" w:hint="eastAsia"/>
          <w:sz w:val="21"/>
        </w:rPr>
      </w:pPr>
      <w:r>
        <w:rPr>
          <w:rFonts w:ascii="Times New Roman" w:eastAsia="Times New Roman"/>
          <w:position w:val="10"/>
          <w:sz w:val="14"/>
        </w:rPr>
        <w:t>11</w:t>
      </w:r>
      <w:r>
        <w:rPr>
          <w:rFonts w:ascii="楷体" w:eastAsia="楷体" w:hint="eastAsia"/>
          <w:b/>
          <w:sz w:val="21"/>
        </w:rPr>
        <w:t>交费年期数：</w:t>
      </w:r>
      <w:r>
        <w:rPr>
          <w:rFonts w:ascii="楷体" w:eastAsia="楷体" w:hint="eastAsia"/>
          <w:sz w:val="21"/>
        </w:rPr>
        <w:t>指保险单中约定的交费年期的数值。</w:t>
      </w:r>
    </w:p>
    <w:p>
      <w:pPr>
        <w:spacing w:after="0" w:line="271" w:lineRule="exact"/>
        <w:jc w:val="left"/>
        <w:rPr>
          <w:rFonts w:ascii="楷体" w:eastAsia="楷体" w:hint="eastAsia"/>
          <w:sz w:val="21"/>
        </w:rPr>
        <w:sectPr>
          <w:footerReference w:type="default" r:id="rId9"/>
          <w:pgSz w:w="11910" w:h="16160"/>
          <w:pgMar w:footer="1052" w:header="0" w:top="1360" w:bottom="1240" w:left="960" w:right="760"/>
        </w:sectPr>
      </w:pPr>
    </w:p>
    <w:p>
      <w:pPr>
        <w:spacing w:line="273" w:lineRule="auto" w:before="7"/>
        <w:ind w:left="538" w:right="6547" w:hanging="421"/>
        <w:jc w:val="left"/>
        <w:rPr>
          <w:sz w:val="21"/>
        </w:rPr>
      </w:pPr>
      <w:r>
        <w:rPr>
          <w:sz w:val="21"/>
        </w:rPr>
        <w:t>额给付身故保险金，</w:t>
      </w:r>
      <w:r>
        <w:rPr>
          <w:b/>
          <w:sz w:val="21"/>
        </w:rPr>
        <w:t>同时本合同终止</w:t>
      </w:r>
      <w:r>
        <w:rPr>
          <w:sz w:val="21"/>
        </w:rPr>
        <w:t>。四、保险费豁免</w:t>
      </w:r>
    </w:p>
    <w:p>
      <w:pPr>
        <w:pStyle w:val="BodyText"/>
        <w:spacing w:line="273" w:lineRule="auto" w:before="7"/>
        <w:ind w:left="117" w:right="217" w:firstLine="420"/>
        <w:jc w:val="both"/>
      </w:pPr>
      <w:r>
        <w:rPr/>
        <w:t>如果被保险人符合特定疾病保险金给付条件，我们在给付特定疾病保险金的同时，将豁免自特定疾病确诊日后的首个保险费约定支付日至交费期满之间主合同及附加隽福两全合同剩余的各期保险费，但不包括特定疾病确诊日之前所欠交的保险费及利息。</w:t>
      </w:r>
    </w:p>
    <w:p>
      <w:pPr>
        <w:tabs>
          <w:tab w:pos="969" w:val="left" w:leader="none"/>
        </w:tabs>
        <w:spacing w:line="624" w:lineRule="exact" w:before="65"/>
        <w:ind w:left="117" w:right="218" w:firstLine="420"/>
        <w:jc w:val="left"/>
        <w:rPr>
          <w:b/>
          <w:sz w:val="21"/>
        </w:rPr>
      </w:pPr>
      <w:r>
        <w:rPr>
          <w:b/>
          <w:sz w:val="21"/>
        </w:rPr>
        <w:t>我们只给付本合同</w:t>
      </w:r>
      <w:r>
        <w:rPr>
          <w:b/>
          <w:spacing w:val="-3"/>
          <w:sz w:val="21"/>
        </w:rPr>
        <w:t>保</w:t>
      </w:r>
      <w:r>
        <w:rPr>
          <w:b/>
          <w:sz w:val="21"/>
        </w:rPr>
        <w:t>险</w:t>
      </w:r>
      <w:r>
        <w:rPr>
          <w:b/>
          <w:spacing w:val="-3"/>
          <w:sz w:val="21"/>
        </w:rPr>
        <w:t>责</w:t>
      </w:r>
      <w:r>
        <w:rPr>
          <w:b/>
          <w:sz w:val="21"/>
        </w:rPr>
        <w:t>任中约定的身故保</w:t>
      </w:r>
      <w:r>
        <w:rPr>
          <w:b/>
          <w:spacing w:val="-3"/>
          <w:sz w:val="21"/>
        </w:rPr>
        <w:t>险</w:t>
      </w:r>
      <w:r>
        <w:rPr>
          <w:b/>
          <w:sz w:val="21"/>
        </w:rPr>
        <w:t>金</w:t>
      </w:r>
      <w:r>
        <w:rPr>
          <w:b/>
          <w:spacing w:val="-3"/>
          <w:sz w:val="21"/>
        </w:rPr>
        <w:t>和</w:t>
      </w:r>
      <w:r>
        <w:rPr>
          <w:b/>
          <w:sz w:val="21"/>
        </w:rPr>
        <w:t>重大疾病保险金的</w:t>
      </w:r>
      <w:r>
        <w:rPr>
          <w:b/>
          <w:spacing w:val="-3"/>
          <w:sz w:val="21"/>
        </w:rPr>
        <w:t>其</w:t>
      </w:r>
      <w:r>
        <w:rPr>
          <w:b/>
          <w:sz w:val="21"/>
        </w:rPr>
        <w:t>中</w:t>
      </w:r>
      <w:r>
        <w:rPr>
          <w:b/>
          <w:spacing w:val="-3"/>
          <w:sz w:val="21"/>
        </w:rPr>
        <w:t>一</w:t>
      </w:r>
      <w:r>
        <w:rPr>
          <w:b/>
          <w:sz w:val="21"/>
        </w:rPr>
        <w:t>项保险金，且以一</w:t>
      </w:r>
      <w:r>
        <w:rPr>
          <w:b/>
          <w:spacing w:val="-3"/>
          <w:sz w:val="21"/>
        </w:rPr>
        <w:t>次</w:t>
      </w:r>
      <w:r>
        <w:rPr>
          <w:b/>
          <w:sz w:val="21"/>
        </w:rPr>
        <w:t>为限。</w:t>
      </w:r>
      <w:bookmarkStart w:name="_bookmark9" w:id="10"/>
      <w:bookmarkEnd w:id="10"/>
      <w:r>
        <w:rPr>
          <w:b/>
          <w:sz w:val="21"/>
        </w:rPr>
      </w:r>
      <w:r>
        <w:rPr>
          <w:b/>
          <w:sz w:val="21"/>
        </w:rPr>
        <w:t>第八条</w:t>
        <w:tab/>
        <w:t>责任免除</w:t>
      </w:r>
    </w:p>
    <w:p>
      <w:pPr>
        <w:pStyle w:val="BodyText"/>
        <w:spacing w:line="217" w:lineRule="exact"/>
        <w:ind w:left="538"/>
        <w:rPr>
          <w:rFonts w:ascii="黑体" w:eastAsia="黑体" w:hint="eastAsia"/>
        </w:rPr>
      </w:pPr>
      <w:r>
        <w:rPr>
          <w:rFonts w:ascii="黑体" w:eastAsia="黑体" w:hint="eastAsia"/>
        </w:rPr>
        <w:t>一、因下列情形之一导致被保险人患上本合同所定义的重大疾病或特定疾病的，我们不承担给付重大疾</w:t>
      </w:r>
    </w:p>
    <w:p>
      <w:pPr>
        <w:pStyle w:val="BodyText"/>
        <w:spacing w:before="37"/>
        <w:ind w:left="117"/>
        <w:rPr>
          <w:rFonts w:ascii="黑体" w:eastAsia="黑体" w:hint="eastAsia"/>
        </w:rPr>
      </w:pPr>
      <w:r>
        <w:rPr>
          <w:rFonts w:ascii="黑体" w:eastAsia="黑体" w:hint="eastAsia"/>
        </w:rPr>
        <w:t>病保险金、特定疾病保险金及豁免保险费的责任：</w:t>
      </w:r>
    </w:p>
    <w:p>
      <w:pPr>
        <w:pStyle w:val="ListParagraph"/>
        <w:numPr>
          <w:ilvl w:val="0"/>
          <w:numId w:val="5"/>
        </w:numPr>
        <w:tabs>
          <w:tab w:pos="803" w:val="left" w:leader="none"/>
        </w:tabs>
        <w:spacing w:line="240" w:lineRule="auto" w:before="37" w:after="0"/>
        <w:ind w:left="802" w:right="0" w:hanging="264"/>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被保险人故意自伤、故意犯罪或者抗拒依法采取的刑事强制措施；</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被保险人主动吸食或注射</w:t>
      </w:r>
      <w:r>
        <w:rPr>
          <w:rFonts w:ascii="黑体" w:eastAsia="黑体" w:hint="eastAsia"/>
          <w:b/>
          <w:sz w:val="21"/>
        </w:rPr>
        <w:t>毒品</w:t>
      </w:r>
      <w:r>
        <w:rPr>
          <w:rFonts w:ascii="Times New Roman" w:eastAsia="Times New Roman"/>
          <w:b/>
          <w:sz w:val="21"/>
          <w:vertAlign w:val="superscript"/>
        </w:rPr>
        <w:t>12</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酒后驾驶</w:t>
      </w:r>
      <w:r>
        <w:rPr>
          <w:rFonts w:ascii="Times New Roman" w:eastAsia="Times New Roman"/>
          <w:b/>
          <w:sz w:val="21"/>
          <w:vertAlign w:val="superscript"/>
        </w:rPr>
        <w:t>13</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z w:val="21"/>
          <w:vertAlign w:val="baseline"/>
        </w:rPr>
        <w:t>无合法有效驾驶证驾驶</w:t>
      </w:r>
      <w:r>
        <w:rPr>
          <w:rFonts w:ascii="Times New Roman" w:eastAsia="Times New Roman"/>
          <w:b/>
          <w:sz w:val="21"/>
          <w:vertAlign w:val="superscript"/>
        </w:rPr>
        <w:t>14</w:t>
      </w:r>
      <w:r>
        <w:rPr>
          <w:rFonts w:ascii="Times New Roman" w:eastAsia="Times New Roman"/>
          <w:b/>
          <w:sz w:val="21"/>
          <w:vertAlign w:val="baseline"/>
        </w:rPr>
      </w:r>
      <w:r>
        <w:rPr>
          <w:rFonts w:ascii="黑体" w:eastAsia="黑体" w:hint="eastAsia"/>
          <w:spacing w:val="-3"/>
          <w:sz w:val="21"/>
          <w:vertAlign w:val="baseline"/>
        </w:rPr>
        <w:t>，或驾驶</w:t>
      </w:r>
      <w:r>
        <w:rPr>
          <w:rFonts w:ascii="黑体" w:eastAsia="黑体" w:hint="eastAsia"/>
          <w:b/>
          <w:sz w:val="21"/>
          <w:vertAlign w:val="baseline"/>
        </w:rPr>
        <w:t>无有效行驶证</w:t>
      </w:r>
      <w:r>
        <w:rPr>
          <w:rFonts w:ascii="Times New Roman" w:eastAsia="Times New Roman"/>
          <w:b/>
          <w:sz w:val="21"/>
          <w:vertAlign w:val="superscript"/>
        </w:rPr>
        <w:t>15</w:t>
      </w:r>
      <w:r>
        <w:rPr>
          <w:rFonts w:ascii="Times New Roman" w:eastAsia="Times New Roman"/>
          <w:b/>
          <w:sz w:val="21"/>
          <w:vertAlign w:val="baseline"/>
        </w:rPr>
      </w:r>
      <w:r>
        <w:rPr>
          <w:rFonts w:ascii="黑体" w:eastAsia="黑体" w:hint="eastAsia"/>
          <w:spacing w:val="-3"/>
          <w:sz w:val="21"/>
          <w:vertAlign w:val="baseline"/>
        </w:rPr>
        <w:t>的</w:t>
      </w:r>
      <w:r>
        <w:rPr>
          <w:rFonts w:ascii="黑体" w:eastAsia="黑体" w:hint="eastAsia"/>
          <w:b/>
          <w:sz w:val="21"/>
          <w:vertAlign w:val="baseline"/>
        </w:rPr>
        <w:t>机动车</w:t>
      </w:r>
      <w:r>
        <w:rPr>
          <w:rFonts w:ascii="Times New Roman" w:eastAsia="Times New Roman"/>
          <w:b/>
          <w:sz w:val="21"/>
          <w:vertAlign w:val="superscript"/>
        </w:rPr>
        <w:t>16</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被保险人</w:t>
      </w:r>
      <w:r>
        <w:rPr>
          <w:rFonts w:ascii="黑体" w:eastAsia="黑体" w:hint="eastAsia"/>
          <w:b/>
          <w:sz w:val="21"/>
        </w:rPr>
        <w:t>感染艾滋病病毒或患艾滋病</w:t>
      </w:r>
      <w:r>
        <w:rPr>
          <w:rFonts w:ascii="Times New Roman" w:eastAsia="Times New Roman"/>
          <w:b/>
          <w:sz w:val="21"/>
          <w:vertAlign w:val="superscript"/>
        </w:rPr>
        <w:t>17</w:t>
      </w:r>
      <w:r>
        <w:rPr>
          <w:rFonts w:ascii="Times New Roman" w:eastAsia="Times New Roman"/>
          <w:b/>
          <w:sz w:val="21"/>
          <w:vertAlign w:val="baseline"/>
        </w:rPr>
      </w:r>
      <w:r>
        <w:rPr>
          <w:rFonts w:ascii="黑体" w:eastAsia="黑体" w:hint="eastAsia"/>
          <w:sz w:val="21"/>
          <w:vertAlign w:val="baseline"/>
        </w:rPr>
        <w:t>；</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5"/>
        </w:numPr>
        <w:tabs>
          <w:tab w:pos="803" w:val="left" w:leader="none"/>
        </w:tabs>
        <w:spacing w:line="240" w:lineRule="auto" w:before="21" w:after="0"/>
        <w:ind w:left="802" w:right="0" w:hanging="264"/>
        <w:jc w:val="left"/>
        <w:rPr>
          <w:rFonts w:ascii="黑体" w:eastAsia="黑体" w:hint="eastAsia"/>
          <w:sz w:val="21"/>
        </w:rPr>
      </w:pPr>
      <w:r>
        <w:rPr>
          <w:rFonts w:ascii="黑体" w:eastAsia="黑体" w:hint="eastAsia"/>
          <w:spacing w:val="-3"/>
          <w:sz w:val="21"/>
        </w:rPr>
        <w:t>核爆炸、核辐射或核污染；</w:t>
      </w:r>
    </w:p>
    <w:p>
      <w:pPr>
        <w:pStyle w:val="ListParagraph"/>
        <w:numPr>
          <w:ilvl w:val="0"/>
          <w:numId w:val="5"/>
        </w:numPr>
        <w:tabs>
          <w:tab w:pos="800" w:val="left" w:leader="none"/>
        </w:tabs>
        <w:spacing w:line="240" w:lineRule="auto" w:before="21" w:after="0"/>
        <w:ind w:left="799" w:right="0" w:hanging="261"/>
        <w:jc w:val="left"/>
        <w:rPr>
          <w:rFonts w:ascii="黑体" w:eastAsia="黑体" w:hint="eastAsia"/>
          <w:sz w:val="21"/>
        </w:rPr>
      </w:pPr>
      <w:r>
        <w:rPr>
          <w:rFonts w:ascii="黑体" w:eastAsia="黑体" w:hint="eastAsia"/>
          <w:b/>
          <w:spacing w:val="-1"/>
          <w:sz w:val="21"/>
        </w:rPr>
        <w:t>遗传性疾病</w:t>
      </w:r>
      <w:r>
        <w:rPr>
          <w:rFonts w:ascii="Times New Roman" w:eastAsia="Times New Roman"/>
          <w:b/>
          <w:sz w:val="21"/>
          <w:vertAlign w:val="superscript"/>
        </w:rPr>
        <w:t>18</w:t>
      </w:r>
      <w:r>
        <w:rPr>
          <w:rFonts w:ascii="Times New Roman" w:eastAsia="Times New Roman"/>
          <w:b/>
          <w:sz w:val="21"/>
          <w:vertAlign w:val="baseline"/>
        </w:rPr>
      </w:r>
      <w:r>
        <w:rPr>
          <w:rFonts w:ascii="黑体" w:eastAsia="黑体" w:hint="eastAsia"/>
          <w:sz w:val="21"/>
          <w:vertAlign w:val="baseline"/>
        </w:rPr>
        <w:t>，</w:t>
      </w:r>
      <w:r>
        <w:rPr>
          <w:rFonts w:ascii="黑体" w:eastAsia="黑体" w:hint="eastAsia"/>
          <w:b/>
          <w:spacing w:val="-1"/>
          <w:sz w:val="21"/>
          <w:vertAlign w:val="baseline"/>
        </w:rPr>
        <w:t>先天性畸形、变形或染色体异常</w:t>
      </w:r>
      <w:r>
        <w:rPr>
          <w:rFonts w:ascii="Times New Roman" w:eastAsia="Times New Roman"/>
          <w:b/>
          <w:sz w:val="21"/>
          <w:vertAlign w:val="superscript"/>
        </w:rPr>
        <w:t>19</w:t>
      </w:r>
      <w:r>
        <w:rPr>
          <w:rFonts w:ascii="Times New Roman" w:eastAsia="Times New Roman"/>
          <w:b/>
          <w:sz w:val="21"/>
          <w:vertAlign w:val="baseline"/>
        </w:rPr>
      </w:r>
      <w:r>
        <w:rPr>
          <w:rFonts w:ascii="黑体" w:eastAsia="黑体" w:hint="eastAsia"/>
          <w:sz w:val="21"/>
          <w:vertAlign w:val="baseline"/>
        </w:rPr>
        <w:t>。</w:t>
      </w:r>
    </w:p>
    <w:p>
      <w:pPr>
        <w:pStyle w:val="BodyText"/>
        <w:spacing w:line="256" w:lineRule="auto" w:before="21"/>
        <w:ind w:left="117" w:right="24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项情形导致被保险人患上本合同所定义的重大疾病的，本合同终止，您已交足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line="273" w:lineRule="auto" w:before="22"/>
        <w:ind w:left="117" w:right="220" w:firstLine="420"/>
        <w:rPr>
          <w:rFonts w:ascii="黑体" w:eastAsia="黑体" w:hint="eastAsia"/>
        </w:rPr>
      </w:pPr>
      <w:r>
        <w:rPr>
          <w:rFonts w:ascii="黑体" w:eastAsia="黑体" w:hint="eastAsia"/>
        </w:rPr>
        <w:t>发Th上述其他情形导致被保险人患上本合同所定义的重大疾病的，本合同终止，我们向您退还保险单的现金价值。</w:t>
      </w:r>
    </w:p>
    <w:p>
      <w:pPr>
        <w:pStyle w:val="BodyText"/>
        <w:spacing w:before="8"/>
        <w:rPr>
          <w:rFonts w:ascii="黑体"/>
          <w:sz w:val="12"/>
        </w:rPr>
      </w:pPr>
      <w:r>
        <w:rPr/>
        <w:pict>
          <v:line style="position:absolute;mso-position-horizontal-relative:page;mso-position-vertical-relative:paragraph;z-index:1096;mso-wrap-distance-left:0;mso-wrap-distance-right:0" from="53.880001pt,10.468605pt" to="197.930001pt,10.468605pt" stroked="true" strokeweight=".48001pt" strokecolor="#000000">
            <v:stroke dashstyle="solid"/>
            <w10:wrap type="topAndBottom"/>
          </v:line>
        </w:pict>
      </w:r>
    </w:p>
    <w:p>
      <w:pPr>
        <w:pStyle w:val="BodyText"/>
        <w:spacing w:line="274" w:lineRule="exact" w:before="32"/>
        <w:ind w:left="117"/>
        <w:rPr>
          <w:rFonts w:ascii="楷体" w:eastAsia="楷体" w:hint="eastAsia"/>
        </w:rPr>
      </w:pPr>
      <w:r>
        <w:rPr>
          <w:rFonts w:ascii="Times New Roman" w:eastAsia="Times New Roman"/>
          <w:position w:val="10"/>
          <w:sz w:val="14"/>
        </w:rPr>
        <w:t>12</w:t>
      </w:r>
      <w:r>
        <w:rPr>
          <w:rFonts w:ascii="楷体" w:eastAsia="楷体" w:hint="eastAsia"/>
          <w:b/>
        </w:rPr>
        <w:t>毒品：</w:t>
      </w:r>
      <w:r>
        <w:rPr>
          <w:rFonts w:ascii="楷体" w:eastAsia="楷体" w:hint="eastAsia"/>
          <w:spacing w:val="-3"/>
        </w:rPr>
        <w:t>指《中华人民共和国刑法》规定的鸦片、海洛因、甲基苯丙胺</w:t>
      </w:r>
      <w:r>
        <w:rPr>
          <w:rFonts w:ascii="楷体" w:eastAsia="楷体" w:hint="eastAsia"/>
        </w:rPr>
        <w:t>（</w:t>
      </w:r>
      <w:r>
        <w:rPr>
          <w:rFonts w:ascii="楷体" w:eastAsia="楷体" w:hint="eastAsia"/>
          <w:spacing w:val="-2"/>
        </w:rPr>
        <w:t>冰毒</w:t>
      </w:r>
      <w:r>
        <w:rPr>
          <w:rFonts w:ascii="楷体" w:eastAsia="楷体" w:hint="eastAsia"/>
          <w:spacing w:val="-108"/>
        </w:rPr>
        <w:t>）</w:t>
      </w:r>
      <w:r>
        <w:rPr>
          <w:rFonts w:ascii="楷体" w:eastAsia="楷体" w:hint="eastAsia"/>
          <w:spacing w:val="-3"/>
        </w:rPr>
        <w:t>、吗啡、大麻、可卡因以及国</w:t>
      </w:r>
    </w:p>
    <w:p>
      <w:pPr>
        <w:pStyle w:val="BodyText"/>
        <w:spacing w:line="237" w:lineRule="auto" w:before="1"/>
        <w:ind w:left="117" w:right="217"/>
        <w:rPr>
          <w:rFonts w:ascii="楷体" w:eastAsia="楷体" w:hint="eastAsia"/>
        </w:rPr>
      </w:pPr>
      <w:r>
        <w:rPr>
          <w:rFonts w:ascii="楷体" w:eastAsia="楷体" w:hint="eastAsia"/>
        </w:rPr>
        <w:t>家规定管制的其他能够使人形成瘾癖的麻醉药品和精神药品，但不包括由医生开具并遵医嘱使用的用于治疗疾病但含有毒品成分的处方药品。</w:t>
      </w:r>
    </w:p>
    <w:p>
      <w:pPr>
        <w:pStyle w:val="BodyText"/>
        <w:spacing w:line="272" w:lineRule="exact"/>
        <w:ind w:left="117"/>
        <w:rPr>
          <w:rFonts w:ascii="楷体" w:eastAsia="楷体" w:hint="eastAsia"/>
        </w:rPr>
      </w:pPr>
      <w:r>
        <w:rPr>
          <w:rFonts w:ascii="Times New Roman" w:eastAsia="Times New Roman"/>
          <w:position w:val="10"/>
          <w:sz w:val="14"/>
        </w:rPr>
        <w:t>13</w:t>
      </w:r>
      <w:r>
        <w:rPr>
          <w:rFonts w:ascii="楷体" w:eastAsia="楷体" w:hint="eastAsia"/>
          <w:b/>
        </w:rPr>
        <w:t>酒后驾驶：</w:t>
      </w:r>
      <w:r>
        <w:rPr>
          <w:rFonts w:ascii="楷体" w:eastAsia="楷体" w:hint="eastAsia"/>
        </w:rPr>
        <w:t>指经检测或鉴定，发生事故时车辆驾驶人员每百毫升血液中的酒精含量达到或超过一定的标准，</w:t>
      </w:r>
    </w:p>
    <w:p>
      <w:pPr>
        <w:pStyle w:val="BodyText"/>
        <w:spacing w:line="272" w:lineRule="exact"/>
        <w:ind w:left="117"/>
        <w:rPr>
          <w:rFonts w:ascii="楷体" w:eastAsia="楷体" w:hint="eastAsia"/>
        </w:rPr>
      </w:pPr>
      <w:r>
        <w:rPr>
          <w:rFonts w:ascii="楷体" w:eastAsia="楷体" w:hint="eastAsia"/>
        </w:rPr>
        <w:t>公安机关交通管理部门依据《道路交通安全法》的规定认定为饮酒后驾驶或醉酒驾驶。</w:t>
      </w:r>
    </w:p>
    <w:p>
      <w:pPr>
        <w:spacing w:line="280" w:lineRule="exact" w:before="0"/>
        <w:ind w:left="117" w:right="0" w:firstLine="0"/>
        <w:jc w:val="left"/>
        <w:rPr>
          <w:rFonts w:ascii="楷体" w:eastAsia="楷体" w:hint="eastAsia"/>
          <w:sz w:val="21"/>
        </w:rPr>
      </w:pPr>
      <w:r>
        <w:rPr>
          <w:rFonts w:ascii="Times New Roman" w:eastAsia="Times New Roman"/>
          <w:w w:val="99"/>
          <w:position w:val="10"/>
          <w:sz w:val="14"/>
        </w:rPr>
        <w:t>1</w:t>
      </w:r>
      <w:r>
        <w:rPr>
          <w:rFonts w:ascii="Times New Roman" w:eastAsia="Times New Roman"/>
          <w:spacing w:val="1"/>
          <w:w w:val="99"/>
          <w:position w:val="10"/>
          <w:sz w:val="14"/>
        </w:rPr>
        <w:t>4</w:t>
      </w:r>
      <w:r>
        <w:rPr>
          <w:rFonts w:ascii="楷体" w:eastAsia="楷体" w:hint="eastAsia"/>
          <w:b/>
          <w:w w:val="100"/>
          <w:sz w:val="21"/>
        </w:rPr>
        <w:t>无合法有效驾驶证驾驶：</w:t>
      </w:r>
      <w:r>
        <w:rPr>
          <w:rFonts w:ascii="楷体" w:eastAsia="楷体" w:hint="eastAsia"/>
          <w:spacing w:val="-14"/>
          <w:w w:val="100"/>
          <w:sz w:val="21"/>
        </w:rPr>
        <w:t>指下列情形之一：</w:t>
      </w:r>
      <w:r>
        <w:rPr>
          <w:rFonts w:ascii="楷体" w:eastAsia="楷体" w:hint="eastAsia"/>
          <w:spacing w:val="2"/>
          <w:w w:val="100"/>
          <w:sz w:val="21"/>
        </w:rPr>
        <w:t>（</w:t>
      </w:r>
      <w:r>
        <w:rPr>
          <w:rFonts w:ascii="Times New Roman" w:eastAsia="Times New Roman"/>
          <w:w w:val="100"/>
          <w:sz w:val="21"/>
        </w:rPr>
        <w:t>1</w:t>
      </w:r>
      <w:r>
        <w:rPr>
          <w:rFonts w:ascii="楷体" w:eastAsia="楷体" w:hint="eastAsia"/>
          <w:spacing w:val="1"/>
          <w:w w:val="100"/>
          <w:sz w:val="21"/>
        </w:rPr>
        <w:t>）</w:t>
      </w:r>
      <w:r>
        <w:rPr>
          <w:rFonts w:ascii="楷体" w:eastAsia="楷体" w:hint="eastAsia"/>
          <w:spacing w:val="-12"/>
          <w:w w:val="100"/>
          <w:sz w:val="21"/>
        </w:rPr>
        <w:t>没有取得驾驶资格；</w:t>
      </w:r>
      <w:r>
        <w:rPr>
          <w:rFonts w:ascii="楷体" w:eastAsia="楷体" w:hint="eastAsia"/>
          <w:spacing w:val="2"/>
          <w:w w:val="100"/>
          <w:sz w:val="21"/>
        </w:rPr>
        <w:t>（</w:t>
      </w:r>
      <w:r>
        <w:rPr>
          <w:rFonts w:ascii="Times New Roman" w:eastAsia="Times New Roman"/>
          <w:w w:val="100"/>
          <w:sz w:val="21"/>
        </w:rPr>
        <w:t>2</w:t>
      </w:r>
      <w:r>
        <w:rPr>
          <w:rFonts w:ascii="楷体" w:eastAsia="楷体" w:hint="eastAsia"/>
          <w:spacing w:val="1"/>
          <w:w w:val="100"/>
          <w:sz w:val="21"/>
        </w:rPr>
        <w:t>）</w:t>
      </w:r>
      <w:r>
        <w:rPr>
          <w:rFonts w:ascii="楷体" w:eastAsia="楷体" w:hint="eastAsia"/>
          <w:w w:val="100"/>
          <w:sz w:val="21"/>
        </w:rPr>
        <w:t>驾驶与驾驶证准驾车型不相符合</w:t>
      </w:r>
    </w:p>
    <w:p>
      <w:pPr>
        <w:pStyle w:val="BodyText"/>
        <w:spacing w:line="225" w:lineRule="auto" w:before="8"/>
        <w:ind w:left="117" w:right="218"/>
        <w:rPr>
          <w:rFonts w:ascii="楷体" w:eastAsia="楷体" w:hint="eastAsia"/>
        </w:rPr>
      </w:pPr>
      <w:r>
        <w:rPr>
          <w:rFonts w:ascii="楷体" w:eastAsia="楷体" w:hint="eastAsia"/>
          <w:spacing w:val="-27"/>
          <w:w w:val="100"/>
        </w:rPr>
        <w:t>的车辆；</w:t>
      </w:r>
      <w:r>
        <w:rPr>
          <w:rFonts w:ascii="楷体" w:eastAsia="楷体" w:hint="eastAsia"/>
          <w:w w:val="100"/>
        </w:rPr>
        <w:t>（</w:t>
      </w:r>
      <w:r>
        <w:rPr>
          <w:rFonts w:ascii="Times New Roman" w:eastAsia="Times New Roman"/>
          <w:w w:val="100"/>
        </w:rPr>
        <w:t>3</w:t>
      </w:r>
      <w:r>
        <w:rPr>
          <w:rFonts w:ascii="楷体" w:eastAsia="楷体" w:hint="eastAsia"/>
          <w:w w:val="100"/>
        </w:rPr>
        <w:t>）</w:t>
      </w:r>
      <w:r>
        <w:rPr>
          <w:rFonts w:ascii="楷体" w:eastAsia="楷体" w:hint="eastAsia"/>
          <w:spacing w:val="-11"/>
          <w:w w:val="100"/>
        </w:rPr>
        <w:t>持审验不合格的驾驶证驾驶；</w:t>
      </w:r>
      <w:r>
        <w:rPr>
          <w:rFonts w:ascii="楷体" w:eastAsia="楷体" w:hint="eastAsia"/>
          <w:w w:val="100"/>
        </w:rPr>
        <w:t>（</w:t>
      </w:r>
      <w:r>
        <w:rPr>
          <w:rFonts w:ascii="Times New Roman" w:eastAsia="Times New Roman"/>
          <w:w w:val="100"/>
        </w:rPr>
        <w:t>4</w:t>
      </w:r>
      <w:r>
        <w:rPr>
          <w:rFonts w:ascii="楷体" w:eastAsia="楷体" w:hint="eastAsia"/>
          <w:spacing w:val="-3"/>
          <w:w w:val="100"/>
        </w:rPr>
        <w:t>）持学习驾驶证学习驾车时，无教练员随车指导，或不按指定</w:t>
      </w:r>
      <w:r>
        <w:rPr>
          <w:rFonts w:ascii="楷体" w:eastAsia="楷体" w:hint="eastAsia"/>
          <w:spacing w:val="-3"/>
        </w:rPr>
        <w:t>时间、路线学习驾车。</w:t>
      </w:r>
    </w:p>
    <w:p>
      <w:pPr>
        <w:pStyle w:val="BodyText"/>
        <w:spacing w:line="271" w:lineRule="exact"/>
        <w:ind w:left="117"/>
        <w:rPr>
          <w:rFonts w:ascii="楷体" w:eastAsia="楷体" w:hint="eastAsia"/>
        </w:rPr>
      </w:pPr>
      <w:r>
        <w:rPr>
          <w:rFonts w:ascii="Times New Roman" w:eastAsia="Times New Roman"/>
          <w:position w:val="10"/>
          <w:sz w:val="14"/>
        </w:rPr>
        <w:t>15</w:t>
      </w:r>
      <w:r>
        <w:rPr>
          <w:rFonts w:ascii="楷体" w:eastAsia="楷体" w:hint="eastAsia"/>
          <w:b/>
        </w:rPr>
        <w:t>无有效行驶证：</w:t>
      </w:r>
      <w:r>
        <w:rPr>
          <w:rFonts w:ascii="楷体" w:eastAsia="楷体" w:hint="eastAsia"/>
        </w:rPr>
        <w:t>指发生保险事故时没有按照公安机关交通管理部门机动车登记制度的规定进行登记并领取</w:t>
      </w:r>
    </w:p>
    <w:p>
      <w:pPr>
        <w:pStyle w:val="BodyText"/>
        <w:spacing w:line="225" w:lineRule="auto" w:before="17"/>
        <w:ind w:left="117" w:right="246"/>
        <w:jc w:val="both"/>
        <w:rPr>
          <w:rFonts w:ascii="楷体" w:eastAsia="楷体" w:hint="eastAsia"/>
        </w:rPr>
      </w:pPr>
      <w:r>
        <w:rPr>
          <w:rFonts w:ascii="楷体" w:eastAsia="楷体" w:hint="eastAsia"/>
          <w:spacing w:val="-7"/>
          <w:w w:val="100"/>
        </w:rPr>
        <w:t>机动车行驶证或者临时通行牌证等法定证件。包括下列情形之一：</w:t>
      </w:r>
      <w:r>
        <w:rPr>
          <w:rFonts w:ascii="楷体" w:eastAsia="楷体" w:hint="eastAsia"/>
          <w:w w:val="100"/>
        </w:rPr>
        <w:t>（</w:t>
      </w:r>
      <w:r>
        <w:rPr>
          <w:rFonts w:ascii="Times New Roman" w:eastAsia="Times New Roman"/>
          <w:w w:val="100"/>
        </w:rPr>
        <w:t>1</w:t>
      </w:r>
      <w:r>
        <w:rPr>
          <w:rFonts w:ascii="楷体" w:eastAsia="楷体" w:hint="eastAsia"/>
          <w:spacing w:val="-3"/>
          <w:w w:val="100"/>
        </w:rPr>
        <w:t>）未办理行驶证或者行驶证在申办过程</w:t>
      </w:r>
      <w:r>
        <w:rPr>
          <w:rFonts w:ascii="楷体" w:eastAsia="楷体" w:hint="eastAsia"/>
          <w:spacing w:val="-38"/>
          <w:w w:val="100"/>
        </w:rPr>
        <w:t>中的；</w:t>
      </w: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0"/>
          <w:w w:val="100"/>
        </w:rPr>
        <w:t>机动车行驶证被依法注销登记的；</w:t>
      </w:r>
      <w:r>
        <w:rPr>
          <w:rFonts w:ascii="楷体" w:eastAsia="楷体" w:hint="eastAsia"/>
          <w:spacing w:val="-1"/>
          <w:w w:val="100"/>
        </w:rPr>
        <w:t>（</w:t>
      </w:r>
      <w:r>
        <w:rPr>
          <w:rFonts w:ascii="Times New Roman" w:eastAsia="Times New Roman"/>
          <w:w w:val="100"/>
        </w:rPr>
        <w:t>3</w:t>
      </w:r>
      <w:r>
        <w:rPr>
          <w:rFonts w:ascii="楷体" w:eastAsia="楷体" w:hint="eastAsia"/>
          <w:spacing w:val="-3"/>
          <w:w w:val="100"/>
        </w:rPr>
        <w:t>）未在行驶证检验有效期内依法按时进行或者未通过机动车</w:t>
      </w:r>
      <w:r>
        <w:rPr>
          <w:rFonts w:ascii="楷体" w:eastAsia="楷体" w:hint="eastAsia"/>
          <w:spacing w:val="-3"/>
        </w:rPr>
        <w:t>安全技术检验的。</w:t>
      </w:r>
    </w:p>
    <w:p>
      <w:pPr>
        <w:pStyle w:val="BodyText"/>
        <w:spacing w:line="271" w:lineRule="exact"/>
        <w:ind w:left="117"/>
        <w:rPr>
          <w:rFonts w:ascii="楷体" w:eastAsia="楷体" w:hint="eastAsia"/>
        </w:rPr>
      </w:pPr>
      <w:r>
        <w:rPr>
          <w:rFonts w:ascii="Times New Roman" w:eastAsia="Times New Roman"/>
          <w:position w:val="10"/>
          <w:sz w:val="14"/>
        </w:rPr>
        <w:t>16</w:t>
      </w:r>
      <w:r>
        <w:rPr>
          <w:rFonts w:ascii="楷体" w:eastAsia="楷体" w:hint="eastAsia"/>
          <w:b/>
        </w:rPr>
        <w:t>机动车：</w:t>
      </w:r>
      <w:r>
        <w:rPr>
          <w:rFonts w:ascii="楷体" w:eastAsia="楷体" w:hint="eastAsia"/>
        </w:rPr>
        <w:t>指以动力装置驱动或者牵引，上道路行驶的供人员乘用或者用于运送物品以及进行工程专项作业</w:t>
      </w:r>
    </w:p>
    <w:p>
      <w:pPr>
        <w:pStyle w:val="BodyText"/>
        <w:spacing w:line="272" w:lineRule="exact"/>
        <w:ind w:left="117"/>
        <w:rPr>
          <w:rFonts w:ascii="楷体" w:eastAsia="楷体" w:hint="eastAsia"/>
        </w:rPr>
      </w:pPr>
      <w:r>
        <w:rPr>
          <w:rFonts w:ascii="楷体" w:eastAsia="楷体" w:hint="eastAsia"/>
        </w:rPr>
        <w:t>的轮式车辆。</w:t>
      </w:r>
    </w:p>
    <w:p>
      <w:pPr>
        <w:pStyle w:val="BodyText"/>
        <w:spacing w:line="228" w:lineRule="auto" w:before="12"/>
        <w:ind w:left="117" w:right="212"/>
        <w:jc w:val="both"/>
        <w:rPr>
          <w:rFonts w:ascii="楷体" w:eastAsia="楷体" w:hint="eastAsia"/>
        </w:rPr>
      </w:pPr>
      <w:r>
        <w:rPr>
          <w:rFonts w:ascii="Times New Roman" w:eastAsia="Times New Roman"/>
          <w:position w:val="10"/>
          <w:sz w:val="14"/>
        </w:rPr>
        <w:t>17</w:t>
      </w:r>
      <w:r>
        <w:rPr>
          <w:rFonts w:ascii="楷体" w:eastAsia="楷体" w:hint="eastAsia"/>
          <w:b/>
        </w:rPr>
        <w:t>感染艾滋病病毒或患艾滋病：</w:t>
      </w:r>
      <w:r>
        <w:rPr>
          <w:rFonts w:ascii="楷体" w:eastAsia="楷体" w:hint="eastAsia"/>
          <w:spacing w:val="-2"/>
        </w:rPr>
        <w:t>艾滋病病毒指人类免疫缺陷病毒，英文缩写为 </w:t>
      </w:r>
      <w:r>
        <w:rPr>
          <w:rFonts w:ascii="Times New Roman" w:eastAsia="Times New Roman"/>
        </w:rPr>
        <w:t>HIV</w:t>
      </w:r>
      <w:r>
        <w:rPr>
          <w:rFonts w:ascii="楷体" w:eastAsia="楷体" w:hint="eastAsia"/>
          <w:spacing w:val="-1"/>
        </w:rPr>
        <w:t>。艾滋病指人类免疫缺陷</w:t>
      </w:r>
      <w:r>
        <w:rPr>
          <w:rFonts w:ascii="楷体" w:eastAsia="楷体" w:hint="eastAsia"/>
          <w:spacing w:val="-7"/>
        </w:rPr>
        <w:t>病毒引起的获得性免疫缺陷综合征，英文缩写为 </w:t>
      </w:r>
      <w:r>
        <w:rPr>
          <w:rFonts w:ascii="Times New Roman" w:eastAsia="Times New Roman"/>
        </w:rPr>
        <w:t>AIDS</w:t>
      </w:r>
      <w:r>
        <w:rPr>
          <w:rFonts w:ascii="楷体" w:eastAsia="楷体" w:hint="eastAsia"/>
          <w:spacing w:val="-8"/>
        </w:rPr>
        <w:t>。在人体血液或其他样本中检测到艾滋病病毒或其抗体呈阳性，没有出现临床症状或体征的，为感染艾滋病病毒；如果同时出现了明显临床症状或体征的，为患艾滋病。</w:t>
      </w:r>
    </w:p>
    <w:p>
      <w:pPr>
        <w:pStyle w:val="BodyText"/>
        <w:spacing w:line="272" w:lineRule="exact"/>
        <w:ind w:left="117"/>
        <w:rPr>
          <w:rFonts w:ascii="楷体" w:eastAsia="楷体" w:hint="eastAsia"/>
        </w:rPr>
      </w:pPr>
      <w:r>
        <w:rPr>
          <w:rFonts w:ascii="Times New Roman" w:eastAsia="Times New Roman"/>
          <w:position w:val="10"/>
          <w:sz w:val="14"/>
        </w:rPr>
        <w:t>18</w:t>
      </w:r>
      <w:r>
        <w:rPr>
          <w:rFonts w:ascii="楷体" w:eastAsia="楷体" w:hint="eastAsia"/>
          <w:b/>
        </w:rPr>
        <w:t>遗传性疾病：</w:t>
      </w:r>
      <w:r>
        <w:rPr>
          <w:rFonts w:ascii="楷体" w:eastAsia="楷体" w:hint="eastAsia"/>
        </w:rPr>
        <w:t>指生殖细胞或受精卵的遗传物质（染色体和基因）发生突变或畸变所引起的疾病，通常具有</w:t>
      </w:r>
    </w:p>
    <w:p>
      <w:pPr>
        <w:pStyle w:val="BodyText"/>
        <w:spacing w:line="272" w:lineRule="exact"/>
        <w:ind w:left="117"/>
        <w:rPr>
          <w:rFonts w:ascii="楷体" w:eastAsia="楷体" w:hint="eastAsia"/>
        </w:rPr>
      </w:pPr>
      <w:r>
        <w:rPr>
          <w:rFonts w:ascii="楷体" w:eastAsia="楷体" w:hint="eastAsia"/>
        </w:rPr>
        <w:t>由亲代传至后代的垂直传递的特征。</w:t>
      </w:r>
    </w:p>
    <w:p>
      <w:pPr>
        <w:spacing w:line="272" w:lineRule="exact" w:before="0"/>
        <w:ind w:left="117" w:right="0" w:firstLine="0"/>
        <w:jc w:val="left"/>
        <w:rPr>
          <w:rFonts w:ascii="楷体" w:eastAsia="楷体" w:hint="eastAsia"/>
          <w:sz w:val="21"/>
        </w:rPr>
      </w:pPr>
      <w:r>
        <w:rPr>
          <w:rFonts w:ascii="Times New Roman" w:eastAsia="Times New Roman"/>
          <w:position w:val="10"/>
          <w:sz w:val="14"/>
        </w:rPr>
        <w:t>19</w:t>
      </w:r>
      <w:r>
        <w:rPr>
          <w:rFonts w:ascii="楷体" w:eastAsia="楷体" w:hint="eastAsia"/>
          <w:b/>
          <w:sz w:val="21"/>
        </w:rPr>
        <w:t>先天性畸形、变形或染色体异常：</w:t>
      </w:r>
      <w:r>
        <w:rPr>
          <w:rFonts w:ascii="楷体" w:eastAsia="楷体" w:hint="eastAsia"/>
          <w:sz w:val="21"/>
        </w:rPr>
        <w:t>指被保险人出生时就具有的畸形、变形或染色体异常。先天性畸形、变</w:t>
      </w:r>
    </w:p>
    <w:p>
      <w:pPr>
        <w:pStyle w:val="BodyText"/>
        <w:spacing w:line="289" w:lineRule="exact"/>
        <w:ind w:left="117"/>
        <w:rPr>
          <w:rFonts w:ascii="楷体" w:eastAsia="楷体" w:hint="eastAsia"/>
        </w:rPr>
      </w:pPr>
      <w:r>
        <w:rPr>
          <w:rFonts w:ascii="楷体" w:eastAsia="楷体" w:hint="eastAsia"/>
        </w:rPr>
        <w:t>形和染色体异常依照世界卫生组织《疾病和有关健康问题的国际统计分类》（</w:t>
      </w:r>
      <w:r>
        <w:rPr>
          <w:rFonts w:ascii="Times New Roman" w:eastAsia="Times New Roman"/>
        </w:rPr>
        <w:t>ICD-10</w:t>
      </w:r>
      <w:r>
        <w:rPr>
          <w:rFonts w:ascii="楷体" w:eastAsia="楷体" w:hint="eastAsia"/>
        </w:rPr>
        <w:t>）确定。</w:t>
      </w:r>
    </w:p>
    <w:p>
      <w:pPr>
        <w:spacing w:after="0" w:line="289" w:lineRule="exact"/>
        <w:rPr>
          <w:rFonts w:ascii="楷体" w:eastAsia="楷体" w:hint="eastAsia"/>
        </w:rPr>
        <w:sectPr>
          <w:footerReference w:type="default" r:id="rId10"/>
          <w:pgSz w:w="11910" w:h="16160"/>
          <w:pgMar w:footer="879" w:header="0" w:top="1360" w:bottom="1060" w:left="960" w:right="700"/>
        </w:sectPr>
      </w:pPr>
    </w:p>
    <w:p>
      <w:pPr>
        <w:pStyle w:val="BodyText"/>
        <w:spacing w:before="7"/>
        <w:ind w:left="538"/>
        <w:rPr>
          <w:rFonts w:ascii="黑体" w:eastAsia="黑体" w:hint="eastAsia"/>
        </w:rPr>
      </w:pPr>
      <w:r>
        <w:rPr>
          <w:rFonts w:ascii="黑体" w:eastAsia="黑体" w:hint="eastAsia"/>
        </w:rPr>
        <w:t>二、因下列情形之一导致被保险人身故的，我们不承担给付身故保险金的责任：</w:t>
      </w:r>
    </w:p>
    <w:p>
      <w:pPr>
        <w:pStyle w:val="ListParagraph"/>
        <w:numPr>
          <w:ilvl w:val="0"/>
          <w:numId w:val="6"/>
        </w:numPr>
        <w:tabs>
          <w:tab w:pos="803" w:val="left" w:leader="none"/>
        </w:tabs>
        <w:spacing w:line="282" w:lineRule="exact" w:before="15" w:after="0"/>
        <w:ind w:left="117" w:right="0" w:firstLine="421"/>
        <w:jc w:val="left"/>
        <w:rPr>
          <w:rFonts w:ascii="黑体" w:eastAsia="黑体" w:hint="eastAsia"/>
          <w:sz w:val="21"/>
        </w:rPr>
      </w:pPr>
      <w:r>
        <w:rPr>
          <w:rFonts w:ascii="黑体" w:eastAsia="黑体" w:hint="eastAsia"/>
          <w:spacing w:val="-3"/>
          <w:sz w:val="21"/>
        </w:rPr>
        <w:t>投保人对被保险人的故意杀害、故意伤害；</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被保险人故意犯罪或者抗拒依法采取的刑事强制措施；</w:t>
      </w:r>
    </w:p>
    <w:p>
      <w:pPr>
        <w:pStyle w:val="ListParagraph"/>
        <w:numPr>
          <w:ilvl w:val="0"/>
          <w:numId w:val="6"/>
        </w:numPr>
        <w:tabs>
          <w:tab w:pos="803" w:val="left" w:leader="none"/>
        </w:tabs>
        <w:spacing w:line="225" w:lineRule="auto" w:before="8" w:after="0"/>
        <w:ind w:left="117" w:right="111" w:firstLine="421"/>
        <w:jc w:val="left"/>
        <w:rPr>
          <w:rFonts w:ascii="黑体" w:eastAsia="黑体" w:hint="eastAsia"/>
          <w:sz w:val="21"/>
        </w:rPr>
      </w:pPr>
      <w:r>
        <w:rPr>
          <w:rFonts w:ascii="黑体" w:eastAsia="黑体" w:hint="eastAsia"/>
          <w:spacing w:val="-5"/>
          <w:sz w:val="21"/>
        </w:rPr>
        <w:t>被保险人自本合同成立或者合同效力恢复之日起 </w:t>
      </w:r>
      <w:r>
        <w:rPr>
          <w:rFonts w:ascii="Times New Roman" w:eastAsia="Times New Roman"/>
          <w:sz w:val="21"/>
        </w:rPr>
        <w:t>2</w:t>
      </w:r>
      <w:r>
        <w:rPr>
          <w:rFonts w:ascii="Times New Roman" w:eastAsia="Times New Roman"/>
          <w:spacing w:val="12"/>
          <w:sz w:val="21"/>
        </w:rPr>
        <w:t> </w:t>
      </w:r>
      <w:r>
        <w:rPr>
          <w:rFonts w:ascii="黑体" w:eastAsia="黑体" w:hint="eastAsia"/>
          <w:spacing w:val="-12"/>
          <w:sz w:val="21"/>
        </w:rPr>
        <w:t>年内自杀，但被保险人自杀时为</w:t>
      </w:r>
      <w:r>
        <w:rPr>
          <w:rFonts w:ascii="黑体" w:eastAsia="黑体" w:hint="eastAsia"/>
          <w:b/>
          <w:spacing w:val="-1"/>
          <w:sz w:val="21"/>
        </w:rPr>
        <w:t>无民事行为能力人</w:t>
      </w:r>
      <w:r>
        <w:rPr>
          <w:rFonts w:ascii="Times New Roman" w:eastAsia="Times New Roman"/>
          <w:b/>
          <w:sz w:val="21"/>
          <w:vertAlign w:val="superscript"/>
        </w:rPr>
        <w:t>20</w:t>
      </w:r>
      <w:r>
        <w:rPr>
          <w:rFonts w:ascii="Times New Roman" w:eastAsia="Times New Roman"/>
          <w:b/>
          <w:sz w:val="21"/>
          <w:vertAlign w:val="superscript"/>
        </w:rPr>
        <w:t> </w:t>
      </w:r>
      <w:r>
        <w:rPr>
          <w:rFonts w:ascii="Times New Roman" w:eastAsia="Times New Roman"/>
          <w:b/>
          <w:sz w:val="21"/>
          <w:vertAlign w:val="baseline"/>
        </w:rPr>
      </w:r>
      <w:r>
        <w:rPr>
          <w:rFonts w:ascii="黑体" w:eastAsia="黑体" w:hint="eastAsia"/>
          <w:spacing w:val="-1"/>
          <w:sz w:val="21"/>
          <w:vertAlign w:val="baseline"/>
        </w:rPr>
        <w:t>的除外；</w:t>
      </w:r>
    </w:p>
    <w:p>
      <w:pPr>
        <w:pStyle w:val="ListParagraph"/>
        <w:numPr>
          <w:ilvl w:val="0"/>
          <w:numId w:val="6"/>
        </w:numPr>
        <w:tabs>
          <w:tab w:pos="803" w:val="left" w:leader="none"/>
        </w:tabs>
        <w:spacing w:line="279" w:lineRule="exact" w:before="0" w:after="0"/>
        <w:ind w:left="117" w:right="0" w:firstLine="421"/>
        <w:jc w:val="left"/>
        <w:rPr>
          <w:rFonts w:ascii="黑体" w:eastAsia="黑体" w:hint="eastAsia"/>
          <w:sz w:val="21"/>
        </w:rPr>
      </w:pPr>
      <w:r>
        <w:rPr>
          <w:rFonts w:ascii="黑体" w:eastAsia="黑体" w:hint="eastAsia"/>
          <w:spacing w:val="-3"/>
          <w:sz w:val="21"/>
        </w:rPr>
        <w:t>被保险人主动吸食或注射毒品；</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被保险人酒后驾驶，无合法有效驾驶证驾驶，或驾驶无有效行驶证的机动车；</w:t>
      </w:r>
    </w:p>
    <w:p>
      <w:pPr>
        <w:pStyle w:val="ListParagraph"/>
        <w:numPr>
          <w:ilvl w:val="0"/>
          <w:numId w:val="6"/>
        </w:numPr>
        <w:tabs>
          <w:tab w:pos="803" w:val="left" w:leader="none"/>
        </w:tabs>
        <w:spacing w:line="272" w:lineRule="exact" w:before="0" w:after="0"/>
        <w:ind w:left="117" w:right="0" w:firstLine="421"/>
        <w:jc w:val="left"/>
        <w:rPr>
          <w:rFonts w:ascii="黑体" w:eastAsia="黑体" w:hint="eastAsia"/>
          <w:sz w:val="21"/>
        </w:rPr>
      </w:pPr>
      <w:r>
        <w:rPr>
          <w:rFonts w:ascii="黑体" w:eastAsia="黑体" w:hint="eastAsia"/>
          <w:spacing w:val="-3"/>
          <w:sz w:val="21"/>
        </w:rPr>
        <w:t>战争、军事冲突、暴乱或武装叛乱；</w:t>
      </w:r>
    </w:p>
    <w:p>
      <w:pPr>
        <w:pStyle w:val="ListParagraph"/>
        <w:numPr>
          <w:ilvl w:val="0"/>
          <w:numId w:val="6"/>
        </w:numPr>
        <w:tabs>
          <w:tab w:pos="803" w:val="left" w:leader="none"/>
        </w:tabs>
        <w:spacing w:line="282" w:lineRule="exact" w:before="0" w:after="0"/>
        <w:ind w:left="117" w:right="0" w:firstLine="421"/>
        <w:jc w:val="left"/>
        <w:rPr>
          <w:rFonts w:ascii="黑体" w:eastAsia="黑体" w:hint="eastAsia"/>
          <w:sz w:val="21"/>
        </w:rPr>
      </w:pPr>
      <w:r>
        <w:rPr>
          <w:rFonts w:ascii="黑体" w:eastAsia="黑体" w:hint="eastAsia"/>
          <w:spacing w:val="-3"/>
          <w:sz w:val="21"/>
        </w:rPr>
        <w:t>核爆炸、核辐射或核污染。</w:t>
      </w:r>
    </w:p>
    <w:p>
      <w:pPr>
        <w:pStyle w:val="BodyText"/>
        <w:spacing w:line="256" w:lineRule="auto" w:before="2"/>
        <w:ind w:left="117" w:right="188" w:firstLine="420"/>
        <w:rPr>
          <w:rFonts w:ascii="黑体" w:eastAsia="黑体" w:hint="eastAsia"/>
        </w:rPr>
      </w:pPr>
      <w:r>
        <w:rPr>
          <w:rFonts w:ascii="黑体" w:eastAsia="黑体" w:hint="eastAsia"/>
        </w:rPr>
        <w:t>发Th</w:t>
      </w:r>
      <w:r>
        <w:rPr>
          <w:rFonts w:ascii="黑体" w:eastAsia="黑体" w:hint="eastAsia"/>
          <w:spacing w:val="-12"/>
        </w:rPr>
        <w:t>上述第 </w:t>
      </w:r>
      <w:r>
        <w:rPr>
          <w:rFonts w:ascii="Times New Roman" w:eastAsia="Times New Roman"/>
        </w:rPr>
        <w:t>1 </w:t>
      </w:r>
      <w:r>
        <w:rPr>
          <w:rFonts w:ascii="黑体" w:eastAsia="黑体" w:hint="eastAsia"/>
          <w:spacing w:val="-5"/>
        </w:rPr>
        <w:t>项情形导致被保险人身故的，本合同终止，您已交足 </w:t>
      </w:r>
      <w:r>
        <w:rPr>
          <w:rFonts w:ascii="Times New Roman" w:eastAsia="Times New Roman"/>
        </w:rPr>
        <w:t>2 </w:t>
      </w:r>
      <w:r>
        <w:rPr>
          <w:rFonts w:ascii="黑体" w:eastAsia="黑体" w:hint="eastAsia"/>
          <w:spacing w:val="-3"/>
        </w:rPr>
        <w:t>年以上保险费的，我们向其他权利人退还保险单的现金价值。</w:t>
      </w:r>
    </w:p>
    <w:p>
      <w:pPr>
        <w:pStyle w:val="BodyText"/>
        <w:spacing w:before="1"/>
        <w:ind w:left="538"/>
        <w:rPr>
          <w:rFonts w:ascii="黑体" w:eastAsia="黑体" w:hint="eastAsia"/>
        </w:rPr>
      </w:pPr>
      <w:r>
        <w:rPr>
          <w:rFonts w:ascii="黑体" w:eastAsia="黑体" w:hint="eastAsia"/>
        </w:rPr>
        <w:t>发Th上述其他情形导致被保险人身故的，本合同终止，我们向您退还保险单的现金价值。</w:t>
      </w:r>
    </w:p>
    <w:p>
      <w:pPr>
        <w:pStyle w:val="BodyText"/>
        <w:spacing w:before="4"/>
        <w:rPr>
          <w:rFonts w:ascii="黑体"/>
          <w:sz w:val="23"/>
        </w:rPr>
      </w:pPr>
    </w:p>
    <w:p>
      <w:pPr>
        <w:pStyle w:val="Heading1"/>
        <w:tabs>
          <w:tab w:pos="1418" w:val="left" w:leader="none"/>
        </w:tabs>
        <w:ind w:right="39"/>
        <w:jc w:val="center"/>
      </w:pPr>
      <w:bookmarkStart w:name="_bookmark10" w:id="11"/>
      <w:bookmarkEnd w:id="11"/>
      <w:r>
        <w:rPr>
          <w:b w:val="0"/>
        </w:rPr>
      </w:r>
      <w:r>
        <w:rPr/>
        <w:t>第三部分</w:t>
        <w:tab/>
      </w:r>
      <w:r>
        <w:rPr>
          <w:w w:val="95"/>
        </w:rPr>
        <w:t>如何支付保险费</w:t>
      </w:r>
    </w:p>
    <w:p>
      <w:pPr>
        <w:pStyle w:val="BodyText"/>
        <w:spacing w:before="10"/>
        <w:rPr>
          <w:b/>
          <w:sz w:val="25"/>
        </w:rPr>
      </w:pPr>
    </w:p>
    <w:p>
      <w:pPr>
        <w:pStyle w:val="Heading2"/>
        <w:tabs>
          <w:tab w:pos="969" w:val="left" w:leader="none"/>
        </w:tabs>
      </w:pPr>
      <w:bookmarkStart w:name="_bookmark11" w:id="12"/>
      <w:bookmarkEnd w:id="12"/>
      <w:r>
        <w:rPr>
          <w:b w:val="0"/>
        </w:rPr>
      </w:r>
      <w:r>
        <w:rPr/>
        <w:t>第九条</w:t>
        <w:tab/>
      </w:r>
      <w:r>
        <w:rPr>
          <w:spacing w:val="-1"/>
        </w:rPr>
        <w:t>保</w:t>
      </w:r>
      <w:r>
        <w:rPr/>
        <w:t>险费的支付</w:t>
      </w:r>
    </w:p>
    <w:p>
      <w:pPr>
        <w:pStyle w:val="BodyText"/>
        <w:spacing w:before="36"/>
        <w:ind w:left="538"/>
      </w:pPr>
      <w:r>
        <w:rPr/>
        <w:t>本合同保险费的交费方式和交费期限由您和我们约定，并在保险单或批注上列明。</w:t>
      </w:r>
    </w:p>
    <w:p>
      <w:pPr>
        <w:pStyle w:val="BodyText"/>
        <w:spacing w:before="36"/>
        <w:ind w:left="538"/>
      </w:pPr>
      <w:r>
        <w:rPr/>
        <w:t>您在支付了首期保险费后，应按本合同的约定在每个保险费约定支付日支付当期应支付的保险费。</w:t>
      </w:r>
    </w:p>
    <w:p>
      <w:pPr>
        <w:pStyle w:val="BodyText"/>
        <w:spacing w:before="8"/>
        <w:rPr>
          <w:sz w:val="26"/>
        </w:rPr>
      </w:pPr>
    </w:p>
    <w:p>
      <w:pPr>
        <w:pStyle w:val="Heading2"/>
        <w:tabs>
          <w:tab w:pos="969" w:val="left" w:leader="none"/>
        </w:tabs>
      </w:pPr>
      <w:bookmarkStart w:name="_bookmark12" w:id="13"/>
      <w:bookmarkEnd w:id="13"/>
      <w:r>
        <w:rPr>
          <w:b w:val="0"/>
        </w:rPr>
      </w:r>
      <w:r>
        <w:rPr/>
        <w:t>第十条</w:t>
        <w:tab/>
        <w:t>宽限期</w:t>
      </w:r>
    </w:p>
    <w:p>
      <w:pPr>
        <w:pStyle w:val="BodyText"/>
        <w:spacing w:line="264" w:lineRule="auto" w:before="36"/>
        <w:ind w:left="117" w:right="154" w:firstLine="420"/>
        <w:jc w:val="both"/>
      </w:pPr>
      <w:r>
        <w:rPr>
          <w:spacing w:val="-3"/>
        </w:rPr>
        <w:t>您支付首期保险费后，除本合同另有约定外，如果您到期未支付保险费，自保险费约定支付日的次日零</w:t>
      </w:r>
      <w:r>
        <w:rPr>
          <w:spacing w:val="-14"/>
        </w:rPr>
        <w:t>时起 </w:t>
      </w:r>
      <w:r>
        <w:rPr>
          <w:rFonts w:ascii="Times New Roman" w:eastAsia="Times New Roman"/>
        </w:rPr>
        <w:t>60 </w:t>
      </w:r>
      <w:r>
        <w:rPr>
          <w:spacing w:val="-3"/>
        </w:rPr>
        <w:t>日为宽限期。宽限期内发生的</w:t>
      </w:r>
      <w:r>
        <w:rPr>
          <w:b/>
          <w:spacing w:val="-1"/>
        </w:rPr>
        <w:t>保险事故</w:t>
      </w:r>
      <w:r>
        <w:rPr>
          <w:rFonts w:ascii="Times New Roman" w:eastAsia="Times New Roman"/>
          <w:b/>
          <w:vertAlign w:val="superscript"/>
        </w:rPr>
        <w:t>21</w:t>
      </w:r>
      <w:r>
        <w:rPr>
          <w:rFonts w:ascii="Times New Roman" w:eastAsia="Times New Roman"/>
          <w:b/>
          <w:vertAlign w:val="baseline"/>
        </w:rPr>
      </w:r>
      <w:r>
        <w:rPr>
          <w:spacing w:val="-3"/>
          <w:vertAlign w:val="baseline"/>
        </w:rPr>
        <w:t>，我们仍会承担保险责任，但在给付保险金时会扣减您欠交的保险费。</w:t>
      </w:r>
    </w:p>
    <w:p>
      <w:pPr>
        <w:pStyle w:val="BodyText"/>
        <w:spacing w:before="16"/>
        <w:ind w:left="538"/>
      </w:pPr>
      <w:r>
        <w:rPr/>
        <w:t>如果您宽限期结束之后仍未支付保险费，则本合同自宽限期满的次日零时起效力中止。</w:t>
      </w:r>
    </w:p>
    <w:p>
      <w:pPr>
        <w:pStyle w:val="BodyText"/>
        <w:spacing w:before="7"/>
        <w:rPr>
          <w:sz w:val="24"/>
        </w:rPr>
      </w:pPr>
    </w:p>
    <w:p>
      <w:pPr>
        <w:pStyle w:val="Heading1"/>
        <w:tabs>
          <w:tab w:pos="1418" w:val="left" w:leader="none"/>
        </w:tabs>
        <w:ind w:right="40"/>
        <w:jc w:val="center"/>
      </w:pPr>
      <w:bookmarkStart w:name="_bookmark13" w:id="14"/>
      <w:bookmarkEnd w:id="14"/>
      <w:r>
        <w:rPr>
          <w:b w:val="0"/>
        </w:rPr>
      </w:r>
      <w:r>
        <w:rPr/>
        <w:t>第四部分</w:t>
        <w:tab/>
      </w:r>
      <w:r>
        <w:rPr>
          <w:w w:val="95"/>
        </w:rPr>
        <w:t>如何申请保险金</w:t>
      </w:r>
    </w:p>
    <w:p>
      <w:pPr>
        <w:pStyle w:val="BodyText"/>
        <w:spacing w:before="10"/>
        <w:rPr>
          <w:b/>
          <w:sz w:val="25"/>
        </w:rPr>
      </w:pPr>
    </w:p>
    <w:p>
      <w:pPr>
        <w:pStyle w:val="Heading2"/>
        <w:tabs>
          <w:tab w:pos="1197" w:val="left" w:leader="none"/>
        </w:tabs>
      </w:pPr>
      <w:bookmarkStart w:name="_bookmark14" w:id="15"/>
      <w:bookmarkEnd w:id="15"/>
      <w:r>
        <w:rPr>
          <w:b w:val="0"/>
        </w:rPr>
      </w:r>
      <w:r>
        <w:rPr/>
        <w:t>第十一条</w:t>
        <w:tab/>
        <w:t>受益人</w:t>
      </w:r>
    </w:p>
    <w:p>
      <w:pPr>
        <w:pStyle w:val="BodyText"/>
        <w:spacing w:line="273" w:lineRule="auto" w:before="37"/>
        <w:ind w:left="538" w:right="2500"/>
      </w:pPr>
      <w:r>
        <w:rPr/>
        <w:t>除另有约定外，重大疾病保险金、特定疾病保险金的受益人为被保险人本人。您或者被保险人可以指定一人或多人为身故保险金受益人。</w:t>
      </w:r>
    </w:p>
    <w:p>
      <w:pPr>
        <w:pStyle w:val="BodyText"/>
        <w:spacing w:line="273" w:lineRule="auto" w:before="8"/>
        <w:ind w:left="117" w:right="160" w:firstLine="420"/>
      </w:pPr>
      <w:r>
        <w:rPr/>
        <w:t>身故保险金受益人为多人时，可以确定受益顺序和受益份额；如果没有确定份额，各受益人按照相等份额享有受益权。</w:t>
      </w:r>
    </w:p>
    <w:p>
      <w:pPr>
        <w:spacing w:before="8"/>
        <w:ind w:left="538" w:right="0" w:firstLine="0"/>
        <w:jc w:val="left"/>
        <w:rPr>
          <w:sz w:val="21"/>
        </w:rPr>
      </w:pPr>
      <w:r>
        <w:rPr>
          <w:sz w:val="21"/>
        </w:rPr>
        <w:t>被保险人为无民事行为能力人或</w:t>
      </w:r>
      <w:r>
        <w:rPr>
          <w:b/>
          <w:sz w:val="21"/>
        </w:rPr>
        <w:t>限制民事行为能力人</w:t>
      </w:r>
      <w:r>
        <w:rPr>
          <w:rFonts w:ascii="Times New Roman" w:eastAsia="Times New Roman"/>
          <w:b/>
          <w:sz w:val="21"/>
          <w:vertAlign w:val="superscript"/>
        </w:rPr>
        <w:t>22</w:t>
      </w:r>
      <w:r>
        <w:rPr>
          <w:rFonts w:ascii="Times New Roman" w:eastAsia="Times New Roman"/>
          <w:b/>
          <w:sz w:val="21"/>
          <w:vertAlign w:val="baseline"/>
        </w:rPr>
      </w:r>
      <w:r>
        <w:rPr>
          <w:sz w:val="21"/>
          <w:vertAlign w:val="baseline"/>
        </w:rPr>
        <w:t>的，可以由其监护人指定受益人。</w:t>
      </w:r>
    </w:p>
    <w:p>
      <w:pPr>
        <w:pStyle w:val="BodyText"/>
        <w:spacing w:line="273" w:lineRule="auto" w:before="21"/>
        <w:ind w:left="117" w:right="160" w:firstLine="420"/>
      </w:pPr>
      <w:r>
        <w:rPr/>
        <w:t>您或者被保险人可以变更身故保险金受益人并书面通知我们。我们收到变更受益人的书面通知后，在保险单或其他保险凭证上批注或附贴批单。</w:t>
      </w:r>
    </w:p>
    <w:p>
      <w:pPr>
        <w:pStyle w:val="BodyText"/>
        <w:spacing w:before="7"/>
        <w:ind w:left="538"/>
      </w:pPr>
      <w:r>
        <w:rPr/>
        <w:t>您在指定和变更身故保险金受益人时，必须经过被保险人同意。</w:t>
      </w:r>
    </w:p>
    <w:p>
      <w:pPr>
        <w:pStyle w:val="BodyText"/>
        <w:spacing w:line="273" w:lineRule="auto" w:before="36"/>
        <w:ind w:left="117" w:right="160" w:firstLine="420"/>
      </w:pPr>
      <w:r>
        <w:rPr/>
        <w:t>被保险人身故后，有下列情形之一的，保险金作为被保险人的遗产，由我们依照《中华人民共和国继承法》的规定履行给付保险金的义务：</w:t>
      </w:r>
    </w:p>
    <w:p>
      <w:pPr>
        <w:pStyle w:val="BodyText"/>
        <w:spacing w:before="7"/>
        <w:ind w:left="538"/>
      </w:pPr>
      <w:r>
        <w:rPr/>
        <w:t>一、没有指定受益人，或者受益人指定不明无法确定的；</w:t>
      </w:r>
    </w:p>
    <w:p>
      <w:pPr>
        <w:pStyle w:val="BodyText"/>
        <w:spacing w:before="4"/>
        <w:rPr>
          <w:sz w:val="14"/>
        </w:rPr>
      </w:pPr>
      <w:r>
        <w:rPr/>
        <w:pict>
          <v:line style="position:absolute;mso-position-horizontal-relative:page;mso-position-vertical-relative:paragraph;z-index:1120;mso-wrap-distance-left:0;mso-wrap-distance-right:0" from="53.880001pt,11.60358pt" to="197.930001pt,11.60358pt" stroked="true" strokeweight=".47998pt" strokecolor="#000000">
            <v:stroke dashstyle="solid"/>
            <w10:wrap type="topAndBottom"/>
          </v:line>
        </w:pict>
      </w:r>
    </w:p>
    <w:p>
      <w:pPr>
        <w:pStyle w:val="BodyText"/>
        <w:spacing w:before="32"/>
        <w:ind w:left="117" w:right="154"/>
        <w:rPr>
          <w:rFonts w:ascii="楷体" w:eastAsia="楷体" w:hint="eastAsia"/>
        </w:rPr>
      </w:pPr>
      <w:r>
        <w:rPr>
          <w:rFonts w:ascii="Times New Roman" w:eastAsia="Times New Roman"/>
          <w:position w:val="10"/>
          <w:sz w:val="14"/>
        </w:rPr>
        <w:t>20</w:t>
      </w:r>
      <w:r>
        <w:rPr>
          <w:rFonts w:ascii="楷体" w:eastAsia="楷体" w:hint="eastAsia"/>
          <w:b/>
          <w:spacing w:val="-7"/>
        </w:rPr>
        <w:t>无民事行为能力人：</w:t>
      </w:r>
      <w:r>
        <w:rPr>
          <w:rFonts w:ascii="楷体" w:eastAsia="楷体" w:hint="eastAsia"/>
          <w:spacing w:val="-7"/>
        </w:rPr>
        <w:t>一种是指不满十周岁的未成年人，另一种是指不能辨认自己行为的精神病人</w:t>
      </w:r>
      <w:r>
        <w:rPr>
          <w:rFonts w:ascii="楷体" w:eastAsia="楷体" w:hint="eastAsia"/>
          <w:spacing w:val="-161"/>
        </w:rPr>
        <w:t>。</w:t>
      </w:r>
      <w:r>
        <w:rPr>
          <w:rFonts w:ascii="楷体" w:eastAsia="楷体" w:hint="eastAsia"/>
        </w:rPr>
        <w:t>（</w:t>
      </w:r>
      <w:r>
        <w:rPr>
          <w:rFonts w:ascii="楷体" w:eastAsia="楷体" w:hint="eastAsia"/>
          <w:spacing w:val="-15"/>
        </w:rPr>
        <w:t>根据《中</w:t>
      </w:r>
      <w:r>
        <w:rPr>
          <w:rFonts w:ascii="楷体" w:eastAsia="楷体" w:hint="eastAsia"/>
          <w:spacing w:val="-7"/>
        </w:rPr>
        <w:t>华人民共和国民法通则》第十二条及第十三条规定</w:t>
      </w:r>
      <w:r>
        <w:rPr>
          <w:rFonts w:ascii="楷体" w:eastAsia="楷体" w:hint="eastAsia"/>
        </w:rPr>
        <w:t>）</w:t>
      </w:r>
    </w:p>
    <w:p>
      <w:pPr>
        <w:spacing w:line="271" w:lineRule="exact" w:before="0"/>
        <w:ind w:left="117" w:right="0" w:firstLine="0"/>
        <w:jc w:val="left"/>
        <w:rPr>
          <w:rFonts w:ascii="楷体" w:eastAsia="楷体" w:hint="eastAsia"/>
          <w:sz w:val="21"/>
        </w:rPr>
      </w:pPr>
      <w:r>
        <w:rPr>
          <w:rFonts w:ascii="Times New Roman" w:eastAsia="Times New Roman"/>
          <w:position w:val="10"/>
          <w:sz w:val="14"/>
        </w:rPr>
        <w:t>21</w:t>
      </w:r>
      <w:r>
        <w:rPr>
          <w:rFonts w:ascii="楷体" w:eastAsia="楷体" w:hint="eastAsia"/>
          <w:b/>
          <w:sz w:val="21"/>
        </w:rPr>
        <w:t>保险事故：</w:t>
      </w:r>
      <w:r>
        <w:rPr>
          <w:rFonts w:ascii="楷体" w:eastAsia="楷体" w:hint="eastAsia"/>
          <w:sz w:val="21"/>
        </w:rPr>
        <w:t>指本合同约定的保险责任范围内的事故。</w:t>
      </w:r>
    </w:p>
    <w:p>
      <w:pPr>
        <w:spacing w:line="272" w:lineRule="exact" w:before="0"/>
        <w:ind w:left="117" w:right="0" w:firstLine="0"/>
        <w:jc w:val="left"/>
        <w:rPr>
          <w:rFonts w:ascii="楷体" w:eastAsia="楷体" w:hint="eastAsia"/>
          <w:sz w:val="21"/>
        </w:rPr>
      </w:pPr>
      <w:r>
        <w:rPr>
          <w:rFonts w:ascii="Times New Roman" w:eastAsia="Times New Roman"/>
          <w:spacing w:val="-1"/>
          <w:position w:val="10"/>
          <w:sz w:val="14"/>
        </w:rPr>
        <w:t>22</w:t>
      </w:r>
      <w:r>
        <w:rPr>
          <w:rFonts w:ascii="楷体" w:eastAsia="楷体" w:hint="eastAsia"/>
          <w:b/>
          <w:spacing w:val="-9"/>
          <w:sz w:val="21"/>
        </w:rPr>
        <w:t>限制民事行为能力人：</w:t>
      </w:r>
      <w:r>
        <w:rPr>
          <w:rFonts w:ascii="楷体" w:eastAsia="楷体" w:hint="eastAsia"/>
          <w:spacing w:val="-8"/>
          <w:sz w:val="21"/>
        </w:rPr>
        <w:t>一种是指十周岁以上的未成年人，另一种是指不能完全辨认自己行为的精神病人</w:t>
      </w:r>
      <w:r>
        <w:rPr>
          <w:rFonts w:ascii="楷体" w:eastAsia="楷体" w:hint="eastAsia"/>
          <w:spacing w:val="-180"/>
          <w:sz w:val="21"/>
        </w:rPr>
        <w:t>。</w:t>
      </w:r>
      <w:r>
        <w:rPr>
          <w:rFonts w:ascii="楷体" w:eastAsia="楷体" w:hint="eastAsia"/>
          <w:spacing w:val="-3"/>
          <w:sz w:val="21"/>
        </w:rPr>
        <w:t>（</w:t>
      </w:r>
      <w:r>
        <w:rPr>
          <w:rFonts w:ascii="楷体" w:eastAsia="楷体" w:hint="eastAsia"/>
          <w:sz w:val="21"/>
        </w:rPr>
        <w:t>根</w:t>
      </w:r>
    </w:p>
    <w:p>
      <w:pPr>
        <w:pStyle w:val="BodyText"/>
        <w:spacing w:line="273" w:lineRule="exact"/>
        <w:ind w:left="117"/>
        <w:rPr>
          <w:rFonts w:ascii="楷体" w:eastAsia="楷体" w:hint="eastAsia"/>
        </w:rPr>
      </w:pPr>
      <w:r>
        <w:rPr>
          <w:rFonts w:ascii="楷体" w:eastAsia="楷体" w:hint="eastAsia"/>
        </w:rPr>
        <w:t>据《中华人民共和国民法通则》第十二条及第十三条规定）</w:t>
      </w:r>
    </w:p>
    <w:p>
      <w:pPr>
        <w:spacing w:after="0" w:line="273" w:lineRule="exact"/>
        <w:rPr>
          <w:rFonts w:ascii="楷体" w:eastAsia="楷体" w:hint="eastAsia"/>
        </w:rPr>
        <w:sectPr>
          <w:footerReference w:type="default" r:id="rId11"/>
          <w:pgSz w:w="11910" w:h="16160"/>
          <w:pgMar w:footer="879" w:header="0" w:top="1360" w:bottom="1060" w:left="960" w:right="760"/>
          <w:pgNumType w:start="6"/>
        </w:sectPr>
      </w:pPr>
    </w:p>
    <w:p>
      <w:pPr>
        <w:pStyle w:val="BodyText"/>
        <w:spacing w:before="7"/>
        <w:ind w:left="538"/>
      </w:pPr>
      <w:r>
        <w:rPr/>
        <w:t>二、受益人先于被保险人身故，没有其他受益人的；</w:t>
      </w:r>
    </w:p>
    <w:p>
      <w:pPr>
        <w:pStyle w:val="BodyText"/>
        <w:spacing w:before="37"/>
        <w:ind w:left="538"/>
      </w:pPr>
      <w:r>
        <w:rPr/>
        <w:t>三、受益人依法丧失受益权或者放弃受益权，没有其他受益人的。</w:t>
      </w:r>
    </w:p>
    <w:p>
      <w:pPr>
        <w:pStyle w:val="BodyText"/>
        <w:spacing w:before="37"/>
        <w:ind w:left="538"/>
      </w:pPr>
      <w:r>
        <w:rPr/>
        <w:t>受益人与被保险人在同一事件中身故，且不能确定身故先后顺序的，推定受益人身故在先。</w:t>
      </w:r>
    </w:p>
    <w:p>
      <w:pPr>
        <w:pStyle w:val="BodyText"/>
        <w:spacing w:before="37"/>
        <w:ind w:left="538"/>
      </w:pPr>
      <w:r>
        <w:rPr/>
        <w:t>受益人故意造成被保险人身故、伤残、疾病的，或者故意杀害被保险人未遂的，该受益人丧失受益权。</w:t>
      </w:r>
    </w:p>
    <w:p>
      <w:pPr>
        <w:pStyle w:val="BodyText"/>
        <w:spacing w:before="8"/>
        <w:rPr>
          <w:sz w:val="26"/>
        </w:rPr>
      </w:pPr>
    </w:p>
    <w:p>
      <w:pPr>
        <w:pStyle w:val="Heading2"/>
        <w:tabs>
          <w:tab w:pos="1197" w:val="left" w:leader="none"/>
        </w:tabs>
        <w:spacing w:before="1"/>
      </w:pPr>
      <w:bookmarkStart w:name="_bookmark15" w:id="16"/>
      <w:bookmarkEnd w:id="16"/>
      <w:r>
        <w:rPr>
          <w:b w:val="0"/>
        </w:rPr>
      </w:r>
      <w:r>
        <w:rPr/>
        <w:t>第十二条</w:t>
        <w:tab/>
        <w:t>保险事故通知</w:t>
      </w:r>
    </w:p>
    <w:p>
      <w:pPr>
        <w:pStyle w:val="BodyText"/>
        <w:spacing w:before="37"/>
        <w:ind w:left="538"/>
      </w:pPr>
      <w:r>
        <w:rPr/>
        <w:t>您或受益人知道保险事故后应当在 </w:t>
      </w:r>
      <w:r>
        <w:rPr>
          <w:rFonts w:ascii="Times New Roman" w:eastAsia="Times New Roman"/>
        </w:rPr>
        <w:t>10 </w:t>
      </w:r>
      <w:r>
        <w:rPr/>
        <w:t>日内通知我们。</w:t>
      </w:r>
    </w:p>
    <w:p>
      <w:pPr>
        <w:spacing w:line="273" w:lineRule="auto" w:before="21"/>
        <w:ind w:left="117" w:right="115" w:firstLine="422"/>
        <w:jc w:val="left"/>
        <w:rPr>
          <w:sz w:val="21"/>
        </w:rPr>
      </w:pPr>
      <w:r>
        <w:rPr>
          <w:b/>
          <w:spacing w:val="-7"/>
          <w:sz w:val="21"/>
        </w:rPr>
        <w:t>如果您或受益人故意或者因重大过失未及时通知，致使保险事故的性质、原因、损失程度等难以确定的， 我们对无法确定的部分，不承担给付保险金的责任，</w:t>
      </w:r>
      <w:r>
        <w:rPr>
          <w:spacing w:val="-3"/>
          <w:sz w:val="21"/>
        </w:rPr>
        <w:t>但我们通过其他途径已经及时知道或者应当及时知道保险事故发生或者虽未及时通知但不影响我们确定保险事故的性质、原因、损失程度的除外。</w:t>
      </w:r>
    </w:p>
    <w:p>
      <w:pPr>
        <w:pStyle w:val="BodyText"/>
        <w:spacing w:before="6"/>
        <w:rPr>
          <w:sz w:val="24"/>
        </w:rPr>
      </w:pPr>
    </w:p>
    <w:p>
      <w:pPr>
        <w:pStyle w:val="Heading2"/>
        <w:tabs>
          <w:tab w:pos="1197" w:val="left" w:leader="none"/>
        </w:tabs>
      </w:pPr>
      <w:bookmarkStart w:name="_bookmark16" w:id="17"/>
      <w:bookmarkEnd w:id="17"/>
      <w:r>
        <w:rPr>
          <w:b w:val="0"/>
        </w:rPr>
      </w:r>
      <w:r>
        <w:rPr/>
        <w:t>第十三条</w:t>
        <w:tab/>
        <w:t>诉讼时效</w:t>
      </w:r>
    </w:p>
    <w:p>
      <w:pPr>
        <w:pStyle w:val="BodyText"/>
        <w:spacing w:before="37"/>
        <w:ind w:left="538"/>
        <w:rPr>
          <w:rFonts w:ascii="Times New Roman" w:eastAsia="Times New Roman"/>
        </w:rPr>
      </w:pPr>
      <w:r>
        <w:rPr/>
        <w:t>人寿保险以外的其他保险的被保险人或者受益人，向我们请求赔偿或者给付保险金的诉讼时效期间为 </w:t>
      </w:r>
      <w:r>
        <w:rPr>
          <w:rFonts w:ascii="Times New Roman" w:eastAsia="Times New Roman"/>
        </w:rPr>
        <w:t>2</w:t>
      </w:r>
    </w:p>
    <w:p>
      <w:pPr>
        <w:pStyle w:val="BodyText"/>
        <w:spacing w:before="21"/>
        <w:ind w:left="117"/>
      </w:pPr>
      <w:r>
        <w:rPr/>
        <w:t>年，自其知道或者应当知道保险事故发生之日起计算。</w:t>
      </w:r>
    </w:p>
    <w:p>
      <w:pPr>
        <w:pStyle w:val="BodyText"/>
        <w:spacing w:line="256" w:lineRule="auto" w:before="36"/>
        <w:ind w:left="117" w:right="171" w:firstLine="420"/>
      </w:pPr>
      <w:r>
        <w:rPr/>
        <w:t>人寿保险的被保险人或者受益人向我们请求给付保险金的诉讼时效期间为 </w:t>
      </w:r>
      <w:r>
        <w:rPr>
          <w:rFonts w:ascii="Times New Roman" w:eastAsia="Times New Roman"/>
        </w:rPr>
        <w:t>5 </w:t>
      </w:r>
      <w:r>
        <w:rPr/>
        <w:t>年，自其知道或者应当知道保险事故发生之日起计算。</w:t>
      </w:r>
    </w:p>
    <w:p>
      <w:pPr>
        <w:pStyle w:val="BodyText"/>
        <w:spacing w:before="6"/>
        <w:rPr>
          <w:sz w:val="25"/>
        </w:rPr>
      </w:pPr>
    </w:p>
    <w:p>
      <w:pPr>
        <w:pStyle w:val="Heading2"/>
        <w:tabs>
          <w:tab w:pos="1197" w:val="left" w:leader="none"/>
        </w:tabs>
      </w:pPr>
      <w:bookmarkStart w:name="_bookmark17" w:id="18"/>
      <w:bookmarkEnd w:id="18"/>
      <w:r>
        <w:rPr>
          <w:b w:val="0"/>
        </w:rPr>
      </w:r>
      <w:r>
        <w:rPr/>
        <w:t>第十四条</w:t>
        <w:tab/>
        <w:t>保险金申请</w:t>
      </w:r>
    </w:p>
    <w:p>
      <w:pPr>
        <w:pStyle w:val="BodyText"/>
        <w:spacing w:before="36"/>
        <w:ind w:left="538"/>
      </w:pPr>
      <w:r>
        <w:rPr/>
        <w:t>一、重大疾病保险金、特定疾病保险金的申请</w:t>
      </w:r>
    </w:p>
    <w:p>
      <w:pPr>
        <w:pStyle w:val="BodyText"/>
        <w:spacing w:line="273" w:lineRule="auto" w:before="36"/>
        <w:ind w:left="117" w:right="109" w:firstLine="420"/>
      </w:pPr>
      <w:r>
        <w:rPr>
          <w:spacing w:val="-8"/>
        </w:rPr>
        <w:t>在申请重大疾病保险金、特定疾病保险金时，由相应保险金的受益人作为申请人填写保险金给付申请书， </w:t>
      </w:r>
      <w:r>
        <w:rPr>
          <w:spacing w:val="-5"/>
        </w:rPr>
        <w:t>并提供下列证明和资料：</w:t>
      </w:r>
    </w:p>
    <w:p>
      <w:pPr>
        <w:pStyle w:val="ListParagraph"/>
        <w:numPr>
          <w:ilvl w:val="0"/>
          <w:numId w:val="7"/>
        </w:numPr>
        <w:tabs>
          <w:tab w:pos="803" w:val="left" w:leader="none"/>
        </w:tabs>
        <w:spacing w:line="240" w:lineRule="auto" w:before="7" w:after="0"/>
        <w:ind w:left="538" w:right="0" w:firstLine="0"/>
        <w:jc w:val="left"/>
        <w:rPr>
          <w:sz w:val="21"/>
        </w:rPr>
      </w:pPr>
      <w:r>
        <w:rPr>
          <w:spacing w:val="-3"/>
          <w:sz w:val="21"/>
        </w:rPr>
        <w:t>保险合同；</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受益人的</w:t>
      </w:r>
      <w:r>
        <w:rPr>
          <w:b/>
          <w:sz w:val="21"/>
        </w:rPr>
        <w:t>有效身份证件</w:t>
      </w:r>
      <w:r>
        <w:rPr>
          <w:rFonts w:ascii="Times New Roman" w:eastAsia="Times New Roman"/>
          <w:b/>
          <w:sz w:val="21"/>
          <w:vertAlign w:val="superscript"/>
        </w:rPr>
        <w:t>23</w:t>
      </w:r>
      <w:r>
        <w:rPr>
          <w:rFonts w:ascii="Times New Roman" w:eastAsia="Times New Roman"/>
          <w:b/>
          <w:sz w:val="21"/>
          <w:vertAlign w:val="baseline"/>
        </w:rPr>
      </w:r>
      <w:r>
        <w:rPr>
          <w:sz w:val="21"/>
          <w:vertAlign w:val="baseline"/>
        </w:rPr>
        <w:t>；</w:t>
      </w:r>
    </w:p>
    <w:p>
      <w:pPr>
        <w:pStyle w:val="ListParagraph"/>
        <w:numPr>
          <w:ilvl w:val="0"/>
          <w:numId w:val="7"/>
        </w:numPr>
        <w:tabs>
          <w:tab w:pos="803" w:val="left" w:leader="none"/>
        </w:tabs>
        <w:spacing w:line="240" w:lineRule="auto" w:before="21" w:after="0"/>
        <w:ind w:left="538" w:right="0" w:firstLine="0"/>
        <w:jc w:val="left"/>
        <w:rPr>
          <w:sz w:val="21"/>
        </w:rPr>
      </w:pPr>
      <w:r>
        <w:rPr>
          <w:spacing w:val="-3"/>
          <w:sz w:val="21"/>
        </w:rPr>
        <w:t>医院出具的附有被保险人病理、血液及其他科学方法检验报告等诊断证明文件；</w:t>
      </w:r>
    </w:p>
    <w:p>
      <w:pPr>
        <w:pStyle w:val="ListParagraph"/>
        <w:numPr>
          <w:ilvl w:val="0"/>
          <w:numId w:val="7"/>
        </w:numPr>
        <w:tabs>
          <w:tab w:pos="803" w:val="left" w:leader="none"/>
        </w:tabs>
        <w:spacing w:line="256" w:lineRule="auto" w:before="21" w:after="0"/>
        <w:ind w:left="538" w:right="3138" w:firstLine="0"/>
        <w:jc w:val="left"/>
        <w:rPr>
          <w:sz w:val="21"/>
        </w:rPr>
      </w:pPr>
      <w:r>
        <w:rPr>
          <w:spacing w:val="-3"/>
          <w:sz w:val="21"/>
        </w:rPr>
        <w:t>所能提供的与确认保险事故的性质、原因等有关的其他证明和资料。二、身故保险金的申请</w:t>
      </w:r>
    </w:p>
    <w:p>
      <w:pPr>
        <w:pStyle w:val="BodyText"/>
        <w:spacing w:line="273" w:lineRule="auto" w:before="22"/>
        <w:ind w:left="117" w:right="220" w:firstLine="420"/>
      </w:pPr>
      <w:r>
        <w:rPr/>
        <w:t>在申请身故保险金时，由身故保险金的受益人作为申请人填写保险金给付申请书，并提供下列证明和资料：</w:t>
      </w:r>
    </w:p>
    <w:p>
      <w:pPr>
        <w:pStyle w:val="ListParagraph"/>
        <w:numPr>
          <w:ilvl w:val="0"/>
          <w:numId w:val="8"/>
        </w:numPr>
        <w:tabs>
          <w:tab w:pos="803" w:val="left" w:leader="none"/>
        </w:tabs>
        <w:spacing w:line="240" w:lineRule="auto" w:before="7" w:after="0"/>
        <w:ind w:left="802" w:right="0" w:hanging="264"/>
        <w:jc w:val="left"/>
        <w:rPr>
          <w:sz w:val="21"/>
        </w:rPr>
      </w:pPr>
      <w:r>
        <w:rPr>
          <w:spacing w:val="-3"/>
          <w:sz w:val="21"/>
        </w:rPr>
        <w:t>保险合同；</w:t>
      </w:r>
    </w:p>
    <w:p>
      <w:pPr>
        <w:pStyle w:val="ListParagraph"/>
        <w:numPr>
          <w:ilvl w:val="0"/>
          <w:numId w:val="8"/>
        </w:numPr>
        <w:tabs>
          <w:tab w:pos="803" w:val="left" w:leader="none"/>
        </w:tabs>
        <w:spacing w:line="240" w:lineRule="auto" w:before="20" w:after="0"/>
        <w:ind w:left="802" w:right="0" w:hanging="264"/>
        <w:jc w:val="left"/>
        <w:rPr>
          <w:sz w:val="21"/>
        </w:rPr>
      </w:pPr>
      <w:r>
        <w:rPr>
          <w:spacing w:val="-3"/>
          <w:sz w:val="21"/>
        </w:rPr>
        <w:t>受益人的有效身份证件；</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国务院卫生行政部门规定的医疗机构、公安机关或其他相关机构出具的被保险人的死亡证明；</w:t>
      </w:r>
    </w:p>
    <w:p>
      <w:pPr>
        <w:pStyle w:val="ListParagraph"/>
        <w:numPr>
          <w:ilvl w:val="0"/>
          <w:numId w:val="8"/>
        </w:numPr>
        <w:tabs>
          <w:tab w:pos="803" w:val="left" w:leader="none"/>
        </w:tabs>
        <w:spacing w:line="240" w:lineRule="auto" w:before="21" w:after="0"/>
        <w:ind w:left="802" w:right="0" w:hanging="264"/>
        <w:jc w:val="left"/>
        <w:rPr>
          <w:sz w:val="21"/>
        </w:rPr>
      </w:pPr>
      <w:r>
        <w:rPr>
          <w:spacing w:val="-3"/>
          <w:sz w:val="21"/>
        </w:rPr>
        <w:t>所能提供的与确认保险事故的性质、原因等有关的其他证明和资料。</w:t>
      </w:r>
    </w:p>
    <w:p>
      <w:pPr>
        <w:pStyle w:val="BodyText"/>
        <w:spacing w:before="6"/>
        <w:rPr>
          <w:sz w:val="25"/>
        </w:rPr>
      </w:pPr>
    </w:p>
    <w:p>
      <w:pPr>
        <w:pStyle w:val="BodyText"/>
        <w:spacing w:line="273" w:lineRule="auto"/>
        <w:ind w:left="117" w:right="217" w:firstLine="420"/>
        <w:jc w:val="both"/>
      </w:pPr>
      <w:r>
        <w:rPr/>
        <w:t>如果委托他人代为申请，除上述证明和资料外，还须提供相关保险金受益人的授权委托书、受托人有效身份证件等相关证明文件。保险金作为被保险人遗产时，还须提供可证明合法继承权的相关权利文件。受益人或继承人为未成年人或无民事行为能力人时，由其合法监护人代其申请领取保险金，其合法监护人还必须提供受益人或继承人为未成年人或无民事行为能力人的证明和监护人具有合法监护权的证明。以上证明和资料不完整的，我们将及时一次性通知申请人补充提供有关证明和资料。</w:t>
      </w:r>
    </w:p>
    <w:p>
      <w:pPr>
        <w:pStyle w:val="BodyText"/>
        <w:rPr>
          <w:sz w:val="20"/>
        </w:rPr>
      </w:pPr>
    </w:p>
    <w:p>
      <w:pPr>
        <w:pStyle w:val="BodyText"/>
        <w:rPr>
          <w:sz w:val="20"/>
        </w:rPr>
      </w:pPr>
    </w:p>
    <w:p>
      <w:pPr>
        <w:pStyle w:val="BodyText"/>
        <w:spacing w:before="1"/>
        <w:rPr>
          <w:sz w:val="25"/>
        </w:rPr>
      </w:pPr>
      <w:r>
        <w:rPr/>
        <w:pict>
          <v:line style="position:absolute;mso-position-horizontal-relative:page;mso-position-vertical-relative:paragraph;z-index:1144;mso-wrap-distance-left:0;mso-wrap-distance-right:0" from="53.880001pt,18.628944pt" to="197.930001pt,18.628944pt" stroked="true" strokeweight=".48004pt" strokecolor="#000000">
            <v:stroke dashstyle="solid"/>
            <w10:wrap type="topAndBottom"/>
          </v:line>
        </w:pict>
      </w:r>
    </w:p>
    <w:p>
      <w:pPr>
        <w:pStyle w:val="BodyText"/>
        <w:spacing w:before="56"/>
        <w:ind w:left="117"/>
        <w:rPr>
          <w:rFonts w:ascii="楷体" w:eastAsia="楷体" w:hint="eastAsia"/>
        </w:rPr>
      </w:pPr>
      <w:r>
        <w:rPr>
          <w:rFonts w:ascii="Times New Roman" w:eastAsia="Times New Roman"/>
          <w:position w:val="10"/>
          <w:sz w:val="14"/>
        </w:rPr>
        <w:t>23</w:t>
      </w:r>
      <w:r>
        <w:rPr>
          <w:rFonts w:ascii="楷体" w:eastAsia="楷体" w:hint="eastAsia"/>
          <w:b/>
        </w:rPr>
        <w:t>有效身份证件：</w:t>
      </w:r>
      <w:r>
        <w:rPr>
          <w:rFonts w:ascii="楷体" w:eastAsia="楷体" w:hint="eastAsia"/>
        </w:rPr>
        <w:t>指由政府主管部门规定的证明其身份的证件，如居民身份证、军官证、警官证、士兵证等</w:t>
      </w:r>
    </w:p>
    <w:p>
      <w:pPr>
        <w:pStyle w:val="BodyText"/>
        <w:spacing w:before="36"/>
        <w:ind w:left="117"/>
        <w:rPr>
          <w:rFonts w:ascii="楷体" w:eastAsia="楷体" w:hint="eastAsia"/>
        </w:rPr>
      </w:pPr>
      <w:r>
        <w:rPr>
          <w:rFonts w:ascii="楷体" w:eastAsia="楷体" w:hint="eastAsia"/>
        </w:rPr>
        <w:t>证件。</w:t>
      </w:r>
    </w:p>
    <w:p>
      <w:pPr>
        <w:spacing w:after="0"/>
        <w:rPr>
          <w:rFonts w:ascii="楷体" w:eastAsia="楷体" w:hint="eastAsia"/>
        </w:rPr>
        <w:sectPr>
          <w:pgSz w:w="11910" w:h="16160"/>
          <w:pgMar w:header="0" w:footer="879" w:top="1360" w:bottom="1060" w:left="960" w:right="700"/>
        </w:sectPr>
      </w:pPr>
    </w:p>
    <w:p>
      <w:pPr>
        <w:pStyle w:val="Heading2"/>
        <w:tabs>
          <w:tab w:pos="1197" w:val="left" w:leader="none"/>
        </w:tabs>
        <w:spacing w:before="7"/>
      </w:pPr>
      <w:bookmarkStart w:name="_bookmark18" w:id="19"/>
      <w:bookmarkEnd w:id="19"/>
      <w:r>
        <w:rPr>
          <w:b w:val="0"/>
        </w:rPr>
      </w:r>
      <w:r>
        <w:rPr/>
        <w:t>第十五条</w:t>
        <w:tab/>
        <w:t>保险金给付</w:t>
      </w:r>
    </w:p>
    <w:p>
      <w:pPr>
        <w:pStyle w:val="BodyText"/>
        <w:spacing w:before="37"/>
        <w:ind w:left="538"/>
      </w:pPr>
      <w:r>
        <w:rPr/>
        <w:t>我们在收到保险金给付申请书及合同约定的证明和资料后，将在 </w:t>
      </w:r>
      <w:r>
        <w:rPr>
          <w:rFonts w:ascii="Times New Roman" w:eastAsia="Times New Roman"/>
        </w:rPr>
        <w:t>5 </w:t>
      </w:r>
      <w:r>
        <w:rPr/>
        <w:t>个工作日内作出核定；情形复杂的，</w:t>
      </w:r>
    </w:p>
    <w:p>
      <w:pPr>
        <w:pStyle w:val="BodyText"/>
        <w:spacing w:line="256" w:lineRule="auto" w:before="21"/>
        <w:ind w:left="117" w:right="84"/>
      </w:pPr>
      <w:r>
        <w:rPr/>
        <w:t>在 </w:t>
      </w:r>
      <w:r>
        <w:rPr>
          <w:rFonts w:ascii="Times New Roman" w:eastAsia="Times New Roman"/>
        </w:rPr>
        <w:t>30 </w:t>
      </w:r>
      <w:r>
        <w:rPr/>
        <w:t>日内作出核定。对属于保险责任的，我们在与受益人达成给付保险金的协议后 </w:t>
      </w:r>
      <w:r>
        <w:rPr>
          <w:rFonts w:ascii="Times New Roman" w:eastAsia="Times New Roman"/>
        </w:rPr>
        <w:t>10 </w:t>
      </w:r>
      <w:r>
        <w:rPr/>
        <w:t>日内，履行给付保险金义务。</w:t>
      </w:r>
    </w:p>
    <w:p>
      <w:pPr>
        <w:pStyle w:val="BodyText"/>
        <w:spacing w:before="22"/>
        <w:ind w:left="538"/>
      </w:pPr>
      <w:r>
        <w:rPr/>
        <w:t>我们未及时履行前款规定义务的，除支付保险金外，应当赔偿受益人因此受到的损失。</w:t>
      </w:r>
    </w:p>
    <w:p>
      <w:pPr>
        <w:pStyle w:val="BodyText"/>
        <w:spacing w:before="37"/>
        <w:ind w:left="538"/>
      </w:pPr>
      <w:r>
        <w:rPr/>
        <w:t>对不属于保险责任的，我们自作出核定之日起 </w:t>
      </w:r>
      <w:r>
        <w:rPr>
          <w:rFonts w:ascii="Times New Roman" w:eastAsia="Times New Roman"/>
        </w:rPr>
        <w:t>3 </w:t>
      </w:r>
      <w:r>
        <w:rPr/>
        <w:t>日内向受益人发出拒绝给付保险金通知书并说明理由。</w:t>
      </w:r>
    </w:p>
    <w:p>
      <w:pPr>
        <w:pStyle w:val="BodyText"/>
        <w:spacing w:line="256" w:lineRule="auto" w:before="21"/>
        <w:ind w:left="117" w:right="154" w:firstLine="420"/>
      </w:pPr>
      <w:r>
        <w:rPr>
          <w:spacing w:val="-5"/>
        </w:rPr>
        <w:t>我们在收到保险金给付申请书及有关证明和资料之日起 </w:t>
      </w:r>
      <w:r>
        <w:rPr>
          <w:rFonts w:ascii="Times New Roman" w:eastAsia="Times New Roman"/>
        </w:rPr>
        <w:t>60 </w:t>
      </w:r>
      <w:r>
        <w:rPr>
          <w:spacing w:val="-10"/>
        </w:rPr>
        <w:t>日内，对给付保险金的数额不能确定的，根据</w:t>
      </w:r>
      <w:r>
        <w:rPr>
          <w:spacing w:val="-5"/>
        </w:rPr>
        <w:t>已有证明和资料可以确定的数额先予支付；我们最终确定给付保险金的数额后，将支付相应的差额。</w:t>
      </w:r>
    </w:p>
    <w:p>
      <w:pPr>
        <w:pStyle w:val="BodyText"/>
        <w:spacing w:before="6"/>
        <w:rPr>
          <w:sz w:val="25"/>
        </w:rPr>
      </w:pPr>
    </w:p>
    <w:p>
      <w:pPr>
        <w:pStyle w:val="Heading2"/>
        <w:tabs>
          <w:tab w:pos="1197" w:val="left" w:leader="none"/>
        </w:tabs>
        <w:spacing w:before="1"/>
      </w:pPr>
      <w:bookmarkStart w:name="_bookmark19" w:id="20"/>
      <w:bookmarkEnd w:id="20"/>
      <w:r>
        <w:rPr>
          <w:b w:val="0"/>
        </w:rPr>
      </w:r>
      <w:r>
        <w:rPr/>
        <w:t>第十六条</w:t>
        <w:tab/>
        <w:t>司法鉴定</w:t>
      </w:r>
    </w:p>
    <w:p>
      <w:pPr>
        <w:pStyle w:val="BodyText"/>
        <w:spacing w:before="37"/>
        <w:ind w:left="538"/>
      </w:pPr>
      <w:r>
        <w:rPr/>
        <w:t>如果被保险人身故，我们有权要求司法鉴定机构对保险事故进行鉴定。</w:t>
      </w:r>
    </w:p>
    <w:p>
      <w:pPr>
        <w:pStyle w:val="BodyText"/>
        <w:spacing w:before="9"/>
        <w:rPr>
          <w:sz w:val="26"/>
        </w:rPr>
      </w:pPr>
    </w:p>
    <w:p>
      <w:pPr>
        <w:pStyle w:val="Heading2"/>
        <w:tabs>
          <w:tab w:pos="1197" w:val="left" w:leader="none"/>
        </w:tabs>
      </w:pPr>
      <w:bookmarkStart w:name="_bookmark20" w:id="21"/>
      <w:bookmarkEnd w:id="21"/>
      <w:r>
        <w:rPr>
          <w:b w:val="0"/>
        </w:rPr>
      </w:r>
      <w:r>
        <w:rPr/>
        <w:t>第十七条</w:t>
        <w:tab/>
        <w:t>失踪处理</w:t>
      </w:r>
    </w:p>
    <w:p>
      <w:pPr>
        <w:pStyle w:val="BodyText"/>
        <w:spacing w:line="273" w:lineRule="auto" w:before="37"/>
        <w:ind w:left="117" w:right="157" w:firstLine="420"/>
        <w:jc w:val="both"/>
      </w:pPr>
      <w:r>
        <w:rPr/>
        <w:t>在本合同保险期间内且本合同有效，如果被保险人失踪，且经法院宣告死亡，申请人可以向我们申请身故保险金，我们以法院判决宣告之被保险人死亡日为被保险人死亡的日期，并且按本合同中与身故有关的约定处理。如果被保险人被宣告死亡之日在保险期间之外，但有证据证明下落不明之日在本合同有效期内，我们仍承担与身故有关的保险责任，并按合同终止日计算保险金的金额。</w:t>
      </w:r>
    </w:p>
    <w:p>
      <w:pPr>
        <w:pStyle w:val="BodyText"/>
        <w:spacing w:before="8"/>
        <w:ind w:left="538"/>
        <w:rPr>
          <w:rFonts w:ascii="Times New Roman" w:eastAsia="Times New Roman"/>
        </w:rPr>
      </w:pPr>
      <w:r>
        <w:rPr/>
        <w:t>如果被保险人在宣告死亡后重新出现或确知其下落，身故保险金受益人应在知道被保险人生还之日起 </w:t>
      </w:r>
      <w:r>
        <w:rPr>
          <w:rFonts w:ascii="Times New Roman" w:eastAsia="Times New Roman"/>
        </w:rPr>
        <w:t>30</w:t>
      </w:r>
    </w:p>
    <w:p>
      <w:pPr>
        <w:pStyle w:val="BodyText"/>
        <w:spacing w:before="21"/>
        <w:ind w:left="117"/>
      </w:pPr>
      <w:r>
        <w:rPr/>
        <w:t>日内，向我们退还已领取的身故保险金。退还保险金后，本合同的效力由您和我们协商处理。</w:t>
      </w:r>
    </w:p>
    <w:p>
      <w:pPr>
        <w:pStyle w:val="BodyText"/>
        <w:spacing w:before="6"/>
        <w:rPr>
          <w:sz w:val="24"/>
        </w:rPr>
      </w:pPr>
    </w:p>
    <w:p>
      <w:pPr>
        <w:pStyle w:val="Heading1"/>
        <w:tabs>
          <w:tab w:pos="1418" w:val="left" w:leader="none"/>
        </w:tabs>
        <w:spacing w:before="1"/>
        <w:ind w:right="40"/>
        <w:jc w:val="center"/>
      </w:pPr>
      <w:bookmarkStart w:name="_bookmark21" w:id="22"/>
      <w:bookmarkEnd w:id="22"/>
      <w:r>
        <w:rPr>
          <w:b w:val="0"/>
        </w:rPr>
      </w:r>
      <w:r>
        <w:rPr/>
        <w:t>第五部分</w:t>
        <w:tab/>
      </w:r>
      <w:r>
        <w:rPr>
          <w:w w:val="95"/>
        </w:rPr>
        <w:t>您还享有哪些权益</w:t>
      </w:r>
    </w:p>
    <w:p>
      <w:pPr>
        <w:pStyle w:val="BodyText"/>
        <w:spacing w:before="11"/>
        <w:rPr>
          <w:b/>
          <w:sz w:val="25"/>
        </w:rPr>
      </w:pPr>
    </w:p>
    <w:p>
      <w:pPr>
        <w:pStyle w:val="Heading2"/>
        <w:tabs>
          <w:tab w:pos="1197" w:val="left" w:leader="none"/>
        </w:tabs>
      </w:pPr>
      <w:bookmarkStart w:name="_bookmark22" w:id="23"/>
      <w:bookmarkEnd w:id="23"/>
      <w:r>
        <w:rPr>
          <w:b w:val="0"/>
        </w:rPr>
      </w:r>
      <w:r>
        <w:rPr/>
        <w:t>第十八条</w:t>
        <w:tab/>
        <w:t>保单贷款</w:t>
      </w:r>
    </w:p>
    <w:p>
      <w:pPr>
        <w:pStyle w:val="BodyText"/>
        <w:spacing w:line="261" w:lineRule="auto" w:before="37"/>
        <w:ind w:left="117" w:right="99" w:firstLine="420"/>
        <w:jc w:val="both"/>
      </w:pPr>
      <w:r>
        <w:rPr>
          <w:spacing w:val="-3"/>
        </w:rPr>
        <w:t>在本合同犹豫期之后，如果本合同具有现金价值，经被保险人书面同意，您可以向我们申请保单贷款。保单贷款的最高金额不超过本合同当时所具有的</w:t>
      </w:r>
      <w:r>
        <w:rPr>
          <w:b/>
        </w:rPr>
        <w:t>现金价值净额</w:t>
      </w:r>
      <w:r>
        <w:rPr>
          <w:rFonts w:ascii="Times New Roman" w:eastAsia="Times New Roman"/>
          <w:b/>
          <w:vertAlign w:val="superscript"/>
        </w:rPr>
        <w:t>24</w:t>
      </w:r>
      <w:r>
        <w:rPr>
          <w:rFonts w:ascii="Times New Roman" w:eastAsia="Times New Roman"/>
          <w:b/>
          <w:vertAlign w:val="baseline"/>
        </w:rPr>
      </w:r>
      <w:r>
        <w:rPr>
          <w:spacing w:val="-21"/>
          <w:vertAlign w:val="baseline"/>
        </w:rPr>
        <w:t>的 </w:t>
      </w:r>
      <w:r>
        <w:rPr>
          <w:rFonts w:ascii="Times New Roman" w:eastAsia="Times New Roman"/>
          <w:vertAlign w:val="baseline"/>
        </w:rPr>
        <w:t>80</w:t>
      </w:r>
      <w:r>
        <w:rPr>
          <w:vertAlign w:val="baseline"/>
        </w:rPr>
        <w:t>％（</w:t>
      </w:r>
      <w:r>
        <w:rPr>
          <w:spacing w:val="-7"/>
          <w:vertAlign w:val="baseline"/>
        </w:rPr>
        <w:t>最低金额不得少于人民币 </w:t>
      </w:r>
      <w:r>
        <w:rPr>
          <w:rFonts w:ascii="Times New Roman" w:eastAsia="Times New Roman"/>
          <w:vertAlign w:val="baseline"/>
        </w:rPr>
        <w:t>1000</w:t>
      </w:r>
      <w:r>
        <w:rPr>
          <w:rFonts w:ascii="Times New Roman" w:eastAsia="Times New Roman"/>
          <w:spacing w:val="6"/>
          <w:vertAlign w:val="baseline"/>
        </w:rPr>
        <w:t> </w:t>
      </w:r>
      <w:r>
        <w:rPr>
          <w:vertAlign w:val="baseline"/>
        </w:rPr>
        <w:t>元， </w:t>
      </w:r>
      <w:r>
        <w:rPr>
          <w:spacing w:val="-3"/>
          <w:vertAlign w:val="baseline"/>
        </w:rPr>
        <w:t>我们将不定期调整最低贷款金额</w:t>
      </w:r>
      <w:r>
        <w:rPr>
          <w:spacing w:val="-65"/>
          <w:vertAlign w:val="baseline"/>
        </w:rPr>
        <w:t>）</w:t>
      </w:r>
      <w:r>
        <w:rPr>
          <w:spacing w:val="-12"/>
          <w:vertAlign w:val="baseline"/>
        </w:rPr>
        <w:t>，具体额度需经我们审批。每一期贷款的最长期限为 </w:t>
      </w:r>
      <w:r>
        <w:rPr>
          <w:rFonts w:ascii="Times New Roman" w:eastAsia="Times New Roman"/>
          <w:vertAlign w:val="baseline"/>
        </w:rPr>
        <w:t>6</w:t>
      </w:r>
      <w:r>
        <w:rPr>
          <w:rFonts w:ascii="Times New Roman" w:eastAsia="Times New Roman"/>
          <w:spacing w:val="11"/>
          <w:vertAlign w:val="baseline"/>
        </w:rPr>
        <w:t> </w:t>
      </w:r>
      <w:r>
        <w:rPr>
          <w:spacing w:val="-7"/>
          <w:vertAlign w:val="baseline"/>
        </w:rPr>
        <w:t>个月。保单贷款利率</w:t>
      </w:r>
      <w:r>
        <w:rPr>
          <w:spacing w:val="-5"/>
          <w:vertAlign w:val="baseline"/>
        </w:rPr>
        <w:t>按您与我们签订的贷款协议中约定的利率执行。</w:t>
      </w:r>
    </w:p>
    <w:p>
      <w:pPr>
        <w:pStyle w:val="BodyText"/>
        <w:spacing w:line="273" w:lineRule="auto" w:before="18"/>
        <w:ind w:left="117" w:right="159" w:firstLine="420"/>
      </w:pPr>
      <w:r>
        <w:rPr/>
        <w:t>如果您没有未偿还的保单贷款，您申请的保单贷款按我们最近一次确定的保单贷款利率每日计息，每一期贷款适用的保单贷款利率在贷款期限内固定不变。</w:t>
      </w:r>
    </w:p>
    <w:p>
      <w:pPr>
        <w:pStyle w:val="BodyText"/>
        <w:spacing w:line="273" w:lineRule="auto" w:before="7"/>
        <w:ind w:left="117" w:right="159" w:firstLine="420"/>
        <w:jc w:val="right"/>
      </w:pPr>
      <w:r>
        <w:rPr/>
        <w:t>如果您有未偿还的保单贷款，您可以申请增加贷款，但具体额度需经我们审批，增加的保单贷款的期限为当期未偿还的保单贷款的剩余期限。增加的保单贷款按当期未偿还的保单贷款适用的贷款利率每日计息。保单贷款期满时，如果您未能全部偿还保单贷款及</w:t>
      </w:r>
      <w:r>
        <w:rPr>
          <w:b/>
        </w:rPr>
        <w:t>累积利息</w:t>
      </w:r>
      <w:r>
        <w:rPr>
          <w:rFonts w:ascii="Times New Roman" w:eastAsia="Times New Roman"/>
          <w:b/>
          <w:vertAlign w:val="superscript"/>
        </w:rPr>
        <w:t>2</w:t>
      </w:r>
      <w:r>
        <w:rPr>
          <w:rFonts w:ascii="Times New Roman" w:eastAsia="Times New Roman"/>
          <w:b/>
          <w:vertAlign w:val="superscript"/>
        </w:rPr>
        <w:t>5</w:t>
      </w:r>
      <w:r>
        <w:rPr>
          <w:rFonts w:ascii="Times New Roman" w:eastAsia="Times New Roman"/>
          <w:b/>
          <w:vertAlign w:val="baseline"/>
        </w:rPr>
      </w:r>
      <w:r>
        <w:rPr>
          <w:vertAlign w:val="baseline"/>
        </w:rPr>
        <w:t>，且本合同的现金价值净额大于零，未偿</w:t>
      </w:r>
    </w:p>
    <w:p>
      <w:pPr>
        <w:pStyle w:val="BodyText"/>
        <w:spacing w:line="259" w:lineRule="auto"/>
        <w:ind w:left="117" w:right="110"/>
      </w:pPr>
      <w:r>
        <w:rPr/>
        <w:t>还的保单贷款及累积利息将构成新一期的保单贷款，贷款期限为 </w:t>
      </w:r>
      <w:r>
        <w:rPr>
          <w:rFonts w:ascii="Times New Roman" w:eastAsia="Times New Roman"/>
        </w:rPr>
        <w:t>6 </w:t>
      </w:r>
      <w:r>
        <w:rPr/>
        <w:t>个月，并按我们届时执行的最新保单贷款利率计息。</w:t>
      </w:r>
    </w:p>
    <w:p>
      <w:pPr>
        <w:pStyle w:val="BodyText"/>
        <w:spacing w:line="273" w:lineRule="auto" w:before="32"/>
        <w:ind w:left="117" w:right="160" w:firstLine="420"/>
      </w:pPr>
      <w:r>
        <w:rPr/>
        <w:t>您可以在保单贷款期满时，或保单贷款期满前偿还全部或部分的贷款及累积利息，还款将首先用于偿还累积利息，然后用于偿还贷款本金。</w:t>
      </w:r>
    </w:p>
    <w:p>
      <w:pPr>
        <w:pStyle w:val="BodyText"/>
        <w:spacing w:before="7"/>
        <w:ind w:left="538"/>
      </w:pPr>
      <w:r>
        <w:rPr/>
        <w:t>当本合同的现金价值净额小于或等于零时，本合同的效力中止。</w:t>
      </w:r>
    </w:p>
    <w:p>
      <w:pPr>
        <w:pStyle w:val="BodyText"/>
        <w:rPr>
          <w:sz w:val="20"/>
        </w:rPr>
      </w:pPr>
    </w:p>
    <w:p>
      <w:pPr>
        <w:pStyle w:val="BodyText"/>
        <w:rPr>
          <w:sz w:val="20"/>
        </w:rPr>
      </w:pPr>
    </w:p>
    <w:p>
      <w:pPr>
        <w:pStyle w:val="BodyText"/>
        <w:spacing w:before="7"/>
        <w:rPr>
          <w:sz w:val="15"/>
        </w:rPr>
      </w:pPr>
      <w:r>
        <w:rPr/>
        <w:pict>
          <v:line style="position:absolute;mso-position-horizontal-relative:page;mso-position-vertical-relative:paragraph;z-index:1168;mso-wrap-distance-left:0;mso-wrap-distance-right:0" from="53.880001pt,12.404603pt" to="197.930001pt,12.404603pt" stroked="true" strokeweight=".47998pt" strokecolor="#000000">
            <v:stroke dashstyle="solid"/>
            <w10:wrap type="topAndBottom"/>
          </v:line>
        </w:pict>
      </w:r>
    </w:p>
    <w:p>
      <w:pPr>
        <w:pStyle w:val="BodyText"/>
        <w:spacing w:line="273" w:lineRule="exact" w:before="35"/>
        <w:ind w:left="117"/>
        <w:rPr>
          <w:rFonts w:ascii="楷体" w:eastAsia="楷体" w:hint="eastAsia"/>
        </w:rPr>
      </w:pPr>
      <w:r>
        <w:rPr>
          <w:rFonts w:ascii="Times New Roman" w:eastAsia="Times New Roman"/>
          <w:position w:val="10"/>
          <w:sz w:val="14"/>
        </w:rPr>
        <w:t>24</w:t>
      </w:r>
      <w:r>
        <w:rPr>
          <w:rFonts w:ascii="楷体" w:eastAsia="楷体" w:hint="eastAsia"/>
          <w:b/>
        </w:rPr>
        <w:t>现金价值净额：</w:t>
      </w:r>
      <w:r>
        <w:rPr>
          <w:rFonts w:ascii="楷体" w:eastAsia="楷体" w:hint="eastAsia"/>
        </w:rPr>
        <w:t>指现金价值在扣除尚未偿还的保单贷款、欠交的保险费、累积利息和其他未还款项后的余</w:t>
      </w:r>
    </w:p>
    <w:p>
      <w:pPr>
        <w:pStyle w:val="BodyText"/>
        <w:spacing w:line="272" w:lineRule="exact"/>
        <w:ind w:left="117"/>
        <w:rPr>
          <w:rFonts w:ascii="楷体" w:eastAsia="楷体" w:hint="eastAsia"/>
        </w:rPr>
      </w:pPr>
      <w:r>
        <w:rPr>
          <w:rFonts w:ascii="楷体" w:eastAsia="楷体" w:hint="eastAsia"/>
        </w:rPr>
        <w:t>额。</w:t>
      </w:r>
    </w:p>
    <w:p>
      <w:pPr>
        <w:pStyle w:val="BodyText"/>
        <w:spacing w:line="272" w:lineRule="exact"/>
        <w:ind w:left="117"/>
        <w:rPr>
          <w:rFonts w:ascii="楷体" w:eastAsia="楷体" w:hint="eastAsia"/>
        </w:rPr>
      </w:pPr>
      <w:r>
        <w:rPr>
          <w:rFonts w:ascii="Times New Roman" w:eastAsia="Times New Roman"/>
          <w:position w:val="10"/>
          <w:sz w:val="14"/>
        </w:rPr>
        <w:t>25</w:t>
      </w:r>
      <w:r>
        <w:rPr>
          <w:rFonts w:ascii="楷体" w:eastAsia="楷体" w:hint="eastAsia"/>
          <w:b/>
        </w:rPr>
        <w:t>累积利息：</w:t>
      </w:r>
      <w:r>
        <w:rPr>
          <w:rFonts w:ascii="楷体" w:eastAsia="楷体" w:hint="eastAsia"/>
        </w:rPr>
        <w:t>指根据我们确定的保单贷款利率计算的金额。如果本合同有欠交的保险费或保单贷款，我们将</w:t>
      </w:r>
    </w:p>
    <w:p>
      <w:pPr>
        <w:pStyle w:val="BodyText"/>
        <w:spacing w:line="273" w:lineRule="exact"/>
        <w:ind w:left="117"/>
        <w:rPr>
          <w:rFonts w:ascii="楷体" w:eastAsia="楷体" w:hint="eastAsia"/>
        </w:rPr>
      </w:pPr>
      <w:r>
        <w:rPr>
          <w:rFonts w:ascii="楷体" w:eastAsia="楷体" w:hint="eastAsia"/>
        </w:rPr>
        <w:t>每半年复利计息一次。</w:t>
      </w:r>
    </w:p>
    <w:p>
      <w:pPr>
        <w:spacing w:after="0" w:line="273" w:lineRule="exact"/>
        <w:rPr>
          <w:rFonts w:ascii="楷体" w:eastAsia="楷体" w:hint="eastAsia"/>
        </w:rPr>
        <w:sectPr>
          <w:pgSz w:w="11910" w:h="16160"/>
          <w:pgMar w:header="0" w:footer="879" w:top="1360" w:bottom="1060" w:left="960" w:right="760"/>
        </w:sectPr>
      </w:pPr>
    </w:p>
    <w:p>
      <w:pPr>
        <w:pStyle w:val="Heading2"/>
        <w:tabs>
          <w:tab w:pos="1197" w:val="left" w:leader="none"/>
        </w:tabs>
        <w:spacing w:before="7"/>
      </w:pPr>
      <w:bookmarkStart w:name="_bookmark23" w:id="24"/>
      <w:bookmarkEnd w:id="24"/>
      <w:r>
        <w:rPr>
          <w:b w:val="0"/>
        </w:rPr>
      </w:r>
      <w:r>
        <w:rPr/>
        <w:t>第十九条</w:t>
        <w:tab/>
        <w:t>合同内容的变更权</w:t>
      </w:r>
    </w:p>
    <w:p>
      <w:pPr>
        <w:pStyle w:val="BodyText"/>
        <w:spacing w:line="273" w:lineRule="auto" w:before="37"/>
        <w:ind w:left="117" w:right="120" w:firstLine="420"/>
      </w:pPr>
      <w:r>
        <w:rPr/>
        <w:t>您和我们协商同意后，有权变更本合同的有关内容，并由我们在保险单或保险凭证上批注，或签订合同变更的书面协议。</w:t>
      </w:r>
    </w:p>
    <w:p>
      <w:pPr>
        <w:pStyle w:val="BodyText"/>
        <w:spacing w:before="5"/>
        <w:rPr>
          <w:sz w:val="24"/>
        </w:rPr>
      </w:pPr>
    </w:p>
    <w:p>
      <w:pPr>
        <w:pStyle w:val="Heading2"/>
        <w:tabs>
          <w:tab w:pos="1197" w:val="left" w:leader="none"/>
        </w:tabs>
      </w:pPr>
      <w:bookmarkStart w:name="_bookmark24" w:id="25"/>
      <w:bookmarkEnd w:id="25"/>
      <w:r>
        <w:rPr>
          <w:b w:val="0"/>
        </w:rPr>
      </w:r>
      <w:r>
        <w:rPr/>
        <w:t>第二十条</w:t>
        <w:tab/>
        <w:t>合同效力的中止与</w:t>
      </w:r>
      <w:r>
        <w:rPr>
          <w:spacing w:val="-3"/>
        </w:rPr>
        <w:t>恢复</w:t>
      </w:r>
    </w:p>
    <w:p>
      <w:pPr>
        <w:spacing w:before="36"/>
        <w:ind w:left="540" w:right="0" w:firstLine="0"/>
        <w:jc w:val="left"/>
        <w:rPr>
          <w:b/>
          <w:sz w:val="21"/>
        </w:rPr>
      </w:pPr>
      <w:r>
        <w:rPr>
          <w:b/>
          <w:sz w:val="21"/>
        </w:rPr>
        <w:t>在本合同效力中止期间，我们不承担保险责任。</w:t>
      </w:r>
    </w:p>
    <w:p>
      <w:pPr>
        <w:spacing w:line="256" w:lineRule="auto" w:before="36"/>
        <w:ind w:left="117" w:right="117" w:firstLine="420"/>
        <w:jc w:val="left"/>
        <w:rPr>
          <w:sz w:val="21"/>
        </w:rPr>
      </w:pPr>
      <w:r>
        <w:rPr>
          <w:spacing w:val="-7"/>
          <w:sz w:val="21"/>
        </w:rPr>
        <w:t>本合同效力中止后 </w:t>
      </w:r>
      <w:r>
        <w:rPr>
          <w:rFonts w:ascii="Times New Roman" w:eastAsia="Times New Roman"/>
          <w:sz w:val="21"/>
        </w:rPr>
        <w:t>2 </w:t>
      </w:r>
      <w:r>
        <w:rPr>
          <w:spacing w:val="-11"/>
          <w:sz w:val="21"/>
        </w:rPr>
        <w:t>年内，您可以申请恢复合同效力。</w:t>
      </w:r>
      <w:r>
        <w:rPr>
          <w:b/>
          <w:spacing w:val="-9"/>
          <w:sz w:val="21"/>
        </w:rPr>
        <w:t>申请恢复合同效力时，您应履行如实告知义务</w:t>
      </w:r>
      <w:r>
        <w:rPr>
          <w:spacing w:val="-3"/>
          <w:sz w:val="21"/>
        </w:rPr>
        <w:t>（有</w:t>
      </w:r>
      <w:r>
        <w:rPr>
          <w:spacing w:val="-7"/>
          <w:sz w:val="21"/>
        </w:rPr>
        <w:t>关如实告知义务的具体内容及相应责任，请参见本合同第二十三条。</w:t>
      </w:r>
      <w:r>
        <w:rPr>
          <w:sz w:val="21"/>
        </w:rPr>
        <w:t>）</w:t>
      </w:r>
    </w:p>
    <w:p>
      <w:pPr>
        <w:pStyle w:val="BodyText"/>
        <w:spacing w:line="273" w:lineRule="auto" w:before="22"/>
        <w:ind w:left="117" w:right="120" w:firstLine="420"/>
      </w:pPr>
      <w:r>
        <w:rPr/>
        <w:t>因欠交保险费导致合同效力中止的，经我们与您协商并达成协议，在您补交保险费及累积利息之日起， 合同效力恢复。</w:t>
      </w:r>
    </w:p>
    <w:p>
      <w:pPr>
        <w:pStyle w:val="BodyText"/>
        <w:spacing w:line="273" w:lineRule="auto" w:before="8"/>
        <w:ind w:left="117" w:right="120" w:firstLine="420"/>
      </w:pPr>
      <w:r>
        <w:rPr/>
        <w:t>因保单贷款导致合同效力中止的，经我们与您协商并达成协议，在您偿还保单贷款、累积利息及其他未还款项之日起，合同效力恢复。</w:t>
      </w:r>
    </w:p>
    <w:p>
      <w:pPr>
        <w:pStyle w:val="BodyText"/>
        <w:spacing w:line="256" w:lineRule="auto" w:before="8"/>
        <w:ind w:left="117" w:right="72" w:firstLine="420"/>
      </w:pPr>
      <w:r>
        <w:rPr/>
        <w:t>自本合同效力中止之日起满 </w:t>
      </w:r>
      <w:r>
        <w:rPr>
          <w:rFonts w:ascii="Times New Roman" w:eastAsia="Times New Roman"/>
        </w:rPr>
        <w:t>2 </w:t>
      </w:r>
      <w:r>
        <w:rPr/>
        <w:t>年您和我们未达成协议的，我们有权解除合同。我们解除合同的，向您退还合同效力中止时保险单的现金价值。</w:t>
      </w:r>
    </w:p>
    <w:p>
      <w:pPr>
        <w:pStyle w:val="BodyText"/>
        <w:spacing w:before="7"/>
        <w:rPr>
          <w:sz w:val="25"/>
        </w:rPr>
      </w:pPr>
    </w:p>
    <w:p>
      <w:pPr>
        <w:pStyle w:val="Heading2"/>
        <w:tabs>
          <w:tab w:pos="1377" w:val="left" w:leader="none"/>
        </w:tabs>
      </w:pPr>
      <w:bookmarkStart w:name="_bookmark25" w:id="26"/>
      <w:bookmarkEnd w:id="26"/>
      <w:r>
        <w:rPr>
          <w:b w:val="0"/>
        </w:rPr>
      </w:r>
      <w:r>
        <w:rPr/>
        <w:t>第二十一条</w:t>
        <w:tab/>
        <w:t>犹豫期</w:t>
      </w:r>
    </w:p>
    <w:p>
      <w:pPr>
        <w:pStyle w:val="BodyText"/>
        <w:spacing w:before="36"/>
        <w:ind w:left="538"/>
      </w:pPr>
      <w:r>
        <w:rPr/>
        <w:t>您在收到本合同并签收之日起可享有 </w:t>
      </w:r>
      <w:r>
        <w:rPr>
          <w:rFonts w:ascii="Times New Roman" w:eastAsia="Times New Roman"/>
        </w:rPr>
        <w:t>15 </w:t>
      </w:r>
      <w:r>
        <w:rPr/>
        <w:t>日的犹豫期，在犹豫期内要求解除本合同的，在我们收齐相关文</w:t>
      </w:r>
    </w:p>
    <w:p>
      <w:pPr>
        <w:pStyle w:val="BodyText"/>
        <w:spacing w:line="256" w:lineRule="auto" w:before="20"/>
        <w:ind w:left="117" w:right="114"/>
      </w:pPr>
      <w:r>
        <w:rPr>
          <w:spacing w:val="-6"/>
        </w:rPr>
        <w:t>件和资料的次日零时，本合同即被解除，</w:t>
      </w:r>
      <w:r>
        <w:rPr>
          <w:b/>
        </w:rPr>
        <w:t>我们自始不承担保险责任</w:t>
      </w:r>
      <w:r>
        <w:rPr>
          <w:spacing w:val="-10"/>
        </w:rPr>
        <w:t>。我们在扣除 </w:t>
      </w:r>
      <w:r>
        <w:rPr>
          <w:rFonts w:ascii="Times New Roman" w:eastAsia="Times New Roman"/>
        </w:rPr>
        <w:t>10 </w:t>
      </w:r>
      <w:r>
        <w:rPr>
          <w:spacing w:val="-6"/>
        </w:rPr>
        <w:t>元工本费后，无息退还已</w:t>
      </w:r>
      <w:r>
        <w:rPr>
          <w:spacing w:val="-4"/>
        </w:rPr>
        <w:t>交保险费。</w:t>
      </w:r>
    </w:p>
    <w:p>
      <w:pPr>
        <w:pStyle w:val="BodyText"/>
        <w:spacing w:before="6"/>
        <w:rPr>
          <w:sz w:val="25"/>
        </w:rPr>
      </w:pPr>
    </w:p>
    <w:p>
      <w:pPr>
        <w:pStyle w:val="Heading2"/>
        <w:tabs>
          <w:tab w:pos="1377" w:val="left" w:leader="none"/>
        </w:tabs>
      </w:pPr>
      <w:bookmarkStart w:name="_bookmark26" w:id="27"/>
      <w:bookmarkEnd w:id="27"/>
      <w:r>
        <w:rPr>
          <w:b w:val="0"/>
        </w:rPr>
      </w:r>
      <w:r>
        <w:rPr/>
        <w:t>第二十二条</w:t>
        <w:tab/>
        <w:t>您解除合同的手续</w:t>
      </w:r>
      <w:r>
        <w:rPr>
          <w:spacing w:val="-3"/>
        </w:rPr>
        <w:t>及</w:t>
      </w:r>
      <w:r>
        <w:rPr/>
        <w:t>风险</w:t>
      </w:r>
    </w:p>
    <w:p>
      <w:pPr>
        <w:pStyle w:val="BodyText"/>
        <w:spacing w:line="273" w:lineRule="auto" w:before="36"/>
        <w:ind w:left="538" w:right="2037"/>
      </w:pPr>
      <w:r>
        <w:rPr/>
        <w:t>如您在犹豫期后申请解除本合同，请填写解除合同申请书并向我们提供下列资料： 一、保险合同；</w:t>
      </w:r>
    </w:p>
    <w:p>
      <w:pPr>
        <w:pStyle w:val="BodyText"/>
        <w:spacing w:before="7"/>
        <w:ind w:left="538"/>
      </w:pPr>
      <w:r>
        <w:rPr/>
        <w:t>二、您的有效身份证件。</w:t>
      </w:r>
    </w:p>
    <w:p>
      <w:pPr>
        <w:pStyle w:val="BodyText"/>
        <w:spacing w:line="256" w:lineRule="auto" w:before="37"/>
        <w:ind w:left="117" w:right="114" w:firstLine="420"/>
      </w:pPr>
      <w:r>
        <w:rPr>
          <w:spacing w:val="-9"/>
        </w:rPr>
        <w:t>自我们收到解除合同申请书时起，本合同终止。我们自收到解除合同申请书之日起 </w:t>
      </w:r>
      <w:r>
        <w:rPr>
          <w:rFonts w:ascii="Times New Roman" w:eastAsia="Times New Roman"/>
        </w:rPr>
        <w:t>30 </w:t>
      </w:r>
      <w:r>
        <w:rPr>
          <w:spacing w:val="-3"/>
        </w:rPr>
        <w:t>日内向您退还保险单的现金价值。</w:t>
      </w:r>
    </w:p>
    <w:p>
      <w:pPr>
        <w:pStyle w:val="BodyText"/>
        <w:spacing w:before="22"/>
        <w:ind w:left="538"/>
      </w:pPr>
      <w:r>
        <w:rPr/>
        <w:t>您犹豫期后解除合同会遭受一定损失。</w:t>
      </w:r>
    </w:p>
    <w:p>
      <w:pPr>
        <w:pStyle w:val="BodyText"/>
        <w:spacing w:before="6"/>
        <w:rPr>
          <w:sz w:val="24"/>
        </w:rPr>
      </w:pPr>
    </w:p>
    <w:p>
      <w:pPr>
        <w:pStyle w:val="Heading1"/>
        <w:tabs>
          <w:tab w:pos="4575" w:val="left" w:leader="none"/>
        </w:tabs>
        <w:ind w:left="3157"/>
      </w:pPr>
      <w:bookmarkStart w:name="_bookmark27" w:id="28"/>
      <w:bookmarkEnd w:id="28"/>
      <w:r>
        <w:rPr>
          <w:b w:val="0"/>
        </w:rPr>
      </w:r>
      <w:r>
        <w:rPr/>
        <w:t>第六部分</w:t>
        <w:tab/>
      </w:r>
      <w:r>
        <w:rPr>
          <w:w w:val="95"/>
        </w:rPr>
        <w:t>您必须了解的其他事项</w:t>
      </w:r>
    </w:p>
    <w:p>
      <w:pPr>
        <w:pStyle w:val="BodyText"/>
        <w:spacing w:before="9"/>
        <w:rPr>
          <w:b/>
          <w:sz w:val="25"/>
        </w:rPr>
      </w:pPr>
    </w:p>
    <w:p>
      <w:pPr>
        <w:pStyle w:val="Heading2"/>
        <w:tabs>
          <w:tab w:pos="1377" w:val="left" w:leader="none"/>
        </w:tabs>
        <w:spacing w:before="1"/>
      </w:pPr>
      <w:bookmarkStart w:name="_bookmark28" w:id="29"/>
      <w:bookmarkEnd w:id="29"/>
      <w:r>
        <w:rPr>
          <w:b w:val="0"/>
        </w:rPr>
      </w:r>
      <w:r>
        <w:rPr/>
        <w:t>第二十三条</w:t>
        <w:tab/>
        <w:t>明确说明与如实告知</w:t>
      </w:r>
    </w:p>
    <w:p>
      <w:pPr>
        <w:pStyle w:val="BodyText"/>
        <w:spacing w:before="37"/>
        <w:ind w:left="538"/>
      </w:pPr>
      <w:r>
        <w:rPr/>
        <w:t>订立本合同时，我们应向您说明本合同的内容。</w:t>
      </w:r>
    </w:p>
    <w:p>
      <w:pPr>
        <w:pStyle w:val="BodyText"/>
        <w:spacing w:line="273" w:lineRule="auto" w:before="37"/>
        <w:ind w:left="117" w:right="118" w:firstLine="420"/>
        <w:jc w:val="both"/>
      </w:pPr>
      <w:r>
        <w:rPr/>
        <w:t>对保险条款中免除我们责任的条款，我们在订立合同时应当在投保单、保险单或者其他保险凭证上作出足以引起您注意的提示，并对该条款的内容以书面或者口头形式向您作出明确说明，未作提示或者明确说明的，该条款不产生效力。</w:t>
      </w:r>
    </w:p>
    <w:p>
      <w:pPr>
        <w:pStyle w:val="BodyText"/>
        <w:spacing w:before="8"/>
        <w:ind w:left="538"/>
      </w:pPr>
      <w:r>
        <w:rPr/>
        <w:t>我们就您和被保险人的有关情况提出询问，您应当如实告知。</w:t>
      </w:r>
    </w:p>
    <w:p>
      <w:pPr>
        <w:spacing w:line="273" w:lineRule="auto" w:before="37"/>
        <w:ind w:left="117" w:right="120" w:firstLine="422"/>
        <w:jc w:val="left"/>
        <w:rPr>
          <w:b/>
          <w:sz w:val="21"/>
        </w:rPr>
      </w:pPr>
      <w:r>
        <w:rPr>
          <w:b/>
          <w:sz w:val="21"/>
        </w:rPr>
        <w:t>如果您故意或者因重大过失未履行前款规定的如实告知义务，足以影响我们决定是否同意承保或者提高保险费率的，我们有权解除本合同。</w:t>
      </w:r>
    </w:p>
    <w:p>
      <w:pPr>
        <w:spacing w:line="273" w:lineRule="auto" w:before="7"/>
        <w:ind w:left="117" w:right="117" w:firstLine="422"/>
        <w:jc w:val="left"/>
        <w:rPr>
          <w:b/>
          <w:sz w:val="21"/>
        </w:rPr>
      </w:pPr>
      <w:r>
        <w:rPr>
          <w:b/>
          <w:sz w:val="21"/>
        </w:rPr>
        <w:t>如果您故意不履行如实告知义务，对于本合同解除前发生的保险事故，我们不承担给付保险金的责任， 并不退还保险费。</w:t>
      </w:r>
    </w:p>
    <w:p>
      <w:pPr>
        <w:spacing w:line="273" w:lineRule="auto" w:before="7"/>
        <w:ind w:left="117" w:right="118" w:firstLine="422"/>
        <w:jc w:val="left"/>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BodyText"/>
        <w:spacing w:before="7"/>
        <w:ind w:left="538"/>
      </w:pPr>
      <w:r>
        <w:rPr/>
        <w:t>我们在合同订立时已经知道您未如实告知的情况的，我们不得解除合同；发生保险事故的，我们承担给</w:t>
      </w:r>
    </w:p>
    <w:p>
      <w:pPr>
        <w:spacing w:after="0"/>
        <w:sectPr>
          <w:pgSz w:w="11910" w:h="16160"/>
          <w:pgMar w:header="0" w:footer="879" w:top="1360" w:bottom="1060" w:left="960" w:right="800"/>
        </w:sectPr>
      </w:pPr>
    </w:p>
    <w:p>
      <w:pPr>
        <w:pStyle w:val="BodyText"/>
        <w:spacing w:before="7"/>
        <w:ind w:left="117"/>
      </w:pPr>
      <w:r>
        <w:rPr/>
        <w:t>付保险金的责任。</w:t>
      </w:r>
    </w:p>
    <w:p>
      <w:pPr>
        <w:pStyle w:val="BodyText"/>
        <w:spacing w:before="8"/>
        <w:rPr>
          <w:sz w:val="26"/>
        </w:rPr>
      </w:pPr>
    </w:p>
    <w:p>
      <w:pPr>
        <w:pStyle w:val="Heading2"/>
        <w:tabs>
          <w:tab w:pos="1377" w:val="left" w:leader="none"/>
        </w:tabs>
        <w:spacing w:before="1"/>
      </w:pPr>
      <w:bookmarkStart w:name="_bookmark29" w:id="30"/>
      <w:bookmarkEnd w:id="30"/>
      <w:r>
        <w:rPr>
          <w:b w:val="0"/>
        </w:rPr>
      </w:r>
      <w:r>
        <w:rPr/>
        <w:t>第二十四条</w:t>
        <w:tab/>
        <w:t>我们合同解除权的</w:t>
      </w:r>
      <w:r>
        <w:rPr>
          <w:spacing w:val="-3"/>
        </w:rPr>
        <w:t>限</w:t>
      </w:r>
      <w:r>
        <w:rPr/>
        <w:t>制</w:t>
      </w:r>
    </w:p>
    <w:p>
      <w:pPr>
        <w:pStyle w:val="BodyText"/>
        <w:spacing w:before="37"/>
        <w:ind w:left="538"/>
      </w:pPr>
      <w:r>
        <w:rPr/>
        <w:t>前条规定的合同解除权，自我们知道有解除事由之日起，超过 </w:t>
      </w:r>
      <w:r>
        <w:rPr>
          <w:rFonts w:ascii="Times New Roman" w:eastAsia="Times New Roman"/>
        </w:rPr>
        <w:t>30 </w:t>
      </w:r>
      <w:r>
        <w:rPr/>
        <w:t>日不行使而消灭。自本合同成立之日起</w:t>
      </w:r>
    </w:p>
    <w:p>
      <w:pPr>
        <w:pStyle w:val="BodyText"/>
        <w:spacing w:before="21"/>
        <w:ind w:left="117"/>
      </w:pPr>
      <w:r>
        <w:rPr/>
        <w:t>超过 </w:t>
      </w:r>
      <w:r>
        <w:rPr>
          <w:rFonts w:ascii="Times New Roman" w:eastAsia="Times New Roman"/>
        </w:rPr>
        <w:t>2 </w:t>
      </w:r>
      <w:r>
        <w:rPr/>
        <w:t>年的，我们不得解除合同；发生保险事故的，我们承担给付保险金的责任。</w:t>
      </w:r>
    </w:p>
    <w:p>
      <w:pPr>
        <w:pStyle w:val="BodyText"/>
        <w:spacing w:before="6"/>
        <w:rPr>
          <w:sz w:val="25"/>
        </w:rPr>
      </w:pPr>
    </w:p>
    <w:p>
      <w:pPr>
        <w:pStyle w:val="Heading2"/>
        <w:tabs>
          <w:tab w:pos="1377" w:val="left" w:leader="none"/>
        </w:tabs>
      </w:pPr>
      <w:bookmarkStart w:name="_bookmark30" w:id="31"/>
      <w:bookmarkEnd w:id="31"/>
      <w:r>
        <w:rPr>
          <w:b w:val="0"/>
        </w:rPr>
      </w:r>
      <w:r>
        <w:rPr/>
        <w:t>第二十五条</w:t>
        <w:tab/>
        <w:t>年龄错误</w:t>
      </w:r>
    </w:p>
    <w:p>
      <w:pPr>
        <w:pStyle w:val="BodyText"/>
        <w:spacing w:line="273" w:lineRule="auto" w:before="37"/>
        <w:ind w:left="117" w:right="120" w:firstLine="420"/>
        <w:jc w:val="both"/>
      </w:pPr>
      <w:r>
        <w:rPr/>
        <w:t>您在申请投保时，应将与有效身份证件相符的被保险人的出生日期在投保单上填明，如果发生错误按照下列方式办理：</w:t>
      </w:r>
    </w:p>
    <w:p>
      <w:pPr>
        <w:spacing w:line="273" w:lineRule="auto" w:before="8"/>
        <w:ind w:left="117" w:right="114" w:firstLine="420"/>
        <w:jc w:val="both"/>
        <w:rPr>
          <w:sz w:val="21"/>
        </w:rPr>
      </w:pPr>
      <w:r>
        <w:rPr>
          <w:sz w:val="21"/>
        </w:rPr>
        <w:t>一、</w:t>
      </w:r>
      <w:r>
        <w:rPr>
          <w:b/>
          <w:sz w:val="21"/>
        </w:rPr>
        <w:t>您申报的被保险人年龄不真实，并且其真实年龄不符合本合同约定投保年龄限制的，在保险事故发生之前我们有权解除合同，并向您退还保险单的现金价值。</w:t>
      </w:r>
      <w:r>
        <w:rPr>
          <w:sz w:val="21"/>
        </w:rPr>
        <w:t>我们行使合同解除权适用“我们合同解除权的限制”的规定。</w:t>
      </w:r>
    </w:p>
    <w:p>
      <w:pPr>
        <w:spacing w:line="273" w:lineRule="auto" w:before="8"/>
        <w:ind w:left="117" w:right="120" w:firstLine="420"/>
        <w:jc w:val="both"/>
        <w:rPr>
          <w:b/>
          <w:sz w:val="21"/>
        </w:rPr>
      </w:pPr>
      <w:r>
        <w:rPr>
          <w:sz w:val="21"/>
        </w:rPr>
        <w:t>二、您申报的被保险人年龄不真实，致使您实付保险费少于应付保险费的，我们有权更正并要求您补交保险费。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8"/>
        <w:ind w:left="117" w:right="120" w:firstLine="420"/>
        <w:jc w:val="both"/>
      </w:pPr>
      <w:r>
        <w:rPr/>
        <w:t>三、您申报的被保险人年龄不真实，致使您实付保险费多于应付保险费的，我们会将多收的保险费退还给您。</w:t>
      </w:r>
    </w:p>
    <w:p>
      <w:pPr>
        <w:pStyle w:val="BodyText"/>
        <w:spacing w:before="5"/>
        <w:rPr>
          <w:sz w:val="24"/>
        </w:rPr>
      </w:pPr>
    </w:p>
    <w:p>
      <w:pPr>
        <w:pStyle w:val="Heading2"/>
        <w:tabs>
          <w:tab w:pos="1377" w:val="left" w:leader="none"/>
        </w:tabs>
        <w:spacing w:before="1"/>
      </w:pPr>
      <w:bookmarkStart w:name="_bookmark31" w:id="32"/>
      <w:bookmarkEnd w:id="32"/>
      <w:r>
        <w:rPr>
          <w:b w:val="0"/>
        </w:rPr>
      </w:r>
      <w:r>
        <w:rPr/>
        <w:t>第二十六条</w:t>
        <w:tab/>
        <w:t>性别错误</w:t>
      </w:r>
    </w:p>
    <w:p>
      <w:pPr>
        <w:pStyle w:val="BodyText"/>
        <w:spacing w:line="273" w:lineRule="auto" w:before="37"/>
        <w:ind w:left="117" w:right="120" w:firstLine="420"/>
        <w:jc w:val="both"/>
      </w:pPr>
      <w:r>
        <w:rPr/>
        <w:t>您在申请投保时，应将与有效身份证件相符的被保险人的性别在投保单上填明，如果发生错误按照下列方式办理：</w:t>
      </w:r>
    </w:p>
    <w:p>
      <w:pPr>
        <w:spacing w:line="273" w:lineRule="auto" w:before="7"/>
        <w:ind w:left="117" w:right="120" w:firstLine="420"/>
        <w:jc w:val="both"/>
        <w:rPr>
          <w:b/>
          <w:sz w:val="21"/>
        </w:rPr>
      </w:pPr>
      <w:r>
        <w:rPr>
          <w:sz w:val="21"/>
        </w:rPr>
        <w:t>一、您申报的被保险人性别不真实，致使您实付保险费少于应付保险费的，我们有权更正并要求您补交保险费。</w:t>
      </w:r>
      <w:r>
        <w:rPr>
          <w:b/>
          <w:sz w:val="21"/>
        </w:rPr>
        <w:t>若已经发生保险事故，在给付保险金时按实付保险费和应付保险费的比例给付。</w:t>
      </w:r>
    </w:p>
    <w:p>
      <w:pPr>
        <w:pStyle w:val="BodyText"/>
        <w:spacing w:line="273" w:lineRule="auto" w:before="7"/>
        <w:ind w:left="117" w:right="120" w:firstLine="420"/>
        <w:jc w:val="both"/>
      </w:pPr>
      <w:r>
        <w:rPr/>
        <w:t>二、您申报的被保险人性别不真实，致使您实付保险费多于应付保险费的，我们会将多收的保险费退还给您。</w:t>
      </w:r>
    </w:p>
    <w:p>
      <w:pPr>
        <w:pStyle w:val="BodyText"/>
        <w:spacing w:before="5"/>
        <w:rPr>
          <w:sz w:val="24"/>
        </w:rPr>
      </w:pPr>
    </w:p>
    <w:p>
      <w:pPr>
        <w:pStyle w:val="Heading2"/>
        <w:tabs>
          <w:tab w:pos="1377" w:val="left" w:leader="none"/>
        </w:tabs>
      </w:pPr>
      <w:bookmarkStart w:name="_bookmark32" w:id="33"/>
      <w:bookmarkEnd w:id="33"/>
      <w:r>
        <w:rPr>
          <w:b w:val="0"/>
        </w:rPr>
      </w:r>
      <w:r>
        <w:rPr/>
        <w:t>第二十七条</w:t>
        <w:tab/>
        <w:t>未还款项</w:t>
      </w:r>
    </w:p>
    <w:p>
      <w:pPr>
        <w:pStyle w:val="BodyText"/>
        <w:spacing w:line="273" w:lineRule="auto" w:before="37"/>
        <w:ind w:left="117" w:right="118" w:firstLine="420"/>
        <w:jc w:val="both"/>
      </w:pPr>
      <w:r>
        <w:rPr/>
        <w:t>我们在给付各项保险金、退还现金价值或返还保险费时，如果您有欠交的保险费或其他未还款项，我们会在扣除上述款项及累积利息后给付。您欠交的保险费或其他未还款项将以保单贷款的方式计算累积利息。关于保单贷款请参见第十八条。</w:t>
      </w:r>
    </w:p>
    <w:p>
      <w:pPr>
        <w:pStyle w:val="BodyText"/>
        <w:spacing w:before="5"/>
        <w:rPr>
          <w:sz w:val="24"/>
        </w:rPr>
      </w:pPr>
    </w:p>
    <w:p>
      <w:pPr>
        <w:pStyle w:val="Heading2"/>
        <w:tabs>
          <w:tab w:pos="1377" w:val="left" w:leader="none"/>
        </w:tabs>
      </w:pPr>
      <w:bookmarkStart w:name="_bookmark33" w:id="34"/>
      <w:bookmarkEnd w:id="34"/>
      <w:r>
        <w:rPr>
          <w:b w:val="0"/>
        </w:rPr>
      </w:r>
      <w:r>
        <w:rPr/>
        <w:t>第二十八条</w:t>
        <w:tab/>
        <w:t>保险合同的终止</w:t>
      </w:r>
    </w:p>
    <w:p>
      <w:pPr>
        <w:pStyle w:val="BodyText"/>
        <w:spacing w:line="273" w:lineRule="auto" w:before="36"/>
        <w:ind w:left="538" w:right="3720"/>
      </w:pPr>
      <w:r>
        <w:rPr/>
        <w:t>除本合同另有约定外，本合同在发生下列情况之一时自动终止： 一、我们已按本合同的约定给付重大疾病保险金；</w:t>
      </w:r>
    </w:p>
    <w:p>
      <w:pPr>
        <w:pStyle w:val="BodyText"/>
        <w:spacing w:line="273" w:lineRule="auto" w:before="7"/>
        <w:ind w:left="538" w:right="5400"/>
      </w:pPr>
      <w:r>
        <w:rPr/>
        <w:t>二、我们已按本合同的约定给付身故保险金； 三、本合同内约定的其他终止情况。</w:t>
      </w:r>
    </w:p>
    <w:p>
      <w:pPr>
        <w:pStyle w:val="BodyText"/>
        <w:spacing w:before="4"/>
        <w:rPr>
          <w:sz w:val="24"/>
        </w:rPr>
      </w:pPr>
    </w:p>
    <w:p>
      <w:pPr>
        <w:pStyle w:val="Heading2"/>
        <w:tabs>
          <w:tab w:pos="1377" w:val="left" w:leader="none"/>
        </w:tabs>
        <w:spacing w:before="1"/>
      </w:pPr>
      <w:bookmarkStart w:name="_bookmark34" w:id="35"/>
      <w:bookmarkEnd w:id="35"/>
      <w:r>
        <w:rPr>
          <w:b w:val="0"/>
        </w:rPr>
      </w:r>
      <w:r>
        <w:rPr/>
        <w:t>第二十九条</w:t>
        <w:tab/>
        <w:t>联系方式的变更</w:t>
      </w:r>
    </w:p>
    <w:p>
      <w:pPr>
        <w:pStyle w:val="BodyText"/>
        <w:spacing w:line="273" w:lineRule="auto" w:before="37"/>
        <w:ind w:left="117" w:right="148" w:firstLine="420"/>
        <w:jc w:val="both"/>
      </w:pPr>
      <w:r>
        <w:rPr/>
        <w:t>为了保障您的权益，如果您的联系方式（如联系地址、联系电话、电子邮箱等）发生变化，请及时通知我们。否则，我们将按已知的最后联系方式与您联系。</w:t>
      </w:r>
    </w:p>
    <w:p>
      <w:pPr>
        <w:pStyle w:val="BodyText"/>
        <w:spacing w:before="5"/>
        <w:rPr>
          <w:sz w:val="24"/>
        </w:rPr>
      </w:pPr>
    </w:p>
    <w:p>
      <w:pPr>
        <w:pStyle w:val="Heading2"/>
        <w:tabs>
          <w:tab w:pos="1197" w:val="left" w:leader="none"/>
        </w:tabs>
      </w:pPr>
      <w:bookmarkStart w:name="_bookmark35" w:id="36"/>
      <w:bookmarkEnd w:id="36"/>
      <w:r>
        <w:rPr>
          <w:b w:val="0"/>
        </w:rPr>
      </w:r>
      <w:r>
        <w:rPr/>
        <w:t>第三十条</w:t>
        <w:tab/>
        <w:t>争议处理</w:t>
      </w:r>
    </w:p>
    <w:p>
      <w:pPr>
        <w:pStyle w:val="BodyText"/>
        <w:spacing w:before="36"/>
        <w:ind w:left="538"/>
      </w:pPr>
      <w:r>
        <w:rPr/>
        <w:t>在合同履行过程中，双方发生争议时，可以从下列两种方式中选择一种争议处理方式：</w:t>
      </w:r>
    </w:p>
    <w:p>
      <w:pPr>
        <w:pStyle w:val="BodyText"/>
        <w:spacing w:before="36"/>
        <w:ind w:left="538"/>
      </w:pPr>
      <w:r>
        <w:rPr/>
        <w:t>一、因履行本合同发生的争议，由双方协商解决，协商不成的，由双方达成仲裁协议通过仲裁解决；</w:t>
      </w:r>
    </w:p>
    <w:p>
      <w:pPr>
        <w:spacing w:after="0"/>
        <w:sectPr>
          <w:footerReference w:type="default" r:id="rId12"/>
          <w:pgSz w:w="11910" w:h="16160"/>
          <w:pgMar w:footer="799" w:header="0" w:top="1360" w:bottom="980" w:left="960" w:right="800"/>
          <w:pgNumType w:start="10"/>
        </w:sectPr>
      </w:pPr>
    </w:p>
    <w:p>
      <w:pPr>
        <w:pStyle w:val="BodyText"/>
        <w:spacing w:line="273" w:lineRule="auto" w:before="7"/>
        <w:ind w:left="738" w:right="1797"/>
      </w:pPr>
      <w:r>
        <w:rPr/>
        <w:t>二、因履行本合同发生的争议，由双方协商解决，协商不成的，依法向人民法院起诉。如果双方选择仲裁方式，应当达成仲裁协议并明确约定仲裁事项、仲裁机构。</w:t>
      </w:r>
    </w:p>
    <w:p>
      <w:pPr>
        <w:pStyle w:val="BodyText"/>
        <w:spacing w:before="5"/>
        <w:rPr>
          <w:sz w:val="24"/>
        </w:rPr>
      </w:pPr>
    </w:p>
    <w:p>
      <w:pPr>
        <w:pStyle w:val="Heading2"/>
        <w:tabs>
          <w:tab w:pos="1577" w:val="left" w:leader="none"/>
        </w:tabs>
        <w:ind w:left="317"/>
      </w:pPr>
      <w:bookmarkStart w:name="_bookmark36" w:id="37"/>
      <w:bookmarkEnd w:id="37"/>
      <w:r>
        <w:rPr>
          <w:b w:val="0"/>
        </w:rPr>
      </w:r>
      <w:r>
        <w:rPr/>
        <w:t>第三十一条</w:t>
        <w:tab/>
        <w:t>特定疾病的种类及</w:t>
      </w:r>
      <w:r>
        <w:rPr>
          <w:spacing w:val="-3"/>
        </w:rPr>
        <w:t>定义</w:t>
      </w:r>
    </w:p>
    <w:p>
      <w:pPr>
        <w:pStyle w:val="BodyText"/>
        <w:spacing w:line="256" w:lineRule="auto" w:before="37"/>
        <w:ind w:left="317" w:right="301" w:firstLine="420"/>
      </w:pPr>
      <w:r>
        <w:rPr/>
        <w:t>本合同所保障的特定疾病，是指被保险人经</w:t>
      </w:r>
      <w:r>
        <w:rPr>
          <w:b/>
        </w:rPr>
        <w:t>专科医生</w:t>
      </w:r>
      <w:r>
        <w:rPr>
          <w:rFonts w:ascii="Times New Roman" w:eastAsia="Times New Roman"/>
          <w:b/>
          <w:vertAlign w:val="superscript"/>
        </w:rPr>
        <w:t>2</w:t>
      </w:r>
      <w:r>
        <w:rPr>
          <w:rFonts w:ascii="Times New Roman" w:eastAsia="Times New Roman"/>
          <w:b/>
          <w:vertAlign w:val="superscript"/>
        </w:rPr>
        <w:t>6</w:t>
      </w:r>
      <w:r>
        <w:rPr>
          <w:rFonts w:ascii="Times New Roman" w:eastAsia="Times New Roman"/>
          <w:b/>
          <w:vertAlign w:val="baseline"/>
        </w:rPr>
      </w:r>
      <w:r>
        <w:rPr>
          <w:vertAlign w:val="baseline"/>
        </w:rPr>
        <w:t>明确诊断初次发生下列疾病或初次达到下列疾病状态或在医院初次接受下列手术。</w:t>
      </w:r>
    </w:p>
    <w:p>
      <w:pPr>
        <w:pStyle w:val="BodyText"/>
        <w:spacing w:before="22"/>
        <w:ind w:left="738"/>
      </w:pPr>
      <w:r>
        <w:rPr/>
        <w:t>本合同所保障的特定疾病共 </w:t>
      </w:r>
      <w:r>
        <w:rPr>
          <w:rFonts w:ascii="Times New Roman" w:eastAsia="Times New Roman"/>
        </w:rPr>
        <w:t>20 </w:t>
      </w:r>
      <w:r>
        <w:rPr/>
        <w:t>种。</w:t>
      </w:r>
    </w:p>
    <w:p>
      <w:pPr>
        <w:pStyle w:val="BodyText"/>
        <w:spacing w:before="10"/>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1"/>
        <w:gridCol w:w="2755"/>
        <w:gridCol w:w="7130"/>
      </w:tblGrid>
      <w:tr>
        <w:trPr>
          <w:trHeight w:val="1210" w:hRule="atLeast"/>
        </w:trPr>
        <w:tc>
          <w:tcPr>
            <w:tcW w:w="421" w:type="dxa"/>
          </w:tcPr>
          <w:p>
            <w:pPr>
              <w:pStyle w:val="TableParagraph"/>
              <w:spacing w:line="234" w:lineRule="exact"/>
              <w:ind w:right="60"/>
              <w:jc w:val="right"/>
              <w:rPr>
                <w:rFonts w:ascii="Times New Roman"/>
                <w:sz w:val="21"/>
              </w:rPr>
            </w:pPr>
            <w:r>
              <w:rPr>
                <w:rFonts w:ascii="Times New Roman"/>
                <w:sz w:val="21"/>
              </w:rPr>
              <w:t>1.</w:t>
            </w:r>
          </w:p>
        </w:tc>
        <w:tc>
          <w:tcPr>
            <w:tcW w:w="2755" w:type="dxa"/>
          </w:tcPr>
          <w:p>
            <w:pPr>
              <w:pStyle w:val="TableParagraph"/>
              <w:spacing w:line="220" w:lineRule="exact"/>
              <w:ind w:left="62"/>
              <w:rPr>
                <w:sz w:val="21"/>
              </w:rPr>
            </w:pPr>
            <w:r>
              <w:rPr>
                <w:sz w:val="21"/>
              </w:rPr>
              <w:t>糖尿病及其并发症</w:t>
            </w:r>
          </w:p>
        </w:tc>
        <w:tc>
          <w:tcPr>
            <w:tcW w:w="7130" w:type="dxa"/>
          </w:tcPr>
          <w:p>
            <w:pPr>
              <w:pStyle w:val="TableParagraph"/>
              <w:spacing w:line="220" w:lineRule="exact"/>
              <w:ind w:left="142"/>
              <w:rPr>
                <w:sz w:val="21"/>
              </w:rPr>
            </w:pPr>
            <w:r>
              <w:rPr>
                <w:sz w:val="21"/>
              </w:rPr>
              <w:t>指被保险人被确诊为糖尿病，并且出现以下任意一项并发症：</w:t>
            </w:r>
          </w:p>
          <w:p>
            <w:pPr>
              <w:pStyle w:val="TableParagraph"/>
              <w:spacing w:before="37"/>
              <w:ind w:left="142"/>
              <w:rPr>
                <w:sz w:val="21"/>
              </w:rPr>
            </w:pPr>
            <w:r>
              <w:rPr>
                <w:sz w:val="21"/>
              </w:rPr>
              <w:t>（</w:t>
            </w:r>
            <w:r>
              <w:rPr>
                <w:rFonts w:ascii="Times New Roman" w:eastAsia="Times New Roman"/>
                <w:sz w:val="21"/>
              </w:rPr>
              <w:t>1</w:t>
            </w:r>
            <w:r>
              <w:rPr>
                <w:sz w:val="21"/>
              </w:rPr>
              <w:t>）糖尿病导致肢体坏疽，并实施了脚趾切除手术；</w:t>
            </w:r>
          </w:p>
          <w:p>
            <w:pPr>
              <w:pStyle w:val="TableParagraph"/>
              <w:spacing w:before="21"/>
              <w:ind w:left="142"/>
              <w:rPr>
                <w:sz w:val="21"/>
              </w:rPr>
            </w:pPr>
            <w:r>
              <w:rPr>
                <w:sz w:val="21"/>
              </w:rPr>
              <w:t>（</w:t>
            </w:r>
            <w:r>
              <w:rPr>
                <w:rFonts w:ascii="Times New Roman" w:eastAsia="Times New Roman"/>
                <w:sz w:val="21"/>
              </w:rPr>
              <w:t>2</w:t>
            </w:r>
            <w:r>
              <w:rPr>
                <w:sz w:val="21"/>
              </w:rPr>
              <w:t>）糖尿病导致糖尿病肾病，出现持续 </w:t>
            </w:r>
            <w:r>
              <w:rPr>
                <w:rFonts w:ascii="Times New Roman" w:eastAsia="Times New Roman"/>
                <w:sz w:val="21"/>
              </w:rPr>
              <w:t>180 </w:t>
            </w:r>
            <w:r>
              <w:rPr>
                <w:sz w:val="21"/>
              </w:rPr>
              <w:t>天以上的血肌酐值大于</w:t>
            </w:r>
          </w:p>
          <w:p>
            <w:pPr>
              <w:pStyle w:val="TableParagraph"/>
              <w:spacing w:before="21"/>
              <w:ind w:left="142"/>
              <w:rPr>
                <w:rFonts w:ascii="Times New Roman" w:hAnsi="Times New Roman" w:eastAsia="Times New Roman"/>
                <w:sz w:val="21"/>
              </w:rPr>
            </w:pPr>
            <w:r>
              <w:rPr>
                <w:rFonts w:ascii="Times New Roman" w:hAnsi="Times New Roman" w:eastAsia="Times New Roman"/>
                <w:w w:val="100"/>
                <w:sz w:val="21"/>
              </w:rPr>
              <w:t>178μ</w:t>
            </w:r>
            <w:r>
              <w:rPr>
                <w:rFonts w:ascii="Times New Roman" w:hAnsi="Times New Roman" w:eastAsia="Times New Roman"/>
                <w:spacing w:val="-5"/>
                <w:w w:val="100"/>
                <w:sz w:val="21"/>
              </w:rPr>
              <w:t>m</w:t>
            </w:r>
            <w:r>
              <w:rPr>
                <w:rFonts w:ascii="Times New Roman" w:hAnsi="Times New Roman" w:eastAsia="Times New Roman"/>
                <w:w w:val="100"/>
                <w:sz w:val="21"/>
              </w:rPr>
              <w:t>o</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w w:val="100"/>
                <w:sz w:val="21"/>
              </w:rPr>
              <w:t>L</w:t>
            </w:r>
            <w:r>
              <w:rPr>
                <w:rFonts w:ascii="Times New Roman" w:hAnsi="Times New Roman" w:eastAsia="Times New Roman"/>
                <w:spacing w:val="-4"/>
                <w:sz w:val="21"/>
              </w:rPr>
              <w:t> </w:t>
            </w:r>
            <w:r>
              <w:rPr>
                <w:spacing w:val="-2"/>
                <w:w w:val="100"/>
                <w:sz w:val="21"/>
              </w:rPr>
              <w:t>或肌酐清除率小于</w:t>
            </w:r>
            <w:r>
              <w:rPr>
                <w:spacing w:val="-52"/>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4"/>
                <w:w w:val="100"/>
                <w:sz w:val="21"/>
              </w:rPr>
              <w:t>m</w:t>
            </w:r>
            <w:r>
              <w:rPr>
                <w:rFonts w:ascii="Times New Roman" w:hAnsi="Times New Roman" w:eastAsia="Times New Roman"/>
                <w:spacing w:val="-2"/>
                <w:w w:val="100"/>
                <w:sz w:val="21"/>
              </w:rPr>
              <w:t>i</w:t>
            </w:r>
            <w:r>
              <w:rPr>
                <w:rFonts w:ascii="Times New Roman" w:hAnsi="Times New Roman" w:eastAsia="Times New Roman"/>
                <w:w w:val="100"/>
                <w:sz w:val="21"/>
              </w:rPr>
              <w:t>n</w:t>
            </w:r>
            <w:r>
              <w:rPr>
                <w:rFonts w:ascii="Times New Roman" w:hAnsi="Times New Roman" w:eastAsia="Times New Roman"/>
                <w:spacing w:val="0"/>
                <w:sz w:val="21"/>
              </w:rPr>
              <w:t> </w:t>
            </w:r>
            <w:r>
              <w:rPr>
                <w:spacing w:val="-16"/>
                <w:w w:val="100"/>
                <w:sz w:val="21"/>
              </w:rPr>
              <w:t>或肾小球滤过率</w:t>
            </w:r>
            <w:r>
              <w:rPr>
                <w:spacing w:val="-3"/>
                <w:w w:val="100"/>
                <w:sz w:val="21"/>
              </w:rPr>
              <w:t>（</w:t>
            </w:r>
            <w:r>
              <w:rPr>
                <w:rFonts w:ascii="Times New Roman" w:hAnsi="Times New Roman" w:eastAsia="Times New Roman"/>
                <w:w w:val="100"/>
                <w:sz w:val="21"/>
              </w:rPr>
              <w:t>G</w:t>
            </w:r>
            <w:r>
              <w:rPr>
                <w:rFonts w:ascii="Times New Roman" w:hAnsi="Times New Roman" w:eastAsia="Times New Roman"/>
                <w:spacing w:val="-5"/>
                <w:w w:val="100"/>
                <w:sz w:val="21"/>
              </w:rPr>
              <w:t>F</w:t>
            </w:r>
            <w:r>
              <w:rPr>
                <w:rFonts w:ascii="Times New Roman" w:hAnsi="Times New Roman" w:eastAsia="Times New Roman"/>
                <w:spacing w:val="0"/>
                <w:w w:val="100"/>
                <w:sz w:val="21"/>
              </w:rPr>
              <w:t>R</w:t>
            </w:r>
            <w:r>
              <w:rPr>
                <w:spacing w:val="-104"/>
                <w:w w:val="100"/>
                <w:sz w:val="21"/>
              </w:rPr>
              <w:t>）</w:t>
            </w:r>
            <w:r>
              <w:rPr>
                <w:rFonts w:ascii="Times New Roman" w:hAnsi="Times New Roman" w:eastAsia="Times New Roman"/>
                <w:w w:val="100"/>
                <w:sz w:val="21"/>
              </w:rPr>
              <w:t>&lt;</w:t>
            </w:r>
            <w:r>
              <w:rPr>
                <w:rFonts w:ascii="Times New Roman" w:hAnsi="Times New Roman" w:eastAsia="Times New Roman"/>
                <w:sz w:val="21"/>
              </w:rPr>
              <w:t> </w:t>
            </w:r>
            <w:r>
              <w:rPr>
                <w:rFonts w:ascii="Times New Roman" w:hAnsi="Times New Roman" w:eastAsia="Times New Roman"/>
                <w:spacing w:val="-3"/>
                <w:w w:val="100"/>
                <w:sz w:val="21"/>
              </w:rPr>
              <w:t>2</w:t>
            </w:r>
            <w:r>
              <w:rPr>
                <w:rFonts w:ascii="Times New Roman" w:hAnsi="Times New Roman" w:eastAsia="Times New Roman"/>
                <w:w w:val="100"/>
                <w:sz w:val="21"/>
              </w:rPr>
              <w:t>5</w:t>
            </w:r>
            <w:r>
              <w:rPr>
                <w:rFonts w:ascii="Times New Roman" w:hAnsi="Times New Roman" w:eastAsia="Times New Roman"/>
                <w:spacing w:val="-4"/>
                <w:w w:val="100"/>
                <w:sz w:val="21"/>
              </w:rPr>
              <w:t>m</w:t>
            </w:r>
            <w:r>
              <w:rPr>
                <w:rFonts w:ascii="Times New Roman" w:hAnsi="Times New Roman" w:eastAsia="Times New Roman"/>
                <w:spacing w:val="-2"/>
                <w:w w:val="100"/>
                <w:sz w:val="21"/>
              </w:rPr>
              <w:t>l</w:t>
            </w:r>
            <w:r>
              <w:rPr>
                <w:rFonts w:ascii="Times New Roman" w:hAnsi="Times New Roman" w:eastAsia="Times New Roman"/>
                <w:spacing w:val="0"/>
                <w:w w:val="100"/>
                <w:sz w:val="21"/>
              </w:rPr>
              <w:t>/</w:t>
            </w:r>
            <w:r>
              <w:rPr>
                <w:rFonts w:ascii="Times New Roman" w:hAnsi="Times New Roman" w:eastAsia="Times New Roman"/>
                <w:spacing w:val="-2"/>
                <w:w w:val="100"/>
                <w:sz w:val="21"/>
              </w:rPr>
              <w:t>mi</w:t>
            </w:r>
            <w:r>
              <w:rPr>
                <w:rFonts w:ascii="Times New Roman" w:hAnsi="Times New Roman" w:eastAsia="Times New Roman"/>
                <w:w w:val="100"/>
                <w:sz w:val="21"/>
              </w:rPr>
              <w:t>n</w:t>
            </w:r>
          </w:p>
        </w:tc>
      </w:tr>
      <w:tr>
        <w:trPr>
          <w:trHeight w:val="2800" w:hRule="atLeast"/>
        </w:trPr>
        <w:tc>
          <w:tcPr>
            <w:tcW w:w="421" w:type="dxa"/>
          </w:tcPr>
          <w:p>
            <w:pPr>
              <w:pStyle w:val="TableParagraph"/>
              <w:spacing w:before="30"/>
              <w:ind w:right="60"/>
              <w:jc w:val="right"/>
              <w:rPr>
                <w:rFonts w:ascii="Times New Roman"/>
                <w:sz w:val="21"/>
              </w:rPr>
            </w:pPr>
            <w:r>
              <w:rPr>
                <w:rFonts w:ascii="Times New Roman"/>
                <w:sz w:val="21"/>
              </w:rPr>
              <w:t>2.</w:t>
            </w:r>
          </w:p>
        </w:tc>
        <w:tc>
          <w:tcPr>
            <w:tcW w:w="2755" w:type="dxa"/>
          </w:tcPr>
          <w:p>
            <w:pPr>
              <w:pStyle w:val="TableParagraph"/>
              <w:spacing w:line="258" w:lineRule="exact"/>
              <w:ind w:left="62"/>
              <w:rPr>
                <w:sz w:val="21"/>
              </w:rPr>
            </w:pPr>
            <w:r>
              <w:rPr>
                <w:sz w:val="21"/>
              </w:rPr>
              <w:t>非危及生命的（极早期的）</w:t>
            </w:r>
          </w:p>
          <w:p>
            <w:pPr>
              <w:pStyle w:val="TableParagraph"/>
              <w:spacing w:before="37"/>
              <w:ind w:left="62"/>
              <w:rPr>
                <w:sz w:val="21"/>
              </w:rPr>
            </w:pPr>
            <w:r>
              <w:rPr>
                <w:sz w:val="21"/>
              </w:rPr>
              <w:t>恶性病变</w:t>
            </w:r>
          </w:p>
        </w:tc>
        <w:tc>
          <w:tcPr>
            <w:tcW w:w="7130" w:type="dxa"/>
          </w:tcPr>
          <w:p>
            <w:pPr>
              <w:pStyle w:val="TableParagraph"/>
              <w:spacing w:line="258" w:lineRule="exact"/>
              <w:ind w:left="142"/>
              <w:rPr>
                <w:sz w:val="21"/>
              </w:rPr>
            </w:pPr>
            <w:r>
              <w:rPr>
                <w:sz w:val="21"/>
              </w:rPr>
              <w:t>指被保险人经组织病理学检查被明确诊断为下列恶性病变，并且接受了相</w:t>
            </w:r>
          </w:p>
          <w:p>
            <w:pPr>
              <w:pStyle w:val="TableParagraph"/>
              <w:spacing w:before="37"/>
              <w:ind w:left="142"/>
              <w:rPr>
                <w:sz w:val="21"/>
              </w:rPr>
            </w:pPr>
            <w:r>
              <w:rPr>
                <w:sz w:val="21"/>
              </w:rPr>
              <w:t>应的治疗。</w:t>
            </w:r>
          </w:p>
          <w:p>
            <w:pPr>
              <w:pStyle w:val="TableParagraph"/>
              <w:spacing w:before="37"/>
              <w:ind w:left="142"/>
              <w:rPr>
                <w:sz w:val="21"/>
              </w:rPr>
            </w:pPr>
            <w:r>
              <w:rPr>
                <w:sz w:val="21"/>
              </w:rPr>
              <w:t>（</w:t>
            </w:r>
            <w:r>
              <w:rPr>
                <w:rFonts w:ascii="Times New Roman" w:eastAsia="Times New Roman"/>
                <w:sz w:val="21"/>
              </w:rPr>
              <w:t>1</w:t>
            </w:r>
            <w:r>
              <w:rPr>
                <w:sz w:val="21"/>
              </w:rPr>
              <w:t>）原位癌；</w:t>
            </w:r>
          </w:p>
          <w:p>
            <w:pPr>
              <w:pStyle w:val="TableParagraph"/>
              <w:spacing w:before="21"/>
              <w:ind w:left="142"/>
              <w:rPr>
                <w:sz w:val="21"/>
              </w:rPr>
            </w:pPr>
            <w:r>
              <w:rPr>
                <w:sz w:val="21"/>
              </w:rPr>
              <w:t>（</w:t>
            </w:r>
            <w:r>
              <w:rPr>
                <w:rFonts w:ascii="Times New Roman" w:eastAsia="Times New Roman"/>
                <w:sz w:val="21"/>
              </w:rPr>
              <w:t>2</w:t>
            </w:r>
            <w:r>
              <w:rPr>
                <w:sz w:val="21"/>
              </w:rPr>
              <w:t>）相当于 </w:t>
            </w:r>
            <w:r>
              <w:rPr>
                <w:rFonts w:ascii="Times New Roman" w:eastAsia="Times New Roman"/>
                <w:sz w:val="21"/>
              </w:rPr>
              <w:t>Binet </w:t>
            </w:r>
            <w:r>
              <w:rPr>
                <w:sz w:val="21"/>
              </w:rPr>
              <w:t>分期方案 </w:t>
            </w:r>
            <w:r>
              <w:rPr>
                <w:rFonts w:ascii="Times New Roman" w:eastAsia="Times New Roman"/>
                <w:sz w:val="21"/>
              </w:rPr>
              <w:t>A </w:t>
            </w:r>
            <w:r>
              <w:rPr>
                <w:sz w:val="21"/>
              </w:rPr>
              <w:t>期程度的慢性淋巴细胞白血病；</w:t>
            </w:r>
          </w:p>
          <w:p>
            <w:pPr>
              <w:pStyle w:val="TableParagraph"/>
              <w:spacing w:before="21"/>
              <w:ind w:left="142"/>
              <w:rPr>
                <w:sz w:val="21"/>
              </w:rPr>
            </w:pPr>
            <w:r>
              <w:rPr>
                <w:sz w:val="21"/>
              </w:rPr>
              <w:t>（</w:t>
            </w:r>
            <w:r>
              <w:rPr>
                <w:rFonts w:ascii="Times New Roman" w:eastAsia="Times New Roman"/>
                <w:sz w:val="21"/>
              </w:rPr>
              <w:t>3</w:t>
            </w:r>
            <w:r>
              <w:rPr>
                <w:sz w:val="21"/>
              </w:rPr>
              <w:t>）相当于 </w:t>
            </w:r>
            <w:r>
              <w:rPr>
                <w:rFonts w:ascii="Times New Roman" w:eastAsia="Times New Roman"/>
                <w:sz w:val="21"/>
              </w:rPr>
              <w:t>Ann Arbor </w:t>
            </w:r>
            <w:r>
              <w:rPr>
                <w:sz w:val="21"/>
              </w:rPr>
              <w:t>分期方案 </w:t>
            </w:r>
            <w:r>
              <w:rPr>
                <w:rFonts w:ascii="Times New Roman" w:eastAsia="Times New Roman"/>
                <w:sz w:val="21"/>
              </w:rPr>
              <w:t>I </w:t>
            </w:r>
            <w:r>
              <w:rPr>
                <w:sz w:val="21"/>
              </w:rPr>
              <w:t>期程度的何杰金氏病；</w:t>
            </w:r>
          </w:p>
          <w:p>
            <w:pPr>
              <w:pStyle w:val="TableParagraph"/>
              <w:spacing w:before="21"/>
              <w:ind w:left="142"/>
              <w:rPr>
                <w:sz w:val="21"/>
              </w:rPr>
            </w:pPr>
            <w:r>
              <w:rPr>
                <w:w w:val="100"/>
                <w:sz w:val="21"/>
              </w:rPr>
              <w:t>（</w:t>
            </w:r>
            <w:r>
              <w:rPr>
                <w:rFonts w:ascii="Times New Roman" w:eastAsia="Times New Roman"/>
                <w:w w:val="100"/>
                <w:sz w:val="21"/>
              </w:rPr>
              <w:t>4</w:t>
            </w:r>
            <w:r>
              <w:rPr>
                <w:spacing w:val="-3"/>
                <w:w w:val="100"/>
                <w:sz w:val="21"/>
              </w:rPr>
              <w:t>）</w:t>
            </w:r>
            <w:r>
              <w:rPr>
                <w:spacing w:val="-2"/>
                <w:w w:val="100"/>
                <w:sz w:val="21"/>
              </w:rPr>
              <w:t>皮肤癌</w:t>
            </w:r>
            <w:r>
              <w:rPr>
                <w:spacing w:val="-3"/>
                <w:w w:val="100"/>
                <w:sz w:val="21"/>
              </w:rPr>
              <w:t>（不包括恶性黑色素瘤及已发生转移的皮肤癌</w:t>
            </w:r>
            <w:r>
              <w:rPr>
                <w:spacing w:val="-106"/>
                <w:w w:val="100"/>
                <w:sz w:val="21"/>
              </w:rPr>
              <w:t>）</w:t>
            </w:r>
            <w:r>
              <w:rPr>
                <w:w w:val="100"/>
                <w:sz w:val="21"/>
              </w:rPr>
              <w:t>；</w:t>
            </w:r>
          </w:p>
          <w:p>
            <w:pPr>
              <w:pStyle w:val="TableParagraph"/>
              <w:spacing w:line="256" w:lineRule="auto" w:before="21"/>
              <w:ind w:left="142" w:right="199"/>
              <w:rPr>
                <w:sz w:val="21"/>
              </w:rPr>
            </w:pPr>
            <w:r>
              <w:rPr>
                <w:sz w:val="21"/>
              </w:rPr>
              <w:t>（</w:t>
            </w:r>
            <w:r>
              <w:rPr>
                <w:rFonts w:ascii="Times New Roman" w:eastAsia="Times New Roman"/>
                <w:sz w:val="21"/>
              </w:rPr>
              <w:t>5</w:t>
            </w:r>
            <w:r>
              <w:rPr>
                <w:sz w:val="21"/>
              </w:rPr>
              <w:t>）</w:t>
            </w:r>
            <w:r>
              <w:rPr>
                <w:rFonts w:ascii="Times New Roman" w:eastAsia="Times New Roman"/>
                <w:sz w:val="21"/>
              </w:rPr>
              <w:t>TNM </w:t>
            </w:r>
            <w:r>
              <w:rPr>
                <w:spacing w:val="-9"/>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spacing w:val="-12"/>
                <w:sz w:val="21"/>
                <w:vertAlign w:val="baseline"/>
              </w:rPr>
              <w:t>期或更轻分期的前列腺癌。</w:t>
            </w:r>
            <w:r>
              <w:rPr>
                <w:sz w:val="21"/>
                <w:vertAlign w:val="baseline"/>
              </w:rPr>
              <w:t>（</w:t>
            </w:r>
            <w:r>
              <w:rPr>
                <w:spacing w:val="-3"/>
                <w:sz w:val="21"/>
                <w:vertAlign w:val="baseline"/>
              </w:rPr>
              <w:t>注：如果为女性重大疾病保险，则不包括此项</w:t>
            </w:r>
            <w:r>
              <w:rPr>
                <w:sz w:val="21"/>
                <w:vertAlign w:val="baseline"/>
              </w:rPr>
              <w:t>）</w:t>
            </w:r>
          </w:p>
          <w:p>
            <w:pPr>
              <w:pStyle w:val="TableParagraph"/>
              <w:spacing w:before="22"/>
              <w:ind w:left="142"/>
              <w:rPr>
                <w:b/>
                <w:sz w:val="21"/>
              </w:rPr>
            </w:pPr>
            <w:r>
              <w:rPr>
                <w:b/>
                <w:sz w:val="21"/>
              </w:rPr>
              <w:t>任何在诊断时已经超越以上阶段的癌症不在本项责任的保障范围内。</w:t>
            </w:r>
          </w:p>
        </w:tc>
      </w:tr>
      <w:tr>
        <w:trPr>
          <w:trHeight w:val="936" w:hRule="atLeast"/>
        </w:trPr>
        <w:tc>
          <w:tcPr>
            <w:tcW w:w="421" w:type="dxa"/>
          </w:tcPr>
          <w:p>
            <w:pPr>
              <w:pStyle w:val="TableParagraph"/>
              <w:spacing w:before="38"/>
              <w:ind w:right="60"/>
              <w:jc w:val="right"/>
              <w:rPr>
                <w:rFonts w:ascii="Times New Roman"/>
                <w:sz w:val="21"/>
              </w:rPr>
            </w:pPr>
            <w:r>
              <w:rPr>
                <w:rFonts w:ascii="Times New Roman"/>
                <w:sz w:val="21"/>
              </w:rPr>
              <w:t>3.</w:t>
            </w:r>
          </w:p>
        </w:tc>
        <w:tc>
          <w:tcPr>
            <w:tcW w:w="2755" w:type="dxa"/>
          </w:tcPr>
          <w:p>
            <w:pPr>
              <w:pStyle w:val="TableParagraph"/>
              <w:spacing w:line="273" w:lineRule="auto"/>
              <w:ind w:left="62" w:right="141"/>
              <w:rPr>
                <w:sz w:val="21"/>
              </w:rPr>
            </w:pPr>
            <w:r>
              <w:rPr>
                <w:sz w:val="21"/>
              </w:rPr>
              <w:t>冠状动脉介入手术（非开胸手术）</w:t>
            </w:r>
          </w:p>
        </w:tc>
        <w:tc>
          <w:tcPr>
            <w:tcW w:w="7130" w:type="dxa"/>
          </w:tcPr>
          <w:p>
            <w:pPr>
              <w:pStyle w:val="TableParagraph"/>
              <w:spacing w:line="273" w:lineRule="auto"/>
              <w:ind w:left="142" w:right="203"/>
              <w:rPr>
                <w:sz w:val="21"/>
              </w:rPr>
            </w:pPr>
            <w:r>
              <w:rPr>
                <w:sz w:val="21"/>
              </w:rPr>
              <w:t>冠状动脉介入手术是指为了治疗明显的冠状动脉狭窄性疾病，首次实际实施了冠状动脉球囊扩张成形术、冠状动脉支架植入术或激光冠状动脉成形</w:t>
            </w:r>
          </w:p>
          <w:p>
            <w:pPr>
              <w:pStyle w:val="TableParagraph"/>
              <w:spacing w:before="17"/>
              <w:ind w:left="142"/>
              <w:rPr>
                <w:sz w:val="21"/>
              </w:rPr>
            </w:pPr>
            <w:r>
              <w:rPr>
                <w:sz w:val="21"/>
              </w:rPr>
              <w:t>术。</w:t>
            </w:r>
          </w:p>
        </w:tc>
      </w:tr>
      <w:tr>
        <w:trPr>
          <w:trHeight w:val="2495" w:hRule="atLeast"/>
        </w:trPr>
        <w:tc>
          <w:tcPr>
            <w:tcW w:w="421" w:type="dxa"/>
          </w:tcPr>
          <w:p>
            <w:pPr>
              <w:pStyle w:val="TableParagraph"/>
              <w:spacing w:before="38"/>
              <w:ind w:right="60"/>
              <w:jc w:val="right"/>
              <w:rPr>
                <w:rFonts w:ascii="Times New Roman"/>
                <w:sz w:val="21"/>
              </w:rPr>
            </w:pPr>
            <w:r>
              <w:rPr>
                <w:rFonts w:ascii="Times New Roman"/>
                <w:sz w:val="21"/>
              </w:rPr>
              <w:t>4.</w:t>
            </w:r>
          </w:p>
        </w:tc>
        <w:tc>
          <w:tcPr>
            <w:tcW w:w="2755" w:type="dxa"/>
          </w:tcPr>
          <w:p>
            <w:pPr>
              <w:pStyle w:val="TableParagraph"/>
              <w:spacing w:line="266" w:lineRule="exact"/>
              <w:ind w:left="62"/>
              <w:rPr>
                <w:sz w:val="21"/>
              </w:rPr>
            </w:pPr>
            <w:r>
              <w:rPr>
                <w:sz w:val="21"/>
              </w:rPr>
              <w:t>轻微脑中风</w:t>
            </w:r>
          </w:p>
        </w:tc>
        <w:tc>
          <w:tcPr>
            <w:tcW w:w="7130" w:type="dxa"/>
          </w:tcPr>
          <w:p>
            <w:pPr>
              <w:pStyle w:val="TableParagraph"/>
              <w:spacing w:line="261" w:lineRule="auto"/>
              <w:ind w:left="142" w:right="199"/>
              <w:jc w:val="both"/>
              <w:rPr>
                <w:sz w:val="21"/>
              </w:rPr>
            </w:pPr>
            <w:r>
              <w:rPr>
                <w:sz w:val="21"/>
              </w:rPr>
              <w:t>指被保险人实际发生了脑血管的突发病变出现神经系统功能障碍表现，头</w:t>
            </w:r>
            <w:r>
              <w:rPr>
                <w:w w:val="100"/>
                <w:sz w:val="21"/>
              </w:rPr>
              <w:t>颅</w:t>
            </w:r>
            <w:r>
              <w:rPr>
                <w:sz w:val="21"/>
              </w:rPr>
              <w:t> </w:t>
            </w:r>
            <w:r>
              <w:rPr>
                <w:rFonts w:ascii="Times New Roman" w:hAnsi="Times New Roman" w:eastAsia="Times New Roman"/>
                <w:w w:val="100"/>
                <w:sz w:val="21"/>
              </w:rPr>
              <w:t>X</w:t>
            </w:r>
            <w:r>
              <w:rPr>
                <w:rFonts w:ascii="Times New Roman" w:hAnsi="Times New Roman" w:eastAsia="Times New Roman"/>
                <w:spacing w:val="-6"/>
                <w:sz w:val="21"/>
              </w:rPr>
              <w:t>  </w:t>
            </w:r>
            <w:r>
              <w:rPr>
                <w:spacing w:val="-3"/>
                <w:w w:val="100"/>
                <w:sz w:val="21"/>
              </w:rPr>
              <w:t>线断层扫描（</w:t>
            </w:r>
            <w:r>
              <w:rPr>
                <w:rFonts w:ascii="Times New Roman" w:hAnsi="Times New Roman" w:eastAsia="Times New Roman"/>
                <w:spacing w:val="-2"/>
                <w:w w:val="100"/>
                <w:sz w:val="21"/>
              </w:rPr>
              <w:t>C</w:t>
            </w:r>
            <w:r>
              <w:rPr>
                <w:rFonts w:ascii="Times New Roman" w:hAnsi="Times New Roman" w:eastAsia="Times New Roman"/>
                <w:w w:val="100"/>
                <w:sz w:val="21"/>
              </w:rPr>
              <w:t>T</w:t>
            </w:r>
            <w:r>
              <w:rPr>
                <w:spacing w:val="-106"/>
                <w:w w:val="100"/>
                <w:sz w:val="21"/>
              </w:rPr>
              <w:t>）</w:t>
            </w:r>
            <w:r>
              <w:rPr>
                <w:spacing w:val="-3"/>
                <w:w w:val="100"/>
                <w:sz w:val="21"/>
              </w:rPr>
              <w:t>、核磁共振检查（</w:t>
            </w:r>
            <w:r>
              <w:rPr>
                <w:rFonts w:ascii="Times New Roman" w:hAnsi="Times New Roman" w:eastAsia="Times New Roman"/>
                <w:w w:val="100"/>
                <w:sz w:val="21"/>
              </w:rPr>
              <w:t>MR</w:t>
            </w:r>
            <w:r>
              <w:rPr>
                <w:rFonts w:ascii="Times New Roman" w:hAnsi="Times New Roman" w:eastAsia="Times New Roman"/>
                <w:spacing w:val="-3"/>
                <w:w w:val="100"/>
                <w:sz w:val="21"/>
              </w:rPr>
              <w:t>I</w:t>
            </w:r>
            <w:r>
              <w:rPr>
                <w:w w:val="100"/>
                <w:sz w:val="21"/>
              </w:rPr>
              <w:t>）</w:t>
            </w:r>
            <w:r>
              <w:rPr>
                <w:spacing w:val="-3"/>
                <w:w w:val="100"/>
                <w:sz w:val="21"/>
              </w:rPr>
              <w:t>等影像学检查证实存在对</w:t>
            </w:r>
            <w:r>
              <w:rPr>
                <w:spacing w:val="-4"/>
                <w:sz w:val="21"/>
              </w:rPr>
              <w:t>应病灶，确诊为脑出血、脑栓塞或脑梗塞，在确诊 </w:t>
            </w:r>
            <w:r>
              <w:rPr>
                <w:rFonts w:ascii="Times New Roman" w:hAnsi="Times New Roman" w:eastAsia="Times New Roman"/>
                <w:sz w:val="21"/>
              </w:rPr>
              <w:t>180 </w:t>
            </w:r>
            <w:r>
              <w:rPr>
                <w:spacing w:val="-3"/>
                <w:sz w:val="21"/>
              </w:rPr>
              <w:t>天后遗留神经系统功能障碍。后遗的神经系统功能障碍程度未达到重大疾病</w:t>
            </w:r>
            <w:r>
              <w:rPr>
                <w:rFonts w:ascii="Times New Roman" w:hAnsi="Times New Roman" w:eastAsia="Times New Roman"/>
                <w:sz w:val="21"/>
              </w:rPr>
              <w:t>“</w:t>
            </w:r>
            <w:r>
              <w:rPr>
                <w:sz w:val="21"/>
              </w:rPr>
              <w:t>脑中风后遗症</w:t>
            </w:r>
            <w:r>
              <w:rPr>
                <w:rFonts w:ascii="Times New Roman" w:hAnsi="Times New Roman" w:eastAsia="Times New Roman"/>
                <w:sz w:val="21"/>
              </w:rPr>
              <w:t>” </w:t>
            </w:r>
            <w:r>
              <w:rPr>
                <w:spacing w:val="-3"/>
                <w:sz w:val="21"/>
              </w:rPr>
              <w:t>的给付标准，但仍遗留下列一种或一种以上障碍：</w:t>
            </w:r>
          </w:p>
          <w:p>
            <w:pPr>
              <w:pStyle w:val="TableParagraph"/>
              <w:spacing w:before="27"/>
              <w:ind w:left="142"/>
              <w:rPr>
                <w:sz w:val="21"/>
              </w:rPr>
            </w:pPr>
            <w:r>
              <w:rPr>
                <w:sz w:val="21"/>
              </w:rPr>
              <w:t>（</w:t>
            </w:r>
            <w:r>
              <w:rPr>
                <w:rFonts w:ascii="Times New Roman" w:eastAsia="Times New Roman"/>
                <w:sz w:val="21"/>
              </w:rPr>
              <w:t>1</w:t>
            </w:r>
            <w:r>
              <w:rPr>
                <w:sz w:val="21"/>
              </w:rPr>
              <w:t>）一侧肢体（上肢和下肢）肌力 </w:t>
            </w:r>
            <w:r>
              <w:rPr>
                <w:rFonts w:ascii="Times New Roman" w:eastAsia="Times New Roman"/>
                <w:sz w:val="21"/>
              </w:rPr>
              <w:t>II </w:t>
            </w:r>
            <w:r>
              <w:rPr>
                <w:sz w:val="21"/>
              </w:rPr>
              <w:t>级或 </w:t>
            </w:r>
            <w:r>
              <w:rPr>
                <w:rFonts w:ascii="Times New Roman" w:eastAsia="Times New Roman"/>
                <w:sz w:val="21"/>
              </w:rPr>
              <w:t>II </w:t>
            </w:r>
            <w:r>
              <w:rPr>
                <w:sz w:val="21"/>
              </w:rPr>
              <w:t>级以下；</w:t>
            </w:r>
          </w:p>
          <w:p>
            <w:pPr>
              <w:pStyle w:val="TableParagraph"/>
              <w:spacing w:line="256" w:lineRule="auto" w:before="21"/>
              <w:ind w:left="142" w:right="201"/>
              <w:jc w:val="both"/>
              <w:rPr>
                <w:sz w:val="21"/>
              </w:rPr>
            </w:pPr>
            <w:r>
              <w:rPr>
                <w:sz w:val="21"/>
              </w:rPr>
              <w:t>（</w:t>
            </w:r>
            <w:r>
              <w:rPr>
                <w:rFonts w:ascii="Times New Roman" w:eastAsia="Times New Roman"/>
                <w:sz w:val="21"/>
              </w:rPr>
              <w:t>2</w:t>
            </w:r>
            <w:r>
              <w:rPr>
                <w:sz w:val="21"/>
              </w:rPr>
              <w:t>）自主生活能力部分丧失，无法独立完成</w:t>
            </w:r>
            <w:r>
              <w:rPr>
                <w:b/>
                <w:sz w:val="21"/>
              </w:rPr>
              <w:t>六项基本日常生活活动</w:t>
            </w:r>
            <w:r>
              <w:rPr>
                <w:rFonts w:ascii="Times New Roman" w:eastAsia="Times New Roman"/>
                <w:b/>
                <w:sz w:val="21"/>
                <w:vertAlign w:val="superscript"/>
              </w:rPr>
              <w:t>27</w:t>
            </w:r>
            <w:r>
              <w:rPr>
                <w:rFonts w:ascii="Times New Roman" w:eastAsia="Times New Roman"/>
                <w:b/>
                <w:sz w:val="21"/>
                <w:vertAlign w:val="baseline"/>
              </w:rPr>
            </w:r>
            <w:r>
              <w:rPr>
                <w:sz w:val="21"/>
                <w:vertAlign w:val="baseline"/>
              </w:rPr>
              <w:t>中的两项或两项以上。</w:t>
            </w:r>
          </w:p>
        </w:tc>
      </w:tr>
      <w:tr>
        <w:trPr>
          <w:trHeight w:val="624" w:hRule="atLeast"/>
        </w:trPr>
        <w:tc>
          <w:tcPr>
            <w:tcW w:w="421" w:type="dxa"/>
          </w:tcPr>
          <w:p>
            <w:pPr>
              <w:pStyle w:val="TableParagraph"/>
              <w:spacing w:before="38"/>
              <w:ind w:right="60"/>
              <w:jc w:val="right"/>
              <w:rPr>
                <w:rFonts w:ascii="Times New Roman"/>
                <w:sz w:val="21"/>
              </w:rPr>
            </w:pPr>
            <w:r>
              <w:rPr>
                <w:rFonts w:ascii="Times New Roman"/>
                <w:sz w:val="21"/>
              </w:rPr>
              <w:t>5.</w:t>
            </w:r>
          </w:p>
        </w:tc>
        <w:tc>
          <w:tcPr>
            <w:tcW w:w="2755" w:type="dxa"/>
          </w:tcPr>
          <w:p>
            <w:pPr>
              <w:pStyle w:val="TableParagraph"/>
              <w:spacing w:line="266" w:lineRule="exact"/>
              <w:ind w:left="62"/>
              <w:rPr>
                <w:sz w:val="21"/>
              </w:rPr>
            </w:pPr>
            <w:r>
              <w:rPr>
                <w:sz w:val="21"/>
              </w:rPr>
              <w:t>心脏瓣膜介入手术（非开胸</w:t>
            </w:r>
          </w:p>
          <w:p>
            <w:pPr>
              <w:pStyle w:val="TableParagraph"/>
              <w:spacing w:before="37"/>
              <w:ind w:left="62"/>
              <w:rPr>
                <w:sz w:val="21"/>
              </w:rPr>
            </w:pPr>
            <w:r>
              <w:rPr>
                <w:sz w:val="21"/>
              </w:rPr>
              <w:t>手术）</w:t>
            </w:r>
          </w:p>
        </w:tc>
        <w:tc>
          <w:tcPr>
            <w:tcW w:w="7130" w:type="dxa"/>
          </w:tcPr>
          <w:p>
            <w:pPr>
              <w:pStyle w:val="TableParagraph"/>
              <w:spacing w:line="266" w:lineRule="exact"/>
              <w:ind w:left="142"/>
              <w:rPr>
                <w:sz w:val="21"/>
              </w:rPr>
            </w:pPr>
            <w:r>
              <w:rPr>
                <w:sz w:val="21"/>
              </w:rPr>
              <w:t>为了治疗心脏瓣膜疾病，被保险人实际接受了非开胸的经胸壁打孔内镜手</w:t>
            </w:r>
          </w:p>
          <w:p>
            <w:pPr>
              <w:pStyle w:val="TableParagraph"/>
              <w:spacing w:before="37"/>
              <w:ind w:left="142"/>
              <w:rPr>
                <w:sz w:val="21"/>
              </w:rPr>
            </w:pPr>
            <w:r>
              <w:rPr>
                <w:sz w:val="21"/>
              </w:rPr>
              <w:t>术或经皮经导管介入手术进行的心脏瓣膜置换或修复手术。</w:t>
            </w:r>
          </w:p>
        </w:tc>
      </w:tr>
      <w:tr>
        <w:trPr>
          <w:trHeight w:val="1218" w:hRule="atLeast"/>
        </w:trPr>
        <w:tc>
          <w:tcPr>
            <w:tcW w:w="421" w:type="dxa"/>
          </w:tcPr>
          <w:p>
            <w:pPr>
              <w:pStyle w:val="TableParagraph"/>
              <w:spacing w:before="38"/>
              <w:ind w:right="60"/>
              <w:jc w:val="right"/>
              <w:rPr>
                <w:rFonts w:ascii="Times New Roman"/>
                <w:sz w:val="21"/>
              </w:rPr>
            </w:pPr>
            <w:r>
              <w:rPr>
                <w:rFonts w:ascii="Times New Roman"/>
                <w:sz w:val="21"/>
              </w:rPr>
              <w:t>6.</w:t>
            </w:r>
          </w:p>
        </w:tc>
        <w:tc>
          <w:tcPr>
            <w:tcW w:w="2755" w:type="dxa"/>
          </w:tcPr>
          <w:p>
            <w:pPr>
              <w:pStyle w:val="TableParagraph"/>
              <w:spacing w:line="273" w:lineRule="auto"/>
              <w:ind w:left="62" w:right="141"/>
              <w:rPr>
                <w:sz w:val="21"/>
              </w:rPr>
            </w:pPr>
            <w:r>
              <w:rPr>
                <w:sz w:val="21"/>
              </w:rPr>
              <w:t>脑垂体瘤、脑囊肿、脑动脉瘤、脑血管瘤</w:t>
            </w:r>
          </w:p>
        </w:tc>
        <w:tc>
          <w:tcPr>
            <w:tcW w:w="7130" w:type="dxa"/>
          </w:tcPr>
          <w:p>
            <w:pPr>
              <w:pStyle w:val="TableParagraph"/>
              <w:spacing w:line="256" w:lineRule="auto"/>
              <w:ind w:left="142" w:right="201"/>
              <w:rPr>
                <w:sz w:val="21"/>
              </w:rPr>
            </w:pPr>
            <w:r>
              <w:rPr>
                <w:spacing w:val="-3"/>
                <w:w w:val="100"/>
                <w:sz w:val="21"/>
              </w:rPr>
              <w:t>指被保险人经头颅</w:t>
            </w:r>
            <w:r>
              <w:rPr>
                <w:spacing w:val="-3"/>
                <w:sz w:val="21"/>
              </w:rPr>
              <w:t> </w:t>
            </w:r>
            <w:r>
              <w:rPr>
                <w:rFonts w:ascii="Times New Roman" w:eastAsia="Times New Roman"/>
                <w:w w:val="100"/>
                <w:sz w:val="21"/>
              </w:rPr>
              <w:t>X</w:t>
            </w:r>
            <w:r>
              <w:rPr>
                <w:rFonts w:ascii="Times New Roman" w:eastAsia="Times New Roman"/>
                <w:spacing w:val="-6"/>
                <w:sz w:val="21"/>
              </w:rPr>
              <w:t>  </w:t>
            </w:r>
            <w:r>
              <w:rPr>
                <w:spacing w:val="-3"/>
                <w:w w:val="100"/>
                <w:sz w:val="21"/>
              </w:rPr>
              <w:t>线断层扫描（</w:t>
            </w:r>
            <w:r>
              <w:rPr>
                <w:rFonts w:ascii="Times New Roman" w:eastAsia="Times New Roman"/>
                <w:w w:val="100"/>
                <w:sz w:val="21"/>
              </w:rPr>
              <w:t>C</w:t>
            </w:r>
            <w:r>
              <w:rPr>
                <w:rFonts w:ascii="Times New Roman" w:eastAsia="Times New Roman"/>
                <w:spacing w:val="0"/>
                <w:w w:val="100"/>
                <w:sz w:val="21"/>
              </w:rPr>
              <w:t>T</w:t>
            </w:r>
            <w:r>
              <w:rPr>
                <w:spacing w:val="-108"/>
                <w:w w:val="100"/>
                <w:sz w:val="21"/>
              </w:rPr>
              <w:t>）</w:t>
            </w:r>
            <w:r>
              <w:rPr>
                <w:spacing w:val="-3"/>
                <w:w w:val="100"/>
                <w:sz w:val="21"/>
              </w:rPr>
              <w:t>、核磁共振检查（</w:t>
            </w:r>
            <w:r>
              <w:rPr>
                <w:rFonts w:ascii="Times New Roman" w:eastAsia="Times New Roman"/>
                <w:w w:val="100"/>
                <w:sz w:val="21"/>
              </w:rPr>
              <w:t>MR</w:t>
            </w:r>
            <w:r>
              <w:rPr>
                <w:rFonts w:ascii="Times New Roman" w:eastAsia="Times New Roman"/>
                <w:spacing w:val="-3"/>
                <w:w w:val="100"/>
                <w:sz w:val="21"/>
              </w:rPr>
              <w:t>I</w:t>
            </w:r>
            <w:r>
              <w:rPr>
                <w:w w:val="100"/>
                <w:sz w:val="21"/>
              </w:rPr>
              <w:t>）</w:t>
            </w:r>
            <w:r>
              <w:rPr>
                <w:spacing w:val="-3"/>
                <w:w w:val="100"/>
                <w:sz w:val="21"/>
              </w:rPr>
              <w:t>或其他影</w:t>
            </w:r>
            <w:r>
              <w:rPr>
                <w:spacing w:val="-3"/>
                <w:sz w:val="21"/>
              </w:rPr>
              <w:t>像学检查被确诊为下列病变，并实际接受了手术或放射治疗。</w:t>
            </w:r>
          </w:p>
          <w:p>
            <w:pPr>
              <w:pStyle w:val="TableParagraph"/>
              <w:spacing w:before="31"/>
              <w:ind w:left="142"/>
              <w:rPr>
                <w:sz w:val="21"/>
              </w:rPr>
            </w:pPr>
            <w:r>
              <w:rPr>
                <w:sz w:val="21"/>
              </w:rPr>
              <w:t>（</w:t>
            </w:r>
            <w:r>
              <w:rPr>
                <w:rFonts w:ascii="Times New Roman" w:eastAsia="Times New Roman"/>
                <w:sz w:val="21"/>
              </w:rPr>
              <w:t>1</w:t>
            </w:r>
            <w:r>
              <w:rPr>
                <w:sz w:val="21"/>
              </w:rPr>
              <w:t>）脑垂体瘤；</w:t>
            </w:r>
          </w:p>
          <w:p>
            <w:pPr>
              <w:pStyle w:val="TableParagraph"/>
              <w:spacing w:line="271" w:lineRule="exact" w:before="21"/>
              <w:ind w:left="142"/>
              <w:rPr>
                <w:sz w:val="21"/>
              </w:rPr>
            </w:pPr>
            <w:r>
              <w:rPr>
                <w:sz w:val="21"/>
              </w:rPr>
              <w:t>（</w:t>
            </w:r>
            <w:r>
              <w:rPr>
                <w:rFonts w:ascii="Times New Roman" w:eastAsia="Times New Roman"/>
                <w:sz w:val="21"/>
              </w:rPr>
              <w:t>2</w:t>
            </w:r>
            <w:r>
              <w:rPr>
                <w:sz w:val="21"/>
              </w:rPr>
              <w:t>）脑囊肿；</w:t>
            </w:r>
          </w:p>
        </w:tc>
      </w:tr>
    </w:tbl>
    <w:p>
      <w:pPr>
        <w:pStyle w:val="BodyText"/>
        <w:rPr>
          <w:sz w:val="20"/>
        </w:rPr>
      </w:pPr>
    </w:p>
    <w:p>
      <w:pPr>
        <w:pStyle w:val="BodyText"/>
        <w:spacing w:before="8"/>
        <w:rPr>
          <w:sz w:val="13"/>
        </w:rPr>
      </w:pPr>
      <w:r>
        <w:rPr/>
        <w:pict>
          <v:line style="position:absolute;mso-position-horizontal-relative:page;mso-position-vertical-relative:paragraph;z-index:1192;mso-wrap-distance-left:0;mso-wrap-distance-right:0" from="53.880001pt,11.151592pt" to="197.930001pt,11.151592pt" stroked="true" strokeweight=".47998pt" strokecolor="#000000">
            <v:stroke dashstyle="solid"/>
            <w10:wrap type="topAndBottom"/>
          </v:line>
        </w:pict>
      </w:r>
    </w:p>
    <w:p>
      <w:pPr>
        <w:pStyle w:val="BodyText"/>
        <w:spacing w:line="282" w:lineRule="exact" w:before="32"/>
        <w:ind w:left="317"/>
        <w:rPr>
          <w:rFonts w:ascii="楷体" w:eastAsia="楷体" w:hint="eastAsia"/>
        </w:rPr>
      </w:pPr>
      <w:r>
        <w:rPr>
          <w:rFonts w:ascii="Times New Roman" w:eastAsia="Times New Roman"/>
          <w:w w:val="99"/>
          <w:position w:val="10"/>
          <w:sz w:val="14"/>
        </w:rPr>
        <w:t>26</w:t>
      </w:r>
      <w:r>
        <w:rPr>
          <w:rFonts w:ascii="楷体" w:eastAsia="楷体" w:hint="eastAsia"/>
          <w:b/>
          <w:spacing w:val="-1"/>
          <w:w w:val="100"/>
        </w:rPr>
        <w:t>专科医生：</w:t>
      </w:r>
      <w:r>
        <w:rPr>
          <w:rFonts w:ascii="楷体" w:eastAsia="楷体" w:hint="eastAsia"/>
          <w:spacing w:val="-9"/>
          <w:w w:val="100"/>
        </w:rPr>
        <w:t>专科医生应当同时满足以下四项资格条件：</w:t>
      </w:r>
      <w:r>
        <w:rPr>
          <w:rFonts w:ascii="楷体" w:eastAsia="楷体" w:hint="eastAsia"/>
          <w:w w:val="100"/>
        </w:rPr>
        <w:t>（</w:t>
      </w:r>
      <w:r>
        <w:rPr>
          <w:rFonts w:ascii="Times New Roman" w:eastAsia="Times New Roman"/>
          <w:spacing w:val="-3"/>
          <w:w w:val="100"/>
        </w:rPr>
        <w:t>1</w:t>
      </w:r>
      <w:r>
        <w:rPr>
          <w:rFonts w:ascii="楷体" w:eastAsia="楷体" w:hint="eastAsia"/>
          <w:w w:val="100"/>
        </w:rPr>
        <w:t>）</w:t>
      </w:r>
      <w:r>
        <w:rPr>
          <w:rFonts w:ascii="楷体" w:eastAsia="楷体" w:hint="eastAsia"/>
          <w:spacing w:val="-9"/>
          <w:w w:val="100"/>
        </w:rPr>
        <w:t>具有有效的中华人民共和国《医师资格证书》；</w:t>
      </w:r>
    </w:p>
    <w:p>
      <w:pPr>
        <w:pStyle w:val="BodyText"/>
        <w:spacing w:line="225" w:lineRule="auto" w:before="8"/>
        <w:ind w:left="317" w:right="292"/>
        <w:jc w:val="both"/>
        <w:rPr>
          <w:rFonts w:ascii="楷体" w:eastAsia="楷体" w:hint="eastAsia"/>
        </w:rPr>
      </w:pPr>
      <w:r>
        <w:rPr>
          <w:rFonts w:ascii="楷体" w:eastAsia="楷体" w:hint="eastAsia"/>
          <w:w w:val="100"/>
        </w:rPr>
        <w:t>（</w:t>
      </w:r>
      <w:r>
        <w:rPr>
          <w:rFonts w:ascii="Times New Roman" w:eastAsia="Times New Roman"/>
          <w:w w:val="100"/>
        </w:rPr>
        <w:t>2</w:t>
      </w:r>
      <w:r>
        <w:rPr>
          <w:rFonts w:ascii="楷体" w:eastAsia="楷体" w:hint="eastAsia"/>
          <w:spacing w:val="-3"/>
          <w:w w:val="100"/>
        </w:rPr>
        <w:t>）</w:t>
      </w:r>
      <w:r>
        <w:rPr>
          <w:rFonts w:ascii="楷体" w:eastAsia="楷体" w:hint="eastAsia"/>
          <w:spacing w:val="-12"/>
          <w:w w:val="100"/>
        </w:rPr>
        <w:t>具有有效的中华人民共和国《医师执业证书》，并按期到相关部门登记注册；</w:t>
      </w:r>
      <w:r>
        <w:rPr>
          <w:rFonts w:ascii="楷体" w:eastAsia="楷体" w:hint="eastAsia"/>
          <w:w w:val="100"/>
        </w:rPr>
        <w:t>（</w:t>
      </w:r>
      <w:r>
        <w:rPr>
          <w:rFonts w:ascii="Times New Roman" w:eastAsia="Times New Roman"/>
          <w:spacing w:val="-3"/>
          <w:w w:val="100"/>
        </w:rPr>
        <w:t>3</w:t>
      </w:r>
      <w:r>
        <w:rPr>
          <w:rFonts w:ascii="楷体" w:eastAsia="楷体" w:hint="eastAsia"/>
          <w:w w:val="100"/>
        </w:rPr>
        <w:t>）</w:t>
      </w:r>
      <w:r>
        <w:rPr>
          <w:rFonts w:ascii="楷体" w:eastAsia="楷体" w:hint="eastAsia"/>
          <w:spacing w:val="-3"/>
          <w:w w:val="100"/>
        </w:rPr>
        <w:t>具有有效的中华人民</w:t>
      </w:r>
      <w:r>
        <w:rPr>
          <w:rFonts w:ascii="楷体" w:eastAsia="楷体" w:hint="eastAsia"/>
          <w:spacing w:val="-10"/>
          <w:w w:val="100"/>
        </w:rPr>
        <w:t>共和国主治医师或主治医师以上职称的《医师职称证书》</w:t>
      </w:r>
      <w:r>
        <w:rPr>
          <w:rFonts w:ascii="楷体" w:eastAsia="楷体" w:hint="eastAsia"/>
          <w:spacing w:val="-132"/>
          <w:w w:val="100"/>
        </w:rPr>
        <w:t>；</w:t>
      </w:r>
      <w:r>
        <w:rPr>
          <w:rFonts w:ascii="楷体" w:eastAsia="楷体" w:hint="eastAsia"/>
          <w:w w:val="100"/>
        </w:rPr>
        <w:t>（</w:t>
      </w:r>
      <w:r>
        <w:rPr>
          <w:rFonts w:ascii="Times New Roman" w:eastAsia="Times New Roman"/>
          <w:w w:val="100"/>
        </w:rPr>
        <w:t>4</w:t>
      </w:r>
      <w:r>
        <w:rPr>
          <w:rFonts w:ascii="楷体" w:eastAsia="楷体" w:hint="eastAsia"/>
          <w:spacing w:val="-25"/>
          <w:w w:val="100"/>
        </w:rPr>
        <w:t>）</w:t>
      </w:r>
      <w:r>
        <w:rPr>
          <w:rFonts w:ascii="楷体" w:eastAsia="楷体" w:hint="eastAsia"/>
          <w:spacing w:val="-3"/>
          <w:w w:val="100"/>
        </w:rPr>
        <w:t>在二级或二级以上医院的相应科室从事临床工</w:t>
      </w:r>
      <w:r>
        <w:rPr>
          <w:rFonts w:ascii="楷体" w:eastAsia="楷体" w:hint="eastAsia"/>
          <w:spacing w:val="-3"/>
        </w:rPr>
        <w:t>作三年以上。</w:t>
      </w:r>
    </w:p>
    <w:p>
      <w:pPr>
        <w:spacing w:line="271" w:lineRule="exact" w:before="0"/>
        <w:ind w:left="317" w:right="0" w:firstLine="0"/>
        <w:jc w:val="both"/>
        <w:rPr>
          <w:rFonts w:ascii="楷体" w:eastAsia="楷体" w:hint="eastAsia"/>
          <w:sz w:val="21"/>
        </w:rPr>
      </w:pPr>
      <w:r>
        <w:rPr>
          <w:rFonts w:ascii="Times New Roman" w:eastAsia="Times New Roman"/>
          <w:position w:val="10"/>
          <w:sz w:val="14"/>
        </w:rPr>
        <w:t>27</w:t>
      </w:r>
      <w:r>
        <w:rPr>
          <w:rFonts w:ascii="楷体" w:eastAsia="楷体" w:hint="eastAsia"/>
          <w:b/>
          <w:sz w:val="21"/>
        </w:rPr>
        <w:t>六项基本日常生活活动：</w:t>
      </w:r>
      <w:r>
        <w:rPr>
          <w:rFonts w:ascii="楷体" w:eastAsia="楷体" w:hint="eastAsia"/>
          <w:sz w:val="21"/>
        </w:rPr>
        <w:t>指食物摄取、大小便始末、穿脱衣服、起居、步行、入浴。</w:t>
      </w:r>
    </w:p>
    <w:p>
      <w:pPr>
        <w:spacing w:after="0" w:line="271" w:lineRule="exact"/>
        <w:jc w:val="both"/>
        <w:rPr>
          <w:rFonts w:ascii="楷体" w:eastAsia="楷体" w:hint="eastAsia"/>
          <w:sz w:val="21"/>
        </w:rPr>
        <w:sectPr>
          <w:pgSz w:w="11910" w:h="16160"/>
          <w:pgMar w:header="0" w:footer="799" w:top="1360" w:bottom="1060" w:left="7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705"/>
        <w:gridCol w:w="7228"/>
      </w:tblGrid>
      <w:tr>
        <w:trPr>
          <w:trHeight w:val="281" w:hRule="atLeast"/>
        </w:trPr>
        <w:tc>
          <w:tcPr>
            <w:tcW w:w="474" w:type="dxa"/>
          </w:tcPr>
          <w:p>
            <w:pPr>
              <w:pStyle w:val="TableParagraph"/>
              <w:rPr>
                <w:rFonts w:ascii="Times New Roman"/>
                <w:sz w:val="20"/>
              </w:rPr>
            </w:pPr>
          </w:p>
        </w:tc>
        <w:tc>
          <w:tcPr>
            <w:tcW w:w="2705" w:type="dxa"/>
          </w:tcPr>
          <w:p>
            <w:pPr>
              <w:pStyle w:val="TableParagraph"/>
              <w:rPr>
                <w:rFonts w:ascii="Times New Roman"/>
                <w:sz w:val="20"/>
              </w:rPr>
            </w:pPr>
          </w:p>
        </w:tc>
        <w:tc>
          <w:tcPr>
            <w:tcW w:w="7228" w:type="dxa"/>
          </w:tcPr>
          <w:p>
            <w:pPr>
              <w:pStyle w:val="TableParagraph"/>
              <w:spacing w:line="234" w:lineRule="exact"/>
              <w:ind w:left="139"/>
              <w:rPr>
                <w:sz w:val="21"/>
              </w:rPr>
            </w:pPr>
            <w:r>
              <w:rPr>
                <w:sz w:val="21"/>
              </w:rPr>
              <w:t>（</w:t>
            </w:r>
            <w:r>
              <w:rPr>
                <w:rFonts w:ascii="Times New Roman" w:eastAsia="Times New Roman"/>
                <w:sz w:val="21"/>
              </w:rPr>
              <w:t>3</w:t>
            </w:r>
            <w:r>
              <w:rPr>
                <w:sz w:val="21"/>
              </w:rPr>
              <w:t>）脑动脉瘤、脑血管瘤。</w:t>
            </w:r>
          </w:p>
        </w:tc>
      </w:tr>
      <w:tr>
        <w:trPr>
          <w:trHeight w:val="2185" w:hRule="atLeast"/>
        </w:trPr>
        <w:tc>
          <w:tcPr>
            <w:tcW w:w="474" w:type="dxa"/>
          </w:tcPr>
          <w:p>
            <w:pPr>
              <w:pStyle w:val="TableParagraph"/>
              <w:spacing w:before="40"/>
              <w:ind w:left="200"/>
              <w:rPr>
                <w:rFonts w:ascii="Times New Roman"/>
                <w:sz w:val="21"/>
              </w:rPr>
            </w:pPr>
            <w:r>
              <w:rPr>
                <w:rFonts w:ascii="Times New Roman"/>
                <w:sz w:val="21"/>
              </w:rPr>
              <w:t>7.</w:t>
            </w:r>
          </w:p>
        </w:tc>
        <w:tc>
          <w:tcPr>
            <w:tcW w:w="2705" w:type="dxa"/>
          </w:tcPr>
          <w:p>
            <w:pPr>
              <w:pStyle w:val="TableParagraph"/>
              <w:spacing w:line="268" w:lineRule="exact"/>
              <w:ind w:left="9"/>
              <w:rPr>
                <w:sz w:val="21"/>
              </w:rPr>
            </w:pPr>
            <w:r>
              <w:rPr>
                <w:sz w:val="21"/>
              </w:rPr>
              <w:t>重症头部外伤</w:t>
            </w:r>
          </w:p>
        </w:tc>
        <w:tc>
          <w:tcPr>
            <w:tcW w:w="7228" w:type="dxa"/>
          </w:tcPr>
          <w:p>
            <w:pPr>
              <w:pStyle w:val="TableParagraph"/>
              <w:spacing w:line="261" w:lineRule="auto"/>
              <w:ind w:left="139" w:right="300"/>
              <w:jc w:val="both"/>
              <w:rPr>
                <w:sz w:val="21"/>
              </w:rPr>
            </w:pPr>
            <w:r>
              <w:rPr>
                <w:spacing w:val="-5"/>
                <w:sz w:val="21"/>
              </w:rPr>
              <w:t>指因头部遭受机械性外力伤害，引起脑重要部位损伤，并且由头颅 </w:t>
            </w:r>
            <w:r>
              <w:rPr>
                <w:rFonts w:ascii="Times New Roman" w:hAnsi="Times New Roman" w:eastAsia="Times New Roman"/>
                <w:sz w:val="21"/>
              </w:rPr>
              <w:t>X </w:t>
            </w:r>
            <w:r>
              <w:rPr>
                <w:sz w:val="21"/>
              </w:rPr>
              <w:t>线断</w:t>
            </w:r>
            <w:r>
              <w:rPr>
                <w:spacing w:val="-3"/>
                <w:w w:val="100"/>
                <w:sz w:val="21"/>
              </w:rPr>
              <w:t>层扫描（</w:t>
            </w:r>
            <w:r>
              <w:rPr>
                <w:rFonts w:ascii="Times New Roman" w:hAnsi="Times New Roman" w:eastAsia="Times New Roman"/>
                <w:w w:val="100"/>
                <w:sz w:val="21"/>
              </w:rPr>
              <w:t>C</w:t>
            </w:r>
            <w:r>
              <w:rPr>
                <w:rFonts w:ascii="Times New Roman" w:hAnsi="Times New Roman" w:eastAsia="Times New Roman"/>
                <w:spacing w:val="-2"/>
                <w:w w:val="100"/>
                <w:sz w:val="21"/>
              </w:rPr>
              <w:t>T</w:t>
            </w:r>
            <w:r>
              <w:rPr>
                <w:spacing w:val="-106"/>
                <w:w w:val="100"/>
                <w:sz w:val="21"/>
              </w:rPr>
              <w:t>）</w:t>
            </w:r>
            <w:r>
              <w:rPr>
                <w:spacing w:val="-4"/>
                <w:w w:val="100"/>
                <w:sz w:val="21"/>
              </w:rPr>
              <w:t>、核磁共振检查</w:t>
            </w:r>
            <w:r>
              <w:rPr>
                <w:w w:val="100"/>
                <w:sz w:val="21"/>
              </w:rPr>
              <w:t>（</w:t>
            </w:r>
            <w:r>
              <w:rPr>
                <w:rFonts w:ascii="Times New Roman" w:hAnsi="Times New Roman" w:eastAsia="Times New Roman"/>
                <w:spacing w:val="-3"/>
                <w:w w:val="100"/>
                <w:sz w:val="21"/>
              </w:rPr>
              <w:t>M</w:t>
            </w:r>
            <w:r>
              <w:rPr>
                <w:rFonts w:ascii="Times New Roman" w:hAnsi="Times New Roman" w:eastAsia="Times New Roman"/>
                <w:w w:val="100"/>
                <w:sz w:val="21"/>
              </w:rPr>
              <w:t>R</w:t>
            </w:r>
            <w:r>
              <w:rPr>
                <w:rFonts w:ascii="Times New Roman" w:hAnsi="Times New Roman" w:eastAsia="Times New Roman"/>
                <w:spacing w:val="-3"/>
                <w:w w:val="100"/>
                <w:sz w:val="21"/>
              </w:rPr>
              <w:t>I</w:t>
            </w:r>
            <w:r>
              <w:rPr>
                <w:spacing w:val="-5"/>
                <w:w w:val="100"/>
                <w:sz w:val="21"/>
              </w:rPr>
              <w:t>）</w:t>
            </w:r>
            <w:r>
              <w:rPr>
                <w:spacing w:val="-4"/>
                <w:w w:val="100"/>
                <w:sz w:val="21"/>
              </w:rPr>
              <w:t>或正电子发射断层扫描</w:t>
            </w:r>
            <w:r>
              <w:rPr>
                <w:spacing w:val="-2"/>
                <w:w w:val="100"/>
                <w:sz w:val="21"/>
              </w:rPr>
              <w:t>（</w:t>
            </w:r>
            <w:r>
              <w:rPr>
                <w:rFonts w:ascii="Times New Roman" w:hAnsi="Times New Roman" w:eastAsia="Times New Roman"/>
                <w:w w:val="100"/>
                <w:sz w:val="21"/>
              </w:rPr>
              <w:t>P</w:t>
            </w:r>
            <w:r>
              <w:rPr>
                <w:rFonts w:ascii="Times New Roman" w:hAnsi="Times New Roman" w:eastAsia="Times New Roman"/>
                <w:spacing w:val="-2"/>
                <w:w w:val="100"/>
                <w:sz w:val="21"/>
              </w:rPr>
              <w:t>E</w:t>
            </w:r>
            <w:r>
              <w:rPr>
                <w:rFonts w:ascii="Times New Roman" w:hAnsi="Times New Roman" w:eastAsia="Times New Roman"/>
                <w:w w:val="100"/>
                <w:sz w:val="21"/>
              </w:rPr>
              <w:t>T</w:t>
            </w:r>
            <w:r>
              <w:rPr>
                <w:spacing w:val="-8"/>
                <w:w w:val="100"/>
                <w:sz w:val="21"/>
              </w:rPr>
              <w:t>）</w:t>
            </w:r>
            <w:r>
              <w:rPr>
                <w:w w:val="100"/>
                <w:sz w:val="21"/>
              </w:rPr>
              <w:t>等影</w:t>
            </w:r>
            <w:r>
              <w:rPr>
                <w:spacing w:val="-3"/>
                <w:sz w:val="21"/>
              </w:rPr>
              <w:t>像学检查证实。头部外伤导致神经系统功能障碍，未达到本合同所指重大疾病“严重脑损伤”的给付标准，但是符合以下条件之一：</w:t>
            </w:r>
          </w:p>
          <w:p>
            <w:pPr>
              <w:pStyle w:val="TableParagraph"/>
              <w:spacing w:before="25"/>
              <w:ind w:left="139"/>
              <w:rPr>
                <w:sz w:val="21"/>
              </w:rPr>
            </w:pPr>
            <w:r>
              <w:rPr>
                <w:w w:val="100"/>
                <w:sz w:val="21"/>
              </w:rPr>
              <w:t>（</w:t>
            </w:r>
            <w:r>
              <w:rPr>
                <w:rFonts w:ascii="Times New Roman" w:eastAsia="Times New Roman"/>
                <w:w w:val="100"/>
                <w:sz w:val="21"/>
              </w:rPr>
              <w:t>1</w:t>
            </w:r>
            <w:r>
              <w:rPr>
                <w:spacing w:val="-25"/>
                <w:w w:val="100"/>
                <w:sz w:val="21"/>
              </w:rPr>
              <w:t>）</w:t>
            </w:r>
            <w:r>
              <w:rPr>
                <w:spacing w:val="-4"/>
                <w:w w:val="100"/>
                <w:sz w:val="21"/>
              </w:rPr>
              <w:t>被保险人接受了全麻下颅骨切开颅内血肿清除术</w:t>
            </w:r>
            <w:r>
              <w:rPr>
                <w:spacing w:val="-3"/>
                <w:w w:val="100"/>
                <w:sz w:val="21"/>
              </w:rPr>
              <w:t>（颅骨钻孔术除外</w:t>
            </w:r>
            <w:r>
              <w:rPr>
                <w:spacing w:val="-108"/>
                <w:w w:val="100"/>
                <w:sz w:val="21"/>
              </w:rPr>
              <w:t>）</w:t>
            </w:r>
            <w:r>
              <w:rPr>
                <w:w w:val="100"/>
                <w:sz w:val="21"/>
              </w:rPr>
              <w:t>；</w:t>
            </w:r>
          </w:p>
          <w:p>
            <w:pPr>
              <w:pStyle w:val="TableParagraph"/>
              <w:spacing w:line="256" w:lineRule="auto" w:before="21"/>
              <w:ind w:left="139" w:right="300"/>
              <w:jc w:val="both"/>
              <w:rPr>
                <w:sz w:val="21"/>
              </w:rPr>
            </w:pPr>
            <w:r>
              <w:rPr>
                <w:sz w:val="21"/>
              </w:rPr>
              <w:t>（</w:t>
            </w:r>
            <w:r>
              <w:rPr>
                <w:rFonts w:ascii="Times New Roman" w:eastAsia="Times New Roman"/>
                <w:sz w:val="21"/>
              </w:rPr>
              <w:t>2</w:t>
            </w:r>
            <w:r>
              <w:rPr>
                <w:sz w:val="21"/>
              </w:rPr>
              <w:t>）</w:t>
            </w:r>
            <w:r>
              <w:rPr>
                <w:spacing w:val="-10"/>
                <w:sz w:val="21"/>
              </w:rPr>
              <w:t>在外伤 </w:t>
            </w:r>
            <w:r>
              <w:rPr>
                <w:rFonts w:ascii="Times New Roman" w:eastAsia="Times New Roman"/>
                <w:sz w:val="21"/>
              </w:rPr>
              <w:t>180 </w:t>
            </w:r>
            <w:r>
              <w:rPr>
                <w:spacing w:val="-5"/>
                <w:sz w:val="21"/>
              </w:rPr>
              <w:t>天后仍然遗留一肢或一肢以上肢体肌力 </w:t>
            </w:r>
            <w:r>
              <w:rPr>
                <w:rFonts w:ascii="Times New Roman" w:eastAsia="Times New Roman"/>
                <w:sz w:val="21"/>
              </w:rPr>
              <w:t>II </w:t>
            </w:r>
            <w:r>
              <w:rPr>
                <w:spacing w:val="-11"/>
                <w:sz w:val="21"/>
              </w:rPr>
              <w:t>级或 </w:t>
            </w:r>
            <w:r>
              <w:rPr>
                <w:rFonts w:ascii="Times New Roman" w:eastAsia="Times New Roman"/>
                <w:sz w:val="21"/>
              </w:rPr>
              <w:t>II </w:t>
            </w:r>
            <w:r>
              <w:rPr>
                <w:sz w:val="21"/>
              </w:rPr>
              <w:t>级以下</w:t>
            </w:r>
            <w:r>
              <w:rPr>
                <w:spacing w:val="-3"/>
                <w:sz w:val="21"/>
              </w:rPr>
              <w:t>的运动功能障碍。</w:t>
            </w:r>
          </w:p>
        </w:tc>
      </w:tr>
      <w:tr>
        <w:trPr>
          <w:trHeight w:val="631" w:hRule="atLeast"/>
        </w:trPr>
        <w:tc>
          <w:tcPr>
            <w:tcW w:w="474" w:type="dxa"/>
          </w:tcPr>
          <w:p>
            <w:pPr>
              <w:pStyle w:val="TableParagraph"/>
              <w:spacing w:before="38"/>
              <w:ind w:left="200"/>
              <w:rPr>
                <w:rFonts w:ascii="Times New Roman"/>
                <w:sz w:val="21"/>
              </w:rPr>
            </w:pPr>
            <w:r>
              <w:rPr>
                <w:rFonts w:ascii="Times New Roman"/>
                <w:sz w:val="21"/>
              </w:rPr>
              <w:t>8.</w:t>
            </w:r>
          </w:p>
        </w:tc>
        <w:tc>
          <w:tcPr>
            <w:tcW w:w="2705" w:type="dxa"/>
          </w:tcPr>
          <w:p>
            <w:pPr>
              <w:pStyle w:val="TableParagraph"/>
              <w:spacing w:line="266" w:lineRule="exact"/>
              <w:ind w:left="9"/>
              <w:rPr>
                <w:sz w:val="21"/>
              </w:rPr>
            </w:pPr>
            <w:r>
              <w:rPr>
                <w:sz w:val="21"/>
              </w:rPr>
              <w:t>特定面积Ⅲ度烧伤</w:t>
            </w:r>
          </w:p>
        </w:tc>
        <w:tc>
          <w:tcPr>
            <w:tcW w:w="7228" w:type="dxa"/>
          </w:tcPr>
          <w:p>
            <w:pPr>
              <w:pStyle w:val="TableParagraph"/>
              <w:spacing w:line="256" w:lineRule="auto"/>
              <w:ind w:left="139" w:right="224"/>
              <w:rPr>
                <w:sz w:val="21"/>
              </w:rPr>
            </w:pPr>
            <w:r>
              <w:rPr>
                <w:sz w:val="21"/>
              </w:rPr>
              <w:t>指烧伤程度为Ⅲ度，且Ⅲ度烧伤面积为全身体表面积的 </w:t>
            </w:r>
            <w:r>
              <w:rPr>
                <w:rFonts w:ascii="Times New Roman" w:hAnsi="Times New Roman" w:eastAsia="Times New Roman"/>
                <w:sz w:val="21"/>
              </w:rPr>
              <w:t>10%</w:t>
            </w:r>
            <w:r>
              <w:rPr>
                <w:sz w:val="21"/>
              </w:rPr>
              <w:t>或 </w:t>
            </w:r>
            <w:r>
              <w:rPr>
                <w:rFonts w:ascii="Times New Roman" w:hAnsi="Times New Roman" w:eastAsia="Times New Roman"/>
                <w:sz w:val="21"/>
              </w:rPr>
              <w:t>10%</w:t>
            </w:r>
            <w:r>
              <w:rPr>
                <w:sz w:val="21"/>
              </w:rPr>
              <w:t>以上， 但尚未达到 </w:t>
            </w:r>
            <w:r>
              <w:rPr>
                <w:rFonts w:ascii="Times New Roman" w:hAnsi="Times New Roman" w:eastAsia="Times New Roman"/>
                <w:sz w:val="21"/>
              </w:rPr>
              <w:t>20%</w:t>
            </w:r>
            <w:r>
              <w:rPr>
                <w:sz w:val="21"/>
              </w:rPr>
              <w:t>。体表面积根据《中国新九分法》计算。</w:t>
            </w:r>
          </w:p>
        </w:tc>
      </w:tr>
      <w:tr>
        <w:trPr>
          <w:trHeight w:val="599" w:hRule="atLeast"/>
        </w:trPr>
        <w:tc>
          <w:tcPr>
            <w:tcW w:w="474" w:type="dxa"/>
          </w:tcPr>
          <w:p>
            <w:pPr>
              <w:pStyle w:val="TableParagraph"/>
              <w:spacing w:before="30"/>
              <w:ind w:left="200"/>
              <w:rPr>
                <w:rFonts w:ascii="Times New Roman"/>
                <w:sz w:val="21"/>
              </w:rPr>
            </w:pPr>
            <w:r>
              <w:rPr>
                <w:rFonts w:ascii="Times New Roman"/>
                <w:sz w:val="21"/>
              </w:rPr>
              <w:t>9.</w:t>
            </w:r>
          </w:p>
        </w:tc>
        <w:tc>
          <w:tcPr>
            <w:tcW w:w="2705" w:type="dxa"/>
          </w:tcPr>
          <w:p>
            <w:pPr>
              <w:pStyle w:val="TableParagraph"/>
              <w:spacing w:line="258" w:lineRule="exact"/>
              <w:ind w:left="9"/>
              <w:rPr>
                <w:sz w:val="21"/>
              </w:rPr>
            </w:pPr>
            <w:r>
              <w:rPr>
                <w:sz w:val="21"/>
              </w:rPr>
              <w:t>主动脉介入手术</w:t>
            </w:r>
          </w:p>
        </w:tc>
        <w:tc>
          <w:tcPr>
            <w:tcW w:w="7228" w:type="dxa"/>
          </w:tcPr>
          <w:p>
            <w:pPr>
              <w:pStyle w:val="TableParagraph"/>
              <w:spacing w:line="258" w:lineRule="exact"/>
              <w:ind w:left="139"/>
              <w:rPr>
                <w:sz w:val="21"/>
              </w:rPr>
            </w:pPr>
            <w:r>
              <w:rPr>
                <w:sz w:val="21"/>
              </w:rPr>
              <w:t>指为治疗主动脉疾病实际实施了经皮经导管进行的动脉内手术。主动脉指</w:t>
            </w:r>
          </w:p>
          <w:p>
            <w:pPr>
              <w:pStyle w:val="TableParagraph"/>
              <w:spacing w:before="37"/>
              <w:ind w:left="139"/>
              <w:rPr>
                <w:b/>
                <w:sz w:val="21"/>
              </w:rPr>
            </w:pPr>
            <w:r>
              <w:rPr>
                <w:sz w:val="21"/>
              </w:rPr>
              <w:t>胸主动脉和腹主动脉，但</w:t>
            </w:r>
            <w:r>
              <w:rPr>
                <w:b/>
                <w:sz w:val="21"/>
              </w:rPr>
              <w:t>不包括胸主动脉和腹主动脉的分支血管。</w:t>
            </w:r>
          </w:p>
        </w:tc>
      </w:tr>
      <w:tr>
        <w:trPr>
          <w:trHeight w:val="2513" w:hRule="atLeast"/>
        </w:trPr>
        <w:tc>
          <w:tcPr>
            <w:tcW w:w="474" w:type="dxa"/>
          </w:tcPr>
          <w:p>
            <w:pPr>
              <w:pStyle w:val="TableParagraph"/>
              <w:spacing w:before="55"/>
              <w:ind w:left="200"/>
              <w:rPr>
                <w:rFonts w:ascii="Times New Roman"/>
                <w:sz w:val="21"/>
              </w:rPr>
            </w:pPr>
            <w:r>
              <w:rPr>
                <w:rFonts w:ascii="Times New Roman"/>
                <w:sz w:val="21"/>
              </w:rPr>
              <w:t>10.</w:t>
            </w:r>
          </w:p>
        </w:tc>
        <w:tc>
          <w:tcPr>
            <w:tcW w:w="2705" w:type="dxa"/>
          </w:tcPr>
          <w:p>
            <w:pPr>
              <w:pStyle w:val="TableParagraph"/>
              <w:spacing w:line="256" w:lineRule="auto" w:before="8"/>
              <w:ind w:left="9" w:right="137"/>
              <w:rPr>
                <w:b/>
                <w:sz w:val="21"/>
              </w:rPr>
            </w:pPr>
            <w:r>
              <w:rPr>
                <w:sz w:val="21"/>
              </w:rPr>
              <w:t>视力严重受损</w:t>
            </w:r>
            <w:r>
              <w:rPr>
                <w:rFonts w:ascii="Times New Roman" w:eastAsia="Times New Roman"/>
                <w:sz w:val="21"/>
              </w:rPr>
              <w:t>- </w:t>
            </w:r>
            <w:r>
              <w:rPr>
                <w:b/>
                <w:sz w:val="21"/>
              </w:rPr>
              <w:t>三周岁始理赔</w:t>
            </w:r>
          </w:p>
        </w:tc>
        <w:tc>
          <w:tcPr>
            <w:tcW w:w="7228" w:type="dxa"/>
          </w:tcPr>
          <w:p>
            <w:pPr>
              <w:pStyle w:val="TableParagraph"/>
              <w:spacing w:line="256" w:lineRule="auto" w:before="8"/>
              <w:ind w:left="139" w:right="302"/>
              <w:jc w:val="both"/>
              <w:rPr>
                <w:sz w:val="21"/>
              </w:rPr>
            </w:pPr>
            <w:r>
              <w:rPr>
                <w:spacing w:val="-3"/>
                <w:sz w:val="21"/>
              </w:rPr>
              <w:t>是指因疾病或意外伤害导致双眼视力</w:t>
            </w:r>
            <w:r>
              <w:rPr>
                <w:b/>
                <w:sz w:val="21"/>
              </w:rPr>
              <w:t>永久不可逆</w:t>
            </w:r>
            <w:r>
              <w:rPr>
                <w:rFonts w:ascii="Times New Roman" w:hAnsi="Times New Roman" w:eastAsia="Times New Roman"/>
                <w:b/>
                <w:sz w:val="21"/>
                <w:vertAlign w:val="superscript"/>
              </w:rPr>
              <w:t>28</w:t>
            </w:r>
            <w:r>
              <w:rPr>
                <w:rFonts w:ascii="Times New Roman" w:hAnsi="Times New Roman" w:eastAsia="Times New Roman"/>
                <w:b/>
                <w:sz w:val="21"/>
                <w:vertAlign w:val="baseline"/>
              </w:rPr>
            </w:r>
            <w:r>
              <w:rPr>
                <w:spacing w:val="-12"/>
                <w:sz w:val="21"/>
                <w:vertAlign w:val="baseline"/>
              </w:rPr>
              <w:t>性丧失，未达到本合同所</w:t>
            </w:r>
            <w:r>
              <w:rPr>
                <w:spacing w:val="-6"/>
                <w:sz w:val="21"/>
                <w:vertAlign w:val="baseline"/>
              </w:rPr>
              <w:t>指重大疾病“双目失明</w:t>
            </w:r>
            <w:r>
              <w:rPr>
                <w:rFonts w:ascii="Times New Roman" w:hAnsi="Times New Roman" w:eastAsia="Times New Roman"/>
                <w:spacing w:val="-4"/>
                <w:sz w:val="21"/>
                <w:vertAlign w:val="baseline"/>
              </w:rPr>
              <w:t>-</w:t>
            </w:r>
            <w:r>
              <w:rPr>
                <w:spacing w:val="-4"/>
                <w:sz w:val="21"/>
                <w:vertAlign w:val="baseline"/>
              </w:rPr>
              <w:t>三周岁始理赔”的给付标准，但须满足下列全部条件：</w:t>
            </w:r>
          </w:p>
          <w:p>
            <w:pPr>
              <w:pStyle w:val="TableParagraph"/>
              <w:spacing w:line="256" w:lineRule="auto" w:before="22"/>
              <w:ind w:left="139" w:right="300"/>
              <w:jc w:val="both"/>
              <w:rPr>
                <w:sz w:val="21"/>
              </w:rPr>
            </w:pPr>
            <w:r>
              <w:rPr>
                <w:sz w:val="21"/>
              </w:rPr>
              <w:t>（</w:t>
            </w:r>
            <w:r>
              <w:rPr>
                <w:rFonts w:ascii="Times New Roman" w:eastAsia="Times New Roman"/>
                <w:sz w:val="21"/>
              </w:rPr>
              <w:t>1</w:t>
            </w:r>
            <w:r>
              <w:rPr>
                <w:sz w:val="21"/>
              </w:rPr>
              <w:t>）</w:t>
            </w:r>
            <w:r>
              <w:rPr>
                <w:spacing w:val="-1"/>
                <w:sz w:val="21"/>
              </w:rPr>
              <w:t>双眼中较好眼矫正视力低于 </w:t>
            </w:r>
            <w:r>
              <w:rPr>
                <w:rFonts w:ascii="Times New Roman" w:eastAsia="Times New Roman"/>
                <w:sz w:val="21"/>
              </w:rPr>
              <w:t>0.1</w:t>
            </w:r>
            <w:r>
              <w:rPr>
                <w:sz w:val="21"/>
              </w:rPr>
              <w:t>（</w:t>
            </w:r>
            <w:r>
              <w:rPr>
                <w:spacing w:val="-3"/>
                <w:sz w:val="21"/>
              </w:rPr>
              <w:t>采用国际标准视力表，如果使用其</w:t>
            </w:r>
            <w:r>
              <w:rPr>
                <w:spacing w:val="-3"/>
                <w:w w:val="100"/>
                <w:sz w:val="21"/>
              </w:rPr>
              <w:t>他视力表应进行换算</w:t>
            </w:r>
            <w:r>
              <w:rPr>
                <w:spacing w:val="-106"/>
                <w:w w:val="100"/>
                <w:sz w:val="21"/>
              </w:rPr>
              <w:t>）</w:t>
            </w:r>
            <w:r>
              <w:rPr>
                <w:w w:val="100"/>
                <w:sz w:val="21"/>
              </w:rPr>
              <w:t>；</w:t>
            </w:r>
          </w:p>
          <w:p>
            <w:pPr>
              <w:pStyle w:val="TableParagraph"/>
              <w:spacing w:before="22"/>
              <w:ind w:left="139"/>
              <w:rPr>
                <w:sz w:val="21"/>
              </w:rPr>
            </w:pPr>
            <w:r>
              <w:rPr>
                <w:sz w:val="21"/>
              </w:rPr>
              <w:t>（</w:t>
            </w:r>
            <w:r>
              <w:rPr>
                <w:rFonts w:ascii="Times New Roman" w:eastAsia="Times New Roman"/>
                <w:sz w:val="21"/>
              </w:rPr>
              <w:t>2</w:t>
            </w:r>
            <w:r>
              <w:rPr>
                <w:sz w:val="21"/>
              </w:rPr>
              <w:t>）双眼中较好眼视野半径小于 </w:t>
            </w:r>
            <w:r>
              <w:rPr>
                <w:rFonts w:ascii="Times New Roman" w:eastAsia="Times New Roman"/>
                <w:sz w:val="21"/>
              </w:rPr>
              <w:t>20 </w:t>
            </w:r>
            <w:r>
              <w:rPr>
                <w:sz w:val="21"/>
              </w:rPr>
              <w:t>度。</w:t>
            </w:r>
          </w:p>
          <w:p>
            <w:pPr>
              <w:pStyle w:val="TableParagraph"/>
              <w:spacing w:line="312" w:lineRule="exact" w:before="16"/>
              <w:ind w:left="139" w:right="308"/>
              <w:jc w:val="both"/>
              <w:rPr>
                <w:b/>
                <w:sz w:val="21"/>
              </w:rPr>
            </w:pPr>
            <w:r>
              <w:rPr>
                <w:b/>
                <w:sz w:val="21"/>
              </w:rPr>
              <w:t>被保险人申请理赔时年龄必须在三周岁以上，并且提供理赔当时的视力丧失诊断及检查证据。</w:t>
            </w:r>
          </w:p>
        </w:tc>
      </w:tr>
      <w:tr>
        <w:trPr>
          <w:trHeight w:val="1560" w:hRule="atLeast"/>
        </w:trPr>
        <w:tc>
          <w:tcPr>
            <w:tcW w:w="474" w:type="dxa"/>
          </w:tcPr>
          <w:p>
            <w:pPr>
              <w:pStyle w:val="TableParagraph"/>
              <w:spacing w:before="38"/>
              <w:ind w:left="200"/>
              <w:rPr>
                <w:rFonts w:ascii="Times New Roman"/>
                <w:sz w:val="21"/>
              </w:rPr>
            </w:pPr>
            <w:r>
              <w:rPr>
                <w:rFonts w:ascii="Times New Roman"/>
                <w:sz w:val="21"/>
              </w:rPr>
              <w:t>11.</w:t>
            </w:r>
          </w:p>
        </w:tc>
        <w:tc>
          <w:tcPr>
            <w:tcW w:w="2705" w:type="dxa"/>
          </w:tcPr>
          <w:p>
            <w:pPr>
              <w:pStyle w:val="TableParagraph"/>
              <w:spacing w:line="256" w:lineRule="auto"/>
              <w:ind w:left="9" w:right="137"/>
              <w:rPr>
                <w:b/>
                <w:sz w:val="21"/>
              </w:rPr>
            </w:pPr>
            <w:r>
              <w:rPr>
                <w:sz w:val="21"/>
              </w:rPr>
              <w:t>听力严重受损</w:t>
            </w:r>
            <w:r>
              <w:rPr>
                <w:rFonts w:ascii="Times New Roman" w:eastAsia="Times New Roman"/>
                <w:sz w:val="21"/>
              </w:rPr>
              <w:t>- </w:t>
            </w:r>
            <w:r>
              <w:rPr>
                <w:b/>
                <w:sz w:val="21"/>
              </w:rPr>
              <w:t>三周岁始理赔</w:t>
            </w:r>
          </w:p>
        </w:tc>
        <w:tc>
          <w:tcPr>
            <w:tcW w:w="7228" w:type="dxa"/>
          </w:tcPr>
          <w:p>
            <w:pPr>
              <w:pStyle w:val="TableParagraph"/>
              <w:spacing w:line="282" w:lineRule="exact"/>
              <w:ind w:left="139"/>
              <w:rPr>
                <w:rFonts w:ascii="Times New Roman" w:eastAsia="Times New Roman"/>
                <w:sz w:val="21"/>
              </w:rPr>
            </w:pPr>
            <w:r>
              <w:rPr>
                <w:sz w:val="21"/>
              </w:rPr>
              <w:t>指因疾病或意外伤害导致一耳听力永久不可逆性丧失，在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139" w:right="408"/>
              <w:rPr>
                <w:sz w:val="21"/>
              </w:rPr>
            </w:pPr>
            <w:r>
              <w:rPr>
                <w:spacing w:val="-13"/>
                <w:sz w:val="21"/>
              </w:rPr>
              <w:t>赫兹和 </w:t>
            </w:r>
            <w:r>
              <w:rPr>
                <w:rFonts w:ascii="Times New Roman" w:eastAsia="Times New Roman"/>
                <w:sz w:val="21"/>
              </w:rPr>
              <w:t>2000 </w:t>
            </w:r>
            <w:r>
              <w:rPr>
                <w:spacing w:val="-9"/>
                <w:sz w:val="21"/>
              </w:rPr>
              <w:t>赫兹语音频率下，平均听阈大于 </w:t>
            </w:r>
            <w:r>
              <w:rPr>
                <w:rFonts w:ascii="Times New Roman" w:eastAsia="Times New Roman"/>
                <w:sz w:val="21"/>
              </w:rPr>
              <w:t>90 </w:t>
            </w:r>
            <w:r>
              <w:rPr>
                <w:spacing w:val="-7"/>
                <w:sz w:val="21"/>
              </w:rPr>
              <w:t>分贝，且经纯音听力测试</w:t>
            </w:r>
            <w:r>
              <w:rPr>
                <w:spacing w:val="-5"/>
                <w:sz w:val="21"/>
              </w:rPr>
              <w:t>声导抗检测或听觉诱发电位检测等证实。</w:t>
            </w:r>
          </w:p>
          <w:p>
            <w:pPr>
              <w:pStyle w:val="TableParagraph"/>
              <w:spacing w:line="312" w:lineRule="exact" w:before="18"/>
              <w:ind w:left="139" w:right="308"/>
              <w:rPr>
                <w:b/>
                <w:sz w:val="21"/>
              </w:rPr>
            </w:pPr>
            <w:r>
              <w:rPr>
                <w:b/>
                <w:sz w:val="21"/>
              </w:rPr>
              <w:t>被保险人申请理赔时年龄必须在三周岁以上，并且提供理赔当时的听力丧失诊断及检查证据。</w:t>
            </w:r>
          </w:p>
        </w:tc>
      </w:tr>
      <w:tr>
        <w:trPr>
          <w:trHeight w:val="623" w:hRule="atLeast"/>
        </w:trPr>
        <w:tc>
          <w:tcPr>
            <w:tcW w:w="474" w:type="dxa"/>
          </w:tcPr>
          <w:p>
            <w:pPr>
              <w:pStyle w:val="TableParagraph"/>
              <w:spacing w:before="38"/>
              <w:ind w:left="200"/>
              <w:rPr>
                <w:rFonts w:ascii="Times New Roman"/>
                <w:sz w:val="21"/>
              </w:rPr>
            </w:pPr>
            <w:r>
              <w:rPr>
                <w:rFonts w:ascii="Times New Roman"/>
                <w:sz w:val="21"/>
              </w:rPr>
              <w:t>12.</w:t>
            </w:r>
          </w:p>
        </w:tc>
        <w:tc>
          <w:tcPr>
            <w:tcW w:w="2705" w:type="dxa"/>
          </w:tcPr>
          <w:p>
            <w:pPr>
              <w:pStyle w:val="TableParagraph"/>
              <w:spacing w:line="266" w:lineRule="exact"/>
              <w:ind w:left="9"/>
              <w:rPr>
                <w:sz w:val="21"/>
              </w:rPr>
            </w:pPr>
            <w:r>
              <w:rPr>
                <w:sz w:val="21"/>
              </w:rPr>
              <w:t>单肢缺失</w:t>
            </w:r>
          </w:p>
        </w:tc>
        <w:tc>
          <w:tcPr>
            <w:tcW w:w="7228" w:type="dxa"/>
          </w:tcPr>
          <w:p>
            <w:pPr>
              <w:pStyle w:val="TableParagraph"/>
              <w:spacing w:line="266" w:lineRule="exact"/>
              <w:ind w:left="139"/>
              <w:rPr>
                <w:sz w:val="21"/>
              </w:rPr>
            </w:pPr>
            <w:r>
              <w:rPr>
                <w:sz w:val="21"/>
              </w:rPr>
              <w:t>因疾病或意外导致单肢已断离并且不可接回，未达到本合同所保障重大疾</w:t>
            </w:r>
          </w:p>
          <w:p>
            <w:pPr>
              <w:pStyle w:val="TableParagraph"/>
              <w:spacing w:before="37"/>
              <w:ind w:left="139"/>
              <w:rPr>
                <w:b/>
                <w:sz w:val="21"/>
              </w:rPr>
            </w:pPr>
            <w:r>
              <w:rPr>
                <w:sz w:val="21"/>
              </w:rPr>
              <w:t>病的给付标准，</w:t>
            </w:r>
            <w:r>
              <w:rPr>
                <w:b/>
                <w:sz w:val="21"/>
              </w:rPr>
              <w:t>但断肢必须是在膝部或肘部以上。</w:t>
            </w:r>
          </w:p>
        </w:tc>
      </w:tr>
      <w:tr>
        <w:trPr>
          <w:trHeight w:val="1567" w:hRule="atLeast"/>
        </w:trPr>
        <w:tc>
          <w:tcPr>
            <w:tcW w:w="474" w:type="dxa"/>
          </w:tcPr>
          <w:p>
            <w:pPr>
              <w:pStyle w:val="TableParagraph"/>
              <w:spacing w:before="38"/>
              <w:ind w:left="200"/>
              <w:rPr>
                <w:rFonts w:ascii="Times New Roman"/>
                <w:sz w:val="21"/>
              </w:rPr>
            </w:pPr>
            <w:r>
              <w:rPr>
                <w:rFonts w:ascii="Times New Roman"/>
                <w:sz w:val="21"/>
              </w:rPr>
              <w:t>13.</w:t>
            </w:r>
          </w:p>
        </w:tc>
        <w:tc>
          <w:tcPr>
            <w:tcW w:w="2705" w:type="dxa"/>
          </w:tcPr>
          <w:p>
            <w:pPr>
              <w:pStyle w:val="TableParagraph"/>
              <w:spacing w:line="266" w:lineRule="exact"/>
              <w:ind w:left="9"/>
              <w:rPr>
                <w:sz w:val="21"/>
              </w:rPr>
            </w:pPr>
            <w:r>
              <w:rPr>
                <w:sz w:val="21"/>
              </w:rPr>
              <w:t>心脏起搏器或除颤器植入</w:t>
            </w:r>
          </w:p>
        </w:tc>
        <w:tc>
          <w:tcPr>
            <w:tcW w:w="7228" w:type="dxa"/>
          </w:tcPr>
          <w:p>
            <w:pPr>
              <w:pStyle w:val="TableParagraph"/>
              <w:spacing w:line="273" w:lineRule="auto"/>
              <w:ind w:left="139" w:right="304"/>
              <w:jc w:val="both"/>
              <w:rPr>
                <w:sz w:val="21"/>
              </w:rPr>
            </w:pPr>
            <w:r>
              <w:rPr>
                <w:sz w:val="21"/>
              </w:rPr>
              <w:t>因严重心律失常而于心腔内进行植入永久性心脏起搏器或除颤器的手术， 此严重心律失常并不能以其他方法治疗。必须由相关专科医生确认植入心脏起搏器或除颤器为医疗所须。</w:t>
            </w:r>
          </w:p>
          <w:p>
            <w:pPr>
              <w:pStyle w:val="TableParagraph"/>
              <w:spacing w:before="16"/>
              <w:ind w:left="139"/>
              <w:jc w:val="both"/>
              <w:rPr>
                <w:b/>
                <w:sz w:val="21"/>
              </w:rPr>
            </w:pPr>
            <w:r>
              <w:rPr>
                <w:b/>
                <w:sz w:val="21"/>
              </w:rPr>
              <w:t>若被保险人因同一原因导致其同时满足本合同重大疾病严重 </w:t>
            </w:r>
            <w:r>
              <w:rPr>
                <w:rFonts w:ascii="Times New Roman" w:eastAsia="Times New Roman"/>
                <w:b/>
                <w:sz w:val="21"/>
              </w:rPr>
              <w:t>1 </w:t>
            </w:r>
            <w:r>
              <w:rPr>
                <w:b/>
                <w:sz w:val="21"/>
              </w:rPr>
              <w:t>型糖尿病和</w:t>
            </w:r>
          </w:p>
          <w:p>
            <w:pPr>
              <w:pStyle w:val="TableParagraph"/>
              <w:spacing w:before="20"/>
              <w:ind w:left="139"/>
              <w:jc w:val="both"/>
              <w:rPr>
                <w:b/>
                <w:sz w:val="21"/>
              </w:rPr>
            </w:pPr>
            <w:r>
              <w:rPr>
                <w:b/>
                <w:sz w:val="21"/>
              </w:rPr>
              <w:t>心脏起搏器或除颤器植入手术的，仅按重大疾病严重 </w:t>
            </w:r>
            <w:r>
              <w:rPr>
                <w:rFonts w:ascii="Times New Roman" w:eastAsia="Times New Roman"/>
                <w:b/>
                <w:sz w:val="21"/>
              </w:rPr>
              <w:t>1 </w:t>
            </w:r>
            <w:r>
              <w:rPr>
                <w:b/>
                <w:sz w:val="21"/>
              </w:rPr>
              <w:t>型糖尿病一项给付。</w:t>
            </w:r>
          </w:p>
        </w:tc>
      </w:tr>
      <w:tr>
        <w:trPr>
          <w:trHeight w:val="616" w:hRule="atLeast"/>
        </w:trPr>
        <w:tc>
          <w:tcPr>
            <w:tcW w:w="474" w:type="dxa"/>
          </w:tcPr>
          <w:p>
            <w:pPr>
              <w:pStyle w:val="TableParagraph"/>
              <w:spacing w:before="30"/>
              <w:ind w:left="200"/>
              <w:rPr>
                <w:rFonts w:ascii="Times New Roman"/>
                <w:sz w:val="21"/>
              </w:rPr>
            </w:pPr>
            <w:r>
              <w:rPr>
                <w:rFonts w:ascii="Times New Roman"/>
                <w:sz w:val="21"/>
              </w:rPr>
              <w:t>14.</w:t>
            </w:r>
          </w:p>
        </w:tc>
        <w:tc>
          <w:tcPr>
            <w:tcW w:w="2705" w:type="dxa"/>
          </w:tcPr>
          <w:p>
            <w:pPr>
              <w:pStyle w:val="TableParagraph"/>
              <w:spacing w:line="258" w:lineRule="exact"/>
              <w:ind w:left="9"/>
              <w:rPr>
                <w:sz w:val="21"/>
              </w:rPr>
            </w:pPr>
            <w:r>
              <w:rPr>
                <w:sz w:val="21"/>
              </w:rPr>
              <w:t>轻度颅脑手术</w:t>
            </w:r>
          </w:p>
        </w:tc>
        <w:tc>
          <w:tcPr>
            <w:tcW w:w="7228" w:type="dxa"/>
          </w:tcPr>
          <w:p>
            <w:pPr>
              <w:pStyle w:val="TableParagraph"/>
              <w:spacing w:line="258" w:lineRule="exact"/>
              <w:ind w:left="139"/>
              <w:rPr>
                <w:b/>
                <w:sz w:val="21"/>
              </w:rPr>
            </w:pPr>
            <w:r>
              <w:rPr>
                <w:sz w:val="21"/>
              </w:rPr>
              <w:t>被保险人确已实施全麻下的颅骨钻孔手术或经鼻蝶窦入颅手术。</w:t>
            </w:r>
            <w:r>
              <w:rPr>
                <w:b/>
                <w:sz w:val="21"/>
              </w:rPr>
              <w:t>因外伤而</w:t>
            </w:r>
          </w:p>
          <w:p>
            <w:pPr>
              <w:pStyle w:val="TableParagraph"/>
              <w:spacing w:before="37"/>
              <w:ind w:left="139"/>
              <w:rPr>
                <w:b/>
                <w:sz w:val="21"/>
              </w:rPr>
            </w:pPr>
            <w:r>
              <w:rPr>
                <w:b/>
                <w:sz w:val="21"/>
              </w:rPr>
              <w:t>实施的脑外科手术不在保障范围内。</w:t>
            </w:r>
          </w:p>
        </w:tc>
      </w:tr>
      <w:tr>
        <w:trPr>
          <w:trHeight w:val="1826" w:hRule="atLeast"/>
        </w:trPr>
        <w:tc>
          <w:tcPr>
            <w:tcW w:w="474" w:type="dxa"/>
          </w:tcPr>
          <w:p>
            <w:pPr>
              <w:pStyle w:val="TableParagraph"/>
              <w:spacing w:before="38"/>
              <w:ind w:left="200"/>
              <w:rPr>
                <w:rFonts w:ascii="Times New Roman"/>
                <w:sz w:val="21"/>
              </w:rPr>
            </w:pPr>
            <w:r>
              <w:rPr>
                <w:rFonts w:ascii="Times New Roman"/>
                <w:sz w:val="21"/>
              </w:rPr>
              <w:t>15.</w:t>
            </w:r>
          </w:p>
        </w:tc>
        <w:tc>
          <w:tcPr>
            <w:tcW w:w="2705" w:type="dxa"/>
          </w:tcPr>
          <w:p>
            <w:pPr>
              <w:pStyle w:val="TableParagraph"/>
              <w:spacing w:line="282" w:lineRule="exact"/>
              <w:ind w:left="9"/>
              <w:rPr>
                <w:b/>
                <w:sz w:val="21"/>
              </w:rPr>
            </w:pPr>
            <w:r>
              <w:rPr>
                <w:sz w:val="21"/>
              </w:rPr>
              <w:t>单目失明</w:t>
            </w:r>
            <w:r>
              <w:rPr>
                <w:rFonts w:ascii="Times New Roman" w:eastAsia="Times New Roman"/>
                <w:sz w:val="21"/>
              </w:rPr>
              <w:t>-  </w:t>
            </w:r>
            <w:r>
              <w:rPr>
                <w:b/>
                <w:sz w:val="21"/>
              </w:rPr>
              <w:t>三周岁始理赔</w:t>
            </w:r>
          </w:p>
        </w:tc>
        <w:tc>
          <w:tcPr>
            <w:tcW w:w="7228" w:type="dxa"/>
          </w:tcPr>
          <w:p>
            <w:pPr>
              <w:pStyle w:val="TableParagraph"/>
              <w:spacing w:line="264" w:lineRule="auto"/>
              <w:ind w:left="139" w:right="302"/>
              <w:jc w:val="both"/>
              <w:rPr>
                <w:sz w:val="21"/>
              </w:rPr>
            </w:pPr>
            <w:r>
              <w:rPr>
                <w:spacing w:val="-3"/>
                <w:sz w:val="21"/>
              </w:rPr>
              <w:t>指因疾病或者意外伤害导致单眼视力永久不可逆性丧失，未达到本合同所</w:t>
            </w:r>
            <w:r>
              <w:rPr>
                <w:spacing w:val="-4"/>
                <w:sz w:val="21"/>
              </w:rPr>
              <w:t>指重大疾病“双目失明</w:t>
            </w:r>
            <w:r>
              <w:rPr>
                <w:rFonts w:ascii="Times New Roman" w:hAnsi="Times New Roman" w:eastAsia="Times New Roman"/>
                <w:spacing w:val="-4"/>
                <w:sz w:val="21"/>
              </w:rPr>
              <w:t>-</w:t>
            </w:r>
            <w:r>
              <w:rPr>
                <w:spacing w:val="-4"/>
                <w:sz w:val="21"/>
              </w:rPr>
              <w:t>三周岁始理赔”的给付标准，患眼须满足下列至少</w:t>
            </w:r>
            <w:r>
              <w:rPr>
                <w:spacing w:val="-3"/>
                <w:sz w:val="21"/>
              </w:rPr>
              <w:t>一项条件：</w:t>
            </w:r>
          </w:p>
          <w:p>
            <w:pPr>
              <w:pStyle w:val="TableParagraph"/>
              <w:spacing w:before="25"/>
              <w:ind w:left="139"/>
              <w:rPr>
                <w:sz w:val="21"/>
              </w:rPr>
            </w:pPr>
            <w:r>
              <w:rPr>
                <w:sz w:val="21"/>
              </w:rPr>
              <w:t>（</w:t>
            </w:r>
            <w:r>
              <w:rPr>
                <w:rFonts w:ascii="Times New Roman" w:eastAsia="Times New Roman"/>
                <w:sz w:val="21"/>
              </w:rPr>
              <w:t>1</w:t>
            </w:r>
            <w:r>
              <w:rPr>
                <w:sz w:val="21"/>
              </w:rPr>
              <w:t>）眼球缺失或者摘除；</w:t>
            </w:r>
          </w:p>
          <w:p>
            <w:pPr>
              <w:pStyle w:val="TableParagraph"/>
              <w:spacing w:line="290" w:lineRule="atLeast" w:before="21"/>
              <w:ind w:left="139" w:right="302"/>
              <w:jc w:val="both"/>
              <w:rPr>
                <w:sz w:val="21"/>
              </w:rPr>
            </w:pPr>
            <w:r>
              <w:rPr>
                <w:spacing w:val="-6"/>
                <w:sz w:val="21"/>
              </w:rPr>
              <w:t>（</w:t>
            </w:r>
            <w:r>
              <w:rPr>
                <w:rFonts w:ascii="Times New Roman" w:eastAsia="Times New Roman"/>
                <w:spacing w:val="-6"/>
                <w:sz w:val="21"/>
              </w:rPr>
              <w:t>2</w:t>
            </w:r>
            <w:r>
              <w:rPr>
                <w:spacing w:val="-6"/>
                <w:sz w:val="21"/>
              </w:rPr>
              <w:t>）</w:t>
            </w:r>
            <w:r>
              <w:rPr>
                <w:spacing w:val="-7"/>
                <w:sz w:val="21"/>
              </w:rPr>
              <w:t>矫正视力低于 </w:t>
            </w:r>
            <w:r>
              <w:rPr>
                <w:rFonts w:ascii="Times New Roman" w:eastAsia="Times New Roman"/>
                <w:spacing w:val="-4"/>
                <w:sz w:val="21"/>
              </w:rPr>
              <w:t>0.02</w:t>
            </w:r>
            <w:r>
              <w:rPr>
                <w:spacing w:val="-4"/>
                <w:sz w:val="21"/>
              </w:rPr>
              <w:t>（</w:t>
            </w:r>
            <w:r>
              <w:rPr>
                <w:spacing w:val="-5"/>
                <w:sz w:val="21"/>
              </w:rPr>
              <w:t>采用国际标准视力表，如果使用其他视力表应进</w:t>
            </w:r>
            <w:r>
              <w:rPr>
                <w:spacing w:val="-5"/>
                <w:w w:val="100"/>
                <w:sz w:val="21"/>
              </w:rPr>
              <w:t>行换算</w:t>
            </w:r>
            <w:r>
              <w:rPr>
                <w:spacing w:val="-106"/>
                <w:w w:val="100"/>
                <w:sz w:val="21"/>
              </w:rPr>
              <w:t>）</w:t>
            </w:r>
            <w:r>
              <w:rPr>
                <w:w w:val="100"/>
                <w:sz w:val="21"/>
              </w:rPr>
              <w:t>；</w:t>
            </w:r>
          </w:p>
        </w:tc>
      </w:tr>
    </w:tbl>
    <w:p>
      <w:pPr>
        <w:pStyle w:val="BodyText"/>
        <w:spacing w:before="7"/>
        <w:rPr>
          <w:rFonts w:ascii="楷体"/>
          <w:sz w:val="24"/>
        </w:rPr>
      </w:pPr>
      <w:r>
        <w:rPr/>
        <w:pict>
          <v:line style="position:absolute;mso-position-horizontal-relative:page;mso-position-vertical-relative:paragraph;z-index:1216;mso-wrap-distance-left:0;mso-wrap-distance-right:0" from="53.880001pt,18.300854pt" to="197.930001pt,18.300854pt" stroked="true" strokeweight=".47998pt" strokecolor="#000000">
            <v:stroke dashstyle="solid"/>
            <w10:wrap type="topAndBottom"/>
          </v:line>
        </w:pict>
      </w:r>
    </w:p>
    <w:p>
      <w:pPr>
        <w:pStyle w:val="BodyText"/>
        <w:spacing w:line="223" w:lineRule="auto" w:before="55"/>
        <w:ind w:left="317" w:right="392"/>
        <w:rPr>
          <w:rFonts w:ascii="楷体" w:eastAsia="楷体" w:hint="eastAsia"/>
        </w:rPr>
      </w:pPr>
      <w:r>
        <w:rPr>
          <w:rFonts w:ascii="Times New Roman" w:eastAsia="Times New Roman"/>
          <w:position w:val="10"/>
          <w:sz w:val="14"/>
        </w:rPr>
        <w:t>28</w:t>
      </w:r>
      <w:r>
        <w:rPr>
          <w:rFonts w:ascii="楷体" w:eastAsia="楷体" w:hint="eastAsia"/>
          <w:b/>
        </w:rPr>
        <w:t>永久不可逆：</w:t>
      </w:r>
      <w:r>
        <w:rPr>
          <w:rFonts w:ascii="楷体" w:eastAsia="楷体" w:hint="eastAsia"/>
        </w:rPr>
        <w:t>指自疾病确诊或意外伤害发生之日起，经过积极治疗 </w:t>
      </w:r>
      <w:r>
        <w:rPr>
          <w:rFonts w:ascii="Times New Roman" w:eastAsia="Times New Roman"/>
        </w:rPr>
        <w:t>180 </w:t>
      </w:r>
      <w:r>
        <w:rPr>
          <w:rFonts w:ascii="楷体" w:eastAsia="楷体" w:hint="eastAsia"/>
        </w:rPr>
        <w:t>天后，仍无法通过现有医疗手段恢复。</w:t>
      </w:r>
    </w:p>
    <w:p>
      <w:pPr>
        <w:spacing w:after="0" w:line="223" w:lineRule="auto"/>
        <w:rPr>
          <w:rFonts w:ascii="楷体" w:eastAsia="楷体" w:hint="eastAsia"/>
        </w:rPr>
        <w:sectPr>
          <w:pgSz w:w="11910" w:h="16160"/>
          <w:pgMar w:header="0" w:footer="799" w:top="1420" w:bottom="1060" w:left="760" w:right="5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2269"/>
        <w:gridCol w:w="7629"/>
      </w:tblGrid>
      <w:tr>
        <w:trPr>
          <w:trHeight w:val="888" w:hRule="atLeast"/>
        </w:trPr>
        <w:tc>
          <w:tcPr>
            <w:tcW w:w="474" w:type="dxa"/>
          </w:tcPr>
          <w:p>
            <w:pPr>
              <w:pStyle w:val="TableParagraph"/>
              <w:rPr>
                <w:rFonts w:ascii="Times New Roman"/>
                <w:sz w:val="20"/>
              </w:rPr>
            </w:pPr>
          </w:p>
        </w:tc>
        <w:tc>
          <w:tcPr>
            <w:tcW w:w="2269" w:type="dxa"/>
          </w:tcPr>
          <w:p>
            <w:pPr>
              <w:pStyle w:val="TableParagraph"/>
              <w:rPr>
                <w:rFonts w:ascii="Times New Roman"/>
                <w:sz w:val="20"/>
              </w:rPr>
            </w:pPr>
          </w:p>
        </w:tc>
        <w:tc>
          <w:tcPr>
            <w:tcW w:w="7629" w:type="dxa"/>
          </w:tcPr>
          <w:p>
            <w:pPr>
              <w:pStyle w:val="TableParagraph"/>
              <w:spacing w:line="234" w:lineRule="exact"/>
              <w:ind w:left="575"/>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575" w:right="273"/>
              <w:rPr>
                <w:b/>
                <w:sz w:val="21"/>
              </w:rPr>
            </w:pPr>
            <w:r>
              <w:rPr>
                <w:b/>
                <w:sz w:val="21"/>
              </w:rPr>
              <w:t>被保险人申请理赔时年龄必须在三周岁以上，并且提供理赔当时的视力丧失诊断及检查证据。</w:t>
            </w:r>
          </w:p>
        </w:tc>
      </w:tr>
      <w:tr>
        <w:trPr>
          <w:trHeight w:val="935" w:hRule="atLeast"/>
        </w:trPr>
        <w:tc>
          <w:tcPr>
            <w:tcW w:w="474" w:type="dxa"/>
          </w:tcPr>
          <w:p>
            <w:pPr>
              <w:pStyle w:val="TableParagraph"/>
              <w:spacing w:before="38"/>
              <w:ind w:right="9"/>
              <w:jc w:val="right"/>
              <w:rPr>
                <w:rFonts w:ascii="Times New Roman"/>
                <w:sz w:val="21"/>
              </w:rPr>
            </w:pPr>
            <w:r>
              <w:rPr>
                <w:rFonts w:ascii="Times New Roman"/>
                <w:sz w:val="21"/>
              </w:rPr>
              <w:t>16.</w:t>
            </w:r>
          </w:p>
        </w:tc>
        <w:tc>
          <w:tcPr>
            <w:tcW w:w="2269" w:type="dxa"/>
          </w:tcPr>
          <w:p>
            <w:pPr>
              <w:pStyle w:val="TableParagraph"/>
              <w:spacing w:line="266" w:lineRule="exact"/>
              <w:ind w:left="9"/>
              <w:rPr>
                <w:sz w:val="21"/>
              </w:rPr>
            </w:pPr>
            <w:r>
              <w:rPr>
                <w:sz w:val="21"/>
              </w:rPr>
              <w:t>双侧睾丸切除手术</w:t>
            </w:r>
          </w:p>
        </w:tc>
        <w:tc>
          <w:tcPr>
            <w:tcW w:w="7629" w:type="dxa"/>
          </w:tcPr>
          <w:p>
            <w:pPr>
              <w:pStyle w:val="TableParagraph"/>
              <w:spacing w:line="273" w:lineRule="auto"/>
              <w:ind w:left="575" w:right="266"/>
              <w:rPr>
                <w:b/>
                <w:sz w:val="21"/>
              </w:rPr>
            </w:pPr>
            <w:r>
              <w:rPr>
                <w:sz w:val="21"/>
              </w:rPr>
              <w:t>因疾病或者意外伤害导致接受了双侧睾丸完全切除手术。</w:t>
            </w:r>
            <w:r>
              <w:rPr>
                <w:b/>
                <w:sz w:val="21"/>
              </w:rPr>
              <w:t>部分睾丸切除不在保障范围内。</w:t>
            </w:r>
          </w:p>
          <w:p>
            <w:pPr>
              <w:pStyle w:val="TableParagraph"/>
              <w:spacing w:before="16"/>
              <w:ind w:left="575"/>
              <w:rPr>
                <w:b/>
                <w:sz w:val="21"/>
              </w:rPr>
            </w:pPr>
            <w:r>
              <w:rPr>
                <w:b/>
                <w:sz w:val="21"/>
              </w:rPr>
              <w:t>被保险人在六十周岁之后接受该手术，我们不承担保险责任。</w:t>
            </w:r>
          </w:p>
        </w:tc>
      </w:tr>
      <w:tr>
        <w:trPr>
          <w:trHeight w:val="936" w:hRule="atLeast"/>
        </w:trPr>
        <w:tc>
          <w:tcPr>
            <w:tcW w:w="474" w:type="dxa"/>
          </w:tcPr>
          <w:p>
            <w:pPr>
              <w:pStyle w:val="TableParagraph"/>
              <w:spacing w:before="38"/>
              <w:ind w:right="9"/>
              <w:jc w:val="right"/>
              <w:rPr>
                <w:rFonts w:ascii="Times New Roman"/>
                <w:sz w:val="21"/>
              </w:rPr>
            </w:pPr>
            <w:r>
              <w:rPr>
                <w:rFonts w:ascii="Times New Roman"/>
                <w:sz w:val="21"/>
              </w:rPr>
              <w:t>17.</w:t>
            </w:r>
          </w:p>
        </w:tc>
        <w:tc>
          <w:tcPr>
            <w:tcW w:w="2269" w:type="dxa"/>
          </w:tcPr>
          <w:p>
            <w:pPr>
              <w:pStyle w:val="TableParagraph"/>
              <w:spacing w:line="266" w:lineRule="exact"/>
              <w:ind w:left="9"/>
              <w:rPr>
                <w:sz w:val="21"/>
              </w:rPr>
            </w:pPr>
            <w:r>
              <w:rPr>
                <w:sz w:val="21"/>
              </w:rPr>
              <w:t>双侧卵巢切除手术</w:t>
            </w:r>
          </w:p>
        </w:tc>
        <w:tc>
          <w:tcPr>
            <w:tcW w:w="7629" w:type="dxa"/>
          </w:tcPr>
          <w:p>
            <w:pPr>
              <w:pStyle w:val="TableParagraph"/>
              <w:spacing w:line="273" w:lineRule="auto"/>
              <w:ind w:left="575" w:right="266"/>
              <w:rPr>
                <w:b/>
                <w:sz w:val="21"/>
              </w:rPr>
            </w:pPr>
            <w:r>
              <w:rPr>
                <w:sz w:val="21"/>
              </w:rPr>
              <w:t>因疾病或者意外伤害导致接受了双侧卵巢完全切除手术。</w:t>
            </w:r>
            <w:r>
              <w:rPr>
                <w:b/>
                <w:sz w:val="21"/>
              </w:rPr>
              <w:t>部分卵巢切除不在保障范围内。</w:t>
            </w:r>
          </w:p>
          <w:p>
            <w:pPr>
              <w:pStyle w:val="TableParagraph"/>
              <w:spacing w:before="16"/>
              <w:ind w:left="575"/>
              <w:rPr>
                <w:b/>
                <w:sz w:val="21"/>
              </w:rPr>
            </w:pPr>
            <w:r>
              <w:rPr>
                <w:b/>
                <w:sz w:val="21"/>
              </w:rPr>
              <w:t>被保险人在六十周岁之后接受该手术，我们不承担保险责任。</w:t>
            </w:r>
          </w:p>
        </w:tc>
      </w:tr>
      <w:tr>
        <w:trPr>
          <w:trHeight w:val="1568" w:hRule="atLeast"/>
        </w:trPr>
        <w:tc>
          <w:tcPr>
            <w:tcW w:w="474" w:type="dxa"/>
          </w:tcPr>
          <w:p>
            <w:pPr>
              <w:pStyle w:val="TableParagraph"/>
              <w:spacing w:before="38"/>
              <w:ind w:right="9"/>
              <w:jc w:val="right"/>
              <w:rPr>
                <w:rFonts w:ascii="Times New Roman"/>
                <w:sz w:val="21"/>
              </w:rPr>
            </w:pPr>
            <w:r>
              <w:rPr>
                <w:rFonts w:ascii="Times New Roman"/>
                <w:sz w:val="21"/>
              </w:rPr>
              <w:t>18.</w:t>
            </w:r>
          </w:p>
        </w:tc>
        <w:tc>
          <w:tcPr>
            <w:tcW w:w="2269" w:type="dxa"/>
          </w:tcPr>
          <w:p>
            <w:pPr>
              <w:pStyle w:val="TableParagraph"/>
              <w:spacing w:line="266" w:lineRule="exact"/>
              <w:ind w:left="9"/>
              <w:rPr>
                <w:sz w:val="21"/>
              </w:rPr>
            </w:pPr>
            <w:r>
              <w:rPr>
                <w:sz w:val="21"/>
              </w:rPr>
              <w:t>单侧肺脏切除</w:t>
            </w:r>
          </w:p>
        </w:tc>
        <w:tc>
          <w:tcPr>
            <w:tcW w:w="7629" w:type="dxa"/>
          </w:tcPr>
          <w:p>
            <w:pPr>
              <w:pStyle w:val="TableParagraph"/>
              <w:spacing w:line="273" w:lineRule="auto"/>
              <w:ind w:left="575" w:right="2425"/>
              <w:rPr>
                <w:b/>
                <w:sz w:val="21"/>
              </w:rPr>
            </w:pPr>
            <w:r>
              <w:rPr>
                <w:sz w:val="21"/>
              </w:rPr>
              <w:t>指因疾病或意外伤害实际实施的一侧肺脏切除术。</w:t>
            </w:r>
            <w:r>
              <w:rPr>
                <w:b/>
                <w:sz w:val="21"/>
              </w:rPr>
              <w:t>下列情况不在保障范围内：</w:t>
            </w:r>
          </w:p>
          <w:p>
            <w:pPr>
              <w:pStyle w:val="TableParagraph"/>
              <w:spacing w:before="17"/>
              <w:ind w:left="575"/>
              <w:rPr>
                <w:b/>
                <w:sz w:val="21"/>
              </w:rPr>
            </w:pPr>
            <w:r>
              <w:rPr>
                <w:b/>
                <w:sz w:val="21"/>
              </w:rPr>
              <w:t>（</w:t>
            </w:r>
            <w:r>
              <w:rPr>
                <w:rFonts w:ascii="Times New Roman" w:eastAsia="Times New Roman"/>
                <w:b/>
                <w:sz w:val="21"/>
              </w:rPr>
              <w:t>1</w:t>
            </w:r>
            <w:r>
              <w:rPr>
                <w:b/>
                <w:sz w:val="21"/>
              </w:rPr>
              <w:t>）肺脏部分切除手术；</w:t>
            </w:r>
          </w:p>
          <w:p>
            <w:pPr>
              <w:pStyle w:val="TableParagraph"/>
              <w:spacing w:before="21"/>
              <w:ind w:left="575"/>
              <w:rPr>
                <w:b/>
                <w:sz w:val="21"/>
              </w:rPr>
            </w:pPr>
            <w:r>
              <w:rPr>
                <w:b/>
                <w:sz w:val="21"/>
              </w:rPr>
              <w:t>（</w:t>
            </w:r>
            <w:r>
              <w:rPr>
                <w:rFonts w:ascii="Times New Roman" w:eastAsia="Times New Roman"/>
                <w:b/>
                <w:sz w:val="21"/>
              </w:rPr>
              <w:t>2</w:t>
            </w:r>
            <w:r>
              <w:rPr>
                <w:b/>
                <w:sz w:val="21"/>
              </w:rPr>
              <w:t>）因恶性肿瘤进行的肺切除手术；</w:t>
            </w:r>
          </w:p>
          <w:p>
            <w:pPr>
              <w:pStyle w:val="TableParagraph"/>
              <w:spacing w:before="21"/>
              <w:ind w:left="575"/>
              <w:rPr>
                <w:b/>
                <w:sz w:val="21"/>
              </w:rPr>
            </w:pPr>
            <w:r>
              <w:rPr>
                <w:b/>
                <w:sz w:val="21"/>
              </w:rPr>
              <w:t>（</w:t>
            </w:r>
            <w:r>
              <w:rPr>
                <w:rFonts w:ascii="Times New Roman" w:eastAsia="Times New Roman"/>
                <w:b/>
                <w:sz w:val="21"/>
              </w:rPr>
              <w:t>3</w:t>
            </w:r>
            <w:r>
              <w:rPr>
                <w:b/>
                <w:sz w:val="21"/>
              </w:rPr>
              <w:t>）作为器官捐献者而实施的肺切除手术。</w:t>
            </w:r>
          </w:p>
        </w:tc>
      </w:tr>
      <w:tr>
        <w:trPr>
          <w:trHeight w:val="2183" w:hRule="atLeast"/>
        </w:trPr>
        <w:tc>
          <w:tcPr>
            <w:tcW w:w="474" w:type="dxa"/>
          </w:tcPr>
          <w:p>
            <w:pPr>
              <w:pStyle w:val="TableParagraph"/>
              <w:spacing w:before="30"/>
              <w:ind w:right="9"/>
              <w:jc w:val="right"/>
              <w:rPr>
                <w:rFonts w:ascii="Times New Roman"/>
                <w:sz w:val="21"/>
              </w:rPr>
            </w:pPr>
            <w:r>
              <w:rPr>
                <w:rFonts w:ascii="Times New Roman"/>
                <w:sz w:val="21"/>
              </w:rPr>
              <w:t>19.</w:t>
            </w:r>
          </w:p>
        </w:tc>
        <w:tc>
          <w:tcPr>
            <w:tcW w:w="2269" w:type="dxa"/>
          </w:tcPr>
          <w:p>
            <w:pPr>
              <w:pStyle w:val="TableParagraph"/>
              <w:spacing w:line="258" w:lineRule="exact"/>
              <w:ind w:left="9"/>
              <w:rPr>
                <w:sz w:val="21"/>
              </w:rPr>
            </w:pPr>
            <w:r>
              <w:rPr>
                <w:sz w:val="21"/>
              </w:rPr>
              <w:t>肝脏整叶切除</w:t>
            </w:r>
          </w:p>
        </w:tc>
        <w:tc>
          <w:tcPr>
            <w:tcW w:w="7629" w:type="dxa"/>
          </w:tcPr>
          <w:p>
            <w:pPr>
              <w:pStyle w:val="TableParagraph"/>
              <w:spacing w:line="258" w:lineRule="exact"/>
              <w:ind w:left="575"/>
              <w:rPr>
                <w:sz w:val="21"/>
              </w:rPr>
            </w:pPr>
            <w:r>
              <w:rPr>
                <w:sz w:val="21"/>
              </w:rPr>
              <w:t>指因疾病或意外伤害实际实施的肝脏部分切除术，手术切除最少一整叶左</w:t>
            </w:r>
          </w:p>
          <w:p>
            <w:pPr>
              <w:pStyle w:val="TableParagraph"/>
              <w:spacing w:before="37"/>
              <w:ind w:left="575"/>
              <w:rPr>
                <w:sz w:val="21"/>
              </w:rPr>
            </w:pPr>
            <w:r>
              <w:rPr>
                <w:sz w:val="21"/>
              </w:rPr>
              <w:t>肝脏或一整叶右肝脏。</w:t>
            </w:r>
          </w:p>
          <w:p>
            <w:pPr>
              <w:pStyle w:val="TableParagraph"/>
              <w:spacing w:before="37"/>
              <w:ind w:left="575"/>
              <w:rPr>
                <w:b/>
                <w:sz w:val="21"/>
              </w:rPr>
            </w:pPr>
            <w:r>
              <w:rPr>
                <w:b/>
                <w:sz w:val="21"/>
              </w:rPr>
              <w:t>下列情况不在保障范围内：</w:t>
            </w:r>
          </w:p>
          <w:p>
            <w:pPr>
              <w:pStyle w:val="TableParagraph"/>
              <w:spacing w:before="37"/>
              <w:ind w:left="575"/>
              <w:rPr>
                <w:b/>
                <w:sz w:val="21"/>
              </w:rPr>
            </w:pPr>
            <w:r>
              <w:rPr>
                <w:b/>
                <w:sz w:val="21"/>
              </w:rPr>
              <w:t>（</w:t>
            </w:r>
            <w:r>
              <w:rPr>
                <w:rFonts w:ascii="Times New Roman" w:eastAsia="Times New Roman"/>
                <w:b/>
                <w:sz w:val="21"/>
              </w:rPr>
              <w:t>1</w:t>
            </w:r>
            <w:r>
              <w:rPr>
                <w:b/>
                <w:sz w:val="21"/>
              </w:rPr>
              <w:t>）肝区切除、肝段切除手术；</w:t>
            </w:r>
          </w:p>
          <w:p>
            <w:pPr>
              <w:pStyle w:val="TableParagraph"/>
              <w:spacing w:before="21"/>
              <w:ind w:left="575"/>
              <w:rPr>
                <w:b/>
                <w:sz w:val="21"/>
              </w:rPr>
            </w:pPr>
            <w:r>
              <w:rPr>
                <w:b/>
                <w:sz w:val="21"/>
              </w:rPr>
              <w:t>（</w:t>
            </w:r>
            <w:r>
              <w:rPr>
                <w:rFonts w:ascii="Times New Roman" w:eastAsia="Times New Roman"/>
                <w:b/>
                <w:sz w:val="21"/>
              </w:rPr>
              <w:t>2</w:t>
            </w:r>
            <w:r>
              <w:rPr>
                <w:b/>
                <w:sz w:val="21"/>
              </w:rPr>
              <w:t>）因治疗酒精或滥用药物导致的疾病或肝脏紊乱所致的肝脏整叶切除；</w:t>
            </w:r>
          </w:p>
          <w:p>
            <w:pPr>
              <w:pStyle w:val="TableParagraph"/>
              <w:spacing w:before="21"/>
              <w:ind w:left="575"/>
              <w:rPr>
                <w:b/>
                <w:sz w:val="21"/>
              </w:rPr>
            </w:pPr>
            <w:r>
              <w:rPr>
                <w:b/>
                <w:sz w:val="21"/>
              </w:rPr>
              <w:t>（</w:t>
            </w:r>
            <w:r>
              <w:rPr>
                <w:rFonts w:ascii="Times New Roman" w:eastAsia="Times New Roman"/>
                <w:b/>
                <w:sz w:val="21"/>
              </w:rPr>
              <w:t>3</w:t>
            </w:r>
            <w:r>
              <w:rPr>
                <w:b/>
                <w:sz w:val="21"/>
              </w:rPr>
              <w:t>）因恶性肿瘤进行的肝切除手术；</w:t>
            </w:r>
          </w:p>
          <w:p>
            <w:pPr>
              <w:pStyle w:val="TableParagraph"/>
              <w:spacing w:before="21"/>
              <w:ind w:left="575"/>
              <w:rPr>
                <w:b/>
                <w:sz w:val="21"/>
              </w:rPr>
            </w:pPr>
            <w:r>
              <w:rPr>
                <w:b/>
                <w:sz w:val="21"/>
              </w:rPr>
              <w:t>（</w:t>
            </w:r>
            <w:r>
              <w:rPr>
                <w:rFonts w:ascii="Times New Roman" w:eastAsia="Times New Roman"/>
                <w:b/>
                <w:sz w:val="21"/>
              </w:rPr>
              <w:t>4</w:t>
            </w:r>
            <w:r>
              <w:rPr>
                <w:b/>
                <w:sz w:val="21"/>
              </w:rPr>
              <w:t>）作为器官捐献者而实施的肝切除手术。</w:t>
            </w:r>
          </w:p>
        </w:tc>
      </w:tr>
      <w:tr>
        <w:trPr>
          <w:trHeight w:val="1522" w:hRule="atLeast"/>
        </w:trPr>
        <w:tc>
          <w:tcPr>
            <w:tcW w:w="474" w:type="dxa"/>
          </w:tcPr>
          <w:p>
            <w:pPr>
              <w:pStyle w:val="TableParagraph"/>
              <w:spacing w:before="30"/>
              <w:ind w:right="9"/>
              <w:jc w:val="right"/>
              <w:rPr>
                <w:rFonts w:ascii="Times New Roman"/>
                <w:sz w:val="21"/>
              </w:rPr>
            </w:pPr>
            <w:r>
              <w:rPr>
                <w:rFonts w:ascii="Times New Roman"/>
                <w:sz w:val="21"/>
              </w:rPr>
              <w:t>20.</w:t>
            </w:r>
          </w:p>
        </w:tc>
        <w:tc>
          <w:tcPr>
            <w:tcW w:w="2269" w:type="dxa"/>
          </w:tcPr>
          <w:p>
            <w:pPr>
              <w:pStyle w:val="TableParagraph"/>
              <w:spacing w:line="258" w:lineRule="exact"/>
              <w:ind w:left="9"/>
              <w:rPr>
                <w:sz w:val="21"/>
              </w:rPr>
            </w:pPr>
            <w:r>
              <w:rPr>
                <w:sz w:val="21"/>
              </w:rPr>
              <w:t>单侧肾脏切除</w:t>
            </w:r>
          </w:p>
        </w:tc>
        <w:tc>
          <w:tcPr>
            <w:tcW w:w="7629" w:type="dxa"/>
          </w:tcPr>
          <w:p>
            <w:pPr>
              <w:pStyle w:val="TableParagraph"/>
              <w:spacing w:line="258" w:lineRule="exact"/>
              <w:ind w:left="575"/>
              <w:rPr>
                <w:sz w:val="21"/>
              </w:rPr>
            </w:pPr>
            <w:r>
              <w:rPr>
                <w:sz w:val="21"/>
              </w:rPr>
              <w:t>指因疾病或意外伤害实际实施的一侧肾脏切除术。</w:t>
            </w:r>
          </w:p>
          <w:p>
            <w:pPr>
              <w:pStyle w:val="TableParagraph"/>
              <w:spacing w:before="37"/>
              <w:ind w:left="575"/>
              <w:rPr>
                <w:b/>
                <w:sz w:val="21"/>
              </w:rPr>
            </w:pPr>
            <w:r>
              <w:rPr>
                <w:b/>
                <w:sz w:val="21"/>
              </w:rPr>
              <w:t>下列情况不在保障范围内：</w:t>
            </w:r>
          </w:p>
          <w:p>
            <w:pPr>
              <w:pStyle w:val="TableParagraph"/>
              <w:spacing w:before="36"/>
              <w:ind w:left="575"/>
              <w:rPr>
                <w:b/>
                <w:sz w:val="21"/>
              </w:rPr>
            </w:pPr>
            <w:r>
              <w:rPr>
                <w:b/>
                <w:sz w:val="21"/>
              </w:rPr>
              <w:t>（</w:t>
            </w:r>
            <w:r>
              <w:rPr>
                <w:rFonts w:ascii="Times New Roman" w:eastAsia="Times New Roman"/>
                <w:b/>
                <w:sz w:val="21"/>
              </w:rPr>
              <w:t>1</w:t>
            </w:r>
            <w:r>
              <w:rPr>
                <w:b/>
                <w:sz w:val="21"/>
              </w:rPr>
              <w:t>）肾脏部分切除手术；</w:t>
            </w:r>
          </w:p>
          <w:p>
            <w:pPr>
              <w:pStyle w:val="TableParagraph"/>
              <w:spacing w:before="20"/>
              <w:ind w:left="575"/>
              <w:rPr>
                <w:b/>
                <w:sz w:val="21"/>
              </w:rPr>
            </w:pPr>
            <w:r>
              <w:rPr>
                <w:b/>
                <w:sz w:val="21"/>
              </w:rPr>
              <w:t>（</w:t>
            </w:r>
            <w:r>
              <w:rPr>
                <w:rFonts w:ascii="Times New Roman" w:eastAsia="Times New Roman"/>
                <w:b/>
                <w:sz w:val="21"/>
              </w:rPr>
              <w:t>2</w:t>
            </w:r>
            <w:r>
              <w:rPr>
                <w:b/>
                <w:sz w:val="21"/>
              </w:rPr>
              <w:t>）因恶性肿瘤进行的肾切除手术；</w:t>
            </w:r>
          </w:p>
          <w:p>
            <w:pPr>
              <w:pStyle w:val="TableParagraph"/>
              <w:spacing w:line="271" w:lineRule="exact" w:before="20"/>
              <w:ind w:left="575"/>
              <w:rPr>
                <w:b/>
                <w:sz w:val="21"/>
              </w:rPr>
            </w:pPr>
            <w:r>
              <w:rPr>
                <w:b/>
                <w:sz w:val="21"/>
              </w:rPr>
              <w:t>（</w:t>
            </w:r>
            <w:r>
              <w:rPr>
                <w:rFonts w:ascii="Times New Roman" w:eastAsia="Times New Roman"/>
                <w:b/>
                <w:sz w:val="21"/>
              </w:rPr>
              <w:t>3</w:t>
            </w:r>
            <w:r>
              <w:rPr>
                <w:b/>
                <w:sz w:val="21"/>
              </w:rPr>
              <w:t>）作为器官捐献者而实施的肾切除手术。</w:t>
            </w:r>
          </w:p>
        </w:tc>
      </w:tr>
    </w:tbl>
    <w:p>
      <w:pPr>
        <w:pStyle w:val="BodyText"/>
        <w:rPr>
          <w:rFonts w:ascii="楷体"/>
          <w:sz w:val="23"/>
        </w:rPr>
      </w:pPr>
    </w:p>
    <w:p>
      <w:pPr>
        <w:pStyle w:val="Heading2"/>
        <w:tabs>
          <w:tab w:pos="1577" w:val="left" w:leader="none"/>
        </w:tabs>
        <w:spacing w:before="36"/>
        <w:ind w:left="317"/>
      </w:pPr>
      <w:bookmarkStart w:name="_bookmark37" w:id="38"/>
      <w:bookmarkEnd w:id="38"/>
      <w:r>
        <w:rPr>
          <w:b w:val="0"/>
        </w:rPr>
      </w:r>
      <w:r>
        <w:rPr/>
        <w:t>第三十二条</w:t>
        <w:tab/>
        <w:t>重大疾病的种类及</w:t>
      </w:r>
      <w:r>
        <w:rPr>
          <w:spacing w:val="-3"/>
        </w:rPr>
        <w:t>定</w:t>
      </w:r>
      <w:r>
        <w:rPr/>
        <w:t>义</w:t>
      </w:r>
    </w:p>
    <w:p>
      <w:pPr>
        <w:pStyle w:val="BodyText"/>
        <w:spacing w:line="273" w:lineRule="auto" w:before="36"/>
        <w:ind w:left="317" w:right="508" w:firstLine="360"/>
      </w:pPr>
      <w:r>
        <w:rPr/>
        <w:t>本合同所保障的重大疾病，是指被保险人经专科医生明确诊断初次发生下列疾病或初次达到下列疾病状态或在医院初次接受下列手术。</w:t>
      </w:r>
    </w:p>
    <w:p>
      <w:pPr>
        <w:pStyle w:val="BodyText"/>
        <w:spacing w:line="256" w:lineRule="auto" w:before="7"/>
        <w:ind w:left="317" w:right="412" w:firstLine="420"/>
      </w:pPr>
      <w:r>
        <w:rPr>
          <w:spacing w:val="-7"/>
        </w:rPr>
        <w:t>本合同所保障的重大疾病共 </w:t>
      </w:r>
      <w:r>
        <w:rPr>
          <w:rFonts w:ascii="Times New Roman" w:eastAsia="Times New Roman"/>
        </w:rPr>
        <w:t>80 </w:t>
      </w:r>
      <w:r>
        <w:rPr>
          <w:spacing w:val="-15"/>
        </w:rPr>
        <w:t>种，其中 </w:t>
      </w:r>
      <w:r>
        <w:rPr>
          <w:rFonts w:ascii="Times New Roman" w:eastAsia="Times New Roman"/>
        </w:rPr>
        <w:t>1-25 </w:t>
      </w:r>
      <w:r>
        <w:rPr>
          <w:spacing w:val="-17"/>
        </w:rPr>
        <w:t>种为 </w:t>
      </w:r>
      <w:r>
        <w:rPr>
          <w:rFonts w:ascii="Times New Roman" w:eastAsia="Times New Roman"/>
        </w:rPr>
        <w:t>2007 </w:t>
      </w:r>
      <w:r>
        <w:rPr>
          <w:spacing w:val="-26"/>
        </w:rPr>
        <w:t>年 </w:t>
      </w:r>
      <w:r>
        <w:rPr>
          <w:rFonts w:ascii="Times New Roman" w:eastAsia="Times New Roman"/>
        </w:rPr>
        <w:t>4 </w:t>
      </w:r>
      <w:r>
        <w:rPr>
          <w:spacing w:val="-26"/>
        </w:rPr>
        <w:t>月 </w:t>
      </w:r>
      <w:r>
        <w:rPr>
          <w:rFonts w:ascii="Times New Roman" w:eastAsia="Times New Roman"/>
        </w:rPr>
        <w:t>3 </w:t>
      </w:r>
      <w:r>
        <w:rPr>
          <w:spacing w:val="-6"/>
        </w:rPr>
        <w:t>日启用的《重大疾病保险的疾病定义使</w:t>
      </w:r>
      <w:r>
        <w:rPr>
          <w:spacing w:val="-3"/>
        </w:rPr>
        <w:t>用规范》中列明的重大疾病，该规范由中国保险行业协会制定，其他为我们增加的重大疾病。</w:t>
      </w:r>
    </w:p>
    <w:p>
      <w:pPr>
        <w:pStyle w:val="BodyText"/>
        <w:spacing w:before="11"/>
        <w:rPr>
          <w:sz w:val="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1991"/>
        <w:gridCol w:w="7989"/>
      </w:tblGrid>
      <w:tr>
        <w:trPr>
          <w:trHeight w:val="3340" w:hRule="atLeast"/>
        </w:trPr>
        <w:tc>
          <w:tcPr>
            <w:tcW w:w="439" w:type="dxa"/>
          </w:tcPr>
          <w:p>
            <w:pPr>
              <w:pStyle w:val="TableParagraph"/>
              <w:spacing w:line="234" w:lineRule="exact"/>
              <w:ind w:left="200"/>
              <w:rPr>
                <w:rFonts w:ascii="Times New Roman"/>
                <w:sz w:val="21"/>
              </w:rPr>
            </w:pPr>
            <w:r>
              <w:rPr>
                <w:rFonts w:ascii="Times New Roman"/>
                <w:sz w:val="21"/>
              </w:rPr>
              <w:t>1.</w:t>
            </w:r>
          </w:p>
        </w:tc>
        <w:tc>
          <w:tcPr>
            <w:tcW w:w="1991" w:type="dxa"/>
          </w:tcPr>
          <w:p>
            <w:pPr>
              <w:pStyle w:val="TableParagraph"/>
              <w:spacing w:line="220" w:lineRule="exact"/>
              <w:ind w:left="80"/>
              <w:rPr>
                <w:sz w:val="21"/>
              </w:rPr>
            </w:pPr>
            <w:r>
              <w:rPr>
                <w:sz w:val="21"/>
              </w:rPr>
              <w:t>恶性肿瘤</w:t>
            </w:r>
          </w:p>
        </w:tc>
        <w:tc>
          <w:tcPr>
            <w:tcW w:w="7989" w:type="dxa"/>
          </w:tcPr>
          <w:p>
            <w:pPr>
              <w:pStyle w:val="TableParagraph"/>
              <w:spacing w:line="220" w:lineRule="exact"/>
              <w:ind w:left="1068"/>
              <w:rPr>
                <w:sz w:val="21"/>
              </w:rPr>
            </w:pPr>
            <w:r>
              <w:rPr>
                <w:sz w:val="21"/>
              </w:rPr>
              <w:t>指恶性细胞不受控制的进行性增长和扩散，浸润和破坏周围正常组织，可</w:t>
            </w:r>
          </w:p>
          <w:p>
            <w:pPr>
              <w:pStyle w:val="TableParagraph"/>
              <w:spacing w:line="273" w:lineRule="auto" w:before="37"/>
              <w:ind w:left="1068" w:right="197"/>
              <w:jc w:val="both"/>
              <w:rPr>
                <w:sz w:val="21"/>
              </w:rPr>
            </w:pPr>
            <w:r>
              <w:rPr>
                <w:sz w:val="21"/>
              </w:rPr>
              <w:t>以经血管、淋巴管和体腔扩散转移到身体其他部位的疾病。经病理学检查结果明确诊断，临床诊断属于世界卫生组织《疾病和有关健康问题的国际统计分类》（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line="264" w:lineRule="exact"/>
              <w:ind w:left="1068"/>
              <w:jc w:val="both"/>
              <w:rPr>
                <w:b/>
                <w:sz w:val="21"/>
              </w:rPr>
            </w:pPr>
            <w:r>
              <w:rPr>
                <w:b/>
                <w:sz w:val="21"/>
              </w:rPr>
              <w:t>下列疾病不在保障范围内：</w:t>
            </w:r>
          </w:p>
          <w:p>
            <w:pPr>
              <w:pStyle w:val="TableParagraph"/>
              <w:spacing w:before="38"/>
              <w:ind w:left="1068"/>
              <w:jc w:val="both"/>
              <w:rPr>
                <w:b/>
                <w:sz w:val="21"/>
              </w:rPr>
            </w:pPr>
            <w:r>
              <w:rPr>
                <w:b/>
                <w:sz w:val="21"/>
              </w:rPr>
              <w:t>（</w:t>
            </w:r>
            <w:r>
              <w:rPr>
                <w:rFonts w:ascii="Times New Roman" w:eastAsia="Times New Roman"/>
                <w:b/>
                <w:sz w:val="21"/>
              </w:rPr>
              <w:t>1</w:t>
            </w:r>
            <w:r>
              <w:rPr>
                <w:b/>
                <w:sz w:val="21"/>
              </w:rPr>
              <w:t>）原位癌；</w:t>
            </w:r>
          </w:p>
          <w:p>
            <w:pPr>
              <w:pStyle w:val="TableParagraph"/>
              <w:spacing w:before="21"/>
              <w:ind w:left="1068"/>
              <w:jc w:val="both"/>
              <w:rPr>
                <w:b/>
                <w:sz w:val="21"/>
              </w:rPr>
            </w:pPr>
            <w:r>
              <w:rPr>
                <w:b/>
                <w:sz w:val="21"/>
              </w:rPr>
              <w:t>（</w:t>
            </w:r>
            <w:r>
              <w:rPr>
                <w:rFonts w:ascii="Times New Roman" w:eastAsia="Times New Roman"/>
                <w:b/>
                <w:sz w:val="21"/>
              </w:rPr>
              <w:t>2</w:t>
            </w:r>
            <w:r>
              <w:rPr>
                <w:b/>
                <w:sz w:val="21"/>
              </w:rPr>
              <w:t>）相当于 </w:t>
            </w:r>
            <w:r>
              <w:rPr>
                <w:rFonts w:ascii="Times New Roman" w:eastAsia="Times New Roman"/>
                <w:b/>
                <w:sz w:val="21"/>
              </w:rPr>
              <w:t>Binet </w:t>
            </w:r>
            <w:r>
              <w:rPr>
                <w:b/>
                <w:sz w:val="21"/>
              </w:rPr>
              <w:t>分期方案 </w:t>
            </w:r>
            <w:r>
              <w:rPr>
                <w:rFonts w:ascii="Times New Roman" w:eastAsia="Times New Roman"/>
                <w:b/>
                <w:sz w:val="21"/>
              </w:rPr>
              <w:t>A </w:t>
            </w:r>
            <w:r>
              <w:rPr>
                <w:b/>
                <w:sz w:val="21"/>
              </w:rPr>
              <w:t>期程度的慢性淋巴细胞白血病；</w:t>
            </w:r>
          </w:p>
          <w:p>
            <w:pPr>
              <w:pStyle w:val="TableParagraph"/>
              <w:spacing w:before="21"/>
              <w:ind w:left="1068"/>
              <w:jc w:val="both"/>
              <w:rPr>
                <w:b/>
                <w:sz w:val="21"/>
              </w:rPr>
            </w:pPr>
            <w:r>
              <w:rPr>
                <w:b/>
                <w:sz w:val="21"/>
              </w:rPr>
              <w:t>（</w:t>
            </w:r>
            <w:r>
              <w:rPr>
                <w:rFonts w:ascii="Times New Roman" w:eastAsia="Times New Roman"/>
                <w:b/>
                <w:sz w:val="21"/>
              </w:rPr>
              <w:t>3</w:t>
            </w:r>
            <w:r>
              <w:rPr>
                <w:b/>
                <w:sz w:val="21"/>
              </w:rPr>
              <w:t>）相当于 </w:t>
            </w:r>
            <w:r>
              <w:rPr>
                <w:rFonts w:ascii="Times New Roman" w:eastAsia="Times New Roman"/>
                <w:b/>
                <w:sz w:val="21"/>
              </w:rPr>
              <w:t>Ann Arbor </w:t>
            </w:r>
            <w:r>
              <w:rPr>
                <w:b/>
                <w:sz w:val="21"/>
              </w:rPr>
              <w:t>分期方案 </w:t>
            </w:r>
            <w:r>
              <w:rPr>
                <w:rFonts w:ascii="Times New Roman" w:eastAsia="Times New Roman"/>
                <w:b/>
                <w:sz w:val="21"/>
              </w:rPr>
              <w:t>I </w:t>
            </w:r>
            <w:r>
              <w:rPr>
                <w:b/>
                <w:sz w:val="21"/>
              </w:rPr>
              <w:t>期程度的何杰金氏病；</w:t>
            </w:r>
          </w:p>
          <w:p>
            <w:pPr>
              <w:pStyle w:val="TableParagraph"/>
              <w:spacing w:before="21"/>
              <w:ind w:left="1068"/>
              <w:jc w:val="both"/>
              <w:rPr>
                <w:b/>
                <w:sz w:val="21"/>
              </w:rPr>
            </w:pPr>
            <w:r>
              <w:rPr>
                <w:b/>
                <w:spacing w:val="1"/>
                <w:w w:val="100"/>
                <w:sz w:val="21"/>
              </w:rPr>
              <w:t>（</w:t>
            </w:r>
            <w:r>
              <w:rPr>
                <w:rFonts w:ascii="Times New Roman" w:eastAsia="Times New Roman"/>
                <w:b/>
                <w:spacing w:val="-3"/>
                <w:w w:val="100"/>
                <w:sz w:val="21"/>
              </w:rPr>
              <w:t>4</w:t>
            </w:r>
            <w:r>
              <w:rPr>
                <w:b/>
                <w:w w:val="100"/>
                <w:sz w:val="21"/>
              </w:rPr>
              <w:t>）皮肤癌（</w:t>
            </w:r>
            <w:r>
              <w:rPr>
                <w:b/>
                <w:spacing w:val="-3"/>
                <w:w w:val="100"/>
                <w:sz w:val="21"/>
              </w:rPr>
              <w:t>不包括恶性黑色素瘤及已发生转移的皮肤癌</w:t>
            </w:r>
            <w:r>
              <w:rPr>
                <w:b/>
                <w:spacing w:val="-106"/>
                <w:w w:val="100"/>
                <w:sz w:val="21"/>
              </w:rPr>
              <w:t>）</w:t>
            </w:r>
            <w:r>
              <w:rPr>
                <w:b/>
                <w:w w:val="100"/>
                <w:sz w:val="21"/>
              </w:rPr>
              <w:t>；</w:t>
            </w:r>
          </w:p>
          <w:p>
            <w:pPr>
              <w:pStyle w:val="TableParagraph"/>
              <w:spacing w:line="290" w:lineRule="atLeast" w:before="21"/>
              <w:ind w:left="1068" w:right="197"/>
              <w:rPr>
                <w:b/>
                <w:sz w:val="21"/>
              </w:rPr>
            </w:pPr>
            <w:r>
              <w:rPr>
                <w:b/>
                <w:sz w:val="21"/>
              </w:rPr>
              <w:t>（</w:t>
            </w:r>
            <w:r>
              <w:rPr>
                <w:rFonts w:ascii="Times New Roman" w:eastAsia="Times New Roman"/>
                <w:b/>
                <w:sz w:val="21"/>
              </w:rPr>
              <w:t>5</w:t>
            </w:r>
            <w:r>
              <w:rPr>
                <w:b/>
                <w:sz w:val="21"/>
              </w:rPr>
              <w:t>）</w:t>
            </w:r>
            <w:r>
              <w:rPr>
                <w:rFonts w:ascii="Times New Roman" w:eastAsia="Times New Roman"/>
                <w:b/>
                <w:sz w:val="21"/>
              </w:rPr>
              <w:t>TNM </w:t>
            </w:r>
            <w:r>
              <w:rPr>
                <w:b/>
                <w:spacing w:val="-12"/>
                <w:sz w:val="21"/>
              </w:rPr>
              <w:t>分期为 </w:t>
            </w:r>
            <w:r>
              <w:rPr>
                <w:rFonts w:ascii="Times New Roman" w:eastAsia="Times New Roman"/>
                <w:b/>
                <w:sz w:val="21"/>
              </w:rPr>
              <w:t>T</w:t>
            </w:r>
            <w:r>
              <w:rPr>
                <w:rFonts w:ascii="Times New Roman" w:eastAsia="Times New Roman"/>
                <w:b/>
                <w:sz w:val="21"/>
                <w:vertAlign w:val="subscript"/>
              </w:rPr>
              <w:t>1</w:t>
            </w:r>
            <w:r>
              <w:rPr>
                <w:rFonts w:ascii="Times New Roman" w:eastAsia="Times New Roman"/>
                <w:b/>
                <w:sz w:val="21"/>
                <w:vertAlign w:val="baseline"/>
              </w:rPr>
              <w:t>N</w:t>
            </w:r>
            <w:r>
              <w:rPr>
                <w:rFonts w:ascii="Times New Roman" w:eastAsia="Times New Roman"/>
                <w:b/>
                <w:sz w:val="21"/>
                <w:vertAlign w:val="subscript"/>
              </w:rPr>
              <w:t>0</w:t>
            </w:r>
            <w:r>
              <w:rPr>
                <w:rFonts w:ascii="Times New Roman" w:eastAsia="Times New Roman"/>
                <w:b/>
                <w:sz w:val="21"/>
                <w:vertAlign w:val="baseline"/>
              </w:rPr>
              <w:t>M</w:t>
            </w:r>
            <w:r>
              <w:rPr>
                <w:rFonts w:ascii="Times New Roman" w:eastAsia="Times New Roman"/>
                <w:b/>
                <w:sz w:val="21"/>
                <w:vertAlign w:val="subscript"/>
              </w:rPr>
              <w:t>0</w:t>
            </w:r>
            <w:r>
              <w:rPr>
                <w:rFonts w:ascii="Times New Roman" w:eastAsia="Times New Roman"/>
                <w:b/>
                <w:sz w:val="21"/>
                <w:vertAlign w:val="baseline"/>
              </w:rPr>
              <w:t> </w:t>
            </w:r>
            <w:r>
              <w:rPr>
                <w:b/>
                <w:spacing w:val="-2"/>
                <w:sz w:val="21"/>
                <w:vertAlign w:val="baseline"/>
              </w:rPr>
              <w:t>期或更轻分期的前列腺癌</w:t>
            </w:r>
            <w:r>
              <w:rPr>
                <w:b/>
                <w:sz w:val="21"/>
                <w:vertAlign w:val="baseline"/>
              </w:rPr>
              <w:t>（注：如果为女性重</w:t>
            </w:r>
            <w:r>
              <w:rPr>
                <w:b/>
                <w:spacing w:val="-2"/>
                <w:w w:val="100"/>
                <w:sz w:val="21"/>
                <w:vertAlign w:val="baseline"/>
              </w:rPr>
              <w:t>大疾病保险，则不包括此项</w:t>
            </w:r>
            <w:r>
              <w:rPr>
                <w:b/>
                <w:spacing w:val="-106"/>
                <w:w w:val="100"/>
                <w:sz w:val="21"/>
                <w:vertAlign w:val="baseline"/>
              </w:rPr>
              <w:t>）</w:t>
            </w:r>
            <w:r>
              <w:rPr>
                <w:b/>
                <w:w w:val="100"/>
                <w:sz w:val="21"/>
                <w:vertAlign w:val="baseline"/>
              </w:rPr>
              <w:t>；</w:t>
            </w:r>
          </w:p>
        </w:tc>
      </w:tr>
    </w:tbl>
    <w:p>
      <w:pPr>
        <w:spacing w:after="0" w:line="290" w:lineRule="atLeast"/>
        <w:rPr>
          <w:sz w:val="21"/>
        </w:rPr>
        <w:sectPr>
          <w:pgSz w:w="11910" w:h="16160"/>
          <w:pgMar w:header="0" w:footer="799" w:top="1420" w:bottom="106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9"/>
        <w:gridCol w:w="2885"/>
        <w:gridCol w:w="7095"/>
      </w:tblGrid>
      <w:tr>
        <w:trPr>
          <w:trHeight w:val="281" w:hRule="atLeast"/>
        </w:trPr>
        <w:tc>
          <w:tcPr>
            <w:tcW w:w="439" w:type="dxa"/>
          </w:tcPr>
          <w:p>
            <w:pPr>
              <w:pStyle w:val="TableParagraph"/>
              <w:rPr>
                <w:rFonts w:ascii="Times New Roman"/>
                <w:sz w:val="20"/>
              </w:rPr>
            </w:pPr>
          </w:p>
        </w:tc>
        <w:tc>
          <w:tcPr>
            <w:tcW w:w="2885" w:type="dxa"/>
          </w:tcPr>
          <w:p>
            <w:pPr>
              <w:pStyle w:val="TableParagraph"/>
              <w:rPr>
                <w:rFonts w:ascii="Times New Roman"/>
                <w:sz w:val="20"/>
              </w:rPr>
            </w:pPr>
          </w:p>
        </w:tc>
        <w:tc>
          <w:tcPr>
            <w:tcW w:w="7095" w:type="dxa"/>
          </w:tcPr>
          <w:p>
            <w:pPr>
              <w:pStyle w:val="TableParagraph"/>
              <w:spacing w:line="234" w:lineRule="exact"/>
              <w:ind w:left="174"/>
              <w:rPr>
                <w:b/>
                <w:sz w:val="21"/>
              </w:rPr>
            </w:pPr>
            <w:r>
              <w:rPr>
                <w:b/>
                <w:sz w:val="21"/>
              </w:rPr>
              <w:t>（</w:t>
            </w:r>
            <w:r>
              <w:rPr>
                <w:rFonts w:ascii="Times New Roman" w:eastAsia="Times New Roman"/>
                <w:b/>
                <w:sz w:val="21"/>
              </w:rPr>
              <w:t>6</w:t>
            </w:r>
            <w:r>
              <w:rPr>
                <w:b/>
                <w:sz w:val="21"/>
              </w:rPr>
              <w:t>）感染艾滋病病毒或患艾滋病期间所患恶性肿瘤。</w:t>
            </w:r>
          </w:p>
        </w:tc>
      </w:tr>
      <w:tr>
        <w:trPr>
          <w:trHeight w:val="2505" w:hRule="atLeast"/>
        </w:trPr>
        <w:tc>
          <w:tcPr>
            <w:tcW w:w="439" w:type="dxa"/>
          </w:tcPr>
          <w:p>
            <w:pPr>
              <w:pStyle w:val="TableParagraph"/>
              <w:spacing w:before="40"/>
              <w:ind w:right="78"/>
              <w:jc w:val="right"/>
              <w:rPr>
                <w:rFonts w:ascii="Times New Roman"/>
                <w:sz w:val="21"/>
              </w:rPr>
            </w:pPr>
            <w:r>
              <w:rPr>
                <w:rFonts w:ascii="Times New Roman"/>
                <w:sz w:val="21"/>
              </w:rPr>
              <w:t>2.</w:t>
            </w:r>
          </w:p>
        </w:tc>
        <w:tc>
          <w:tcPr>
            <w:tcW w:w="2885" w:type="dxa"/>
          </w:tcPr>
          <w:p>
            <w:pPr>
              <w:pStyle w:val="TableParagraph"/>
              <w:spacing w:line="268" w:lineRule="exact"/>
              <w:ind w:left="80"/>
              <w:rPr>
                <w:sz w:val="21"/>
              </w:rPr>
            </w:pPr>
            <w:r>
              <w:rPr>
                <w:sz w:val="21"/>
              </w:rPr>
              <w:t>急性心肌梗塞</w:t>
            </w:r>
          </w:p>
        </w:tc>
        <w:tc>
          <w:tcPr>
            <w:tcW w:w="7095" w:type="dxa"/>
          </w:tcPr>
          <w:p>
            <w:pPr>
              <w:pStyle w:val="TableParagraph"/>
              <w:spacing w:line="273" w:lineRule="auto"/>
              <w:ind w:left="174" w:right="197"/>
              <w:rPr>
                <w:sz w:val="21"/>
              </w:rPr>
            </w:pPr>
            <w:r>
              <w:rPr>
                <w:sz w:val="21"/>
              </w:rPr>
              <w:t>指因冠状动脉阻塞导致的相应区域供血不足造成部分心肌坏死。须满足下列至少三项条件：</w:t>
            </w:r>
          </w:p>
          <w:p>
            <w:pPr>
              <w:pStyle w:val="TableParagraph"/>
              <w:spacing w:before="15"/>
              <w:ind w:left="174"/>
              <w:rPr>
                <w:sz w:val="21"/>
              </w:rPr>
            </w:pPr>
            <w:r>
              <w:rPr>
                <w:sz w:val="21"/>
              </w:rPr>
              <w:t>（</w:t>
            </w:r>
            <w:r>
              <w:rPr>
                <w:rFonts w:ascii="Times New Roman" w:eastAsia="Times New Roman"/>
                <w:sz w:val="21"/>
              </w:rPr>
              <w:t>1</w:t>
            </w:r>
            <w:r>
              <w:rPr>
                <w:sz w:val="21"/>
              </w:rPr>
              <w:t>）典型临床表现，例如急性胸痛等；</w:t>
            </w:r>
          </w:p>
          <w:p>
            <w:pPr>
              <w:pStyle w:val="TableParagraph"/>
              <w:spacing w:before="21"/>
              <w:ind w:left="174"/>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56" w:lineRule="auto" w:before="21"/>
              <w:ind w:left="174" w:right="198"/>
              <w:rPr>
                <w:sz w:val="21"/>
              </w:rPr>
            </w:pPr>
            <w:r>
              <w:rPr>
                <w:sz w:val="21"/>
              </w:rPr>
              <w:t>（</w:t>
            </w:r>
            <w:r>
              <w:rPr>
                <w:rFonts w:ascii="Times New Roman" w:eastAsia="Times New Roman"/>
                <w:sz w:val="21"/>
              </w:rPr>
              <w:t>3</w:t>
            </w:r>
            <w:r>
              <w:rPr>
                <w:sz w:val="21"/>
              </w:rPr>
              <w:t>）心肌酶或肌钙蛋白有诊断意义的升高，或呈符合急性心肌梗塞的动态性变化；</w:t>
            </w:r>
          </w:p>
          <w:p>
            <w:pPr>
              <w:pStyle w:val="TableParagraph"/>
              <w:spacing w:before="22"/>
              <w:ind w:left="17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before="20"/>
              <w:ind w:left="174"/>
              <w:rPr>
                <w:sz w:val="21"/>
              </w:rPr>
            </w:pPr>
            <w:r>
              <w:rPr>
                <w:rFonts w:ascii="Times New Roman" w:eastAsia="Times New Roman"/>
                <w:sz w:val="21"/>
              </w:rPr>
              <w:t>50%</w:t>
            </w:r>
            <w:r>
              <w:rPr>
                <w:sz w:val="21"/>
              </w:rPr>
              <w:t>。</w:t>
            </w:r>
          </w:p>
        </w:tc>
      </w:tr>
      <w:tr>
        <w:trPr>
          <w:trHeight w:val="2176" w:hRule="atLeast"/>
        </w:trPr>
        <w:tc>
          <w:tcPr>
            <w:tcW w:w="439" w:type="dxa"/>
          </w:tcPr>
          <w:p>
            <w:pPr>
              <w:pStyle w:val="TableParagraph"/>
              <w:spacing w:before="30"/>
              <w:ind w:right="78"/>
              <w:jc w:val="right"/>
              <w:rPr>
                <w:rFonts w:ascii="Times New Roman"/>
                <w:sz w:val="21"/>
              </w:rPr>
            </w:pPr>
            <w:r>
              <w:rPr>
                <w:rFonts w:ascii="Times New Roman"/>
                <w:sz w:val="21"/>
              </w:rPr>
              <w:t>3.</w:t>
            </w:r>
          </w:p>
        </w:tc>
        <w:tc>
          <w:tcPr>
            <w:tcW w:w="2885" w:type="dxa"/>
          </w:tcPr>
          <w:p>
            <w:pPr>
              <w:pStyle w:val="TableParagraph"/>
              <w:spacing w:line="258" w:lineRule="exact"/>
              <w:ind w:left="80"/>
              <w:rPr>
                <w:sz w:val="21"/>
              </w:rPr>
            </w:pPr>
            <w:r>
              <w:rPr>
                <w:sz w:val="21"/>
              </w:rPr>
              <w:t>脑中风后遗症</w:t>
            </w:r>
          </w:p>
        </w:tc>
        <w:tc>
          <w:tcPr>
            <w:tcW w:w="7095" w:type="dxa"/>
          </w:tcPr>
          <w:p>
            <w:pPr>
              <w:pStyle w:val="TableParagraph"/>
              <w:spacing w:line="258" w:lineRule="exact"/>
              <w:ind w:left="174"/>
              <w:rPr>
                <w:sz w:val="21"/>
              </w:rPr>
            </w:pPr>
            <w:r>
              <w:rPr>
                <w:sz w:val="21"/>
              </w:rPr>
              <w:t>指因脑血管的突发病变引起脑血管出血、栓塞或梗塞，并导致神经系统永</w:t>
            </w:r>
          </w:p>
          <w:p>
            <w:pPr>
              <w:pStyle w:val="TableParagraph"/>
              <w:spacing w:line="259" w:lineRule="auto" w:before="37"/>
              <w:ind w:left="174" w:right="132"/>
              <w:rPr>
                <w:sz w:val="21"/>
              </w:rPr>
            </w:pPr>
            <w:r>
              <w:rPr>
                <w:sz w:val="21"/>
              </w:rPr>
              <w:t>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before="20"/>
              <w:ind w:left="174"/>
              <w:rPr>
                <w:sz w:val="21"/>
              </w:rPr>
            </w:pPr>
            <w:r>
              <w:rPr>
                <w:sz w:val="21"/>
              </w:rPr>
              <w:t>（</w:t>
            </w:r>
            <w:r>
              <w:rPr>
                <w:rFonts w:ascii="Times New Roman" w:eastAsia="Times New Roman"/>
                <w:sz w:val="21"/>
              </w:rPr>
              <w:t>1</w:t>
            </w:r>
            <w:r>
              <w:rPr>
                <w:sz w:val="21"/>
              </w:rPr>
              <w:t>）一肢或一肢以上</w:t>
            </w:r>
            <w:r>
              <w:rPr>
                <w:b/>
                <w:sz w:val="21"/>
              </w:rPr>
              <w:t>肢体机能完全丧失</w:t>
            </w:r>
            <w:r>
              <w:rPr>
                <w:rFonts w:ascii="Times New Roman" w:eastAsia="Times New Roman"/>
                <w:b/>
                <w:sz w:val="21"/>
                <w:vertAlign w:val="superscript"/>
              </w:rPr>
              <w:t>29</w:t>
            </w:r>
            <w:r>
              <w:rPr>
                <w:rFonts w:ascii="Times New Roman" w:eastAsia="Times New Roman"/>
                <w:b/>
                <w:sz w:val="21"/>
                <w:vertAlign w:val="baseline"/>
              </w:rPr>
            </w:r>
            <w:r>
              <w:rPr>
                <w:sz w:val="21"/>
                <w:vertAlign w:val="baseline"/>
              </w:rPr>
              <w:t>；</w:t>
            </w:r>
          </w:p>
          <w:p>
            <w:pPr>
              <w:pStyle w:val="TableParagraph"/>
              <w:spacing w:before="21"/>
              <w:ind w:left="174"/>
              <w:rPr>
                <w:sz w:val="21"/>
              </w:rPr>
            </w:pPr>
            <w:r>
              <w:rPr>
                <w:sz w:val="21"/>
              </w:rPr>
              <w:t>（</w:t>
            </w:r>
            <w:r>
              <w:rPr>
                <w:rFonts w:ascii="Times New Roman" w:eastAsia="Times New Roman"/>
                <w:sz w:val="21"/>
              </w:rPr>
              <w:t>2</w:t>
            </w:r>
            <w:r>
              <w:rPr>
                <w:sz w:val="21"/>
              </w:rPr>
              <w:t>）</w:t>
            </w:r>
            <w:r>
              <w:rPr>
                <w:b/>
                <w:sz w:val="21"/>
              </w:rPr>
              <w:t>语言能力或咀嚼吞咽能力完全丧失</w:t>
            </w:r>
            <w:r>
              <w:rPr>
                <w:rFonts w:ascii="Times New Roman" w:eastAsia="Times New Roman"/>
                <w:b/>
                <w:sz w:val="21"/>
                <w:vertAlign w:val="superscript"/>
              </w:rPr>
              <w:t>30</w:t>
            </w:r>
            <w:r>
              <w:rPr>
                <w:rFonts w:ascii="Times New Roman" w:eastAsia="Times New Roman"/>
                <w:b/>
                <w:sz w:val="21"/>
                <w:vertAlign w:val="baseline"/>
              </w:rPr>
            </w:r>
            <w:r>
              <w:rPr>
                <w:sz w:val="21"/>
                <w:vertAlign w:val="baseline"/>
              </w:rPr>
              <w:t>；</w:t>
            </w:r>
          </w:p>
          <w:p>
            <w:pPr>
              <w:pStyle w:val="TableParagraph"/>
              <w:spacing w:line="256" w:lineRule="auto" w:before="21"/>
              <w:ind w:left="174" w:right="199"/>
              <w:rPr>
                <w:sz w:val="21"/>
              </w:rPr>
            </w:pPr>
            <w:r>
              <w:rPr>
                <w:sz w:val="21"/>
              </w:rPr>
              <w:t>（</w:t>
            </w:r>
            <w:r>
              <w:rPr>
                <w:rFonts w:ascii="Times New Roman" w:eastAsia="Times New Roman"/>
                <w:sz w:val="21"/>
              </w:rPr>
              <w:t>3</w:t>
            </w:r>
            <w:r>
              <w:rPr>
                <w:sz w:val="21"/>
              </w:rPr>
              <w:t>）自主生活能力完全丧失， 无法独立完成六项基本日常生活活动中的三项或三项以上。</w:t>
            </w:r>
          </w:p>
        </w:tc>
      </w:tr>
      <w:tr>
        <w:trPr>
          <w:trHeight w:val="1560" w:hRule="atLeast"/>
        </w:trPr>
        <w:tc>
          <w:tcPr>
            <w:tcW w:w="439" w:type="dxa"/>
          </w:tcPr>
          <w:p>
            <w:pPr>
              <w:pStyle w:val="TableParagraph"/>
              <w:spacing w:before="38"/>
              <w:ind w:right="78"/>
              <w:jc w:val="right"/>
              <w:rPr>
                <w:rFonts w:ascii="Times New Roman"/>
                <w:sz w:val="21"/>
              </w:rPr>
            </w:pPr>
            <w:r>
              <w:rPr>
                <w:rFonts w:ascii="Times New Roman"/>
                <w:sz w:val="21"/>
              </w:rPr>
              <w:t>4.</w:t>
            </w:r>
          </w:p>
        </w:tc>
        <w:tc>
          <w:tcPr>
            <w:tcW w:w="2885" w:type="dxa"/>
          </w:tcPr>
          <w:p>
            <w:pPr>
              <w:pStyle w:val="TableParagraph"/>
              <w:spacing w:line="273" w:lineRule="auto"/>
              <w:ind w:left="80" w:right="174"/>
              <w:rPr>
                <w:sz w:val="21"/>
              </w:rPr>
            </w:pPr>
            <w:r>
              <w:rPr>
                <w:sz w:val="21"/>
              </w:rPr>
              <w:t>重大器官移植术或造血干细胞移植术</w:t>
            </w:r>
          </w:p>
        </w:tc>
        <w:tc>
          <w:tcPr>
            <w:tcW w:w="7095" w:type="dxa"/>
          </w:tcPr>
          <w:p>
            <w:pPr>
              <w:pStyle w:val="TableParagraph"/>
              <w:spacing w:line="273" w:lineRule="auto"/>
              <w:ind w:left="174" w:right="199"/>
              <w:rPr>
                <w:sz w:val="21"/>
              </w:rPr>
            </w:pPr>
            <w:r>
              <w:rPr>
                <w:sz w:val="21"/>
              </w:rPr>
              <w:t>重大器官移植术，指因相应器官功能衰竭，已经实施了肾脏、肝脏、心脏或肺脏的异体移植手术。</w:t>
            </w:r>
          </w:p>
          <w:p>
            <w:pPr>
              <w:pStyle w:val="TableParagraph"/>
              <w:spacing w:line="312" w:lineRule="exact" w:before="12"/>
              <w:ind w:left="174" w:right="197"/>
              <w:rPr>
                <w:sz w:val="21"/>
              </w:rPr>
            </w:pPr>
            <w:r>
              <w:rPr>
                <w:spacing w:val="-5"/>
                <w:sz w:val="21"/>
              </w:rPr>
              <w:t>造血干细胞移植术，指因造血功能损害或造血系统恶性肿瘤，已经实施了</w:t>
            </w:r>
            <w:r>
              <w:rPr>
                <w:spacing w:val="-15"/>
                <w:sz w:val="21"/>
              </w:rPr>
              <w:t>造血干细胞</w:t>
            </w:r>
            <w:r>
              <w:rPr>
                <w:sz w:val="21"/>
              </w:rPr>
              <w:t>（</w:t>
            </w:r>
            <w:r>
              <w:rPr>
                <w:spacing w:val="-9"/>
                <w:sz w:val="21"/>
              </w:rPr>
              <w:t>包括骨髓造血干细胞、外周血造血干细胞和脐血造血干细胞</w:t>
            </w:r>
            <w:r>
              <w:rPr>
                <w:spacing w:val="-5"/>
                <w:sz w:val="21"/>
              </w:rPr>
              <w:t>的异体移植手术。</w:t>
            </w:r>
          </w:p>
        </w:tc>
      </w:tr>
      <w:tr>
        <w:trPr>
          <w:trHeight w:val="1248" w:hRule="atLeast"/>
        </w:trPr>
        <w:tc>
          <w:tcPr>
            <w:tcW w:w="439" w:type="dxa"/>
          </w:tcPr>
          <w:p>
            <w:pPr>
              <w:pStyle w:val="TableParagraph"/>
              <w:spacing w:before="38"/>
              <w:ind w:right="78"/>
              <w:jc w:val="right"/>
              <w:rPr>
                <w:rFonts w:ascii="Times New Roman"/>
                <w:sz w:val="21"/>
              </w:rPr>
            </w:pPr>
            <w:r>
              <w:rPr>
                <w:rFonts w:ascii="Times New Roman"/>
                <w:sz w:val="21"/>
              </w:rPr>
              <w:t>5.</w:t>
            </w:r>
          </w:p>
        </w:tc>
        <w:tc>
          <w:tcPr>
            <w:tcW w:w="2885" w:type="dxa"/>
          </w:tcPr>
          <w:p>
            <w:pPr>
              <w:pStyle w:val="TableParagraph"/>
              <w:spacing w:line="273" w:lineRule="auto"/>
              <w:ind w:left="80" w:right="171"/>
              <w:rPr>
                <w:sz w:val="21"/>
              </w:rPr>
            </w:pPr>
            <w:r>
              <w:rPr>
                <w:spacing w:val="-17"/>
                <w:sz w:val="21"/>
              </w:rPr>
              <w:t>冠状动脉搭桥术</w:t>
            </w:r>
            <w:r>
              <w:rPr>
                <w:sz w:val="21"/>
              </w:rPr>
              <w:t>（</w:t>
            </w:r>
            <w:r>
              <w:rPr>
                <w:spacing w:val="-3"/>
                <w:sz w:val="21"/>
              </w:rPr>
              <w:t>或称冠状动脉旁路移植术</w:t>
            </w:r>
            <w:r>
              <w:rPr>
                <w:sz w:val="21"/>
              </w:rPr>
              <w:t>）</w:t>
            </w:r>
          </w:p>
        </w:tc>
        <w:tc>
          <w:tcPr>
            <w:tcW w:w="7095" w:type="dxa"/>
          </w:tcPr>
          <w:p>
            <w:pPr>
              <w:pStyle w:val="TableParagraph"/>
              <w:spacing w:line="273" w:lineRule="auto"/>
              <w:ind w:left="174" w:right="197"/>
              <w:rPr>
                <w:sz w:val="21"/>
              </w:rPr>
            </w:pPr>
            <w:r>
              <w:rPr>
                <w:sz w:val="21"/>
              </w:rPr>
              <w:t>指为治疗严重的冠心病，实际实施了开胸进行的冠状动脉血管旁路移植的手术。</w:t>
            </w:r>
          </w:p>
          <w:p>
            <w:pPr>
              <w:pStyle w:val="TableParagraph"/>
              <w:spacing w:line="312" w:lineRule="exact" w:before="12"/>
              <w:ind w:left="174" w:right="147"/>
              <w:rPr>
                <w:b/>
                <w:sz w:val="21"/>
              </w:rPr>
            </w:pPr>
            <w:r>
              <w:rPr>
                <w:b/>
                <w:sz w:val="21"/>
              </w:rPr>
              <w:t>冠状动脉支架植入术、心导管球囊扩张术、激光射频技术及其他非开胸的介入手术、腔镜手术不在保障范围内。</w:t>
            </w:r>
          </w:p>
        </w:tc>
      </w:tr>
      <w:tr>
        <w:trPr>
          <w:trHeight w:val="631" w:hRule="atLeast"/>
        </w:trPr>
        <w:tc>
          <w:tcPr>
            <w:tcW w:w="439" w:type="dxa"/>
          </w:tcPr>
          <w:p>
            <w:pPr>
              <w:pStyle w:val="TableParagraph"/>
              <w:spacing w:before="38"/>
              <w:ind w:right="78"/>
              <w:jc w:val="right"/>
              <w:rPr>
                <w:rFonts w:ascii="Times New Roman"/>
                <w:sz w:val="21"/>
              </w:rPr>
            </w:pPr>
            <w:r>
              <w:rPr>
                <w:rFonts w:ascii="Times New Roman"/>
                <w:sz w:val="21"/>
              </w:rPr>
              <w:t>6.</w:t>
            </w:r>
          </w:p>
        </w:tc>
        <w:tc>
          <w:tcPr>
            <w:tcW w:w="2885" w:type="dxa"/>
          </w:tcPr>
          <w:p>
            <w:pPr>
              <w:pStyle w:val="TableParagraph"/>
              <w:spacing w:line="273" w:lineRule="auto"/>
              <w:ind w:left="80" w:right="171"/>
              <w:rPr>
                <w:sz w:val="21"/>
              </w:rPr>
            </w:pPr>
            <w:r>
              <w:rPr>
                <w:spacing w:val="-22"/>
                <w:sz w:val="21"/>
              </w:rPr>
              <w:t>终末期肾病</w:t>
            </w:r>
            <w:r>
              <w:rPr>
                <w:sz w:val="21"/>
              </w:rPr>
              <w:t>（</w:t>
            </w:r>
            <w:r>
              <w:rPr>
                <w:spacing w:val="-3"/>
                <w:sz w:val="21"/>
              </w:rPr>
              <w:t>或称慢性肾功能衰竭尿毒症期</w:t>
            </w:r>
            <w:r>
              <w:rPr>
                <w:sz w:val="21"/>
              </w:rPr>
              <w:t>）</w:t>
            </w:r>
          </w:p>
        </w:tc>
        <w:tc>
          <w:tcPr>
            <w:tcW w:w="7095" w:type="dxa"/>
          </w:tcPr>
          <w:p>
            <w:pPr>
              <w:pStyle w:val="TableParagraph"/>
              <w:spacing w:line="266" w:lineRule="exact"/>
              <w:ind w:left="174"/>
              <w:rPr>
                <w:sz w:val="21"/>
              </w:rPr>
            </w:pPr>
            <w:r>
              <w:rPr>
                <w:sz w:val="21"/>
              </w:rPr>
              <w:t>指双肾功能慢性不可逆性衰竭，达到尿毒症期，经诊断后已经进行了至少</w:t>
            </w:r>
          </w:p>
          <w:p>
            <w:pPr>
              <w:pStyle w:val="TableParagraph"/>
              <w:spacing w:before="37"/>
              <w:ind w:left="174"/>
              <w:rPr>
                <w:sz w:val="21"/>
              </w:rPr>
            </w:pPr>
            <w:r>
              <w:rPr>
                <w:rFonts w:ascii="Times New Roman" w:eastAsia="Times New Roman"/>
                <w:sz w:val="21"/>
              </w:rPr>
              <w:t>90 </w:t>
            </w:r>
            <w:r>
              <w:rPr>
                <w:sz w:val="21"/>
              </w:rPr>
              <w:t>天的规律性透析治疗或实施了肾脏移植手术。</w:t>
            </w:r>
          </w:p>
        </w:tc>
      </w:tr>
      <w:tr>
        <w:trPr>
          <w:trHeight w:val="616" w:hRule="atLeast"/>
        </w:trPr>
        <w:tc>
          <w:tcPr>
            <w:tcW w:w="439" w:type="dxa"/>
          </w:tcPr>
          <w:p>
            <w:pPr>
              <w:pStyle w:val="TableParagraph"/>
              <w:spacing w:before="30"/>
              <w:ind w:right="78"/>
              <w:jc w:val="right"/>
              <w:rPr>
                <w:rFonts w:ascii="Times New Roman"/>
                <w:sz w:val="21"/>
              </w:rPr>
            </w:pPr>
            <w:r>
              <w:rPr>
                <w:rFonts w:ascii="Times New Roman"/>
                <w:sz w:val="21"/>
              </w:rPr>
              <w:t>7.</w:t>
            </w:r>
          </w:p>
        </w:tc>
        <w:tc>
          <w:tcPr>
            <w:tcW w:w="2885" w:type="dxa"/>
          </w:tcPr>
          <w:p>
            <w:pPr>
              <w:pStyle w:val="TableParagraph"/>
              <w:spacing w:line="258" w:lineRule="exact"/>
              <w:ind w:left="80"/>
              <w:rPr>
                <w:sz w:val="21"/>
              </w:rPr>
            </w:pPr>
            <w:r>
              <w:rPr>
                <w:sz w:val="21"/>
              </w:rPr>
              <w:t>多个肢体缺失</w:t>
            </w:r>
          </w:p>
        </w:tc>
        <w:tc>
          <w:tcPr>
            <w:tcW w:w="7095" w:type="dxa"/>
          </w:tcPr>
          <w:p>
            <w:pPr>
              <w:pStyle w:val="TableParagraph"/>
              <w:spacing w:line="258" w:lineRule="exact"/>
              <w:ind w:left="174"/>
              <w:rPr>
                <w:sz w:val="21"/>
              </w:rPr>
            </w:pPr>
            <w:r>
              <w:rPr>
                <w:sz w:val="21"/>
              </w:rPr>
              <w:t>指因疾病或意外伤害导致两个或两个以上肢体自腕关节或踝关节近端（靠</w:t>
            </w:r>
          </w:p>
          <w:p>
            <w:pPr>
              <w:pStyle w:val="TableParagraph"/>
              <w:spacing w:before="37"/>
              <w:ind w:left="174"/>
              <w:rPr>
                <w:sz w:val="21"/>
              </w:rPr>
            </w:pPr>
            <w:r>
              <w:rPr>
                <w:sz w:val="21"/>
              </w:rPr>
              <w:t>近躯干端）以上完全性断离。</w:t>
            </w:r>
          </w:p>
        </w:tc>
      </w:tr>
      <w:tr>
        <w:trPr>
          <w:trHeight w:val="1880" w:hRule="atLeast"/>
        </w:trPr>
        <w:tc>
          <w:tcPr>
            <w:tcW w:w="439" w:type="dxa"/>
          </w:tcPr>
          <w:p>
            <w:pPr>
              <w:pStyle w:val="TableParagraph"/>
              <w:spacing w:before="38"/>
              <w:ind w:right="78"/>
              <w:jc w:val="right"/>
              <w:rPr>
                <w:rFonts w:ascii="Times New Roman"/>
                <w:sz w:val="21"/>
              </w:rPr>
            </w:pPr>
            <w:r>
              <w:rPr>
                <w:rFonts w:ascii="Times New Roman"/>
                <w:sz w:val="21"/>
              </w:rPr>
              <w:t>8.</w:t>
            </w:r>
          </w:p>
        </w:tc>
        <w:tc>
          <w:tcPr>
            <w:tcW w:w="2885" w:type="dxa"/>
          </w:tcPr>
          <w:p>
            <w:pPr>
              <w:pStyle w:val="TableParagraph"/>
              <w:spacing w:line="266" w:lineRule="exact"/>
              <w:ind w:left="80"/>
              <w:rPr>
                <w:sz w:val="21"/>
              </w:rPr>
            </w:pPr>
            <w:r>
              <w:rPr>
                <w:sz w:val="21"/>
              </w:rPr>
              <w:t>急性或亚急性重症肝炎</w:t>
            </w:r>
          </w:p>
        </w:tc>
        <w:tc>
          <w:tcPr>
            <w:tcW w:w="7095" w:type="dxa"/>
          </w:tcPr>
          <w:p>
            <w:pPr>
              <w:pStyle w:val="TableParagraph"/>
              <w:spacing w:line="273" w:lineRule="auto"/>
              <w:ind w:left="174" w:right="197"/>
              <w:rPr>
                <w:sz w:val="21"/>
              </w:rPr>
            </w:pPr>
            <w:r>
              <w:rPr>
                <w:sz w:val="21"/>
              </w:rPr>
              <w:t>指因肝炎病毒感染引起肝脏组织弥漫性坏死，导致急性肝功能衰竭，且经血清学或病毒学检查证实，并须满足下列全部条件：</w:t>
            </w:r>
          </w:p>
          <w:p>
            <w:pPr>
              <w:pStyle w:val="TableParagraph"/>
              <w:spacing w:before="16"/>
              <w:ind w:left="174"/>
              <w:rPr>
                <w:sz w:val="21"/>
              </w:rPr>
            </w:pPr>
            <w:r>
              <w:rPr>
                <w:sz w:val="21"/>
              </w:rPr>
              <w:t>（</w:t>
            </w:r>
            <w:r>
              <w:rPr>
                <w:rFonts w:ascii="Times New Roman" w:eastAsia="Times New Roman"/>
                <w:sz w:val="21"/>
              </w:rPr>
              <w:t>1</w:t>
            </w:r>
            <w:r>
              <w:rPr>
                <w:sz w:val="21"/>
              </w:rPr>
              <w:t>）重度黄疸或黄疸迅速加重；</w:t>
            </w:r>
          </w:p>
          <w:p>
            <w:pPr>
              <w:pStyle w:val="TableParagraph"/>
              <w:spacing w:before="20"/>
              <w:ind w:left="174"/>
              <w:rPr>
                <w:sz w:val="21"/>
              </w:rPr>
            </w:pPr>
            <w:r>
              <w:rPr>
                <w:sz w:val="21"/>
              </w:rPr>
              <w:t>（</w:t>
            </w:r>
            <w:r>
              <w:rPr>
                <w:rFonts w:ascii="Times New Roman" w:eastAsia="Times New Roman"/>
                <w:sz w:val="21"/>
              </w:rPr>
              <w:t>2</w:t>
            </w:r>
            <w:r>
              <w:rPr>
                <w:sz w:val="21"/>
              </w:rPr>
              <w:t>）肝性脑病；</w:t>
            </w:r>
          </w:p>
          <w:p>
            <w:pPr>
              <w:pStyle w:val="TableParagraph"/>
              <w:spacing w:before="21"/>
              <w:ind w:left="174"/>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超或其他影像学检查显示肝脏体积急速萎缩；</w:t>
            </w:r>
          </w:p>
          <w:p>
            <w:pPr>
              <w:pStyle w:val="TableParagraph"/>
              <w:spacing w:before="21"/>
              <w:ind w:left="174"/>
              <w:rPr>
                <w:sz w:val="21"/>
              </w:rPr>
            </w:pPr>
            <w:r>
              <w:rPr>
                <w:sz w:val="21"/>
              </w:rPr>
              <w:t>（</w:t>
            </w:r>
            <w:r>
              <w:rPr>
                <w:rFonts w:ascii="Times New Roman" w:eastAsia="Times New Roman"/>
                <w:sz w:val="21"/>
              </w:rPr>
              <w:t>4</w:t>
            </w:r>
            <w:r>
              <w:rPr>
                <w:sz w:val="21"/>
              </w:rPr>
              <w:t>）肝功能指标进行性恶化。</w:t>
            </w:r>
          </w:p>
        </w:tc>
      </w:tr>
      <w:tr>
        <w:trPr>
          <w:trHeight w:val="782" w:hRule="atLeast"/>
        </w:trPr>
        <w:tc>
          <w:tcPr>
            <w:tcW w:w="439" w:type="dxa"/>
          </w:tcPr>
          <w:p>
            <w:pPr>
              <w:pStyle w:val="TableParagraph"/>
              <w:spacing w:before="30"/>
              <w:ind w:right="78"/>
              <w:jc w:val="right"/>
              <w:rPr>
                <w:rFonts w:ascii="Times New Roman"/>
                <w:sz w:val="21"/>
              </w:rPr>
            </w:pPr>
            <w:r>
              <w:rPr>
                <w:rFonts w:ascii="Times New Roman"/>
                <w:sz w:val="21"/>
              </w:rPr>
              <w:t>9.</w:t>
            </w:r>
          </w:p>
        </w:tc>
        <w:tc>
          <w:tcPr>
            <w:tcW w:w="2885" w:type="dxa"/>
          </w:tcPr>
          <w:p>
            <w:pPr>
              <w:pStyle w:val="TableParagraph"/>
              <w:spacing w:line="258" w:lineRule="exact"/>
              <w:ind w:left="80"/>
              <w:rPr>
                <w:sz w:val="21"/>
              </w:rPr>
            </w:pPr>
            <w:r>
              <w:rPr>
                <w:sz w:val="21"/>
              </w:rPr>
              <w:t>良性脑肿瘤</w:t>
            </w:r>
          </w:p>
        </w:tc>
        <w:tc>
          <w:tcPr>
            <w:tcW w:w="7095" w:type="dxa"/>
          </w:tcPr>
          <w:p>
            <w:pPr>
              <w:pStyle w:val="TableParagraph"/>
              <w:spacing w:line="258" w:lineRule="exact"/>
              <w:ind w:left="174"/>
              <w:rPr>
                <w:sz w:val="21"/>
              </w:rPr>
            </w:pPr>
            <w:r>
              <w:rPr>
                <w:sz w:val="21"/>
              </w:rPr>
              <w:t>指脑的良性肿瘤，已经引起颅内压增高，临床表现为视神经乳头水肿、精</w:t>
            </w:r>
          </w:p>
          <w:p>
            <w:pPr>
              <w:pStyle w:val="TableParagraph"/>
              <w:spacing w:before="37"/>
              <w:ind w:left="174"/>
              <w:rPr>
                <w:sz w:val="21"/>
              </w:rPr>
            </w:pPr>
            <w:r>
              <w:rPr>
                <w:sz w:val="21"/>
              </w:rPr>
              <w:t>神症状、癫痫及运动感觉障碍等，并危及生命。须由头颅 </w:t>
            </w:r>
            <w:r>
              <w:rPr>
                <w:rFonts w:ascii="Times New Roman" w:eastAsia="Times New Roman"/>
                <w:sz w:val="21"/>
              </w:rPr>
              <w:t>X  </w:t>
            </w:r>
            <w:r>
              <w:rPr>
                <w:sz w:val="21"/>
              </w:rPr>
              <w:t>线断层扫描</w:t>
            </w:r>
          </w:p>
        </w:tc>
      </w:tr>
    </w:tbl>
    <w:p>
      <w:pPr>
        <w:pStyle w:val="BodyText"/>
        <w:spacing w:line="20" w:lineRule="exact"/>
        <w:ind w:left="312"/>
        <w:rPr>
          <w:sz w:val="2"/>
        </w:rPr>
      </w:pPr>
      <w:r>
        <w:rPr>
          <w:rFonts w:ascii="Times New Roman"/>
          <w:spacing w:val="5"/>
          <w:sz w:val="2"/>
        </w:rPr>
        <w:t> </w:t>
      </w:r>
      <w:r>
        <w:rPr>
          <w:spacing w:val="5"/>
          <w:sz w:val="2"/>
        </w:rPr>
        <w:pict>
          <v:group style="width:144.050pt;height:.5pt;mso-position-horizontal-relative:char;mso-position-vertical-relative:line" coordorigin="0,0" coordsize="2881,10">
            <v:line style="position:absolute" from="0,5" to="2881,5" stroked="true" strokeweight=".47998pt" strokecolor="#000000">
              <v:stroke dashstyle="solid"/>
            </v:line>
          </v:group>
        </w:pict>
      </w:r>
      <w:r>
        <w:rPr>
          <w:spacing w:val="5"/>
          <w:sz w:val="2"/>
        </w:rPr>
      </w:r>
    </w:p>
    <w:p>
      <w:pPr>
        <w:spacing w:line="273" w:lineRule="exact" w:before="49"/>
        <w:ind w:left="317" w:right="0" w:firstLine="0"/>
        <w:jc w:val="left"/>
        <w:rPr>
          <w:rFonts w:ascii="楷体" w:eastAsia="楷体" w:hint="eastAsia"/>
          <w:sz w:val="21"/>
        </w:rPr>
      </w:pPr>
      <w:r>
        <w:rPr>
          <w:rFonts w:ascii="Times New Roman" w:eastAsia="Times New Roman"/>
          <w:position w:val="10"/>
          <w:sz w:val="14"/>
        </w:rPr>
        <w:t>29</w:t>
      </w:r>
      <w:r>
        <w:rPr>
          <w:rFonts w:ascii="楷体" w:eastAsia="楷体" w:hint="eastAsia"/>
          <w:b/>
          <w:sz w:val="21"/>
        </w:rPr>
        <w:t>肢体机能完全丧失：</w:t>
      </w:r>
      <w:r>
        <w:rPr>
          <w:rFonts w:ascii="楷体" w:eastAsia="楷体" w:hint="eastAsia"/>
          <w:sz w:val="21"/>
        </w:rPr>
        <w:t>指肢体的三大关节中的两大关节僵硬，或不能随意识活动。肢体是指包括肩关节的整</w:t>
      </w:r>
    </w:p>
    <w:p>
      <w:pPr>
        <w:pStyle w:val="BodyText"/>
        <w:spacing w:line="272" w:lineRule="exact"/>
        <w:ind w:left="317"/>
        <w:rPr>
          <w:rFonts w:ascii="楷体" w:eastAsia="楷体" w:hint="eastAsia"/>
        </w:rPr>
      </w:pPr>
      <w:r>
        <w:rPr>
          <w:rFonts w:ascii="楷体" w:eastAsia="楷体" w:hint="eastAsia"/>
        </w:rPr>
        <w:t>个上肢或包括髋关节的整个下肢。</w:t>
      </w:r>
    </w:p>
    <w:p>
      <w:pPr>
        <w:spacing w:line="272" w:lineRule="exact" w:before="0"/>
        <w:ind w:left="317" w:right="0" w:firstLine="0"/>
        <w:jc w:val="left"/>
        <w:rPr>
          <w:rFonts w:ascii="楷体" w:eastAsia="楷体" w:hint="eastAsia"/>
          <w:sz w:val="21"/>
        </w:rPr>
      </w:pPr>
      <w:r>
        <w:rPr>
          <w:rFonts w:ascii="Times New Roman" w:eastAsia="Times New Roman"/>
          <w:position w:val="10"/>
          <w:sz w:val="14"/>
        </w:rPr>
        <w:t>30</w:t>
      </w:r>
      <w:r>
        <w:rPr>
          <w:rFonts w:ascii="楷体" w:eastAsia="楷体" w:hint="eastAsia"/>
          <w:b/>
          <w:sz w:val="21"/>
        </w:rPr>
        <w:t>语言能力或咀嚼吞咽能力完全丧失：</w:t>
      </w:r>
      <w:r>
        <w:rPr>
          <w:rFonts w:ascii="楷体" w:eastAsia="楷体" w:hint="eastAsia"/>
          <w:sz w:val="21"/>
        </w:rPr>
        <w:t>语言能力完全丧失，指无法发出四种语音（包括口唇音、齿舌音、口</w:t>
      </w:r>
    </w:p>
    <w:p>
      <w:pPr>
        <w:pStyle w:val="BodyText"/>
        <w:spacing w:line="237" w:lineRule="auto" w:before="1"/>
        <w:ind w:left="317" w:right="418"/>
        <w:jc w:val="both"/>
        <w:rPr>
          <w:rFonts w:ascii="楷体" w:eastAsia="楷体" w:hint="eastAsia"/>
        </w:rPr>
      </w:pPr>
      <w:r>
        <w:rPr>
          <w:rFonts w:ascii="楷体" w:eastAsia="楷体" w:hint="eastAsia"/>
        </w:rPr>
        <w:t>盖音和喉头音）中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after="0" w:line="237" w:lineRule="auto"/>
        <w:jc w:val="both"/>
        <w:rPr>
          <w:rFonts w:ascii="楷体" w:eastAsia="楷体" w:hint="eastAsia"/>
        </w:rPr>
        <w:sectPr>
          <w:pgSz w:w="11910" w:h="16160"/>
          <w:pgMar w:header="0" w:footer="799" w:top="1420" w:bottom="106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2779"/>
        <w:gridCol w:w="7150"/>
      </w:tblGrid>
      <w:tr>
        <w:trPr>
          <w:trHeight w:val="1512" w:hRule="atLeast"/>
        </w:trPr>
        <w:tc>
          <w:tcPr>
            <w:tcW w:w="492" w:type="dxa"/>
          </w:tcPr>
          <w:p>
            <w:pPr>
              <w:pStyle w:val="TableParagraph"/>
              <w:rPr>
                <w:rFonts w:ascii="Times New Roman"/>
                <w:sz w:val="20"/>
              </w:rPr>
            </w:pPr>
          </w:p>
        </w:tc>
        <w:tc>
          <w:tcPr>
            <w:tcW w:w="2779" w:type="dxa"/>
          </w:tcPr>
          <w:p>
            <w:pPr>
              <w:pStyle w:val="TableParagraph"/>
              <w:rPr>
                <w:rFonts w:ascii="Times New Roman"/>
                <w:sz w:val="20"/>
              </w:rPr>
            </w:pPr>
          </w:p>
        </w:tc>
        <w:tc>
          <w:tcPr>
            <w:tcW w:w="7150" w:type="dxa"/>
          </w:tcPr>
          <w:p>
            <w:pPr>
              <w:pStyle w:val="TableParagraph"/>
              <w:spacing w:line="234" w:lineRule="exact"/>
              <w:ind w:left="227"/>
              <w:rPr>
                <w:sz w:val="21"/>
              </w:rPr>
            </w:pPr>
            <w:r>
              <w:rPr>
                <w:w w:val="100"/>
                <w:sz w:val="21"/>
              </w:rPr>
              <w:t>（</w:t>
            </w:r>
            <w:r>
              <w:rPr>
                <w:rFonts w:ascii="Times New Roman" w:eastAsia="Times New Roman"/>
                <w:spacing w:val="-2"/>
                <w:w w:val="100"/>
                <w:sz w:val="21"/>
              </w:rPr>
              <w:t>C</w:t>
            </w:r>
            <w:r>
              <w:rPr>
                <w:rFonts w:ascii="Times New Roman" w:eastAsia="Times New Roman"/>
                <w:w w:val="100"/>
                <w:sz w:val="21"/>
              </w:rPr>
              <w:t>T</w:t>
            </w:r>
            <w:r>
              <w:rPr>
                <w:spacing w:val="-108"/>
                <w:w w:val="100"/>
                <w:sz w:val="21"/>
              </w:rPr>
              <w:t>）</w:t>
            </w:r>
            <w:r>
              <w:rPr>
                <w:spacing w:val="-8"/>
                <w:w w:val="100"/>
                <w:sz w:val="21"/>
              </w:rPr>
              <w:t>、核磁共振检查</w:t>
            </w:r>
            <w:r>
              <w:rPr>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spacing w:val="-20"/>
                <w:w w:val="100"/>
                <w:sz w:val="21"/>
              </w:rPr>
              <w:t>）</w:t>
            </w:r>
            <w:r>
              <w:rPr>
                <w:spacing w:val="-5"/>
                <w:w w:val="100"/>
                <w:sz w:val="21"/>
              </w:rPr>
              <w:t>或正电子发射断层扫描</w:t>
            </w:r>
            <w:r>
              <w:rPr>
                <w:spacing w:val="-3"/>
                <w:w w:val="100"/>
                <w:sz w:val="21"/>
              </w:rPr>
              <w:t>（</w:t>
            </w:r>
            <w:r>
              <w:rPr>
                <w:rFonts w:ascii="Times New Roman" w:eastAsia="Times New Roman"/>
                <w:w w:val="100"/>
                <w:sz w:val="21"/>
              </w:rPr>
              <w:t>P</w:t>
            </w:r>
            <w:r>
              <w:rPr>
                <w:rFonts w:ascii="Times New Roman" w:eastAsia="Times New Roman"/>
                <w:spacing w:val="-2"/>
                <w:w w:val="100"/>
                <w:sz w:val="21"/>
              </w:rPr>
              <w:t>E</w:t>
            </w:r>
            <w:r>
              <w:rPr>
                <w:rFonts w:ascii="Times New Roman" w:eastAsia="Times New Roman"/>
                <w:w w:val="100"/>
                <w:sz w:val="21"/>
              </w:rPr>
              <w:t>T</w:t>
            </w:r>
            <w:r>
              <w:rPr>
                <w:spacing w:val="-22"/>
                <w:w w:val="100"/>
                <w:sz w:val="21"/>
              </w:rPr>
              <w:t>）</w:t>
            </w:r>
            <w:r>
              <w:rPr>
                <w:spacing w:val="-3"/>
                <w:w w:val="100"/>
                <w:sz w:val="21"/>
              </w:rPr>
              <w:t>等影像学检</w:t>
            </w:r>
          </w:p>
          <w:p>
            <w:pPr>
              <w:pStyle w:val="TableParagraph"/>
              <w:spacing w:before="21"/>
              <w:ind w:left="227"/>
              <w:rPr>
                <w:sz w:val="21"/>
              </w:rPr>
            </w:pPr>
            <w:r>
              <w:rPr>
                <w:sz w:val="21"/>
              </w:rPr>
              <w:t>查证实，并须满足下列至少一项条件：</w:t>
            </w:r>
          </w:p>
          <w:p>
            <w:pPr>
              <w:pStyle w:val="TableParagraph"/>
              <w:spacing w:before="36"/>
              <w:ind w:left="227"/>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before="21"/>
              <w:ind w:left="227"/>
              <w:rPr>
                <w:sz w:val="21"/>
              </w:rPr>
            </w:pPr>
            <w:r>
              <w:rPr>
                <w:sz w:val="21"/>
              </w:rPr>
              <w:t>（</w:t>
            </w:r>
            <w:r>
              <w:rPr>
                <w:rFonts w:ascii="Times New Roman" w:eastAsia="Times New Roman"/>
                <w:sz w:val="21"/>
              </w:rPr>
              <w:t>2</w:t>
            </w:r>
            <w:r>
              <w:rPr>
                <w:sz w:val="21"/>
              </w:rPr>
              <w:t>）实际实施了对脑肿瘤进行的放射治疗。</w:t>
            </w:r>
          </w:p>
          <w:p>
            <w:pPr>
              <w:pStyle w:val="TableParagraph"/>
              <w:spacing w:before="21"/>
              <w:ind w:left="227"/>
              <w:rPr>
                <w:b/>
                <w:sz w:val="21"/>
              </w:rPr>
            </w:pPr>
            <w:r>
              <w:rPr>
                <w:b/>
                <w:sz w:val="21"/>
              </w:rPr>
              <w:t>脑垂体瘤、脑囊肿、脑血管性疾病不在保障范围内。</w:t>
            </w:r>
          </w:p>
        </w:tc>
      </w:tr>
      <w:tr>
        <w:trPr>
          <w:trHeight w:val="1872" w:hRule="atLeast"/>
        </w:trPr>
        <w:tc>
          <w:tcPr>
            <w:tcW w:w="492" w:type="dxa"/>
          </w:tcPr>
          <w:p>
            <w:pPr>
              <w:pStyle w:val="TableParagraph"/>
              <w:spacing w:before="38"/>
              <w:ind w:right="27"/>
              <w:jc w:val="right"/>
              <w:rPr>
                <w:rFonts w:ascii="Times New Roman"/>
                <w:sz w:val="21"/>
              </w:rPr>
            </w:pPr>
            <w:r>
              <w:rPr>
                <w:rFonts w:ascii="Times New Roman"/>
                <w:sz w:val="21"/>
              </w:rPr>
              <w:t>10.</w:t>
            </w:r>
          </w:p>
        </w:tc>
        <w:tc>
          <w:tcPr>
            <w:tcW w:w="2779" w:type="dxa"/>
          </w:tcPr>
          <w:p>
            <w:pPr>
              <w:pStyle w:val="TableParagraph"/>
              <w:spacing w:line="266" w:lineRule="exact"/>
              <w:ind w:left="27"/>
              <w:rPr>
                <w:sz w:val="21"/>
              </w:rPr>
            </w:pPr>
            <w:r>
              <w:rPr>
                <w:sz w:val="21"/>
              </w:rPr>
              <w:t>慢性肝功能衰竭失代偿期</w:t>
            </w:r>
          </w:p>
        </w:tc>
        <w:tc>
          <w:tcPr>
            <w:tcW w:w="7150" w:type="dxa"/>
          </w:tcPr>
          <w:p>
            <w:pPr>
              <w:pStyle w:val="TableParagraph"/>
              <w:spacing w:line="266" w:lineRule="exact"/>
              <w:ind w:left="227"/>
              <w:rPr>
                <w:sz w:val="21"/>
              </w:rPr>
            </w:pPr>
            <w:r>
              <w:rPr>
                <w:sz w:val="21"/>
              </w:rPr>
              <w:t>指因慢性肝脏疾病导致肝功能衰竭。须满足下列全部条件：</w:t>
            </w:r>
          </w:p>
          <w:p>
            <w:pPr>
              <w:pStyle w:val="TableParagraph"/>
              <w:spacing w:before="37"/>
              <w:ind w:left="227"/>
              <w:rPr>
                <w:sz w:val="21"/>
              </w:rPr>
            </w:pPr>
            <w:r>
              <w:rPr>
                <w:sz w:val="21"/>
              </w:rPr>
              <w:t>（</w:t>
            </w:r>
            <w:r>
              <w:rPr>
                <w:rFonts w:ascii="Times New Roman" w:eastAsia="Times New Roman"/>
                <w:sz w:val="21"/>
              </w:rPr>
              <w:t>1</w:t>
            </w:r>
            <w:r>
              <w:rPr>
                <w:sz w:val="21"/>
              </w:rPr>
              <w:t>）持续性黄疸；</w:t>
            </w:r>
          </w:p>
          <w:p>
            <w:pPr>
              <w:pStyle w:val="TableParagraph"/>
              <w:spacing w:before="21"/>
              <w:ind w:left="227"/>
              <w:rPr>
                <w:sz w:val="21"/>
              </w:rPr>
            </w:pPr>
            <w:r>
              <w:rPr>
                <w:sz w:val="21"/>
              </w:rPr>
              <w:t>（</w:t>
            </w:r>
            <w:r>
              <w:rPr>
                <w:rFonts w:ascii="Times New Roman" w:eastAsia="Times New Roman"/>
                <w:sz w:val="21"/>
              </w:rPr>
              <w:t>2</w:t>
            </w:r>
            <w:r>
              <w:rPr>
                <w:sz w:val="21"/>
              </w:rPr>
              <w:t>）腹水；</w:t>
            </w:r>
          </w:p>
          <w:p>
            <w:pPr>
              <w:pStyle w:val="TableParagraph"/>
              <w:spacing w:before="21"/>
              <w:ind w:left="227"/>
              <w:rPr>
                <w:sz w:val="21"/>
              </w:rPr>
            </w:pPr>
            <w:r>
              <w:rPr>
                <w:sz w:val="21"/>
              </w:rPr>
              <w:t>（</w:t>
            </w:r>
            <w:r>
              <w:rPr>
                <w:rFonts w:ascii="Times New Roman" w:eastAsia="Times New Roman"/>
                <w:sz w:val="21"/>
              </w:rPr>
              <w:t>3</w:t>
            </w:r>
            <w:r>
              <w:rPr>
                <w:sz w:val="21"/>
              </w:rPr>
              <w:t>）肝性脑病；</w:t>
            </w:r>
          </w:p>
          <w:p>
            <w:pPr>
              <w:pStyle w:val="TableParagraph"/>
              <w:spacing w:line="256" w:lineRule="auto" w:before="21"/>
              <w:ind w:left="227" w:right="1771"/>
              <w:rPr>
                <w:b/>
                <w:sz w:val="21"/>
              </w:rPr>
            </w:pPr>
            <w:r>
              <w:rPr>
                <w:sz w:val="21"/>
              </w:rPr>
              <w:t>（</w:t>
            </w:r>
            <w:r>
              <w:rPr>
                <w:rFonts w:ascii="Times New Roman" w:eastAsia="Times New Roman"/>
                <w:sz w:val="21"/>
              </w:rPr>
              <w:t>4</w:t>
            </w:r>
            <w:r>
              <w:rPr>
                <w:sz w:val="21"/>
              </w:rPr>
              <w:t>）充血性脾肿大伴脾功能亢进或食管胃底静脉曲张。</w:t>
            </w:r>
            <w:r>
              <w:rPr>
                <w:b/>
                <w:sz w:val="21"/>
              </w:rPr>
              <w:t>因酗酒或药物滥用导致的肝功能衰竭不在保障范围内。</w:t>
            </w:r>
          </w:p>
        </w:tc>
      </w:tr>
      <w:tr>
        <w:trPr>
          <w:trHeight w:val="1872" w:hRule="atLeast"/>
        </w:trPr>
        <w:tc>
          <w:tcPr>
            <w:tcW w:w="492" w:type="dxa"/>
          </w:tcPr>
          <w:p>
            <w:pPr>
              <w:pStyle w:val="TableParagraph"/>
              <w:spacing w:before="38"/>
              <w:ind w:right="33"/>
              <w:jc w:val="right"/>
              <w:rPr>
                <w:rFonts w:ascii="Times New Roman"/>
                <w:sz w:val="21"/>
              </w:rPr>
            </w:pPr>
            <w:r>
              <w:rPr>
                <w:rFonts w:ascii="Times New Roman"/>
                <w:sz w:val="21"/>
              </w:rPr>
              <w:t>11.</w:t>
            </w:r>
          </w:p>
        </w:tc>
        <w:tc>
          <w:tcPr>
            <w:tcW w:w="2779" w:type="dxa"/>
          </w:tcPr>
          <w:p>
            <w:pPr>
              <w:pStyle w:val="TableParagraph"/>
              <w:spacing w:line="266" w:lineRule="exact"/>
              <w:ind w:left="27"/>
              <w:rPr>
                <w:sz w:val="21"/>
              </w:rPr>
            </w:pPr>
            <w:r>
              <w:rPr>
                <w:sz w:val="21"/>
              </w:rPr>
              <w:t>脑炎后遗症或脑膜炎后遗症</w:t>
            </w:r>
          </w:p>
        </w:tc>
        <w:tc>
          <w:tcPr>
            <w:tcW w:w="7150" w:type="dxa"/>
          </w:tcPr>
          <w:p>
            <w:pPr>
              <w:pStyle w:val="TableParagraph"/>
              <w:spacing w:line="273" w:lineRule="auto"/>
              <w:ind w:left="227" w:right="199"/>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79" w:lineRule="exact" w:before="8"/>
              <w:ind w:left="227"/>
              <w:rPr>
                <w:sz w:val="21"/>
              </w:rPr>
            </w:pPr>
            <w:r>
              <w:rPr>
                <w:sz w:val="21"/>
              </w:rPr>
              <w:t>（</w:t>
            </w:r>
            <w:r>
              <w:rPr>
                <w:rFonts w:ascii="Times New Roman" w:eastAsia="Times New Roman"/>
                <w:sz w:val="21"/>
              </w:rPr>
              <w:t>1</w:t>
            </w:r>
            <w:r>
              <w:rPr>
                <w:sz w:val="21"/>
              </w:rPr>
              <w:t>）一肢或一肢以上肢体机能完全丧失；</w:t>
            </w:r>
          </w:p>
          <w:p>
            <w:pPr>
              <w:pStyle w:val="TableParagraph"/>
              <w:spacing w:before="20"/>
              <w:ind w:left="227"/>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0"/>
              <w:ind w:left="227" w:right="200"/>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247" w:hRule="atLeast"/>
        </w:trPr>
        <w:tc>
          <w:tcPr>
            <w:tcW w:w="492" w:type="dxa"/>
          </w:tcPr>
          <w:p>
            <w:pPr>
              <w:pStyle w:val="TableParagraph"/>
              <w:spacing w:before="38"/>
              <w:ind w:right="27"/>
              <w:jc w:val="right"/>
              <w:rPr>
                <w:rFonts w:ascii="Times New Roman"/>
                <w:sz w:val="21"/>
              </w:rPr>
            </w:pPr>
            <w:r>
              <w:rPr>
                <w:rFonts w:ascii="Times New Roman"/>
                <w:sz w:val="21"/>
              </w:rPr>
              <w:t>12.</w:t>
            </w:r>
          </w:p>
        </w:tc>
        <w:tc>
          <w:tcPr>
            <w:tcW w:w="2779" w:type="dxa"/>
          </w:tcPr>
          <w:p>
            <w:pPr>
              <w:pStyle w:val="TableParagraph"/>
              <w:spacing w:line="266" w:lineRule="exact"/>
              <w:ind w:left="27"/>
              <w:rPr>
                <w:sz w:val="21"/>
              </w:rPr>
            </w:pPr>
            <w:r>
              <w:rPr>
                <w:sz w:val="21"/>
              </w:rPr>
              <w:t>深度昏迷</w:t>
            </w:r>
          </w:p>
        </w:tc>
        <w:tc>
          <w:tcPr>
            <w:tcW w:w="7150" w:type="dxa"/>
          </w:tcPr>
          <w:p>
            <w:pPr>
              <w:pStyle w:val="TableParagraph"/>
              <w:spacing w:line="264" w:lineRule="auto"/>
              <w:ind w:left="227" w:right="200"/>
              <w:jc w:val="both"/>
              <w:rPr>
                <w:sz w:val="21"/>
              </w:rPr>
            </w:pPr>
            <w:r>
              <w:rPr>
                <w:spacing w:val="-5"/>
                <w:sz w:val="21"/>
              </w:rPr>
              <w:t>指因疾病或意外伤害导致意识丧失，对外界刺激和体内需求均无反应，昏</w:t>
            </w:r>
            <w:r>
              <w:rPr>
                <w:spacing w:val="-6"/>
                <w:sz w:val="21"/>
              </w:rPr>
              <w:t>迷程度按照格拉斯哥昏迷分级</w:t>
            </w:r>
            <w:r>
              <w:rPr>
                <w:sz w:val="21"/>
              </w:rPr>
              <w:t>（</w:t>
            </w:r>
            <w:r>
              <w:rPr>
                <w:rFonts w:ascii="Times New Roman" w:eastAsia="Times New Roman"/>
                <w:sz w:val="21"/>
              </w:rPr>
              <w:t>Glasgow coma </w:t>
            </w:r>
            <w:r>
              <w:rPr>
                <w:rFonts w:ascii="Times New Roman" w:eastAsia="Times New Roman"/>
                <w:spacing w:val="-5"/>
                <w:sz w:val="21"/>
              </w:rPr>
              <w:t>scale</w:t>
            </w:r>
            <w:r>
              <w:rPr>
                <w:spacing w:val="-5"/>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下，且已经持续使用呼吸机及其他生命维持系统 </w:t>
            </w:r>
            <w:r>
              <w:rPr>
                <w:rFonts w:ascii="Times New Roman" w:eastAsia="Times New Roman"/>
                <w:sz w:val="21"/>
              </w:rPr>
              <w:t>96 </w:t>
            </w:r>
            <w:r>
              <w:rPr>
                <w:spacing w:val="-1"/>
                <w:sz w:val="21"/>
              </w:rPr>
              <w:t>小时以上。</w:t>
            </w:r>
          </w:p>
          <w:p>
            <w:pPr>
              <w:pStyle w:val="TableParagraph"/>
              <w:spacing w:line="273" w:lineRule="exact" w:before="9"/>
              <w:ind w:left="227"/>
              <w:jc w:val="both"/>
              <w:rPr>
                <w:b/>
                <w:sz w:val="21"/>
              </w:rPr>
            </w:pPr>
            <w:r>
              <w:rPr>
                <w:b/>
                <w:sz w:val="21"/>
              </w:rPr>
              <w:t>因酗酒或药物滥用导致的深度昏迷不在保障范围内。</w:t>
            </w:r>
          </w:p>
        </w:tc>
      </w:tr>
      <w:tr>
        <w:trPr>
          <w:trHeight w:val="1560" w:hRule="atLeast"/>
        </w:trPr>
        <w:tc>
          <w:tcPr>
            <w:tcW w:w="492" w:type="dxa"/>
          </w:tcPr>
          <w:p>
            <w:pPr>
              <w:pStyle w:val="TableParagraph"/>
              <w:spacing w:before="38"/>
              <w:ind w:right="27"/>
              <w:jc w:val="right"/>
              <w:rPr>
                <w:rFonts w:ascii="Times New Roman"/>
                <w:sz w:val="21"/>
              </w:rPr>
            </w:pPr>
            <w:r>
              <w:rPr>
                <w:rFonts w:ascii="Times New Roman"/>
                <w:sz w:val="21"/>
              </w:rPr>
              <w:t>13.</w:t>
            </w:r>
          </w:p>
        </w:tc>
        <w:tc>
          <w:tcPr>
            <w:tcW w:w="2779" w:type="dxa"/>
          </w:tcPr>
          <w:p>
            <w:pPr>
              <w:pStyle w:val="TableParagraph"/>
              <w:spacing w:line="282" w:lineRule="exact"/>
              <w:ind w:left="27"/>
              <w:rPr>
                <w:b/>
                <w:sz w:val="21"/>
              </w:rPr>
            </w:pPr>
            <w:r>
              <w:rPr>
                <w:sz w:val="21"/>
              </w:rPr>
              <w:t>双耳失聪 </w:t>
            </w:r>
            <w:r>
              <w:rPr>
                <w:rFonts w:ascii="Times New Roman" w:eastAsia="Times New Roman"/>
                <w:sz w:val="21"/>
              </w:rPr>
              <w:t>-  </w:t>
            </w:r>
            <w:r>
              <w:rPr>
                <w:b/>
                <w:sz w:val="21"/>
              </w:rPr>
              <w:t>三周岁始理赔</w:t>
            </w:r>
          </w:p>
        </w:tc>
        <w:tc>
          <w:tcPr>
            <w:tcW w:w="7150" w:type="dxa"/>
          </w:tcPr>
          <w:p>
            <w:pPr>
              <w:pStyle w:val="TableParagraph"/>
              <w:spacing w:line="282" w:lineRule="exact"/>
              <w:ind w:left="227"/>
              <w:rPr>
                <w:rFonts w:ascii="Times New Roman" w:eastAsia="Times New Roman"/>
                <w:sz w:val="21"/>
              </w:rPr>
            </w:pPr>
            <w:r>
              <w:rPr>
                <w:sz w:val="21"/>
              </w:rPr>
              <w:t>指因疾病或意外伤害导致双耳听力永久不可逆性丧失，在 </w:t>
            </w:r>
            <w:r>
              <w:rPr>
                <w:rFonts w:ascii="Times New Roman" w:eastAsia="Times New Roman"/>
                <w:sz w:val="21"/>
              </w:rPr>
              <w:t>500 </w:t>
            </w:r>
            <w:r>
              <w:rPr>
                <w:sz w:val="21"/>
              </w:rPr>
              <w:t>赫兹、</w:t>
            </w:r>
            <w:r>
              <w:rPr>
                <w:rFonts w:ascii="Times New Roman" w:eastAsia="Times New Roman"/>
                <w:sz w:val="21"/>
              </w:rPr>
              <w:t>1000</w:t>
            </w:r>
          </w:p>
          <w:p>
            <w:pPr>
              <w:pStyle w:val="TableParagraph"/>
              <w:spacing w:line="256" w:lineRule="auto" w:before="21"/>
              <w:ind w:left="227" w:right="304"/>
              <w:rPr>
                <w:sz w:val="21"/>
              </w:rPr>
            </w:pPr>
            <w:r>
              <w:rPr>
                <w:spacing w:val="-13"/>
                <w:sz w:val="21"/>
              </w:rPr>
              <w:t>赫兹和 </w:t>
            </w:r>
            <w:r>
              <w:rPr>
                <w:rFonts w:ascii="Times New Roman" w:eastAsia="Times New Roman"/>
                <w:sz w:val="21"/>
              </w:rPr>
              <w:t>2000 </w:t>
            </w:r>
            <w:r>
              <w:rPr>
                <w:spacing w:val="-12"/>
                <w:sz w:val="21"/>
              </w:rPr>
              <w:t>赫兹语音频率下，平均听阈大于 </w:t>
            </w:r>
            <w:r>
              <w:rPr>
                <w:rFonts w:ascii="Times New Roman" w:eastAsia="Times New Roman"/>
                <w:sz w:val="21"/>
              </w:rPr>
              <w:t>90 </w:t>
            </w:r>
            <w:r>
              <w:rPr>
                <w:spacing w:val="-9"/>
                <w:sz w:val="21"/>
              </w:rPr>
              <w:t>分贝，且经纯音听力测试</w:t>
            </w:r>
            <w:r>
              <w:rPr>
                <w:spacing w:val="-5"/>
                <w:sz w:val="21"/>
              </w:rPr>
              <w:t>声导抗检测或听觉诱发电位检测等证实。</w:t>
            </w:r>
          </w:p>
          <w:p>
            <w:pPr>
              <w:pStyle w:val="TableParagraph"/>
              <w:spacing w:line="312" w:lineRule="exact" w:before="17"/>
              <w:ind w:left="227" w:right="149"/>
              <w:rPr>
                <w:b/>
                <w:sz w:val="21"/>
              </w:rPr>
            </w:pPr>
            <w:r>
              <w:rPr>
                <w:b/>
                <w:sz w:val="21"/>
              </w:rPr>
              <w:t>被保险人申请理赔时年龄必须在三周岁以上，并且提供理赔当时的听力丧失诊断及检查证据。</w:t>
            </w:r>
          </w:p>
        </w:tc>
      </w:tr>
      <w:tr>
        <w:trPr>
          <w:trHeight w:val="2496" w:hRule="atLeast"/>
        </w:trPr>
        <w:tc>
          <w:tcPr>
            <w:tcW w:w="492" w:type="dxa"/>
          </w:tcPr>
          <w:p>
            <w:pPr>
              <w:pStyle w:val="TableParagraph"/>
              <w:spacing w:before="38"/>
              <w:ind w:right="27"/>
              <w:jc w:val="right"/>
              <w:rPr>
                <w:rFonts w:ascii="Times New Roman"/>
                <w:sz w:val="21"/>
              </w:rPr>
            </w:pPr>
            <w:r>
              <w:rPr>
                <w:rFonts w:ascii="Times New Roman"/>
                <w:sz w:val="21"/>
              </w:rPr>
              <w:t>14.</w:t>
            </w:r>
          </w:p>
        </w:tc>
        <w:tc>
          <w:tcPr>
            <w:tcW w:w="2779" w:type="dxa"/>
          </w:tcPr>
          <w:p>
            <w:pPr>
              <w:pStyle w:val="TableParagraph"/>
              <w:spacing w:line="282" w:lineRule="exact"/>
              <w:ind w:left="27"/>
              <w:rPr>
                <w:b/>
                <w:sz w:val="21"/>
              </w:rPr>
            </w:pPr>
            <w:r>
              <w:rPr>
                <w:sz w:val="21"/>
              </w:rPr>
              <w:t>双目失明 </w:t>
            </w:r>
            <w:r>
              <w:rPr>
                <w:rFonts w:ascii="Times New Roman" w:eastAsia="Times New Roman"/>
                <w:sz w:val="21"/>
              </w:rPr>
              <w:t>-  </w:t>
            </w:r>
            <w:r>
              <w:rPr>
                <w:b/>
                <w:sz w:val="21"/>
              </w:rPr>
              <w:t>三周岁始理赔</w:t>
            </w:r>
          </w:p>
        </w:tc>
        <w:tc>
          <w:tcPr>
            <w:tcW w:w="7150" w:type="dxa"/>
          </w:tcPr>
          <w:p>
            <w:pPr>
              <w:pStyle w:val="TableParagraph"/>
              <w:spacing w:line="273" w:lineRule="auto"/>
              <w:ind w:left="227" w:right="199"/>
              <w:rPr>
                <w:sz w:val="21"/>
              </w:rPr>
            </w:pPr>
            <w:r>
              <w:rPr>
                <w:sz w:val="21"/>
              </w:rPr>
              <w:t>指因疾病或意外伤害导致双眼视力永久不可逆性丧失，双眼中较好眼须满足下列至少一项条件：</w:t>
            </w:r>
          </w:p>
          <w:p>
            <w:pPr>
              <w:pStyle w:val="TableParagraph"/>
              <w:spacing w:before="16"/>
              <w:ind w:left="227"/>
              <w:rPr>
                <w:sz w:val="21"/>
              </w:rPr>
            </w:pPr>
            <w:r>
              <w:rPr>
                <w:sz w:val="21"/>
              </w:rPr>
              <w:t>（</w:t>
            </w:r>
            <w:r>
              <w:rPr>
                <w:rFonts w:ascii="Times New Roman" w:eastAsia="Times New Roman"/>
                <w:sz w:val="21"/>
              </w:rPr>
              <w:t>1</w:t>
            </w:r>
            <w:r>
              <w:rPr>
                <w:sz w:val="21"/>
              </w:rPr>
              <w:t>）眼球缺失或摘除；</w:t>
            </w:r>
          </w:p>
          <w:p>
            <w:pPr>
              <w:pStyle w:val="TableParagraph"/>
              <w:spacing w:line="256" w:lineRule="auto" w:before="20"/>
              <w:ind w:left="227" w:right="203"/>
              <w:rPr>
                <w:sz w:val="21"/>
              </w:rPr>
            </w:pPr>
            <w:r>
              <w:rPr>
                <w:sz w:val="21"/>
              </w:rPr>
              <w:t>（</w:t>
            </w:r>
            <w:r>
              <w:rPr>
                <w:rFonts w:ascii="Times New Roman" w:eastAsia="Times New Roman"/>
                <w:sz w:val="21"/>
              </w:rPr>
              <w:t>2</w:t>
            </w:r>
            <w:r>
              <w:rPr>
                <w:sz w:val="21"/>
              </w:rPr>
              <w:t>）</w:t>
            </w:r>
            <w:r>
              <w:rPr>
                <w:spacing w:val="5"/>
                <w:sz w:val="21"/>
              </w:rPr>
              <w:t>矫正视力低于 </w:t>
            </w:r>
            <w:r>
              <w:rPr>
                <w:rFonts w:ascii="Times New Roman" w:eastAsia="Times New Roman"/>
                <w:sz w:val="21"/>
              </w:rPr>
              <w:t>0.02</w:t>
            </w:r>
            <w:r>
              <w:rPr>
                <w:sz w:val="21"/>
              </w:rPr>
              <w:t>（采用国际标准视力表，如果使用其他视力表应</w:t>
            </w:r>
            <w:r>
              <w:rPr>
                <w:spacing w:val="-1"/>
                <w:w w:val="100"/>
                <w:sz w:val="21"/>
              </w:rPr>
              <w:t>进行换算</w:t>
            </w:r>
            <w:r>
              <w:rPr>
                <w:spacing w:val="-108"/>
                <w:w w:val="100"/>
                <w:sz w:val="21"/>
              </w:rPr>
              <w:t>）</w:t>
            </w:r>
            <w:r>
              <w:rPr>
                <w:w w:val="100"/>
                <w:sz w:val="21"/>
              </w:rPr>
              <w:t>；</w:t>
            </w:r>
          </w:p>
          <w:p>
            <w:pPr>
              <w:pStyle w:val="TableParagraph"/>
              <w:spacing w:before="22"/>
              <w:ind w:left="22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line="312" w:lineRule="exact" w:before="17"/>
              <w:ind w:left="227" w:right="149"/>
              <w:rPr>
                <w:b/>
                <w:sz w:val="21"/>
              </w:rPr>
            </w:pPr>
            <w:r>
              <w:rPr>
                <w:b/>
                <w:sz w:val="21"/>
              </w:rPr>
              <w:t>被保险人申请理赔时年龄必须在三周岁以上，并且提供理赔当时的视力丧失诊断及检查证据。</w:t>
            </w:r>
          </w:p>
        </w:tc>
      </w:tr>
      <w:tr>
        <w:trPr>
          <w:trHeight w:val="935" w:hRule="atLeast"/>
        </w:trPr>
        <w:tc>
          <w:tcPr>
            <w:tcW w:w="492" w:type="dxa"/>
          </w:tcPr>
          <w:p>
            <w:pPr>
              <w:pStyle w:val="TableParagraph"/>
              <w:spacing w:before="38"/>
              <w:ind w:right="27"/>
              <w:jc w:val="right"/>
              <w:rPr>
                <w:rFonts w:ascii="Times New Roman"/>
                <w:sz w:val="21"/>
              </w:rPr>
            </w:pPr>
            <w:r>
              <w:rPr>
                <w:rFonts w:ascii="Times New Roman"/>
                <w:sz w:val="21"/>
              </w:rPr>
              <w:t>15.</w:t>
            </w:r>
          </w:p>
        </w:tc>
        <w:tc>
          <w:tcPr>
            <w:tcW w:w="2779" w:type="dxa"/>
          </w:tcPr>
          <w:p>
            <w:pPr>
              <w:pStyle w:val="TableParagraph"/>
              <w:spacing w:line="266" w:lineRule="exact"/>
              <w:ind w:left="27"/>
              <w:rPr>
                <w:sz w:val="21"/>
              </w:rPr>
            </w:pPr>
            <w:r>
              <w:rPr>
                <w:sz w:val="21"/>
              </w:rPr>
              <w:t>瘫痪</w:t>
            </w:r>
          </w:p>
        </w:tc>
        <w:tc>
          <w:tcPr>
            <w:tcW w:w="7150" w:type="dxa"/>
          </w:tcPr>
          <w:p>
            <w:pPr>
              <w:pStyle w:val="TableParagraph"/>
              <w:spacing w:line="264" w:lineRule="auto"/>
              <w:ind w:left="227" w:right="199"/>
              <w:jc w:val="both"/>
              <w:rPr>
                <w:sz w:val="21"/>
              </w:rPr>
            </w:pPr>
            <w:r>
              <w:rPr>
                <w:spacing w:val="-4"/>
                <w:sz w:val="21"/>
              </w:rPr>
              <w:t>指因疾病或意外伤害导致两肢或两肢以上肢体机能永久完全丧失。肢体机</w:t>
            </w:r>
            <w:r>
              <w:rPr>
                <w:spacing w:val="-7"/>
                <w:sz w:val="21"/>
              </w:rPr>
              <w:t>能永久完全丧失，指疾病确诊 </w:t>
            </w:r>
            <w:r>
              <w:rPr>
                <w:rFonts w:ascii="Times New Roman" w:eastAsia="Times New Roman"/>
                <w:sz w:val="21"/>
              </w:rPr>
              <w:t>180 </w:t>
            </w:r>
            <w:r>
              <w:rPr>
                <w:spacing w:val="-8"/>
                <w:sz w:val="21"/>
              </w:rPr>
              <w:t>天后或意外伤害发生 </w:t>
            </w:r>
            <w:r>
              <w:rPr>
                <w:rFonts w:ascii="Times New Roman" w:eastAsia="Times New Roman"/>
                <w:sz w:val="21"/>
              </w:rPr>
              <w:t>180 </w:t>
            </w:r>
            <w:r>
              <w:rPr>
                <w:spacing w:val="-3"/>
                <w:sz w:val="21"/>
              </w:rPr>
              <w:t>天后，每肢三大关节中的两大关节仍然完全僵硬，或不能随意识活动。</w:t>
            </w:r>
          </w:p>
        </w:tc>
      </w:tr>
      <w:tr>
        <w:trPr>
          <w:trHeight w:val="624" w:hRule="atLeast"/>
        </w:trPr>
        <w:tc>
          <w:tcPr>
            <w:tcW w:w="492" w:type="dxa"/>
          </w:tcPr>
          <w:p>
            <w:pPr>
              <w:pStyle w:val="TableParagraph"/>
              <w:spacing w:before="38"/>
              <w:ind w:right="27"/>
              <w:jc w:val="right"/>
              <w:rPr>
                <w:rFonts w:ascii="Times New Roman"/>
                <w:sz w:val="21"/>
              </w:rPr>
            </w:pPr>
            <w:r>
              <w:rPr>
                <w:rFonts w:ascii="Times New Roman"/>
                <w:sz w:val="21"/>
              </w:rPr>
              <w:t>16.</w:t>
            </w:r>
          </w:p>
        </w:tc>
        <w:tc>
          <w:tcPr>
            <w:tcW w:w="2779" w:type="dxa"/>
          </w:tcPr>
          <w:p>
            <w:pPr>
              <w:pStyle w:val="TableParagraph"/>
              <w:spacing w:line="266" w:lineRule="exact"/>
              <w:ind w:left="27"/>
              <w:rPr>
                <w:sz w:val="21"/>
              </w:rPr>
            </w:pPr>
            <w:r>
              <w:rPr>
                <w:sz w:val="21"/>
              </w:rPr>
              <w:t>心脏瓣膜手术</w:t>
            </w:r>
          </w:p>
        </w:tc>
        <w:tc>
          <w:tcPr>
            <w:tcW w:w="7150" w:type="dxa"/>
          </w:tcPr>
          <w:p>
            <w:pPr>
              <w:pStyle w:val="TableParagraph"/>
              <w:spacing w:line="266" w:lineRule="exact"/>
              <w:ind w:left="227"/>
              <w:rPr>
                <w:sz w:val="21"/>
              </w:rPr>
            </w:pPr>
            <w:r>
              <w:rPr>
                <w:sz w:val="21"/>
              </w:rPr>
              <w:t>指为治疗心脏瓣膜疾病，实际实施了开胸进行的心脏瓣膜置换或修复的手</w:t>
            </w:r>
          </w:p>
          <w:p>
            <w:pPr>
              <w:pStyle w:val="TableParagraph"/>
              <w:spacing w:before="37"/>
              <w:ind w:left="227"/>
              <w:rPr>
                <w:sz w:val="21"/>
              </w:rPr>
            </w:pPr>
            <w:r>
              <w:rPr>
                <w:sz w:val="21"/>
              </w:rPr>
              <w:t>术。</w:t>
            </w:r>
          </w:p>
        </w:tc>
      </w:tr>
      <w:tr>
        <w:trPr>
          <w:trHeight w:val="1218" w:hRule="atLeast"/>
        </w:trPr>
        <w:tc>
          <w:tcPr>
            <w:tcW w:w="492" w:type="dxa"/>
          </w:tcPr>
          <w:p>
            <w:pPr>
              <w:pStyle w:val="TableParagraph"/>
              <w:spacing w:before="38"/>
              <w:ind w:right="27"/>
              <w:jc w:val="right"/>
              <w:rPr>
                <w:rFonts w:ascii="Times New Roman"/>
                <w:sz w:val="21"/>
              </w:rPr>
            </w:pPr>
            <w:r>
              <w:rPr>
                <w:rFonts w:ascii="Times New Roman"/>
                <w:sz w:val="21"/>
              </w:rPr>
              <w:t>17.</w:t>
            </w:r>
          </w:p>
        </w:tc>
        <w:tc>
          <w:tcPr>
            <w:tcW w:w="2779" w:type="dxa"/>
          </w:tcPr>
          <w:p>
            <w:pPr>
              <w:pStyle w:val="TableParagraph"/>
              <w:spacing w:line="266" w:lineRule="exact"/>
              <w:ind w:left="27"/>
              <w:rPr>
                <w:sz w:val="21"/>
              </w:rPr>
            </w:pPr>
            <w:r>
              <w:rPr>
                <w:sz w:val="21"/>
              </w:rPr>
              <w:t>严重阿尔茨海默病</w:t>
            </w:r>
          </w:p>
        </w:tc>
        <w:tc>
          <w:tcPr>
            <w:tcW w:w="7150" w:type="dxa"/>
          </w:tcPr>
          <w:p>
            <w:pPr>
              <w:pStyle w:val="TableParagraph"/>
              <w:spacing w:line="273" w:lineRule="auto"/>
              <w:ind w:left="227" w:right="199"/>
              <w:jc w:val="both"/>
              <w:rPr>
                <w:sz w:val="21"/>
              </w:rPr>
            </w:pPr>
            <w:r>
              <w:rPr>
                <w:spacing w:val="-3"/>
                <w:sz w:val="21"/>
              </w:rPr>
              <w:t>指因大脑进行性、不可逆性改变导致智能严重衰退或丧失，临床表现为明</w:t>
            </w:r>
            <w:r>
              <w:rPr>
                <w:spacing w:val="-4"/>
                <w:sz w:val="21"/>
              </w:rPr>
              <w:t>显的认知能力障碍、行为异常和社交能力减退，其日常生活必须持续受到</w:t>
            </w:r>
            <w:r>
              <w:rPr>
                <w:spacing w:val="-3"/>
                <w:w w:val="100"/>
                <w:sz w:val="21"/>
              </w:rPr>
              <w:t>他人监护。须由头颅</w:t>
            </w:r>
            <w:r>
              <w:rPr>
                <w:spacing w:val="-3"/>
                <w:sz w:val="21"/>
              </w:rPr>
              <w:t> </w:t>
            </w:r>
            <w:r>
              <w:rPr>
                <w:rFonts w:ascii="Times New Roman" w:eastAsia="Times New Roman"/>
                <w:w w:val="100"/>
                <w:sz w:val="21"/>
              </w:rPr>
              <w:t>X</w:t>
            </w:r>
            <w:r>
              <w:rPr>
                <w:rFonts w:ascii="Times New Roman" w:eastAsia="Times New Roman"/>
                <w:sz w:val="21"/>
              </w:rPr>
              <w:t> </w:t>
            </w:r>
            <w:r>
              <w:rPr>
                <w:spacing w:val="-3"/>
                <w:w w:val="100"/>
                <w:sz w:val="21"/>
              </w:rPr>
              <w:t>线断层扫描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2"/>
                <w:w w:val="100"/>
                <w:sz w:val="21"/>
              </w:rPr>
              <w:t>或正电</w:t>
            </w:r>
          </w:p>
          <w:p>
            <w:pPr>
              <w:pStyle w:val="TableParagraph"/>
              <w:spacing w:line="260" w:lineRule="exact" w:before="9"/>
              <w:ind w:left="227"/>
              <w:jc w:val="both"/>
              <w:rPr>
                <w:sz w:val="21"/>
              </w:rPr>
            </w:pPr>
            <w:r>
              <w:rPr>
                <w:sz w:val="21"/>
              </w:rPr>
              <w:t>子发射断层扫描（</w:t>
            </w:r>
            <w:r>
              <w:rPr>
                <w:rFonts w:ascii="Times New Roman" w:eastAsia="Times New Roman"/>
                <w:sz w:val="21"/>
              </w:rPr>
              <w:t>PET</w:t>
            </w:r>
            <w:r>
              <w:rPr>
                <w:sz w:val="21"/>
              </w:rPr>
              <w:t>）等影像学检查证实，且自主生活能力完全丧失，</w:t>
            </w:r>
          </w:p>
        </w:tc>
      </w:tr>
    </w:tbl>
    <w:p>
      <w:pPr>
        <w:spacing w:after="0" w:line="260" w:lineRule="exact"/>
        <w:jc w:val="both"/>
        <w:rPr>
          <w:sz w:val="21"/>
        </w:rPr>
        <w:sectPr>
          <w:pgSz w:w="11910" w:h="16160"/>
          <w:pgMar w:header="0" w:footer="799" w:top="1420" w:bottom="98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2834"/>
        <w:gridCol w:w="7099"/>
      </w:tblGrid>
      <w:tr>
        <w:trPr>
          <w:trHeight w:val="569" w:hRule="atLeast"/>
        </w:trPr>
        <w:tc>
          <w:tcPr>
            <w:tcW w:w="492" w:type="dxa"/>
          </w:tcPr>
          <w:p>
            <w:pPr>
              <w:pStyle w:val="TableParagraph"/>
              <w:rPr>
                <w:rFonts w:ascii="Times New Roman"/>
                <w:sz w:val="20"/>
              </w:rPr>
            </w:pPr>
          </w:p>
        </w:tc>
        <w:tc>
          <w:tcPr>
            <w:tcW w:w="2834" w:type="dxa"/>
          </w:tcPr>
          <w:p>
            <w:pPr>
              <w:pStyle w:val="TableParagraph"/>
              <w:rPr>
                <w:rFonts w:ascii="Times New Roman"/>
                <w:sz w:val="20"/>
              </w:rPr>
            </w:pPr>
          </w:p>
        </w:tc>
        <w:tc>
          <w:tcPr>
            <w:tcW w:w="7099" w:type="dxa"/>
          </w:tcPr>
          <w:p>
            <w:pPr>
              <w:pStyle w:val="TableParagraph"/>
              <w:spacing w:line="202" w:lineRule="exact"/>
              <w:ind w:left="172"/>
              <w:rPr>
                <w:sz w:val="21"/>
              </w:rPr>
            </w:pPr>
            <w:r>
              <w:rPr>
                <w:sz w:val="21"/>
              </w:rPr>
              <w:t>无法独立完成六项基本日常生活活动中的三项或三项以上。</w:t>
            </w:r>
          </w:p>
          <w:p>
            <w:pPr>
              <w:pStyle w:val="TableParagraph"/>
              <w:spacing w:before="37"/>
              <w:ind w:left="172"/>
              <w:rPr>
                <w:b/>
                <w:sz w:val="21"/>
              </w:rPr>
            </w:pPr>
            <w:r>
              <w:rPr>
                <w:b/>
                <w:sz w:val="21"/>
              </w:rPr>
              <w:t>神经官能症和精神疾病不在保障范围内。</w:t>
            </w:r>
          </w:p>
        </w:tc>
      </w:tr>
      <w:tr>
        <w:trPr>
          <w:trHeight w:val="2495" w:hRule="atLeast"/>
        </w:trPr>
        <w:tc>
          <w:tcPr>
            <w:tcW w:w="492" w:type="dxa"/>
          </w:tcPr>
          <w:p>
            <w:pPr>
              <w:pStyle w:val="TableParagraph"/>
              <w:spacing w:before="29"/>
              <w:ind w:right="27"/>
              <w:jc w:val="right"/>
              <w:rPr>
                <w:rFonts w:ascii="Times New Roman"/>
                <w:sz w:val="21"/>
              </w:rPr>
            </w:pPr>
            <w:r>
              <w:rPr>
                <w:rFonts w:ascii="Times New Roman"/>
                <w:sz w:val="21"/>
              </w:rPr>
              <w:t>18.</w:t>
            </w:r>
          </w:p>
        </w:tc>
        <w:tc>
          <w:tcPr>
            <w:tcW w:w="2834" w:type="dxa"/>
          </w:tcPr>
          <w:p>
            <w:pPr>
              <w:pStyle w:val="TableParagraph"/>
              <w:spacing w:line="257" w:lineRule="exact"/>
              <w:ind w:left="27"/>
              <w:rPr>
                <w:sz w:val="21"/>
              </w:rPr>
            </w:pPr>
            <w:r>
              <w:rPr>
                <w:sz w:val="21"/>
              </w:rPr>
              <w:t>严重脑损伤</w:t>
            </w:r>
          </w:p>
        </w:tc>
        <w:tc>
          <w:tcPr>
            <w:tcW w:w="7099" w:type="dxa"/>
          </w:tcPr>
          <w:p>
            <w:pPr>
              <w:pStyle w:val="TableParagraph"/>
              <w:spacing w:line="257" w:lineRule="exact"/>
              <w:ind w:left="172"/>
              <w:rPr>
                <w:sz w:val="21"/>
              </w:rPr>
            </w:pPr>
            <w:r>
              <w:rPr>
                <w:sz w:val="21"/>
              </w:rPr>
              <w:t>指因头部遭受机械性外力，引起脑重要部位损伤，导致神经系统永久性的</w:t>
            </w:r>
          </w:p>
          <w:p>
            <w:pPr>
              <w:pStyle w:val="TableParagraph"/>
              <w:spacing w:line="256" w:lineRule="auto" w:before="37"/>
              <w:ind w:left="172" w:right="205"/>
              <w:rPr>
                <w:sz w:val="21"/>
              </w:rPr>
            </w:pPr>
            <w:r>
              <w:rPr>
                <w:spacing w:val="-3"/>
                <w:w w:val="100"/>
                <w:sz w:val="21"/>
              </w:rPr>
              <w:t>功能障碍。须由头颅</w:t>
            </w:r>
            <w:r>
              <w:rPr>
                <w:spacing w:val="-3"/>
                <w:sz w:val="21"/>
              </w:rPr>
              <w:t> </w:t>
            </w:r>
            <w:r>
              <w:rPr>
                <w:rFonts w:ascii="Times New Roman" w:eastAsia="Times New Roman"/>
                <w:w w:val="100"/>
                <w:sz w:val="21"/>
              </w:rPr>
              <w:t>X</w:t>
            </w:r>
            <w:r>
              <w:rPr>
                <w:rFonts w:ascii="Times New Roman" w:eastAsia="Times New Roman"/>
                <w:sz w:val="21"/>
              </w:rPr>
              <w:t> </w:t>
            </w:r>
            <w:r>
              <w:rPr>
                <w:spacing w:val="-3"/>
                <w:w w:val="100"/>
                <w:sz w:val="21"/>
              </w:rPr>
              <w:t>线断层扫描</w:t>
            </w:r>
            <w:r>
              <w:rPr>
                <w:spacing w:val="-2"/>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3"/>
                <w:w w:val="100"/>
                <w:sz w:val="21"/>
              </w:rPr>
              <w:t>、核磁共振检查</w:t>
            </w:r>
            <w:r>
              <w:rPr>
                <w:spacing w:val="-1"/>
                <w:w w:val="100"/>
                <w:sz w:val="21"/>
              </w:rPr>
              <w:t>（</w:t>
            </w:r>
            <w:r>
              <w:rPr>
                <w:rFonts w:ascii="Times New Roman" w:eastAsia="Times New Roman"/>
                <w:spacing w:val="-3"/>
                <w:w w:val="100"/>
                <w:sz w:val="21"/>
              </w:rPr>
              <w:t>M</w:t>
            </w:r>
            <w:r>
              <w:rPr>
                <w:rFonts w:ascii="Times New Roman" w:eastAsia="Times New Roman"/>
                <w:w w:val="100"/>
                <w:sz w:val="21"/>
              </w:rPr>
              <w:t>R</w:t>
            </w:r>
            <w:r>
              <w:rPr>
                <w:rFonts w:ascii="Times New Roman" w:eastAsia="Times New Roman"/>
                <w:spacing w:val="-3"/>
                <w:w w:val="100"/>
                <w:sz w:val="21"/>
              </w:rPr>
              <w:t>I</w:t>
            </w:r>
            <w:r>
              <w:rPr>
                <w:w w:val="100"/>
                <w:sz w:val="21"/>
              </w:rPr>
              <w:t>）</w:t>
            </w:r>
            <w:r>
              <w:rPr>
                <w:spacing w:val="-2"/>
                <w:w w:val="100"/>
                <w:sz w:val="21"/>
              </w:rPr>
              <w:t>或正电</w:t>
            </w:r>
            <w:r>
              <w:rPr>
                <w:spacing w:val="-7"/>
                <w:sz w:val="21"/>
              </w:rPr>
              <w:t>子发射断层扫描</w:t>
            </w:r>
            <w:r>
              <w:rPr>
                <w:spacing w:val="-6"/>
                <w:sz w:val="21"/>
              </w:rPr>
              <w:t>（</w:t>
            </w:r>
            <w:r>
              <w:rPr>
                <w:rFonts w:ascii="Times New Roman" w:eastAsia="Times New Roman"/>
                <w:spacing w:val="-6"/>
                <w:sz w:val="21"/>
              </w:rPr>
              <w:t>PET</w:t>
            </w:r>
            <w:r>
              <w:rPr>
                <w:spacing w:val="-6"/>
                <w:sz w:val="21"/>
              </w:rPr>
              <w:t>）等影像学检查证实。神经系统永久性的功能障碍</w:t>
            </w:r>
            <w:r>
              <w:rPr>
                <w:spacing w:val="-12"/>
                <w:sz w:val="21"/>
              </w:rPr>
              <w:t>指脑损伤 </w:t>
            </w:r>
            <w:r>
              <w:rPr>
                <w:rFonts w:ascii="Times New Roman" w:eastAsia="Times New Roman"/>
                <w:sz w:val="21"/>
              </w:rPr>
              <w:t>180 </w:t>
            </w:r>
            <w:r>
              <w:rPr>
                <w:spacing w:val="-3"/>
                <w:sz w:val="21"/>
              </w:rPr>
              <w:t>天后，仍遗留下列一种或一种以上障碍：</w:t>
            </w:r>
          </w:p>
          <w:p>
            <w:pPr>
              <w:pStyle w:val="TableParagraph"/>
              <w:spacing w:before="5"/>
              <w:ind w:left="172"/>
              <w:rPr>
                <w:sz w:val="21"/>
              </w:rPr>
            </w:pPr>
            <w:r>
              <w:rPr>
                <w:sz w:val="21"/>
              </w:rPr>
              <w:t>（</w:t>
            </w:r>
            <w:r>
              <w:rPr>
                <w:rFonts w:ascii="Times New Roman" w:eastAsia="Times New Roman"/>
                <w:sz w:val="21"/>
              </w:rPr>
              <w:t>1</w:t>
            </w:r>
            <w:r>
              <w:rPr>
                <w:sz w:val="21"/>
              </w:rPr>
              <w:t>）一肢或一肢以上肢体机能完全丧失；</w:t>
            </w:r>
          </w:p>
          <w:p>
            <w:pPr>
              <w:pStyle w:val="TableParagraph"/>
              <w:spacing w:before="21"/>
              <w:ind w:left="172"/>
              <w:rPr>
                <w:sz w:val="21"/>
              </w:rPr>
            </w:pPr>
            <w:r>
              <w:rPr>
                <w:sz w:val="21"/>
              </w:rPr>
              <w:t>（</w:t>
            </w:r>
            <w:r>
              <w:rPr>
                <w:rFonts w:ascii="Times New Roman" w:eastAsia="Times New Roman"/>
                <w:sz w:val="21"/>
              </w:rPr>
              <w:t>2</w:t>
            </w:r>
            <w:r>
              <w:rPr>
                <w:sz w:val="21"/>
              </w:rPr>
              <w:t>）语言能力或咀嚼吞咽能力完全丧失；</w:t>
            </w:r>
          </w:p>
          <w:p>
            <w:pPr>
              <w:pStyle w:val="TableParagraph"/>
              <w:spacing w:line="256" w:lineRule="auto" w:before="21"/>
              <w:ind w:left="172" w:right="204"/>
              <w:rPr>
                <w:sz w:val="21"/>
              </w:rPr>
            </w:pPr>
            <w:r>
              <w:rPr>
                <w:sz w:val="21"/>
              </w:rPr>
              <w:t>（</w:t>
            </w:r>
            <w:r>
              <w:rPr>
                <w:rFonts w:ascii="Times New Roman" w:eastAsia="Times New Roman"/>
                <w:sz w:val="21"/>
              </w:rPr>
              <w:t>3</w:t>
            </w:r>
            <w:r>
              <w:rPr>
                <w:sz w:val="21"/>
              </w:rPr>
              <w:t>）自主生活能力完全丧失，无法独立完成六项基本日常生活活动中的三项或三项以上。</w:t>
            </w:r>
          </w:p>
        </w:tc>
      </w:tr>
      <w:tr>
        <w:trPr>
          <w:trHeight w:val="1872" w:hRule="atLeast"/>
        </w:trPr>
        <w:tc>
          <w:tcPr>
            <w:tcW w:w="492" w:type="dxa"/>
          </w:tcPr>
          <w:p>
            <w:pPr>
              <w:pStyle w:val="TableParagraph"/>
              <w:spacing w:before="29"/>
              <w:ind w:right="27"/>
              <w:jc w:val="right"/>
              <w:rPr>
                <w:rFonts w:ascii="Times New Roman"/>
                <w:sz w:val="21"/>
              </w:rPr>
            </w:pPr>
            <w:r>
              <w:rPr>
                <w:rFonts w:ascii="Times New Roman"/>
                <w:sz w:val="21"/>
              </w:rPr>
              <w:t>19.</w:t>
            </w:r>
          </w:p>
        </w:tc>
        <w:tc>
          <w:tcPr>
            <w:tcW w:w="2834" w:type="dxa"/>
          </w:tcPr>
          <w:p>
            <w:pPr>
              <w:pStyle w:val="TableParagraph"/>
              <w:spacing w:line="257" w:lineRule="exact"/>
              <w:ind w:left="27"/>
              <w:rPr>
                <w:sz w:val="21"/>
              </w:rPr>
            </w:pPr>
            <w:r>
              <w:rPr>
                <w:sz w:val="21"/>
              </w:rPr>
              <w:t>严重帕金森病</w:t>
            </w:r>
          </w:p>
        </w:tc>
        <w:tc>
          <w:tcPr>
            <w:tcW w:w="7099" w:type="dxa"/>
          </w:tcPr>
          <w:p>
            <w:pPr>
              <w:pStyle w:val="TableParagraph"/>
              <w:spacing w:line="257" w:lineRule="exact"/>
              <w:ind w:left="172"/>
              <w:rPr>
                <w:sz w:val="21"/>
              </w:rPr>
            </w:pPr>
            <w:r>
              <w:rPr>
                <w:sz w:val="21"/>
              </w:rPr>
              <w:t>是一种中枢神经系统的退行性疾病，临床表现为震颤麻痹、共济失调等。</w:t>
            </w:r>
          </w:p>
          <w:p>
            <w:pPr>
              <w:pStyle w:val="TableParagraph"/>
              <w:spacing w:before="37"/>
              <w:ind w:left="172"/>
              <w:rPr>
                <w:sz w:val="21"/>
              </w:rPr>
            </w:pPr>
            <w:r>
              <w:rPr>
                <w:sz w:val="21"/>
              </w:rPr>
              <w:t>须满足下列全部条件：</w:t>
            </w:r>
          </w:p>
          <w:p>
            <w:pPr>
              <w:pStyle w:val="TableParagraph"/>
              <w:spacing w:before="36"/>
              <w:ind w:left="172"/>
              <w:rPr>
                <w:sz w:val="21"/>
              </w:rPr>
            </w:pPr>
            <w:r>
              <w:rPr>
                <w:sz w:val="21"/>
              </w:rPr>
              <w:t>（</w:t>
            </w:r>
            <w:r>
              <w:rPr>
                <w:rFonts w:ascii="Times New Roman" w:eastAsia="Times New Roman"/>
                <w:sz w:val="21"/>
              </w:rPr>
              <w:t>1</w:t>
            </w:r>
            <w:r>
              <w:rPr>
                <w:sz w:val="21"/>
              </w:rPr>
              <w:t>）药物治疗无法控制病情；</w:t>
            </w:r>
          </w:p>
          <w:p>
            <w:pPr>
              <w:pStyle w:val="TableParagraph"/>
              <w:spacing w:line="256" w:lineRule="auto" w:before="21"/>
              <w:ind w:left="172" w:right="203"/>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before="22"/>
              <w:ind w:left="172"/>
              <w:rPr>
                <w:b/>
                <w:sz w:val="21"/>
              </w:rPr>
            </w:pPr>
            <w:r>
              <w:rPr>
                <w:b/>
                <w:sz w:val="21"/>
              </w:rPr>
              <w:t>继发性帕金森综合征不在保障范围内。</w:t>
            </w:r>
          </w:p>
        </w:tc>
      </w:tr>
      <w:tr>
        <w:trPr>
          <w:trHeight w:val="623" w:hRule="atLeast"/>
        </w:trPr>
        <w:tc>
          <w:tcPr>
            <w:tcW w:w="492" w:type="dxa"/>
          </w:tcPr>
          <w:p>
            <w:pPr>
              <w:pStyle w:val="TableParagraph"/>
              <w:spacing w:before="29"/>
              <w:ind w:right="27"/>
              <w:jc w:val="right"/>
              <w:rPr>
                <w:rFonts w:ascii="Times New Roman"/>
                <w:sz w:val="21"/>
              </w:rPr>
            </w:pPr>
            <w:r>
              <w:rPr>
                <w:rFonts w:ascii="Times New Roman"/>
                <w:sz w:val="21"/>
              </w:rPr>
              <w:t>20.</w:t>
            </w:r>
          </w:p>
        </w:tc>
        <w:tc>
          <w:tcPr>
            <w:tcW w:w="2834" w:type="dxa"/>
          </w:tcPr>
          <w:p>
            <w:pPr>
              <w:pStyle w:val="TableParagraph"/>
              <w:spacing w:line="257" w:lineRule="exact"/>
              <w:ind w:left="27"/>
              <w:rPr>
                <w:sz w:val="21"/>
              </w:rPr>
            </w:pPr>
            <w:r>
              <w:rPr>
                <w:sz w:val="21"/>
              </w:rPr>
              <w:t>严重Ⅲ度烧伤</w:t>
            </w:r>
          </w:p>
        </w:tc>
        <w:tc>
          <w:tcPr>
            <w:tcW w:w="7099" w:type="dxa"/>
          </w:tcPr>
          <w:p>
            <w:pPr>
              <w:pStyle w:val="TableParagraph"/>
              <w:spacing w:line="273" w:lineRule="exact"/>
              <w:ind w:left="172"/>
              <w:rPr>
                <w:sz w:val="21"/>
              </w:rPr>
            </w:pPr>
            <w:r>
              <w:rPr>
                <w:sz w:val="21"/>
              </w:rPr>
              <w:t>指烧伤程度为Ⅲ度，且Ⅲ度烧伤的面积达到全身体表面积的 </w:t>
            </w:r>
            <w:r>
              <w:rPr>
                <w:rFonts w:ascii="Times New Roman" w:hAnsi="Times New Roman" w:eastAsia="Times New Roman"/>
                <w:sz w:val="21"/>
              </w:rPr>
              <w:t>20</w:t>
            </w:r>
            <w:r>
              <w:rPr>
                <w:sz w:val="21"/>
              </w:rPr>
              <w:t>％或 </w:t>
            </w:r>
            <w:r>
              <w:rPr>
                <w:rFonts w:ascii="Times New Roman" w:hAnsi="Times New Roman" w:eastAsia="Times New Roman"/>
                <w:sz w:val="21"/>
              </w:rPr>
              <w:t>20</w:t>
            </w:r>
            <w:r>
              <w:rPr>
                <w:sz w:val="21"/>
              </w:rPr>
              <w:t>％</w:t>
            </w:r>
          </w:p>
          <w:p>
            <w:pPr>
              <w:pStyle w:val="TableParagraph"/>
              <w:spacing w:before="21"/>
              <w:ind w:left="172"/>
              <w:rPr>
                <w:sz w:val="21"/>
              </w:rPr>
            </w:pPr>
            <w:r>
              <w:rPr>
                <w:sz w:val="21"/>
              </w:rPr>
              <w:t>以上。体表面积根据《中国新九分法》计算。</w:t>
            </w:r>
          </w:p>
        </w:tc>
      </w:tr>
      <w:tr>
        <w:trPr>
          <w:trHeight w:val="943" w:hRule="atLeast"/>
        </w:trPr>
        <w:tc>
          <w:tcPr>
            <w:tcW w:w="492" w:type="dxa"/>
          </w:tcPr>
          <w:p>
            <w:pPr>
              <w:pStyle w:val="TableParagraph"/>
              <w:spacing w:before="29"/>
              <w:ind w:right="27"/>
              <w:jc w:val="right"/>
              <w:rPr>
                <w:rFonts w:ascii="Times New Roman"/>
                <w:sz w:val="21"/>
              </w:rPr>
            </w:pPr>
            <w:r>
              <w:rPr>
                <w:rFonts w:ascii="Times New Roman"/>
                <w:sz w:val="21"/>
              </w:rPr>
              <w:t>21.</w:t>
            </w:r>
          </w:p>
        </w:tc>
        <w:tc>
          <w:tcPr>
            <w:tcW w:w="2834" w:type="dxa"/>
          </w:tcPr>
          <w:p>
            <w:pPr>
              <w:pStyle w:val="TableParagraph"/>
              <w:spacing w:line="257" w:lineRule="exact"/>
              <w:ind w:left="27"/>
              <w:rPr>
                <w:sz w:val="21"/>
              </w:rPr>
            </w:pPr>
            <w:r>
              <w:rPr>
                <w:sz w:val="21"/>
              </w:rPr>
              <w:t>严重原发性肺动脉高压</w:t>
            </w:r>
          </w:p>
        </w:tc>
        <w:tc>
          <w:tcPr>
            <w:tcW w:w="7099" w:type="dxa"/>
          </w:tcPr>
          <w:p>
            <w:pPr>
              <w:pStyle w:val="TableParagraph"/>
              <w:spacing w:line="257" w:lineRule="exact"/>
              <w:ind w:left="172"/>
              <w:rPr>
                <w:sz w:val="21"/>
              </w:rPr>
            </w:pPr>
            <w:r>
              <w:rPr>
                <w:sz w:val="21"/>
              </w:rPr>
              <w:t>指不明原因的肺动脉压力持续性增高，进行性发展而导致的慢性疾病，已</w:t>
            </w:r>
          </w:p>
          <w:p>
            <w:pPr>
              <w:pStyle w:val="TableParagraph"/>
              <w:spacing w:line="273" w:lineRule="auto" w:before="37"/>
              <w:ind w:left="172" w:right="203"/>
              <w:rPr>
                <w:sz w:val="21"/>
              </w:rPr>
            </w:pPr>
            <w:r>
              <w:rPr>
                <w:sz w:val="21"/>
              </w:rPr>
              <w:t>经造成永久不可逆性的体力活动能力受限，达到美国纽约心脏病学会心功能状态分级 </w:t>
            </w:r>
            <w:r>
              <w:rPr>
                <w:rFonts w:ascii="Times New Roman" w:eastAsia="Times New Roman"/>
                <w:sz w:val="21"/>
              </w:rPr>
              <w:t>IV </w:t>
            </w:r>
            <w:r>
              <w:rPr>
                <w:sz w:val="21"/>
              </w:rPr>
              <w:t>级，且静息状态下肺动脉平均压超过 </w:t>
            </w:r>
            <w:r>
              <w:rPr>
                <w:rFonts w:ascii="Times New Roman" w:eastAsia="Times New Roman"/>
                <w:sz w:val="21"/>
              </w:rPr>
              <w:t>30mmHg</w:t>
            </w:r>
            <w:r>
              <w:rPr>
                <w:sz w:val="21"/>
              </w:rPr>
              <w:t>。</w:t>
            </w:r>
          </w:p>
        </w:tc>
      </w:tr>
      <w:tr>
        <w:trPr>
          <w:trHeight w:val="1240" w:hRule="atLeast"/>
        </w:trPr>
        <w:tc>
          <w:tcPr>
            <w:tcW w:w="492" w:type="dxa"/>
          </w:tcPr>
          <w:p>
            <w:pPr>
              <w:pStyle w:val="TableParagraph"/>
              <w:spacing w:before="21"/>
              <w:ind w:right="27"/>
              <w:jc w:val="right"/>
              <w:rPr>
                <w:rFonts w:ascii="Times New Roman"/>
                <w:sz w:val="21"/>
              </w:rPr>
            </w:pPr>
            <w:r>
              <w:rPr>
                <w:rFonts w:ascii="Times New Roman"/>
                <w:sz w:val="21"/>
              </w:rPr>
              <w:t>22.</w:t>
            </w:r>
          </w:p>
        </w:tc>
        <w:tc>
          <w:tcPr>
            <w:tcW w:w="2834" w:type="dxa"/>
          </w:tcPr>
          <w:p>
            <w:pPr>
              <w:pStyle w:val="TableParagraph"/>
              <w:spacing w:line="249" w:lineRule="exact"/>
              <w:ind w:left="27"/>
              <w:rPr>
                <w:sz w:val="21"/>
              </w:rPr>
            </w:pPr>
            <w:r>
              <w:rPr>
                <w:sz w:val="21"/>
              </w:rPr>
              <w:t>严重运动神经元病</w:t>
            </w:r>
          </w:p>
        </w:tc>
        <w:tc>
          <w:tcPr>
            <w:tcW w:w="7099" w:type="dxa"/>
          </w:tcPr>
          <w:p>
            <w:pPr>
              <w:pStyle w:val="TableParagraph"/>
              <w:spacing w:line="249" w:lineRule="exact"/>
              <w:ind w:left="172"/>
              <w:rPr>
                <w:sz w:val="21"/>
              </w:rPr>
            </w:pPr>
            <w:r>
              <w:rPr>
                <w:sz w:val="21"/>
              </w:rPr>
              <w:t>是一组中枢神经系统运动神经元的进行性变性疾病，包括进行性脊肌萎缩</w:t>
            </w:r>
          </w:p>
          <w:p>
            <w:pPr>
              <w:pStyle w:val="TableParagraph"/>
              <w:spacing w:line="273" w:lineRule="auto" w:before="37"/>
              <w:ind w:left="172" w:right="203"/>
              <w:jc w:val="both"/>
              <w:rPr>
                <w:sz w:val="21"/>
              </w:rPr>
            </w:pPr>
            <w:r>
              <w:rPr>
                <w:sz w:val="21"/>
              </w:rPr>
              <w:t>症、进行性延髓麻痹症、原发性侧索硬化症、肌萎缩性侧索硬化症。须满足自主生活能力完全丧失，无法独立完成六项基本日常生活活动中的三项或三项以上的条件。</w:t>
            </w:r>
          </w:p>
        </w:tc>
      </w:tr>
      <w:tr>
        <w:trPr>
          <w:trHeight w:val="1560" w:hRule="atLeast"/>
        </w:trPr>
        <w:tc>
          <w:tcPr>
            <w:tcW w:w="492" w:type="dxa"/>
          </w:tcPr>
          <w:p>
            <w:pPr>
              <w:pStyle w:val="TableParagraph"/>
              <w:spacing w:before="29"/>
              <w:ind w:right="27"/>
              <w:jc w:val="right"/>
              <w:rPr>
                <w:rFonts w:ascii="Times New Roman"/>
                <w:sz w:val="21"/>
              </w:rPr>
            </w:pPr>
            <w:r>
              <w:rPr>
                <w:rFonts w:ascii="Times New Roman"/>
                <w:sz w:val="21"/>
              </w:rPr>
              <w:t>23.</w:t>
            </w:r>
          </w:p>
        </w:tc>
        <w:tc>
          <w:tcPr>
            <w:tcW w:w="2834" w:type="dxa"/>
          </w:tcPr>
          <w:p>
            <w:pPr>
              <w:pStyle w:val="TableParagraph"/>
              <w:spacing w:line="273" w:lineRule="exact"/>
              <w:ind w:left="27"/>
              <w:rPr>
                <w:b/>
                <w:sz w:val="21"/>
              </w:rPr>
            </w:pPr>
            <w:r>
              <w:rPr>
                <w:sz w:val="21"/>
              </w:rPr>
              <w:t>语言能力丧失 </w:t>
            </w:r>
            <w:r>
              <w:rPr>
                <w:rFonts w:ascii="Times New Roman" w:eastAsia="Times New Roman"/>
                <w:sz w:val="21"/>
              </w:rPr>
              <w:t>-  </w:t>
            </w:r>
            <w:r>
              <w:rPr>
                <w:b/>
                <w:sz w:val="21"/>
              </w:rPr>
              <w:t>三周岁始理</w:t>
            </w:r>
          </w:p>
          <w:p>
            <w:pPr>
              <w:pStyle w:val="TableParagraph"/>
              <w:spacing w:before="21"/>
              <w:ind w:left="27"/>
              <w:rPr>
                <w:b/>
                <w:sz w:val="21"/>
              </w:rPr>
            </w:pPr>
            <w:r>
              <w:rPr>
                <w:b/>
                <w:w w:val="100"/>
                <w:sz w:val="21"/>
              </w:rPr>
              <w:t>赔</w:t>
            </w:r>
          </w:p>
        </w:tc>
        <w:tc>
          <w:tcPr>
            <w:tcW w:w="7099" w:type="dxa"/>
          </w:tcPr>
          <w:p>
            <w:pPr>
              <w:pStyle w:val="TableParagraph"/>
              <w:spacing w:line="273" w:lineRule="exact"/>
              <w:ind w:left="172"/>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73" w:lineRule="auto" w:before="21"/>
              <w:ind w:left="172" w:right="724"/>
              <w:rPr>
                <w:b/>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b/>
                <w:spacing w:val="-3"/>
                <w:sz w:val="21"/>
              </w:rPr>
              <w:t>精神心理因素所致的语言能力丧失不在保障范围内。</w:t>
            </w:r>
          </w:p>
          <w:p>
            <w:pPr>
              <w:pStyle w:val="TableParagraph"/>
              <w:spacing w:line="273" w:lineRule="auto" w:before="7"/>
              <w:ind w:left="172" w:right="153"/>
              <w:rPr>
                <w:b/>
                <w:sz w:val="21"/>
              </w:rPr>
            </w:pPr>
            <w:r>
              <w:rPr>
                <w:b/>
                <w:sz w:val="21"/>
              </w:rPr>
              <w:t>被保险人申请理赔时年龄必须在三周岁以上，并且提供理赔当时的语言能力丧失诊断及检查证据。</w:t>
            </w:r>
          </w:p>
        </w:tc>
      </w:tr>
      <w:tr>
        <w:trPr>
          <w:trHeight w:val="2192" w:hRule="atLeast"/>
        </w:trPr>
        <w:tc>
          <w:tcPr>
            <w:tcW w:w="492" w:type="dxa"/>
          </w:tcPr>
          <w:p>
            <w:pPr>
              <w:pStyle w:val="TableParagraph"/>
              <w:spacing w:before="29"/>
              <w:ind w:right="27"/>
              <w:jc w:val="right"/>
              <w:rPr>
                <w:rFonts w:ascii="Times New Roman"/>
                <w:sz w:val="21"/>
              </w:rPr>
            </w:pPr>
            <w:r>
              <w:rPr>
                <w:rFonts w:ascii="Times New Roman"/>
                <w:sz w:val="21"/>
              </w:rPr>
              <w:t>24.</w:t>
            </w:r>
          </w:p>
        </w:tc>
        <w:tc>
          <w:tcPr>
            <w:tcW w:w="2834" w:type="dxa"/>
          </w:tcPr>
          <w:p>
            <w:pPr>
              <w:pStyle w:val="TableParagraph"/>
              <w:spacing w:line="257" w:lineRule="exact"/>
              <w:ind w:left="27"/>
              <w:rPr>
                <w:sz w:val="21"/>
              </w:rPr>
            </w:pPr>
            <w:r>
              <w:rPr>
                <w:sz w:val="21"/>
              </w:rPr>
              <w:t>重型再生障碍性贫血</w:t>
            </w:r>
          </w:p>
        </w:tc>
        <w:tc>
          <w:tcPr>
            <w:tcW w:w="7099" w:type="dxa"/>
          </w:tcPr>
          <w:p>
            <w:pPr>
              <w:pStyle w:val="TableParagraph"/>
              <w:spacing w:line="257" w:lineRule="exact"/>
              <w:ind w:left="172"/>
              <w:rPr>
                <w:sz w:val="21"/>
              </w:rPr>
            </w:pPr>
            <w:r>
              <w:rPr>
                <w:sz w:val="21"/>
              </w:rPr>
              <w:t>指因骨髓造血功能慢性持续性衰竭导致的贫血、中性粒细胞减少及血小板</w:t>
            </w:r>
          </w:p>
          <w:p>
            <w:pPr>
              <w:pStyle w:val="TableParagraph"/>
              <w:spacing w:before="37"/>
              <w:ind w:left="172"/>
              <w:rPr>
                <w:sz w:val="21"/>
              </w:rPr>
            </w:pPr>
            <w:r>
              <w:rPr>
                <w:sz w:val="21"/>
              </w:rPr>
              <w:t>减少。须满足下列全部条件：</w:t>
            </w:r>
          </w:p>
          <w:p>
            <w:pPr>
              <w:pStyle w:val="TableParagraph"/>
              <w:spacing w:before="37"/>
              <w:ind w:left="172"/>
              <w:rPr>
                <w:sz w:val="21"/>
              </w:rPr>
            </w:pPr>
            <w:r>
              <w:rPr>
                <w:sz w:val="21"/>
              </w:rPr>
              <w:t>（</w:t>
            </w:r>
            <w:r>
              <w:rPr>
                <w:rFonts w:ascii="Times New Roman" w:eastAsia="Times New Roman"/>
                <w:sz w:val="21"/>
              </w:rPr>
              <w:t>1</w:t>
            </w:r>
            <w:r>
              <w:rPr>
                <w:sz w:val="21"/>
              </w:rPr>
              <w:t>）骨髓穿刺检查或骨髓活检结果支持诊断；</w:t>
            </w:r>
          </w:p>
          <w:p>
            <w:pPr>
              <w:pStyle w:val="TableParagraph"/>
              <w:spacing w:before="22"/>
              <w:ind w:left="172"/>
              <w:rPr>
                <w:sz w:val="21"/>
              </w:rPr>
            </w:pPr>
            <w:r>
              <w:rPr>
                <w:sz w:val="21"/>
              </w:rPr>
              <w:t>（</w:t>
            </w:r>
            <w:r>
              <w:rPr>
                <w:rFonts w:ascii="Times New Roman" w:eastAsia="Times New Roman"/>
                <w:sz w:val="21"/>
              </w:rPr>
              <w:t>2</w:t>
            </w:r>
            <w:r>
              <w:rPr>
                <w:sz w:val="21"/>
              </w:rPr>
              <w:t>）外周血象须具备以下三项条件：</w:t>
            </w:r>
          </w:p>
          <w:p>
            <w:pPr>
              <w:pStyle w:val="TableParagraph"/>
              <w:spacing w:before="21"/>
              <w:ind w:left="698"/>
              <w:rPr>
                <w:sz w:val="21"/>
              </w:rPr>
            </w:pPr>
            <w:r>
              <w:rPr>
                <w:sz w:val="21"/>
              </w:rPr>
              <w:t>① 中性粒细胞绝对值≤</w:t>
            </w:r>
            <w:r>
              <w:rPr>
                <w:rFonts w:ascii="Times New Roman" w:hAnsi="Times New Roman" w:eastAsia="Times New Roman"/>
                <w:sz w:val="21"/>
              </w:rPr>
              <w:t>0.5×10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1"/>
              <w:ind w:left="698"/>
              <w:rPr>
                <w:sz w:val="21"/>
              </w:rPr>
            </w:pPr>
            <w:r>
              <w:rPr>
                <w:sz w:val="21"/>
              </w:rPr>
              <w:t>② 网织红细胞＜</w:t>
            </w:r>
            <w:r>
              <w:rPr>
                <w:rFonts w:ascii="Times New Roman" w:hAnsi="Times New Roman" w:eastAsia="Times New Roman"/>
                <w:sz w:val="21"/>
              </w:rPr>
              <w:t>1%</w:t>
            </w:r>
            <w:r>
              <w:rPr>
                <w:sz w:val="21"/>
              </w:rPr>
              <w:t>；</w:t>
            </w:r>
          </w:p>
          <w:p>
            <w:pPr>
              <w:pStyle w:val="TableParagraph"/>
              <w:spacing w:before="21"/>
              <w:ind w:left="698"/>
              <w:rPr>
                <w:sz w:val="21"/>
              </w:rPr>
            </w:pPr>
            <w:r>
              <w:rPr>
                <w:sz w:val="21"/>
              </w:rPr>
              <w:t>③ 血小板绝对值≤</w:t>
            </w:r>
            <w:r>
              <w:rPr>
                <w:rFonts w:ascii="Times New Roman" w:hAnsi="Times New Roman" w:eastAsia="Times New Roman"/>
                <w:sz w:val="21"/>
              </w:rPr>
              <w:t>20×10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tc>
      </w:tr>
      <w:tr>
        <w:trPr>
          <w:trHeight w:val="1239" w:hRule="atLeast"/>
        </w:trPr>
        <w:tc>
          <w:tcPr>
            <w:tcW w:w="492" w:type="dxa"/>
          </w:tcPr>
          <w:p>
            <w:pPr>
              <w:pStyle w:val="TableParagraph"/>
              <w:spacing w:before="21"/>
              <w:ind w:right="27"/>
              <w:jc w:val="right"/>
              <w:rPr>
                <w:rFonts w:ascii="Times New Roman"/>
                <w:sz w:val="21"/>
              </w:rPr>
            </w:pPr>
            <w:r>
              <w:rPr>
                <w:rFonts w:ascii="Times New Roman"/>
                <w:sz w:val="21"/>
              </w:rPr>
              <w:t>25.</w:t>
            </w:r>
          </w:p>
        </w:tc>
        <w:tc>
          <w:tcPr>
            <w:tcW w:w="2834" w:type="dxa"/>
          </w:tcPr>
          <w:p>
            <w:pPr>
              <w:pStyle w:val="TableParagraph"/>
              <w:spacing w:line="249" w:lineRule="exact"/>
              <w:ind w:left="27"/>
              <w:rPr>
                <w:sz w:val="21"/>
              </w:rPr>
            </w:pPr>
            <w:r>
              <w:rPr>
                <w:sz w:val="21"/>
              </w:rPr>
              <w:t>主动脉手术</w:t>
            </w:r>
          </w:p>
        </w:tc>
        <w:tc>
          <w:tcPr>
            <w:tcW w:w="7099" w:type="dxa"/>
          </w:tcPr>
          <w:p>
            <w:pPr>
              <w:pStyle w:val="TableParagraph"/>
              <w:spacing w:line="249" w:lineRule="exact"/>
              <w:ind w:left="172"/>
              <w:rPr>
                <w:sz w:val="21"/>
              </w:rPr>
            </w:pPr>
            <w:r>
              <w:rPr>
                <w:sz w:val="21"/>
              </w:rPr>
              <w:t>指为治疗主动脉疾病，实际实施了开胸或开腹进行的切除、置换、修补病</w:t>
            </w:r>
          </w:p>
          <w:p>
            <w:pPr>
              <w:pStyle w:val="TableParagraph"/>
              <w:spacing w:line="273" w:lineRule="auto" w:before="37"/>
              <w:ind w:left="172" w:right="161"/>
              <w:rPr>
                <w:b/>
                <w:sz w:val="21"/>
              </w:rPr>
            </w:pPr>
            <w:r>
              <w:rPr>
                <w:sz w:val="21"/>
              </w:rPr>
              <w:t>损主动脉血管的手术。主动脉指胸主动脉和腹主动脉，</w:t>
            </w:r>
            <w:r>
              <w:rPr>
                <w:b/>
                <w:sz w:val="21"/>
              </w:rPr>
              <w:t>不包括胸主动脉和腹主动脉的分支血管。</w:t>
            </w:r>
          </w:p>
          <w:p>
            <w:pPr>
              <w:pStyle w:val="TableParagraph"/>
              <w:spacing w:before="7"/>
              <w:ind w:left="172"/>
              <w:rPr>
                <w:b/>
                <w:sz w:val="21"/>
              </w:rPr>
            </w:pPr>
            <w:r>
              <w:rPr>
                <w:b/>
                <w:sz w:val="21"/>
              </w:rPr>
              <w:t>动脉内血管成形术不在保障范围内。</w:t>
            </w:r>
          </w:p>
        </w:tc>
      </w:tr>
      <w:tr>
        <w:trPr>
          <w:trHeight w:val="594" w:hRule="atLeast"/>
        </w:trPr>
        <w:tc>
          <w:tcPr>
            <w:tcW w:w="492" w:type="dxa"/>
          </w:tcPr>
          <w:p>
            <w:pPr>
              <w:pStyle w:val="TableParagraph"/>
              <w:spacing w:before="29"/>
              <w:ind w:right="27"/>
              <w:jc w:val="right"/>
              <w:rPr>
                <w:rFonts w:ascii="Times New Roman"/>
                <w:sz w:val="21"/>
              </w:rPr>
            </w:pPr>
            <w:r>
              <w:rPr>
                <w:rFonts w:ascii="Times New Roman"/>
                <w:sz w:val="21"/>
              </w:rPr>
              <w:t>26.</w:t>
            </w:r>
          </w:p>
        </w:tc>
        <w:tc>
          <w:tcPr>
            <w:tcW w:w="2834" w:type="dxa"/>
          </w:tcPr>
          <w:p>
            <w:pPr>
              <w:pStyle w:val="TableParagraph"/>
              <w:spacing w:line="257" w:lineRule="exact"/>
              <w:ind w:left="27"/>
              <w:rPr>
                <w:sz w:val="21"/>
              </w:rPr>
            </w:pPr>
            <w:r>
              <w:rPr>
                <w:sz w:val="21"/>
              </w:rPr>
              <w:t>严重多发性硬化</w:t>
            </w:r>
          </w:p>
        </w:tc>
        <w:tc>
          <w:tcPr>
            <w:tcW w:w="7099" w:type="dxa"/>
          </w:tcPr>
          <w:p>
            <w:pPr>
              <w:pStyle w:val="TableParagraph"/>
              <w:spacing w:line="257" w:lineRule="exact"/>
              <w:ind w:left="172"/>
              <w:rPr>
                <w:sz w:val="21"/>
              </w:rPr>
            </w:pPr>
            <w:r>
              <w:rPr>
                <w:sz w:val="21"/>
              </w:rPr>
              <w:t>多发性硬化为中枢神经系统白质多灶性脱髓鞘病变，病变有时累及灰质。</w:t>
            </w:r>
          </w:p>
          <w:p>
            <w:pPr>
              <w:pStyle w:val="TableParagraph"/>
              <w:spacing w:line="280" w:lineRule="exact" w:before="37"/>
              <w:ind w:left="172"/>
              <w:rPr>
                <w:sz w:val="21"/>
              </w:rPr>
            </w:pPr>
            <w:r>
              <w:rPr>
                <w:sz w:val="21"/>
              </w:rPr>
              <w:t>多发性硬化须由核磁共振检查（</w:t>
            </w:r>
            <w:r>
              <w:rPr>
                <w:rFonts w:ascii="Times New Roman" w:eastAsia="Times New Roman"/>
                <w:sz w:val="21"/>
              </w:rPr>
              <w:t>MRI</w:t>
            </w:r>
            <w:r>
              <w:rPr>
                <w:sz w:val="21"/>
              </w:rPr>
              <w:t>）等影像学检查证实，经三级医院神</w:t>
            </w:r>
          </w:p>
        </w:tc>
      </w:tr>
    </w:tbl>
    <w:p>
      <w:pPr>
        <w:spacing w:after="0" w:line="280" w:lineRule="exact"/>
        <w:rPr>
          <w:sz w:val="21"/>
        </w:rPr>
        <w:sectPr>
          <w:pgSz w:w="11910" w:h="16160"/>
          <w:pgMar w:header="0" w:footer="799" w:top="1440" w:bottom="980" w:left="760" w:right="500"/>
        </w:sectPr>
      </w:pPr>
    </w:p>
    <w:p>
      <w:pPr>
        <w:pStyle w:val="BodyText"/>
        <w:spacing w:line="264" w:lineRule="auto" w:before="7"/>
        <w:ind w:left="3416" w:right="182"/>
        <w:jc w:val="both"/>
      </w:pPr>
      <w:r>
        <w:rPr>
          <w:spacing w:val="-3"/>
        </w:rPr>
        <w:t>经科专科医生明确诊断，并且已经造成永久不可逆的神经系统功能损害。</w:t>
      </w:r>
      <w:r>
        <w:rPr>
          <w:spacing w:val="-5"/>
        </w:rPr>
        <w:t>永久不可逆神经系统功能损害指被保险人持续 </w:t>
      </w:r>
      <w:r>
        <w:rPr>
          <w:rFonts w:ascii="Times New Roman" w:eastAsia="Times New Roman"/>
        </w:rPr>
        <w:t>180 </w:t>
      </w:r>
      <w:r>
        <w:rPr>
          <w:spacing w:val="-3"/>
        </w:rPr>
        <w:t>天无法独立完成下列基本日常生活活动：</w:t>
      </w:r>
    </w:p>
    <w:p>
      <w:pPr>
        <w:pStyle w:val="BodyText"/>
        <w:spacing w:before="15"/>
        <w:ind w:left="3418"/>
      </w:pPr>
      <w:r>
        <w:rPr/>
        <w:t>（</w:t>
      </w:r>
      <w:r>
        <w:rPr>
          <w:rFonts w:ascii="Times New Roman" w:eastAsia="Times New Roman"/>
        </w:rPr>
        <w:t>1</w:t>
      </w:r>
      <w:r>
        <w:rPr/>
        <w:t>）移动：自己从一个房间移动到另一个房间；或者</w:t>
      </w:r>
    </w:p>
    <w:p>
      <w:pPr>
        <w:pStyle w:val="BodyText"/>
        <w:spacing w:before="20"/>
        <w:ind w:left="3418"/>
      </w:pPr>
      <w:r>
        <w:rPr/>
        <w:t>（</w:t>
      </w:r>
      <w:r>
        <w:rPr>
          <w:rFonts w:ascii="Times New Roman" w:eastAsia="Times New Roman"/>
        </w:rPr>
        <w:t>2</w:t>
      </w:r>
      <w:r>
        <w:rPr/>
        <w:t>）进食：自己从已准备好的碗或碟中取食物放入口中。</w:t>
      </w:r>
    </w:p>
    <w:p>
      <w:pPr>
        <w:pStyle w:val="ListParagraph"/>
        <w:numPr>
          <w:ilvl w:val="0"/>
          <w:numId w:val="9"/>
        </w:numPr>
        <w:tabs>
          <w:tab w:pos="438" w:val="left" w:leader="none"/>
          <w:tab w:pos="3416" w:val="left" w:leader="none"/>
        </w:tabs>
        <w:spacing w:line="240" w:lineRule="auto" w:before="20" w:after="0"/>
        <w:ind w:left="437" w:right="0" w:hanging="320"/>
        <w:jc w:val="left"/>
        <w:rPr>
          <w:sz w:val="21"/>
        </w:rPr>
      </w:pPr>
      <w:r>
        <w:rPr>
          <w:sz w:val="21"/>
        </w:rPr>
        <w:t>因职</w:t>
      </w:r>
      <w:r>
        <w:rPr>
          <w:spacing w:val="-3"/>
          <w:sz w:val="21"/>
        </w:rPr>
        <w:t>业</w:t>
      </w:r>
      <w:r>
        <w:rPr>
          <w:sz w:val="21"/>
        </w:rPr>
        <w:t>关</w:t>
      </w:r>
      <w:r>
        <w:rPr>
          <w:spacing w:val="-3"/>
          <w:sz w:val="21"/>
        </w:rPr>
        <w:t>系</w:t>
      </w:r>
      <w:r>
        <w:rPr>
          <w:sz w:val="21"/>
        </w:rPr>
        <w:t>导</w:t>
      </w:r>
      <w:r>
        <w:rPr>
          <w:spacing w:val="-3"/>
          <w:sz w:val="21"/>
        </w:rPr>
        <w:t>致</w:t>
      </w:r>
      <w:r>
        <w:rPr>
          <w:sz w:val="21"/>
        </w:rPr>
        <w:t>的</w:t>
      </w:r>
      <w:r>
        <w:rPr>
          <w:spacing w:val="-51"/>
          <w:sz w:val="21"/>
        </w:rPr>
        <w:t> </w:t>
      </w:r>
      <w:r>
        <w:rPr>
          <w:rFonts w:ascii="Times New Roman" w:eastAsia="Times New Roman"/>
          <w:sz w:val="21"/>
        </w:rPr>
        <w:t>HIV</w:t>
      </w:r>
      <w:r>
        <w:rPr>
          <w:rFonts w:ascii="Times New Roman" w:eastAsia="Times New Roman"/>
          <w:spacing w:val="5"/>
          <w:sz w:val="21"/>
        </w:rPr>
        <w:t> </w:t>
      </w:r>
      <w:r>
        <w:rPr>
          <w:spacing w:val="-3"/>
          <w:sz w:val="21"/>
        </w:rPr>
        <w:t>感</w:t>
      </w:r>
      <w:r>
        <w:rPr>
          <w:sz w:val="21"/>
        </w:rPr>
        <w:t>染</w:t>
        <w:tab/>
        <w:t>被保</w:t>
      </w:r>
      <w:r>
        <w:rPr>
          <w:spacing w:val="-3"/>
          <w:sz w:val="21"/>
        </w:rPr>
        <w:t>险</w:t>
      </w:r>
      <w:r>
        <w:rPr>
          <w:sz w:val="21"/>
        </w:rPr>
        <w:t>人</w:t>
      </w:r>
      <w:r>
        <w:rPr>
          <w:spacing w:val="-3"/>
          <w:sz w:val="21"/>
        </w:rPr>
        <w:t>在</w:t>
      </w:r>
      <w:r>
        <w:rPr>
          <w:sz w:val="21"/>
        </w:rPr>
        <w:t>其</w:t>
      </w:r>
      <w:r>
        <w:rPr>
          <w:spacing w:val="-3"/>
          <w:sz w:val="21"/>
        </w:rPr>
        <w:t>常</w:t>
      </w:r>
      <w:r>
        <w:rPr>
          <w:sz w:val="21"/>
        </w:rPr>
        <w:t>规</w:t>
      </w:r>
      <w:r>
        <w:rPr>
          <w:spacing w:val="-3"/>
          <w:sz w:val="21"/>
        </w:rPr>
        <w:t>职</w:t>
      </w:r>
      <w:r>
        <w:rPr>
          <w:sz w:val="21"/>
        </w:rPr>
        <w:t>业</w:t>
      </w:r>
      <w:r>
        <w:rPr>
          <w:spacing w:val="-3"/>
          <w:sz w:val="21"/>
        </w:rPr>
        <w:t>工</w:t>
      </w:r>
      <w:r>
        <w:rPr>
          <w:sz w:val="21"/>
        </w:rPr>
        <w:t>作过</w:t>
      </w:r>
      <w:r>
        <w:rPr>
          <w:spacing w:val="-3"/>
          <w:sz w:val="21"/>
        </w:rPr>
        <w:t>程</w:t>
      </w:r>
      <w:r>
        <w:rPr>
          <w:sz w:val="21"/>
        </w:rPr>
        <w:t>中</w:t>
      </w:r>
      <w:r>
        <w:rPr>
          <w:spacing w:val="-3"/>
          <w:sz w:val="21"/>
        </w:rPr>
        <w:t>遭</w:t>
      </w:r>
      <w:r>
        <w:rPr>
          <w:sz w:val="21"/>
        </w:rPr>
        <w:t>遇</w:t>
      </w:r>
      <w:r>
        <w:rPr>
          <w:spacing w:val="-3"/>
          <w:sz w:val="21"/>
        </w:rPr>
        <w:t>外</w:t>
      </w:r>
      <w:r>
        <w:rPr>
          <w:sz w:val="21"/>
        </w:rPr>
        <w:t>伤</w:t>
      </w:r>
      <w:r>
        <w:rPr>
          <w:spacing w:val="-8"/>
          <w:sz w:val="21"/>
        </w:rPr>
        <w:t>，</w:t>
      </w:r>
      <w:r>
        <w:rPr>
          <w:sz w:val="21"/>
        </w:rPr>
        <w:t>或</w:t>
      </w:r>
      <w:r>
        <w:rPr>
          <w:spacing w:val="-3"/>
          <w:sz w:val="21"/>
        </w:rPr>
        <w:t>者</w:t>
      </w:r>
      <w:r>
        <w:rPr>
          <w:sz w:val="21"/>
        </w:rPr>
        <w:t>职业</w:t>
      </w:r>
      <w:r>
        <w:rPr>
          <w:spacing w:val="-3"/>
          <w:sz w:val="21"/>
        </w:rPr>
        <w:t>需</w:t>
      </w:r>
      <w:r>
        <w:rPr>
          <w:sz w:val="21"/>
        </w:rPr>
        <w:t>要</w:t>
      </w:r>
      <w:r>
        <w:rPr>
          <w:spacing w:val="-3"/>
          <w:sz w:val="21"/>
        </w:rPr>
        <w:t>处</w:t>
      </w:r>
      <w:r>
        <w:rPr>
          <w:sz w:val="21"/>
        </w:rPr>
        <w:t>理</w:t>
      </w:r>
      <w:r>
        <w:rPr>
          <w:spacing w:val="-3"/>
          <w:sz w:val="21"/>
        </w:rPr>
        <w:t>血</w:t>
      </w:r>
      <w:r>
        <w:rPr>
          <w:sz w:val="21"/>
        </w:rPr>
        <w:t>液</w:t>
      </w:r>
      <w:r>
        <w:rPr>
          <w:spacing w:val="-3"/>
          <w:sz w:val="21"/>
        </w:rPr>
        <w:t>或</w:t>
      </w:r>
      <w:r>
        <w:rPr>
          <w:sz w:val="21"/>
        </w:rPr>
        <w:t>者</w:t>
      </w:r>
    </w:p>
    <w:p>
      <w:pPr>
        <w:pStyle w:val="BodyText"/>
        <w:spacing w:line="256" w:lineRule="auto" w:before="20"/>
        <w:ind w:left="3416" w:right="2750"/>
      </w:pPr>
      <w:r>
        <w:rPr>
          <w:spacing w:val="-3"/>
          <w:w w:val="100"/>
        </w:rPr>
        <w:t>其他体液时感染上人类免疫缺陷病毒</w:t>
      </w:r>
      <w:r>
        <w:rPr>
          <w:spacing w:val="-2"/>
          <w:w w:val="100"/>
        </w:rPr>
        <w:t>（</w:t>
      </w:r>
      <w:r>
        <w:rPr>
          <w:rFonts w:ascii="Times New Roman" w:eastAsia="Times New Roman"/>
          <w:w w:val="100"/>
        </w:rPr>
        <w:t>H</w:t>
      </w:r>
      <w:r>
        <w:rPr>
          <w:rFonts w:ascii="Times New Roman" w:eastAsia="Times New Roman"/>
          <w:spacing w:val="-4"/>
          <w:w w:val="100"/>
        </w:rPr>
        <w:t>I</w:t>
      </w:r>
      <w:r>
        <w:rPr>
          <w:rFonts w:ascii="Times New Roman" w:eastAsia="Times New Roman"/>
          <w:spacing w:val="0"/>
          <w:w w:val="100"/>
        </w:rPr>
        <w:t>V</w:t>
      </w:r>
      <w:r>
        <w:rPr>
          <w:spacing w:val="-106"/>
          <w:w w:val="100"/>
        </w:rPr>
        <w:t>）。</w:t>
      </w:r>
      <w:r>
        <w:rPr>
          <w:spacing w:val="-3"/>
        </w:rPr>
        <w:t>理赔必须符合下列所有条件：</w:t>
      </w:r>
    </w:p>
    <w:p>
      <w:pPr>
        <w:pStyle w:val="BodyText"/>
        <w:spacing w:line="256" w:lineRule="auto" w:before="22" w:after="35"/>
        <w:ind w:left="3416" w:right="187"/>
      </w:pPr>
      <w:r>
        <w:rPr/>
        <w:t>（</w:t>
      </w:r>
      <w:r>
        <w:rPr>
          <w:rFonts w:ascii="Times New Roman" w:eastAsia="Times New Roman"/>
        </w:rPr>
        <w:t>1</w:t>
      </w:r>
      <w:r>
        <w:rPr/>
        <w:t>）感染必须是在被保险人正在从事其职业工作中发生，该职业必须属于以下列表内的职业：</w:t>
      </w:r>
    </w:p>
    <w:tbl>
      <w:tblPr>
        <w:tblW w:w="0" w:type="auto"/>
        <w:jc w:val="left"/>
        <w:tblInd w:w="3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27"/>
        <w:gridCol w:w="2836"/>
      </w:tblGrid>
      <w:tr>
        <w:trPr>
          <w:trHeight w:val="311" w:hRule="atLeast"/>
        </w:trPr>
        <w:tc>
          <w:tcPr>
            <w:tcW w:w="2727" w:type="dxa"/>
            <w:tcBorders>
              <w:bottom w:val="single" w:sz="6" w:space="0" w:color="000000"/>
              <w:right w:val="single" w:sz="6" w:space="0" w:color="000000"/>
            </w:tcBorders>
          </w:tcPr>
          <w:p>
            <w:pPr>
              <w:pStyle w:val="TableParagraph"/>
              <w:spacing w:line="262" w:lineRule="exact"/>
              <w:ind w:left="69"/>
              <w:rPr>
                <w:sz w:val="21"/>
              </w:rPr>
            </w:pPr>
            <w:r>
              <w:rPr>
                <w:sz w:val="21"/>
              </w:rPr>
              <w:t>医生和牙科医生</w:t>
            </w:r>
          </w:p>
        </w:tc>
        <w:tc>
          <w:tcPr>
            <w:tcW w:w="2836" w:type="dxa"/>
            <w:tcBorders>
              <w:left w:val="single" w:sz="6" w:space="0" w:color="000000"/>
              <w:bottom w:val="single" w:sz="6" w:space="0" w:color="000000"/>
            </w:tcBorders>
          </w:tcPr>
          <w:p>
            <w:pPr>
              <w:pStyle w:val="TableParagraph"/>
              <w:spacing w:line="262" w:lineRule="exact"/>
              <w:ind w:left="66"/>
              <w:rPr>
                <w:sz w:val="21"/>
              </w:rPr>
            </w:pPr>
            <w:r>
              <w:rPr>
                <w:sz w:val="21"/>
              </w:rPr>
              <w:t>护士</w:t>
            </w:r>
          </w:p>
        </w:tc>
      </w:tr>
      <w:tr>
        <w:trPr>
          <w:trHeight w:val="314" w:hRule="atLeast"/>
        </w:trPr>
        <w:tc>
          <w:tcPr>
            <w:tcW w:w="2727" w:type="dxa"/>
            <w:tcBorders>
              <w:top w:val="single" w:sz="6" w:space="0" w:color="000000"/>
              <w:bottom w:val="single" w:sz="6" w:space="0" w:color="000000"/>
              <w:right w:val="single" w:sz="6" w:space="0" w:color="000000"/>
            </w:tcBorders>
          </w:tcPr>
          <w:p>
            <w:pPr>
              <w:pStyle w:val="TableParagraph"/>
              <w:spacing w:line="265" w:lineRule="exact"/>
              <w:ind w:left="69"/>
              <w:rPr>
                <w:sz w:val="21"/>
              </w:rPr>
            </w:pPr>
            <w:r>
              <w:rPr>
                <w:sz w:val="21"/>
              </w:rPr>
              <w:t>实验室工作人员</w:t>
            </w:r>
          </w:p>
        </w:tc>
        <w:tc>
          <w:tcPr>
            <w:tcW w:w="2836" w:type="dxa"/>
            <w:tcBorders>
              <w:top w:val="single" w:sz="6" w:space="0" w:color="000000"/>
              <w:left w:val="single" w:sz="6" w:space="0" w:color="000000"/>
              <w:bottom w:val="single" w:sz="6" w:space="0" w:color="000000"/>
            </w:tcBorders>
          </w:tcPr>
          <w:p>
            <w:pPr>
              <w:pStyle w:val="TableParagraph"/>
              <w:spacing w:line="265" w:lineRule="exact"/>
              <w:ind w:left="66"/>
              <w:rPr>
                <w:sz w:val="21"/>
              </w:rPr>
            </w:pPr>
            <w:r>
              <w:rPr>
                <w:sz w:val="21"/>
              </w:rPr>
              <w:t>医院护工</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医生助理和牙医助理</w:t>
            </w:r>
          </w:p>
        </w:tc>
        <w:tc>
          <w:tcPr>
            <w:tcW w:w="2836"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救护车工作人员</w:t>
            </w:r>
          </w:p>
        </w:tc>
      </w:tr>
      <w:tr>
        <w:trPr>
          <w:trHeight w:val="311" w:hRule="atLeast"/>
        </w:trPr>
        <w:tc>
          <w:tcPr>
            <w:tcW w:w="2727" w:type="dxa"/>
            <w:tcBorders>
              <w:top w:val="single" w:sz="6" w:space="0" w:color="000000"/>
              <w:bottom w:val="single" w:sz="6" w:space="0" w:color="000000"/>
              <w:right w:val="single" w:sz="6" w:space="0" w:color="000000"/>
            </w:tcBorders>
          </w:tcPr>
          <w:p>
            <w:pPr>
              <w:pStyle w:val="TableParagraph"/>
              <w:spacing w:line="262" w:lineRule="exact"/>
              <w:ind w:left="69"/>
              <w:rPr>
                <w:sz w:val="21"/>
              </w:rPr>
            </w:pPr>
            <w:r>
              <w:rPr>
                <w:sz w:val="21"/>
              </w:rPr>
              <w:t>助产士</w:t>
            </w:r>
          </w:p>
        </w:tc>
        <w:tc>
          <w:tcPr>
            <w:tcW w:w="2836" w:type="dxa"/>
            <w:tcBorders>
              <w:top w:val="single" w:sz="6" w:space="0" w:color="000000"/>
              <w:left w:val="single" w:sz="6" w:space="0" w:color="000000"/>
              <w:bottom w:val="single" w:sz="6" w:space="0" w:color="000000"/>
            </w:tcBorders>
          </w:tcPr>
          <w:p>
            <w:pPr>
              <w:pStyle w:val="TableParagraph"/>
              <w:spacing w:line="262" w:lineRule="exact"/>
              <w:ind w:left="66"/>
              <w:rPr>
                <w:sz w:val="21"/>
              </w:rPr>
            </w:pPr>
            <w:r>
              <w:rPr>
                <w:sz w:val="21"/>
              </w:rPr>
              <w:t>消防队员</w:t>
            </w:r>
          </w:p>
        </w:tc>
      </w:tr>
      <w:tr>
        <w:trPr>
          <w:trHeight w:val="313" w:hRule="atLeast"/>
        </w:trPr>
        <w:tc>
          <w:tcPr>
            <w:tcW w:w="2727" w:type="dxa"/>
            <w:tcBorders>
              <w:top w:val="single" w:sz="6" w:space="0" w:color="000000"/>
              <w:right w:val="single" w:sz="6" w:space="0" w:color="000000"/>
            </w:tcBorders>
          </w:tcPr>
          <w:p>
            <w:pPr>
              <w:pStyle w:val="TableParagraph"/>
              <w:spacing w:line="262" w:lineRule="exact"/>
              <w:ind w:left="69"/>
              <w:rPr>
                <w:sz w:val="21"/>
              </w:rPr>
            </w:pPr>
            <w:r>
              <w:rPr>
                <w:sz w:val="21"/>
              </w:rPr>
              <w:t>警察</w:t>
            </w:r>
          </w:p>
        </w:tc>
        <w:tc>
          <w:tcPr>
            <w:tcW w:w="2836" w:type="dxa"/>
            <w:tcBorders>
              <w:top w:val="single" w:sz="6" w:space="0" w:color="000000"/>
              <w:left w:val="single" w:sz="6" w:space="0" w:color="000000"/>
            </w:tcBorders>
          </w:tcPr>
          <w:p>
            <w:pPr>
              <w:pStyle w:val="TableParagraph"/>
              <w:spacing w:line="262" w:lineRule="exact"/>
              <w:ind w:left="66"/>
              <w:rPr>
                <w:sz w:val="21"/>
              </w:rPr>
            </w:pPr>
            <w:r>
              <w:rPr>
                <w:sz w:val="21"/>
              </w:rPr>
              <w:t>狱警</w:t>
            </w:r>
          </w:p>
        </w:tc>
      </w:tr>
    </w:tbl>
    <w:p>
      <w:pPr>
        <w:spacing w:after="0" w:line="262" w:lineRule="exact"/>
        <w:rPr>
          <w:sz w:val="21"/>
        </w:rPr>
        <w:sectPr>
          <w:pgSz w:w="11910" w:h="16160"/>
          <w:pgMar w:header="0" w:footer="799" w:top="1360" w:bottom="980" w:left="960" w:right="62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22"/>
        </w:rPr>
      </w:pPr>
    </w:p>
    <w:p>
      <w:pPr>
        <w:pStyle w:val="ListParagraph"/>
        <w:numPr>
          <w:ilvl w:val="0"/>
          <w:numId w:val="9"/>
        </w:numPr>
        <w:tabs>
          <w:tab w:pos="438" w:val="left" w:leader="none"/>
        </w:tabs>
        <w:spacing w:line="256" w:lineRule="auto" w:before="0" w:after="0"/>
        <w:ind w:left="437" w:right="0" w:hanging="320"/>
        <w:jc w:val="left"/>
        <w:rPr>
          <w:sz w:val="21"/>
        </w:rPr>
      </w:pPr>
      <w:r>
        <w:rPr>
          <w:spacing w:val="3"/>
          <w:sz w:val="21"/>
        </w:rPr>
        <w:t>特发性慢性肾上腺皮质功能减退</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20"/>
        </w:rPr>
      </w:pPr>
    </w:p>
    <w:p>
      <w:pPr>
        <w:pStyle w:val="ListParagraph"/>
        <w:numPr>
          <w:ilvl w:val="0"/>
          <w:numId w:val="9"/>
        </w:numPr>
        <w:tabs>
          <w:tab w:pos="438" w:val="left" w:leader="none"/>
        </w:tabs>
        <w:spacing w:line="256" w:lineRule="auto" w:before="0" w:after="0"/>
        <w:ind w:left="437" w:right="0" w:hanging="320"/>
        <w:jc w:val="left"/>
        <w:rPr>
          <w:sz w:val="21"/>
        </w:rPr>
      </w:pPr>
      <w:r>
        <w:rPr>
          <w:spacing w:val="3"/>
          <w:sz w:val="21"/>
        </w:rPr>
        <w:t>严重冠状动脉粥样硬化性心脏病</w:t>
      </w:r>
    </w:p>
    <w:p>
      <w:pPr>
        <w:pStyle w:val="BodyText"/>
        <w:spacing w:line="256" w:lineRule="auto"/>
        <w:ind w:left="117" w:right="186"/>
      </w:pPr>
      <w:r>
        <w:rPr/>
        <w:br w:type="column"/>
      </w:r>
      <w:r>
        <w:rPr/>
        <w:t>（</w:t>
      </w:r>
      <w:r>
        <w:rPr>
          <w:rFonts w:ascii="Times New Roman" w:eastAsia="Times New Roman"/>
        </w:rPr>
        <w:t>2</w:t>
      </w:r>
      <w:r>
        <w:rPr/>
        <w:t>）必须提供被保险人在所报事故发生后的 </w:t>
      </w:r>
      <w:r>
        <w:rPr>
          <w:rFonts w:ascii="Times New Roman" w:eastAsia="Times New Roman"/>
        </w:rPr>
        <w:t>5 </w:t>
      </w:r>
      <w:r>
        <w:rPr/>
        <w:t>天以内进行的检查报告， 该报告必须显示被保险人血液 </w:t>
      </w:r>
      <w:r>
        <w:rPr>
          <w:rFonts w:ascii="Times New Roman" w:eastAsia="Times New Roman"/>
        </w:rPr>
        <w:t>HIV </w:t>
      </w:r>
      <w:r>
        <w:rPr/>
        <w:t>病毒阴性和</w:t>
      </w:r>
      <w:r>
        <w:rPr>
          <w:rFonts w:ascii="Times New Roman" w:eastAsia="Times New Roman"/>
        </w:rPr>
        <w:t>/</w:t>
      </w:r>
      <w:r>
        <w:rPr/>
        <w:t>或 </w:t>
      </w:r>
      <w:r>
        <w:rPr>
          <w:rFonts w:ascii="Times New Roman" w:eastAsia="Times New Roman"/>
        </w:rPr>
        <w:t>HIV </w:t>
      </w:r>
      <w:r>
        <w:rPr/>
        <w:t>抗体阴性；</w:t>
      </w:r>
    </w:p>
    <w:p>
      <w:pPr>
        <w:pStyle w:val="BodyText"/>
        <w:spacing w:before="17"/>
        <w:ind w:left="117"/>
      </w:pPr>
      <w:r>
        <w:rPr/>
        <w:t>（</w:t>
      </w:r>
      <w:r>
        <w:rPr>
          <w:rFonts w:ascii="Times New Roman" w:eastAsia="Times New Roman"/>
        </w:rPr>
        <w:t>3</w:t>
      </w:r>
      <w:r>
        <w:rPr/>
        <w:t>）必须在事故发生后的 </w:t>
      </w:r>
      <w:r>
        <w:rPr>
          <w:rFonts w:ascii="Times New Roman" w:eastAsia="Times New Roman"/>
        </w:rPr>
        <w:t>6 </w:t>
      </w:r>
      <w:r>
        <w:rPr/>
        <w:t>个月内证实被保险人体内存在 </w:t>
      </w:r>
      <w:r>
        <w:rPr>
          <w:rFonts w:ascii="Times New Roman" w:eastAsia="Times New Roman"/>
        </w:rPr>
        <w:t>HIV </w:t>
      </w:r>
      <w:r>
        <w:rPr/>
        <w:t>病毒或者</w:t>
      </w:r>
    </w:p>
    <w:p>
      <w:pPr>
        <w:pStyle w:val="BodyText"/>
        <w:spacing w:before="21"/>
        <w:ind w:left="117"/>
      </w:pPr>
      <w:r>
        <w:rPr>
          <w:rFonts w:ascii="Times New Roman" w:eastAsia="Times New Roman"/>
        </w:rPr>
        <w:t>HIV </w:t>
      </w:r>
      <w:r>
        <w:rPr/>
        <w:t>抗体，即血液 </w:t>
      </w:r>
      <w:r>
        <w:rPr>
          <w:rFonts w:ascii="Times New Roman" w:eastAsia="Times New Roman"/>
        </w:rPr>
        <w:t>HIV </w:t>
      </w:r>
      <w:r>
        <w:rPr/>
        <w:t>病毒阳性和</w:t>
      </w:r>
      <w:r>
        <w:rPr>
          <w:rFonts w:ascii="Times New Roman" w:eastAsia="Times New Roman"/>
        </w:rPr>
        <w:t>/</w:t>
      </w:r>
      <w:r>
        <w:rPr/>
        <w:t>或 </w:t>
      </w:r>
      <w:r>
        <w:rPr>
          <w:rFonts w:ascii="Times New Roman" w:eastAsia="Times New Roman"/>
        </w:rPr>
        <w:t>HIV </w:t>
      </w:r>
      <w:r>
        <w:rPr/>
        <w:t>抗体阳性。</w:t>
      </w:r>
    </w:p>
    <w:p>
      <w:pPr>
        <w:pStyle w:val="BodyText"/>
        <w:spacing w:line="273" w:lineRule="auto" w:before="21"/>
        <w:ind w:left="117" w:right="187"/>
      </w:pPr>
      <w:r>
        <w:rPr/>
        <w:t>我们承担本项疾病责任不受本合同“责任免除”中“被保险人感染艾滋病病毒或患艾滋病”的限制。</w:t>
      </w:r>
    </w:p>
    <w:p>
      <w:pPr>
        <w:pStyle w:val="BodyText"/>
        <w:spacing w:line="273" w:lineRule="auto" w:before="7"/>
        <w:ind w:left="117" w:right="186"/>
      </w:pPr>
      <w:r>
        <w:rPr/>
        <w:t>指自身免疫性肾上腺炎（既往称：特发性肾上腺皮质萎缩）导致肾上腺萎缩和慢性肾上腺皮质功能减退。必须满足所有以下条件：</w:t>
      </w:r>
    </w:p>
    <w:p>
      <w:pPr>
        <w:pStyle w:val="BodyText"/>
        <w:spacing w:before="7"/>
        <w:ind w:left="117"/>
      </w:pPr>
      <w:r>
        <w:rPr/>
        <w:t>（</w:t>
      </w:r>
      <w:r>
        <w:rPr>
          <w:rFonts w:ascii="Times New Roman" w:eastAsia="Times New Roman"/>
        </w:rPr>
        <w:t>1</w:t>
      </w:r>
      <w:r>
        <w:rPr/>
        <w:t>）明确诊断，符合所有以下诊断标准；</w:t>
      </w:r>
    </w:p>
    <w:p>
      <w:pPr>
        <w:pStyle w:val="BodyText"/>
        <w:spacing w:before="21"/>
        <w:ind w:left="643"/>
      </w:pPr>
      <w:r>
        <w:rPr/>
        <w:t>① 血浆促肾上腺皮质激素</w:t>
      </w:r>
      <w:r>
        <w:rPr>
          <w:rFonts w:ascii="Times New Roman" w:hAnsi="Times New Roman" w:eastAsia="Times New Roman"/>
        </w:rPr>
        <w:t>(ACTH)</w:t>
      </w:r>
      <w:r>
        <w:rPr/>
        <w:t>水平测定大于 </w:t>
      </w:r>
      <w:r>
        <w:rPr>
          <w:rFonts w:ascii="Times New Roman" w:hAnsi="Times New Roman" w:eastAsia="Times New Roman"/>
        </w:rPr>
        <w:t>100pg/ml</w:t>
      </w:r>
      <w:r>
        <w:rPr/>
        <w:t>；</w:t>
      </w:r>
    </w:p>
    <w:p>
      <w:pPr>
        <w:pStyle w:val="BodyText"/>
        <w:spacing w:line="256" w:lineRule="auto" w:before="21"/>
        <w:ind w:left="117" w:right="187" w:firstLine="525"/>
        <w:jc w:val="both"/>
      </w:pPr>
      <w:r>
        <w:rPr>
          <w:spacing w:val="-7"/>
        </w:rPr>
        <w:t>② 血浆和尿游离皮质醇及尿 </w:t>
      </w:r>
      <w:r>
        <w:rPr>
          <w:rFonts w:ascii="Times New Roman" w:hAnsi="Times New Roman" w:eastAsia="Times New Roman"/>
        </w:rPr>
        <w:t>17 </w:t>
      </w:r>
      <w:r>
        <w:rPr>
          <w:spacing w:val="-3"/>
        </w:rPr>
        <w:t>羟皮质类固醇、</w:t>
      </w:r>
      <w:r>
        <w:rPr>
          <w:rFonts w:ascii="Times New Roman" w:hAnsi="Times New Roman" w:eastAsia="Times New Roman"/>
        </w:rPr>
        <w:t>17 </w:t>
      </w:r>
      <w:r>
        <w:rPr>
          <w:spacing w:val="-2"/>
        </w:rPr>
        <w:t>酮皮质类固醇测</w:t>
      </w:r>
      <w:r>
        <w:rPr>
          <w:spacing w:val="-9"/>
        </w:rPr>
        <w:t>定、血浆肾素活性、血管紧张素 </w:t>
      </w:r>
      <w:r>
        <w:rPr>
          <w:rFonts w:ascii="Times New Roman" w:hAnsi="Times New Roman" w:eastAsia="Times New Roman"/>
        </w:rPr>
        <w:t>II </w:t>
      </w:r>
      <w:r>
        <w:rPr>
          <w:spacing w:val="-4"/>
        </w:rPr>
        <w:t>和醛固酮测定，显示为原发性肾上腺皮</w:t>
      </w:r>
      <w:r>
        <w:rPr>
          <w:spacing w:val="-3"/>
        </w:rPr>
        <w:t>质功能减退症；</w:t>
      </w:r>
    </w:p>
    <w:p>
      <w:pPr>
        <w:pStyle w:val="BodyText"/>
        <w:spacing w:line="256" w:lineRule="auto" w:before="22"/>
        <w:ind w:left="117" w:right="311" w:firstLine="525"/>
      </w:pPr>
      <w:r>
        <w:rPr/>
        <w:t>③ 血浆促肾上腺皮质激素</w:t>
      </w:r>
      <w:r>
        <w:rPr>
          <w:rFonts w:ascii="Times New Roman" w:hAnsi="Times New Roman" w:eastAsia="Times New Roman"/>
        </w:rPr>
        <w:t>(ACTH)</w:t>
      </w:r>
      <w:r>
        <w:rPr/>
        <w:t>刺激试验显示为原发性肾上腺皮质功能减退症。</w:t>
      </w:r>
    </w:p>
    <w:p>
      <w:pPr>
        <w:pStyle w:val="BodyText"/>
        <w:spacing w:before="22"/>
        <w:ind w:left="117"/>
      </w:pPr>
      <w:r>
        <w:rPr/>
        <w:t>（</w:t>
      </w:r>
      <w:r>
        <w:rPr>
          <w:rFonts w:ascii="Times New Roman" w:eastAsia="Times New Roman"/>
        </w:rPr>
        <w:t>2</w:t>
      </w:r>
      <w:r>
        <w:rPr/>
        <w:t>）已经采用皮质类固醇替代治疗 </w:t>
      </w:r>
      <w:r>
        <w:rPr>
          <w:rFonts w:ascii="Times New Roman" w:eastAsia="Times New Roman"/>
        </w:rPr>
        <w:t>180 </w:t>
      </w:r>
      <w:r>
        <w:rPr/>
        <w:t>天以上。</w:t>
      </w:r>
    </w:p>
    <w:p>
      <w:pPr>
        <w:pStyle w:val="Heading2"/>
        <w:spacing w:line="256" w:lineRule="auto" w:before="21"/>
        <w:ind w:right="124"/>
      </w:pPr>
      <w:r>
        <w:rPr/>
        <w:t>肾上腺结核、</w:t>
      </w:r>
      <w:r>
        <w:rPr>
          <w:rFonts w:ascii="Times New Roman" w:eastAsia="Times New Roman"/>
        </w:rPr>
        <w:t>HIV </w:t>
      </w:r>
      <w:r>
        <w:rPr/>
        <w:t>感染或艾滋病感染、肿瘤所致的原发性肾上腺皮质功能减退和继发性肾上腺皮质功能减退不在保障范围内。</w:t>
      </w:r>
    </w:p>
    <w:p>
      <w:pPr>
        <w:pStyle w:val="BodyText"/>
        <w:spacing w:line="273" w:lineRule="auto" w:before="23"/>
        <w:ind w:left="117" w:right="196"/>
      </w:pPr>
      <w:r>
        <w:rPr/>
        <w:t>指经心脏科专科医生根据冠状动脉造影检查结果确诊为主要血管严重狭窄性病变，须满足下列至少一项条件：</w:t>
      </w:r>
    </w:p>
    <w:p>
      <w:pPr>
        <w:pStyle w:val="BodyText"/>
        <w:spacing w:line="256" w:lineRule="auto" w:before="7"/>
        <w:ind w:left="117" w:right="117"/>
      </w:pPr>
      <w:r>
        <w:rPr/>
        <w:t>（</w:t>
      </w:r>
      <w:r>
        <w:rPr>
          <w:rFonts w:ascii="Times New Roman" w:eastAsia="Times New Roman"/>
        </w:rPr>
        <w:t>1</w:t>
      </w:r>
      <w:r>
        <w:rPr/>
        <w:t>）左冠状动脉主干和右冠状动脉中，一支血管管腔堵塞</w:t>
      </w:r>
      <w:r>
        <w:rPr>
          <w:rFonts w:ascii="Times New Roman" w:eastAsia="Times New Roman"/>
        </w:rPr>
        <w:t>75%</w:t>
      </w:r>
      <w:r>
        <w:rPr/>
        <w:t>以上，另一支血管管腔堵塞</w:t>
      </w:r>
      <w:r>
        <w:rPr>
          <w:rFonts w:ascii="Times New Roman" w:eastAsia="Times New Roman"/>
        </w:rPr>
        <w:t>60%</w:t>
      </w:r>
      <w:r>
        <w:rPr/>
        <w:t>以上；</w:t>
      </w:r>
    </w:p>
    <w:p>
      <w:pPr>
        <w:pStyle w:val="BodyText"/>
        <w:spacing w:line="256" w:lineRule="auto" w:before="4"/>
        <w:ind w:left="117" w:right="112"/>
      </w:pPr>
      <w:r>
        <w:rPr/>
        <w:t>（</w:t>
      </w:r>
      <w:r>
        <w:rPr>
          <w:rFonts w:ascii="Times New Roman" w:eastAsia="Times New Roman"/>
        </w:rPr>
        <w:t>2</w:t>
      </w:r>
      <w:r>
        <w:rPr/>
        <w:t>）前降支、回旋支和右冠状动脉中，至少一支血管管腔堵塞</w:t>
      </w:r>
      <w:r>
        <w:rPr>
          <w:rFonts w:ascii="Times New Roman" w:eastAsia="Times New Roman"/>
        </w:rPr>
        <w:t>75%</w:t>
      </w:r>
      <w:r>
        <w:rPr/>
        <w:t>以上， 其他两支血管管腔堵塞</w:t>
      </w:r>
      <w:r>
        <w:rPr>
          <w:rFonts w:ascii="Times New Roman" w:eastAsia="Times New Roman"/>
        </w:rPr>
        <w:t>60%</w:t>
      </w:r>
      <w:r>
        <w:rPr/>
        <w:t>以上。</w:t>
      </w:r>
    </w:p>
    <w:p>
      <w:pPr>
        <w:spacing w:line="273" w:lineRule="auto" w:before="4"/>
        <w:ind w:left="117" w:right="139" w:firstLine="0"/>
        <w:jc w:val="left"/>
        <w:rPr>
          <w:b/>
          <w:sz w:val="21"/>
        </w:rPr>
      </w:pPr>
      <w:r>
        <w:rPr>
          <w:b/>
          <w:sz w:val="21"/>
        </w:rPr>
        <w:t>前降支的分支血管、左旋支的分支血管及右冠状动脉的分支血管的狭窄不作为本保障的衡量指标。</w:t>
      </w:r>
    </w:p>
    <w:p>
      <w:pPr>
        <w:spacing w:after="0" w:line="273" w:lineRule="auto"/>
        <w:jc w:val="left"/>
        <w:rPr>
          <w:sz w:val="21"/>
        </w:rPr>
        <w:sectPr>
          <w:type w:val="continuous"/>
          <w:pgSz w:w="11910" w:h="16160"/>
          <w:pgMar w:top="440" w:bottom="280" w:left="960" w:right="620"/>
          <w:cols w:num="2" w:equalWidth="0">
            <w:col w:w="3065" w:space="233"/>
            <w:col w:w="7032"/>
          </w:cols>
        </w:sectPr>
      </w:pPr>
    </w:p>
    <w:p>
      <w:pPr>
        <w:pStyle w:val="ListParagraph"/>
        <w:numPr>
          <w:ilvl w:val="0"/>
          <w:numId w:val="9"/>
        </w:numPr>
        <w:tabs>
          <w:tab w:pos="438" w:val="left" w:leader="none"/>
          <w:tab w:pos="3416" w:val="left" w:leader="none"/>
        </w:tabs>
        <w:spacing w:line="240" w:lineRule="auto" w:before="7" w:after="0"/>
        <w:ind w:left="437" w:right="0" w:hanging="320"/>
        <w:jc w:val="left"/>
        <w:rPr>
          <w:sz w:val="21"/>
        </w:rPr>
      </w:pPr>
      <w:r>
        <w:rPr>
          <w:sz w:val="21"/>
        </w:rPr>
        <w:t>脊髓</w:t>
      </w:r>
      <w:r>
        <w:rPr>
          <w:spacing w:val="-3"/>
          <w:sz w:val="21"/>
        </w:rPr>
        <w:t>灰</w:t>
      </w:r>
      <w:r>
        <w:rPr>
          <w:sz w:val="21"/>
        </w:rPr>
        <w:t>质炎</w:t>
        <w:tab/>
        <w:t>指由</w:t>
      </w:r>
      <w:r>
        <w:rPr>
          <w:spacing w:val="-3"/>
          <w:sz w:val="21"/>
        </w:rPr>
        <w:t>于</w:t>
      </w:r>
      <w:r>
        <w:rPr>
          <w:sz w:val="21"/>
        </w:rPr>
        <w:t>脊</w:t>
      </w:r>
      <w:r>
        <w:rPr>
          <w:spacing w:val="-3"/>
          <w:sz w:val="21"/>
        </w:rPr>
        <w:t>髓</w:t>
      </w:r>
      <w:r>
        <w:rPr>
          <w:sz w:val="21"/>
        </w:rPr>
        <w:t>灰</w:t>
      </w:r>
      <w:r>
        <w:rPr>
          <w:spacing w:val="-3"/>
          <w:sz w:val="21"/>
        </w:rPr>
        <w:t>质</w:t>
      </w:r>
      <w:r>
        <w:rPr>
          <w:sz w:val="21"/>
        </w:rPr>
        <w:t>炎</w:t>
      </w:r>
      <w:r>
        <w:rPr>
          <w:spacing w:val="-3"/>
          <w:sz w:val="21"/>
        </w:rPr>
        <w:t>病</w:t>
      </w:r>
      <w:r>
        <w:rPr>
          <w:sz w:val="21"/>
        </w:rPr>
        <w:t>毒</w:t>
      </w:r>
      <w:r>
        <w:rPr>
          <w:spacing w:val="-3"/>
          <w:sz w:val="21"/>
        </w:rPr>
        <w:t>感</w:t>
      </w:r>
      <w:r>
        <w:rPr>
          <w:sz w:val="21"/>
        </w:rPr>
        <w:t>染所</w:t>
      </w:r>
      <w:r>
        <w:rPr>
          <w:spacing w:val="-3"/>
          <w:sz w:val="21"/>
        </w:rPr>
        <w:t>致</w:t>
      </w:r>
      <w:r>
        <w:rPr>
          <w:sz w:val="21"/>
        </w:rPr>
        <w:t>的</w:t>
      </w:r>
      <w:r>
        <w:rPr>
          <w:spacing w:val="-3"/>
          <w:sz w:val="21"/>
        </w:rPr>
        <w:t>瘫</w:t>
      </w:r>
      <w:r>
        <w:rPr>
          <w:sz w:val="21"/>
        </w:rPr>
        <w:t>痪</w:t>
      </w:r>
      <w:r>
        <w:rPr>
          <w:spacing w:val="-3"/>
          <w:sz w:val="21"/>
        </w:rPr>
        <w:t>性</w:t>
      </w:r>
      <w:r>
        <w:rPr>
          <w:sz w:val="21"/>
        </w:rPr>
        <w:t>疾</w:t>
      </w:r>
      <w:r>
        <w:rPr>
          <w:spacing w:val="-3"/>
          <w:sz w:val="21"/>
        </w:rPr>
        <w:t>病</w:t>
      </w:r>
      <w:r>
        <w:rPr>
          <w:spacing w:val="-5"/>
          <w:sz w:val="21"/>
        </w:rPr>
        <w:t>，</w:t>
      </w:r>
      <w:r>
        <w:rPr>
          <w:spacing w:val="-3"/>
          <w:sz w:val="21"/>
        </w:rPr>
        <w:t>临</w:t>
      </w:r>
      <w:r>
        <w:rPr>
          <w:sz w:val="21"/>
        </w:rPr>
        <w:t>床表</w:t>
      </w:r>
      <w:r>
        <w:rPr>
          <w:spacing w:val="-3"/>
          <w:sz w:val="21"/>
        </w:rPr>
        <w:t>现</w:t>
      </w:r>
      <w:r>
        <w:rPr>
          <w:sz w:val="21"/>
        </w:rPr>
        <w:t>为</w:t>
      </w:r>
      <w:r>
        <w:rPr>
          <w:spacing w:val="-3"/>
          <w:sz w:val="21"/>
        </w:rPr>
        <w:t>运</w:t>
      </w:r>
      <w:r>
        <w:rPr>
          <w:sz w:val="21"/>
        </w:rPr>
        <w:t>动</w:t>
      </w:r>
      <w:r>
        <w:rPr>
          <w:spacing w:val="-3"/>
          <w:sz w:val="21"/>
        </w:rPr>
        <w:t>功</w:t>
      </w:r>
      <w:r>
        <w:rPr>
          <w:sz w:val="21"/>
        </w:rPr>
        <w:t>能</w:t>
      </w:r>
      <w:r>
        <w:rPr>
          <w:spacing w:val="-3"/>
          <w:sz w:val="21"/>
        </w:rPr>
        <w:t>损</w:t>
      </w:r>
      <w:r>
        <w:rPr>
          <w:sz w:val="21"/>
        </w:rPr>
        <w:t>害</w:t>
      </w:r>
    </w:p>
    <w:p>
      <w:pPr>
        <w:spacing w:after="0" w:line="240" w:lineRule="auto"/>
        <w:jc w:val="left"/>
        <w:rPr>
          <w:sz w:val="21"/>
        </w:rPr>
        <w:sectPr>
          <w:type w:val="continuous"/>
          <w:pgSz w:w="11910" w:h="16160"/>
          <w:pgMar w:top="440" w:bottom="280" w:left="960" w:right="62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2832"/>
        <w:gridCol w:w="7100"/>
      </w:tblGrid>
      <w:tr>
        <w:trPr>
          <w:trHeight w:val="1193" w:hRule="atLeast"/>
        </w:trPr>
        <w:tc>
          <w:tcPr>
            <w:tcW w:w="492" w:type="dxa"/>
          </w:tcPr>
          <w:p>
            <w:pPr>
              <w:pStyle w:val="TableParagraph"/>
              <w:rPr>
                <w:rFonts w:ascii="Times New Roman"/>
                <w:sz w:val="20"/>
              </w:rPr>
            </w:pPr>
          </w:p>
        </w:tc>
        <w:tc>
          <w:tcPr>
            <w:tcW w:w="2832" w:type="dxa"/>
          </w:tcPr>
          <w:p>
            <w:pPr>
              <w:pStyle w:val="TableParagraph"/>
              <w:rPr>
                <w:rFonts w:ascii="Times New Roman"/>
                <w:sz w:val="20"/>
              </w:rPr>
            </w:pPr>
          </w:p>
        </w:tc>
        <w:tc>
          <w:tcPr>
            <w:tcW w:w="7100" w:type="dxa"/>
          </w:tcPr>
          <w:p>
            <w:pPr>
              <w:pStyle w:val="TableParagraph"/>
              <w:spacing w:line="202" w:lineRule="exact"/>
              <w:ind w:left="174"/>
              <w:rPr>
                <w:b/>
                <w:sz w:val="21"/>
              </w:rPr>
            </w:pPr>
            <w:r>
              <w:rPr>
                <w:sz w:val="21"/>
              </w:rPr>
              <w:t>或呼吸无力。脊髓灰质炎必须明确诊断。</w:t>
            </w:r>
            <w:r>
              <w:rPr>
                <w:b/>
                <w:sz w:val="21"/>
              </w:rPr>
              <w:t>本合同仅对脊髓灰质炎造成的神</w:t>
            </w:r>
          </w:p>
          <w:p>
            <w:pPr>
              <w:pStyle w:val="TableParagraph"/>
              <w:spacing w:line="264" w:lineRule="auto" w:before="37"/>
              <w:ind w:left="174" w:right="203"/>
              <w:jc w:val="both"/>
              <w:rPr>
                <w:sz w:val="21"/>
              </w:rPr>
            </w:pPr>
            <w:r>
              <w:rPr>
                <w:b/>
                <w:sz w:val="21"/>
              </w:rPr>
              <w:t>经系统功能损害导致被保险人一肢或一肢以上肢体机能永久完全丧失的情况予以理赔。</w:t>
            </w:r>
            <w:r>
              <w:rPr>
                <w:sz w:val="21"/>
              </w:rPr>
              <w:t>肢体机能永久完全丧失，指疾病确诊</w:t>
            </w:r>
            <w:r>
              <w:rPr>
                <w:rFonts w:ascii="Times New Roman" w:eastAsia="Times New Roman"/>
                <w:sz w:val="21"/>
              </w:rPr>
              <w:t>180</w:t>
            </w:r>
            <w:r>
              <w:rPr>
                <w:sz w:val="21"/>
              </w:rPr>
              <w:t>天后，每肢三大关节中的两大关节仍然完全僵硬，或不能随意识活动。</w:t>
            </w:r>
          </w:p>
        </w:tc>
      </w:tr>
      <w:tr>
        <w:trPr>
          <w:trHeight w:val="3432" w:hRule="atLeast"/>
        </w:trPr>
        <w:tc>
          <w:tcPr>
            <w:tcW w:w="492" w:type="dxa"/>
          </w:tcPr>
          <w:p>
            <w:pPr>
              <w:pStyle w:val="TableParagraph"/>
              <w:spacing w:before="29"/>
              <w:ind w:right="27"/>
              <w:jc w:val="right"/>
              <w:rPr>
                <w:rFonts w:ascii="Times New Roman"/>
                <w:sz w:val="21"/>
              </w:rPr>
            </w:pPr>
            <w:r>
              <w:rPr>
                <w:rFonts w:ascii="Times New Roman"/>
                <w:sz w:val="21"/>
              </w:rPr>
              <w:t>31.</w:t>
            </w:r>
          </w:p>
        </w:tc>
        <w:tc>
          <w:tcPr>
            <w:tcW w:w="2832" w:type="dxa"/>
          </w:tcPr>
          <w:p>
            <w:pPr>
              <w:pStyle w:val="TableParagraph"/>
              <w:spacing w:line="257" w:lineRule="exact"/>
              <w:ind w:left="27"/>
              <w:rPr>
                <w:sz w:val="21"/>
              </w:rPr>
            </w:pPr>
            <w:r>
              <w:rPr>
                <w:sz w:val="21"/>
              </w:rPr>
              <w:t>全身性（型）重症肌无力</w:t>
            </w:r>
          </w:p>
        </w:tc>
        <w:tc>
          <w:tcPr>
            <w:tcW w:w="7100" w:type="dxa"/>
          </w:tcPr>
          <w:p>
            <w:pPr>
              <w:pStyle w:val="TableParagraph"/>
              <w:spacing w:line="257" w:lineRule="exact"/>
              <w:ind w:left="174"/>
              <w:rPr>
                <w:sz w:val="21"/>
              </w:rPr>
            </w:pPr>
            <w:r>
              <w:rPr>
                <w:sz w:val="21"/>
              </w:rPr>
              <w:t>指一种神经与肌肉接头部位传递障碍的自身免疫性疾病，临床特征是局部</w:t>
            </w:r>
          </w:p>
          <w:p>
            <w:pPr>
              <w:pStyle w:val="TableParagraph"/>
              <w:spacing w:line="273" w:lineRule="auto" w:before="37"/>
              <w:ind w:left="174" w:right="202"/>
              <w:jc w:val="both"/>
              <w:rPr>
                <w:sz w:val="21"/>
              </w:rPr>
            </w:pPr>
            <w:r>
              <w:rPr>
                <w:sz w:val="21"/>
              </w:rPr>
              <w:t>或全身横纹肌于活动时易于疲劳无力，颅神经眼外肌最易累及，也可涉及呼吸肌、下肢近端肌群乃至全身肌肉。其诊断必须同时满足下列全部条件</w:t>
            </w:r>
          </w:p>
          <w:p>
            <w:pPr>
              <w:pStyle w:val="TableParagraph"/>
              <w:spacing w:before="7"/>
              <w:ind w:left="174"/>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73" w:lineRule="auto" w:before="20"/>
              <w:ind w:left="174" w:right="202"/>
              <w:jc w:val="both"/>
              <w:rPr>
                <w:sz w:val="21"/>
              </w:rPr>
            </w:pPr>
            <w:r>
              <w:rPr>
                <w:sz w:val="21"/>
              </w:rPr>
              <w:t>（为维持生命必要的日常生活活动，全需他人扶助，系指食物摄取、大小便始末、穿脱衣服、起居、步行、入浴等，皆不能自己为之，需要他人帮助。）；</w:t>
            </w:r>
          </w:p>
          <w:p>
            <w:pPr>
              <w:pStyle w:val="TableParagraph"/>
              <w:spacing w:line="256" w:lineRule="auto" w:before="7"/>
              <w:ind w:left="174" w:right="203"/>
              <w:jc w:val="both"/>
              <w:rPr>
                <w:sz w:val="21"/>
              </w:rPr>
            </w:pPr>
            <w:r>
              <w:rPr>
                <w:sz w:val="21"/>
              </w:rPr>
              <w:t>（</w:t>
            </w:r>
            <w:r>
              <w:rPr>
                <w:rFonts w:ascii="Times New Roman" w:eastAsia="Times New Roman"/>
                <w:sz w:val="21"/>
              </w:rPr>
              <w:t>2</w:t>
            </w:r>
            <w:r>
              <w:rPr>
                <w:sz w:val="21"/>
              </w:rPr>
              <w:t>）出现因延髓肌受累引起的构音困难、进食呛咳；或由于肌无力累及延髓肌、呼吸肌而致机体呼吸功能不正常的危急状态即肌无力危象；</w:t>
            </w:r>
          </w:p>
          <w:p>
            <w:pPr>
              <w:pStyle w:val="TableParagraph"/>
              <w:spacing w:line="256" w:lineRule="auto" w:before="22"/>
              <w:ind w:left="174" w:right="203"/>
              <w:jc w:val="both"/>
              <w:rPr>
                <w:sz w:val="21"/>
              </w:rPr>
            </w:pPr>
            <w:r>
              <w:rPr>
                <w:sz w:val="21"/>
              </w:rPr>
              <w:t>（</w:t>
            </w:r>
            <w:r>
              <w:rPr>
                <w:rFonts w:ascii="Times New Roman" w:eastAsia="Times New Roman"/>
                <w:sz w:val="21"/>
              </w:rPr>
              <w:t>3</w:t>
            </w:r>
            <w:r>
              <w:rPr>
                <w:sz w:val="21"/>
              </w:rPr>
              <w:t>）症状缓解、复发及恶化交替出现，临床接受新斯的明等抗胆碱酯酶药物治疗的病史。</w:t>
            </w:r>
          </w:p>
        </w:tc>
      </w:tr>
      <w:tr>
        <w:trPr>
          <w:trHeight w:val="1248" w:hRule="atLeast"/>
        </w:trPr>
        <w:tc>
          <w:tcPr>
            <w:tcW w:w="492" w:type="dxa"/>
          </w:tcPr>
          <w:p>
            <w:pPr>
              <w:pStyle w:val="TableParagraph"/>
              <w:spacing w:before="29"/>
              <w:ind w:right="27"/>
              <w:jc w:val="right"/>
              <w:rPr>
                <w:rFonts w:ascii="Times New Roman"/>
                <w:sz w:val="21"/>
              </w:rPr>
            </w:pPr>
            <w:r>
              <w:rPr>
                <w:rFonts w:ascii="Times New Roman"/>
                <w:sz w:val="21"/>
              </w:rPr>
              <w:t>32.</w:t>
            </w:r>
          </w:p>
        </w:tc>
        <w:tc>
          <w:tcPr>
            <w:tcW w:w="2832" w:type="dxa"/>
          </w:tcPr>
          <w:p>
            <w:pPr>
              <w:pStyle w:val="TableParagraph"/>
              <w:spacing w:line="257" w:lineRule="exact"/>
              <w:ind w:left="27"/>
              <w:rPr>
                <w:sz w:val="21"/>
              </w:rPr>
            </w:pPr>
            <w:r>
              <w:rPr>
                <w:sz w:val="21"/>
              </w:rPr>
              <w:t>严重心肌病</w:t>
            </w:r>
          </w:p>
        </w:tc>
        <w:tc>
          <w:tcPr>
            <w:tcW w:w="7100" w:type="dxa"/>
          </w:tcPr>
          <w:p>
            <w:pPr>
              <w:pStyle w:val="TableParagraph"/>
              <w:spacing w:line="257" w:lineRule="exact"/>
              <w:ind w:left="174"/>
              <w:rPr>
                <w:sz w:val="21"/>
              </w:rPr>
            </w:pPr>
            <w:r>
              <w:rPr>
                <w:sz w:val="21"/>
              </w:rPr>
              <w:t>指被保人因心肌病导致慢性心功能损害造成永久不可逆性的心功能衰竭。</w:t>
            </w:r>
          </w:p>
          <w:p>
            <w:pPr>
              <w:pStyle w:val="TableParagraph"/>
              <w:spacing w:line="256" w:lineRule="auto" w:before="37"/>
              <w:ind w:left="174" w:right="200"/>
              <w:jc w:val="both"/>
              <w:rPr>
                <w:sz w:val="21"/>
              </w:rPr>
            </w:pPr>
            <w:r>
              <w:rPr>
                <w:spacing w:val="-3"/>
                <w:sz w:val="21"/>
              </w:rPr>
              <w:t>心功能衰竭程度达到纽约心脏病学会的心功能分级标准之心功能</w:t>
            </w:r>
            <w:r>
              <w:rPr>
                <w:rFonts w:ascii="Times New Roman" w:eastAsia="Times New Roman"/>
                <w:sz w:val="21"/>
              </w:rPr>
              <w:t>IV</w:t>
            </w:r>
            <w:r>
              <w:rPr>
                <w:spacing w:val="-7"/>
                <w:sz w:val="21"/>
              </w:rPr>
              <w:t>级，且心功能衰竭状态持续至少</w:t>
            </w:r>
            <w:r>
              <w:rPr>
                <w:rFonts w:ascii="Times New Roman" w:eastAsia="Times New Roman"/>
                <w:spacing w:val="-7"/>
                <w:sz w:val="21"/>
              </w:rPr>
              <w:t>180</w:t>
            </w:r>
            <w:r>
              <w:rPr>
                <w:spacing w:val="-7"/>
                <w:sz w:val="21"/>
              </w:rPr>
              <w:t>天。被保险人永久不可逆性的体力活动能力</w:t>
            </w:r>
            <w:r>
              <w:rPr>
                <w:spacing w:val="-5"/>
                <w:sz w:val="21"/>
              </w:rPr>
              <w:t>受限，且不能从事任何体力活动。</w:t>
            </w:r>
          </w:p>
        </w:tc>
      </w:tr>
      <w:tr>
        <w:trPr>
          <w:trHeight w:val="936" w:hRule="atLeast"/>
        </w:trPr>
        <w:tc>
          <w:tcPr>
            <w:tcW w:w="492" w:type="dxa"/>
          </w:tcPr>
          <w:p>
            <w:pPr>
              <w:pStyle w:val="TableParagraph"/>
              <w:spacing w:before="29"/>
              <w:ind w:right="27"/>
              <w:jc w:val="right"/>
              <w:rPr>
                <w:rFonts w:ascii="Times New Roman"/>
                <w:sz w:val="21"/>
              </w:rPr>
            </w:pPr>
            <w:r>
              <w:rPr>
                <w:rFonts w:ascii="Times New Roman"/>
                <w:sz w:val="21"/>
              </w:rPr>
              <w:t>33.</w:t>
            </w:r>
          </w:p>
        </w:tc>
        <w:tc>
          <w:tcPr>
            <w:tcW w:w="2832" w:type="dxa"/>
          </w:tcPr>
          <w:p>
            <w:pPr>
              <w:pStyle w:val="TableParagraph"/>
              <w:spacing w:line="273" w:lineRule="exact"/>
              <w:ind w:left="27"/>
              <w:rPr>
                <w:sz w:val="21"/>
              </w:rPr>
            </w:pPr>
            <w:r>
              <w:rPr>
                <w:sz w:val="21"/>
              </w:rPr>
              <w:t>严重克罗恩病（</w:t>
            </w:r>
            <w:r>
              <w:rPr>
                <w:rFonts w:ascii="Times New Roman" w:hAnsi="Times New Roman" w:eastAsia="Times New Roman"/>
                <w:sz w:val="21"/>
              </w:rPr>
              <w:t>Crohn’s </w:t>
            </w:r>
            <w:r>
              <w:rPr>
                <w:sz w:val="21"/>
              </w:rPr>
              <w:t>病）</w:t>
            </w:r>
          </w:p>
        </w:tc>
        <w:tc>
          <w:tcPr>
            <w:tcW w:w="7100" w:type="dxa"/>
          </w:tcPr>
          <w:p>
            <w:pPr>
              <w:pStyle w:val="TableParagraph"/>
              <w:spacing w:line="257" w:lineRule="exact"/>
              <w:ind w:left="174"/>
              <w:rPr>
                <w:sz w:val="21"/>
              </w:rPr>
            </w:pPr>
            <w:r>
              <w:rPr>
                <w:sz w:val="21"/>
              </w:rPr>
              <w:t>克罗恩病是一种慢性肉芽肿性肠炎，具有特征性的克罗恩病病理组织学变</w:t>
            </w:r>
          </w:p>
          <w:p>
            <w:pPr>
              <w:pStyle w:val="TableParagraph"/>
              <w:spacing w:line="273" w:lineRule="auto" w:before="37"/>
              <w:ind w:left="174" w:right="202"/>
              <w:rPr>
                <w:sz w:val="21"/>
              </w:rPr>
            </w:pPr>
            <w:r>
              <w:rPr>
                <w:sz w:val="21"/>
              </w:rPr>
              <w:t>化。诊断必须由病理检查结果证实。被保险人所患的克罗恩病必须已经造成瘘管形成并伴有肠梗阻或肠穿孔。</w:t>
            </w:r>
          </w:p>
        </w:tc>
      </w:tr>
      <w:tr>
        <w:trPr>
          <w:trHeight w:val="1248" w:hRule="atLeast"/>
        </w:trPr>
        <w:tc>
          <w:tcPr>
            <w:tcW w:w="492" w:type="dxa"/>
          </w:tcPr>
          <w:p>
            <w:pPr>
              <w:pStyle w:val="TableParagraph"/>
              <w:spacing w:before="29"/>
              <w:ind w:right="27"/>
              <w:jc w:val="right"/>
              <w:rPr>
                <w:rFonts w:ascii="Times New Roman"/>
                <w:sz w:val="21"/>
              </w:rPr>
            </w:pPr>
            <w:r>
              <w:rPr>
                <w:rFonts w:ascii="Times New Roman"/>
                <w:sz w:val="21"/>
              </w:rPr>
              <w:t>34.</w:t>
            </w:r>
          </w:p>
        </w:tc>
        <w:tc>
          <w:tcPr>
            <w:tcW w:w="2832" w:type="dxa"/>
          </w:tcPr>
          <w:p>
            <w:pPr>
              <w:pStyle w:val="TableParagraph"/>
              <w:spacing w:line="257" w:lineRule="exact"/>
              <w:ind w:left="27"/>
              <w:rPr>
                <w:sz w:val="21"/>
              </w:rPr>
            </w:pPr>
            <w:r>
              <w:rPr>
                <w:sz w:val="21"/>
              </w:rPr>
              <w:t>严重溃疡性结肠炎</w:t>
            </w:r>
          </w:p>
        </w:tc>
        <w:tc>
          <w:tcPr>
            <w:tcW w:w="7100" w:type="dxa"/>
          </w:tcPr>
          <w:p>
            <w:pPr>
              <w:pStyle w:val="TableParagraph"/>
              <w:spacing w:line="257" w:lineRule="exact"/>
              <w:ind w:left="174"/>
              <w:rPr>
                <w:sz w:val="21"/>
              </w:rPr>
            </w:pPr>
            <w:r>
              <w:rPr>
                <w:sz w:val="21"/>
              </w:rPr>
              <w:t>本合同所保障的溃疡性结肠炎是指伴有致命性电解质紊乱的急性暴发性</w:t>
            </w:r>
          </w:p>
          <w:p>
            <w:pPr>
              <w:pStyle w:val="TableParagraph"/>
              <w:spacing w:line="273" w:lineRule="auto" w:before="37"/>
              <w:ind w:left="174" w:right="197"/>
              <w:jc w:val="both"/>
              <w:rPr>
                <w:sz w:val="21"/>
              </w:rPr>
            </w:pPr>
            <w:r>
              <w:rPr>
                <w:sz w:val="21"/>
              </w:rPr>
              <w:t>溃疡性结肠炎，病变累及全结肠，表现为严重的血便和系统性症状体征。溃疡性结肠炎必须根据组织病理学特点诊断，并且被保险人已经接受了结肠切除或回肠造瘘术。</w:t>
            </w:r>
          </w:p>
        </w:tc>
      </w:tr>
      <w:tr>
        <w:trPr>
          <w:trHeight w:val="1560" w:hRule="atLeast"/>
        </w:trPr>
        <w:tc>
          <w:tcPr>
            <w:tcW w:w="492" w:type="dxa"/>
          </w:tcPr>
          <w:p>
            <w:pPr>
              <w:pStyle w:val="TableParagraph"/>
              <w:spacing w:before="29"/>
              <w:ind w:right="27"/>
              <w:jc w:val="right"/>
              <w:rPr>
                <w:rFonts w:ascii="Times New Roman"/>
                <w:sz w:val="21"/>
              </w:rPr>
            </w:pPr>
            <w:r>
              <w:rPr>
                <w:rFonts w:ascii="Times New Roman"/>
                <w:sz w:val="21"/>
              </w:rPr>
              <w:t>35.</w:t>
            </w:r>
          </w:p>
        </w:tc>
        <w:tc>
          <w:tcPr>
            <w:tcW w:w="2832" w:type="dxa"/>
          </w:tcPr>
          <w:p>
            <w:pPr>
              <w:pStyle w:val="TableParagraph"/>
              <w:spacing w:line="257" w:lineRule="exact"/>
              <w:ind w:left="27"/>
              <w:rPr>
                <w:sz w:val="21"/>
              </w:rPr>
            </w:pPr>
            <w:r>
              <w:rPr>
                <w:sz w:val="21"/>
              </w:rPr>
              <w:t>植物人状态</w:t>
            </w:r>
          </w:p>
        </w:tc>
        <w:tc>
          <w:tcPr>
            <w:tcW w:w="7100" w:type="dxa"/>
          </w:tcPr>
          <w:p>
            <w:pPr>
              <w:pStyle w:val="TableParagraph"/>
              <w:spacing w:line="273" w:lineRule="exact"/>
              <w:ind w:left="174"/>
              <w:rPr>
                <w:sz w:val="21"/>
              </w:rPr>
            </w:pPr>
            <w:r>
              <w:rPr>
                <w:sz w:val="21"/>
              </w:rPr>
              <w:t>植物人状态是指由于严重颅脑外伤造成大脑和</w:t>
            </w:r>
            <w:r>
              <w:rPr>
                <w:rFonts w:ascii="Times New Roman" w:eastAsia="Times New Roman"/>
                <w:sz w:val="21"/>
              </w:rPr>
              <w:t>/</w:t>
            </w:r>
            <w:r>
              <w:rPr>
                <w:sz w:val="21"/>
              </w:rPr>
              <w:t>或脑干严重损害导致完全</w:t>
            </w:r>
          </w:p>
          <w:p>
            <w:pPr>
              <w:pStyle w:val="TableParagraph"/>
              <w:spacing w:line="266" w:lineRule="auto" w:before="21"/>
              <w:ind w:left="174" w:right="201"/>
              <w:jc w:val="both"/>
              <w:rPr>
                <w:sz w:val="21"/>
              </w:rPr>
            </w:pPr>
            <w:r>
              <w:rPr>
                <w:sz w:val="21"/>
              </w:rPr>
              <w:t>永久性的对自身和环境的意识丧失和中枢神经系统功能丧失，仅残存植物神经功能的疾病状态。对自身和环境的意识丧失的完全永久性指严重颅脑外伤后对自身和环境的意识丧失持续</w:t>
            </w:r>
            <w:r>
              <w:rPr>
                <w:rFonts w:ascii="Times New Roman" w:eastAsia="Times New Roman"/>
                <w:sz w:val="21"/>
              </w:rPr>
              <w:t>12</w:t>
            </w:r>
            <w:r>
              <w:rPr>
                <w:sz w:val="21"/>
              </w:rPr>
              <w:t>个月以上。诊断必须明确并且具有严重颅脑外伤和脑损害的证据。</w:t>
            </w:r>
          </w:p>
        </w:tc>
      </w:tr>
      <w:tr>
        <w:trPr>
          <w:trHeight w:val="1560" w:hRule="atLeast"/>
        </w:trPr>
        <w:tc>
          <w:tcPr>
            <w:tcW w:w="492" w:type="dxa"/>
          </w:tcPr>
          <w:p>
            <w:pPr>
              <w:pStyle w:val="TableParagraph"/>
              <w:spacing w:before="29"/>
              <w:ind w:right="25"/>
              <w:jc w:val="right"/>
              <w:rPr>
                <w:rFonts w:ascii="Times New Roman"/>
                <w:sz w:val="21"/>
              </w:rPr>
            </w:pPr>
            <w:r>
              <w:rPr>
                <w:rFonts w:ascii="Times New Roman"/>
                <w:sz w:val="21"/>
              </w:rPr>
              <w:t>36.</w:t>
            </w:r>
          </w:p>
        </w:tc>
        <w:tc>
          <w:tcPr>
            <w:tcW w:w="2832" w:type="dxa"/>
          </w:tcPr>
          <w:p>
            <w:pPr>
              <w:pStyle w:val="TableParagraph"/>
              <w:spacing w:line="273" w:lineRule="exact"/>
              <w:ind w:left="27"/>
              <w:rPr>
                <w:sz w:val="21"/>
              </w:rPr>
            </w:pPr>
            <w:r>
              <w:rPr>
                <w:sz w:val="21"/>
              </w:rPr>
              <w:t>严重 </w:t>
            </w:r>
            <w:r>
              <w:rPr>
                <w:rFonts w:ascii="Times New Roman" w:eastAsia="Times New Roman"/>
                <w:sz w:val="21"/>
              </w:rPr>
              <w:t>1 </w:t>
            </w:r>
            <w:r>
              <w:rPr>
                <w:sz w:val="21"/>
              </w:rPr>
              <w:t>型糖尿病</w:t>
            </w:r>
          </w:p>
        </w:tc>
        <w:tc>
          <w:tcPr>
            <w:tcW w:w="7100" w:type="dxa"/>
          </w:tcPr>
          <w:p>
            <w:pPr>
              <w:pStyle w:val="TableParagraph"/>
              <w:spacing w:line="257" w:lineRule="exact"/>
              <w:ind w:left="174"/>
              <w:rPr>
                <w:sz w:val="21"/>
              </w:rPr>
            </w:pPr>
            <w:r>
              <w:rPr>
                <w:sz w:val="21"/>
              </w:rPr>
              <w:t>指由于胰岛素分泌绝对不足引起的慢性血糖升高，且已经持续性地依赖外</w:t>
            </w:r>
          </w:p>
          <w:p>
            <w:pPr>
              <w:pStyle w:val="TableParagraph"/>
              <w:spacing w:line="266" w:lineRule="auto" w:before="37"/>
              <w:ind w:left="174" w:right="202"/>
              <w:rPr>
                <w:sz w:val="21"/>
              </w:rPr>
            </w:pPr>
            <w:r>
              <w:rPr>
                <w:spacing w:val="-3"/>
                <w:sz w:val="21"/>
              </w:rPr>
              <w:t>源性胰岛素维持</w:t>
            </w:r>
            <w:r>
              <w:rPr>
                <w:rFonts w:ascii="Times New Roman" w:eastAsia="Times New Roman"/>
                <w:sz w:val="21"/>
              </w:rPr>
              <w:t>180</w:t>
            </w:r>
            <w:r>
              <w:rPr>
                <w:spacing w:val="-11"/>
                <w:sz w:val="21"/>
              </w:rPr>
              <w:t>天以上。须经血胰岛素测定、血</w:t>
            </w:r>
            <w:r>
              <w:rPr>
                <w:rFonts w:ascii="Times New Roman" w:eastAsia="Times New Roman"/>
                <w:sz w:val="21"/>
              </w:rPr>
              <w:t>C</w:t>
            </w:r>
            <w:r>
              <w:rPr>
                <w:spacing w:val="-2"/>
                <w:sz w:val="21"/>
              </w:rPr>
              <w:t>肽测定或尿</w:t>
            </w:r>
            <w:r>
              <w:rPr>
                <w:rFonts w:ascii="Times New Roman" w:eastAsia="Times New Roman"/>
                <w:sz w:val="21"/>
              </w:rPr>
              <w:t>C</w:t>
            </w:r>
            <w:r>
              <w:rPr>
                <w:spacing w:val="-2"/>
                <w:sz w:val="21"/>
              </w:rPr>
              <w:t>肽测定</w:t>
            </w:r>
            <w:r>
              <w:rPr>
                <w:spacing w:val="-4"/>
                <w:sz w:val="21"/>
              </w:rPr>
              <w:t>结果异常，并由内分泌科专科医生明确诊断。并须在本合同有效期内，且</w:t>
            </w:r>
            <w:r>
              <w:rPr>
                <w:spacing w:val="-5"/>
                <w:sz w:val="21"/>
              </w:rPr>
              <w:t>已经接受下列治疗：因严重心律失常已经植入了心脏起搏器，或因坏疽需</w:t>
            </w:r>
            <w:r>
              <w:rPr>
                <w:spacing w:val="-4"/>
                <w:sz w:val="21"/>
              </w:rPr>
              <w:t>切除至少一个脚趾。</w:t>
            </w:r>
          </w:p>
        </w:tc>
      </w:tr>
      <w:tr>
        <w:trPr>
          <w:trHeight w:val="2154" w:hRule="atLeast"/>
        </w:trPr>
        <w:tc>
          <w:tcPr>
            <w:tcW w:w="492" w:type="dxa"/>
          </w:tcPr>
          <w:p>
            <w:pPr>
              <w:pStyle w:val="TableParagraph"/>
              <w:spacing w:before="29"/>
              <w:ind w:right="27"/>
              <w:jc w:val="right"/>
              <w:rPr>
                <w:rFonts w:ascii="Times New Roman"/>
                <w:sz w:val="21"/>
              </w:rPr>
            </w:pPr>
            <w:r>
              <w:rPr>
                <w:rFonts w:ascii="Times New Roman"/>
                <w:sz w:val="21"/>
              </w:rPr>
              <w:t>37.</w:t>
            </w:r>
          </w:p>
        </w:tc>
        <w:tc>
          <w:tcPr>
            <w:tcW w:w="2832" w:type="dxa"/>
          </w:tcPr>
          <w:p>
            <w:pPr>
              <w:pStyle w:val="TableParagraph"/>
              <w:spacing w:line="257" w:lineRule="exact"/>
              <w:ind w:left="27"/>
              <w:rPr>
                <w:sz w:val="21"/>
              </w:rPr>
            </w:pPr>
            <w:r>
              <w:rPr>
                <w:sz w:val="21"/>
              </w:rPr>
              <w:t>系统性红斑狼疮 －（并发）</w:t>
            </w:r>
          </w:p>
          <w:p>
            <w:pPr>
              <w:pStyle w:val="TableParagraph"/>
              <w:spacing w:before="37"/>
              <w:ind w:left="27"/>
              <w:rPr>
                <w:sz w:val="21"/>
              </w:rPr>
            </w:pPr>
            <w:r>
              <w:rPr>
                <w:rFonts w:ascii="Times New Roman" w:eastAsia="Times New Roman"/>
                <w:sz w:val="21"/>
              </w:rPr>
              <w:t>III </w:t>
            </w:r>
            <w:r>
              <w:rPr>
                <w:sz w:val="21"/>
              </w:rPr>
              <w:t>型或以上狼疮性肾炎</w:t>
            </w:r>
          </w:p>
        </w:tc>
        <w:tc>
          <w:tcPr>
            <w:tcW w:w="7100" w:type="dxa"/>
          </w:tcPr>
          <w:p>
            <w:pPr>
              <w:pStyle w:val="TableParagraph"/>
              <w:spacing w:line="257" w:lineRule="exact"/>
              <w:ind w:left="174"/>
              <w:rPr>
                <w:sz w:val="21"/>
              </w:rPr>
            </w:pPr>
            <w:r>
              <w:rPr>
                <w:sz w:val="21"/>
              </w:rPr>
              <w:t>系统性红斑狼疮是由多种因素引起，累及多系统的自身免疫性疾病。其特</w:t>
            </w:r>
          </w:p>
          <w:p>
            <w:pPr>
              <w:pStyle w:val="TableParagraph"/>
              <w:spacing w:before="37"/>
              <w:ind w:left="174"/>
              <w:rPr>
                <w:sz w:val="21"/>
              </w:rPr>
            </w:pPr>
            <w:r>
              <w:rPr>
                <w:sz w:val="21"/>
              </w:rPr>
              <w:t>点是生成自身抗体对抗多种自身抗原。多见于育龄妇女。</w:t>
            </w:r>
          </w:p>
          <w:p>
            <w:pPr>
              <w:pStyle w:val="TableParagraph"/>
              <w:spacing w:before="37"/>
              <w:ind w:left="174"/>
              <w:rPr>
                <w:sz w:val="21"/>
              </w:rPr>
            </w:pPr>
            <w:r>
              <w:rPr>
                <w:sz w:val="21"/>
              </w:rPr>
              <w:t>本合同所指的系统性红斑狼疮仅限于累及肾脏（经肾脏活检确认的，符合</w:t>
            </w:r>
          </w:p>
          <w:p>
            <w:pPr>
              <w:pStyle w:val="TableParagraph"/>
              <w:spacing w:line="264" w:lineRule="auto" w:before="37"/>
              <w:ind w:left="174" w:right="202"/>
              <w:jc w:val="both"/>
              <w:rPr>
                <w:b/>
                <w:sz w:val="21"/>
              </w:rPr>
            </w:pPr>
            <w:r>
              <w:rPr>
                <w:rFonts w:ascii="Times New Roman" w:eastAsia="Times New Roman"/>
                <w:sz w:val="21"/>
              </w:rPr>
              <w:t>WHO </w:t>
            </w:r>
            <w:r>
              <w:rPr>
                <w:spacing w:val="-8"/>
                <w:sz w:val="21"/>
              </w:rPr>
              <w:t>诊断标准定义 </w:t>
            </w:r>
            <w:r>
              <w:rPr>
                <w:rFonts w:ascii="Times New Roman" w:eastAsia="Times New Roman"/>
                <w:sz w:val="21"/>
              </w:rPr>
              <w:t>III </w:t>
            </w:r>
            <w:r>
              <w:rPr>
                <w:spacing w:val="-11"/>
                <w:sz w:val="21"/>
              </w:rPr>
              <w:t>型或 </w:t>
            </w:r>
            <w:r>
              <w:rPr>
                <w:rFonts w:ascii="Times New Roman" w:eastAsia="Times New Roman"/>
                <w:sz w:val="21"/>
              </w:rPr>
              <w:t>III </w:t>
            </w:r>
            <w:r>
              <w:rPr>
                <w:spacing w:val="-3"/>
                <w:sz w:val="21"/>
              </w:rPr>
              <w:t>型以上狼疮性肾炎）的系统性红斑狼疮。</w:t>
            </w:r>
            <w:r>
              <w:rPr>
                <w:b/>
                <w:spacing w:val="-6"/>
                <w:sz w:val="21"/>
              </w:rPr>
              <w:t>其他类型的红斑性狼疮，如盘状狼疮、仅累及血液及关节的狼疮不在保障范围內。</w:t>
            </w:r>
          </w:p>
          <w:p>
            <w:pPr>
              <w:pStyle w:val="TableParagraph"/>
              <w:spacing w:line="280" w:lineRule="exact" w:before="16"/>
              <w:ind w:left="174"/>
              <w:rPr>
                <w:sz w:val="21"/>
              </w:rPr>
            </w:pPr>
            <w:r>
              <w:rPr>
                <w:sz w:val="21"/>
              </w:rPr>
              <w:t>世界卫生组织（</w:t>
            </w:r>
            <w:r>
              <w:rPr>
                <w:rFonts w:ascii="Times New Roman" w:eastAsia="Times New Roman"/>
                <w:sz w:val="21"/>
              </w:rPr>
              <w:t>WHO</w:t>
            </w:r>
            <w:r>
              <w:rPr>
                <w:sz w:val="21"/>
              </w:rPr>
              <w:t>）狼疮性肾炎分型：</w:t>
            </w:r>
          </w:p>
        </w:tc>
      </w:tr>
    </w:tbl>
    <w:p>
      <w:pPr>
        <w:spacing w:after="0" w:line="280" w:lineRule="exact"/>
        <w:rPr>
          <w:sz w:val="21"/>
        </w:rPr>
        <w:sectPr>
          <w:pgSz w:w="11910" w:h="16160"/>
          <w:pgMar w:header="0" w:footer="799" w:top="1440" w:bottom="98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3010"/>
        <w:gridCol w:w="6922"/>
      </w:tblGrid>
      <w:tr>
        <w:trPr>
          <w:trHeight w:val="1922" w:hRule="atLeast"/>
        </w:trPr>
        <w:tc>
          <w:tcPr>
            <w:tcW w:w="492" w:type="dxa"/>
          </w:tcPr>
          <w:p>
            <w:pPr>
              <w:pStyle w:val="TableParagraph"/>
              <w:rPr>
                <w:rFonts w:ascii="Times New Roman"/>
                <w:sz w:val="20"/>
              </w:rPr>
            </w:pPr>
          </w:p>
        </w:tc>
        <w:tc>
          <w:tcPr>
            <w:tcW w:w="3010" w:type="dxa"/>
            <w:tcBorders>
              <w:right w:val="single" w:sz="4" w:space="0" w:color="000000"/>
            </w:tcBorders>
          </w:tcPr>
          <w:p>
            <w:pPr>
              <w:pStyle w:val="TableParagraph"/>
              <w:rPr>
                <w:rFonts w:ascii="Times New Roman"/>
                <w:sz w:val="20"/>
              </w:rPr>
            </w:pPr>
          </w:p>
        </w:tc>
        <w:tc>
          <w:tcPr>
            <w:tcW w:w="6922" w:type="dxa"/>
            <w:tcBorders>
              <w:top w:val="single" w:sz="4" w:space="0" w:color="000000"/>
              <w:left w:val="single" w:sz="4" w:space="0" w:color="000000"/>
              <w:bottom w:val="single" w:sz="4" w:space="0" w:color="000000"/>
            </w:tcBorders>
          </w:tcPr>
          <w:p>
            <w:pPr>
              <w:pStyle w:val="TableParagraph"/>
              <w:numPr>
                <w:ilvl w:val="0"/>
                <w:numId w:val="10"/>
              </w:numPr>
              <w:tabs>
                <w:tab w:pos="225" w:val="left" w:leader="none"/>
                <w:tab w:pos="2226" w:val="left" w:leader="none"/>
              </w:tabs>
              <w:spacing w:line="280" w:lineRule="exact" w:before="0" w:after="0"/>
              <w:ind w:left="224" w:right="0" w:hanging="120"/>
              <w:jc w:val="left"/>
              <w:rPr>
                <w:sz w:val="21"/>
              </w:rPr>
            </w:pPr>
            <w:r>
              <w:rPr>
                <w:sz w:val="21"/>
              </w:rPr>
              <w:t>型</w:t>
              <w:tab/>
              <w:t>微小</w:t>
            </w:r>
            <w:r>
              <w:rPr>
                <w:spacing w:val="-3"/>
                <w:sz w:val="21"/>
              </w:rPr>
              <w:t>病</w:t>
            </w:r>
            <w:r>
              <w:rPr>
                <w:sz w:val="21"/>
              </w:rPr>
              <w:t>变型</w:t>
            </w:r>
          </w:p>
          <w:p>
            <w:pPr>
              <w:pStyle w:val="TableParagraph"/>
              <w:numPr>
                <w:ilvl w:val="0"/>
                <w:numId w:val="10"/>
              </w:numPr>
              <w:tabs>
                <w:tab w:pos="294" w:val="left" w:leader="none"/>
                <w:tab w:pos="2226" w:val="left" w:leader="none"/>
              </w:tabs>
              <w:spacing w:line="240" w:lineRule="auto" w:before="31" w:after="0"/>
              <w:ind w:left="294" w:right="0" w:hanging="190"/>
              <w:jc w:val="left"/>
              <w:rPr>
                <w:sz w:val="21"/>
              </w:rPr>
            </w:pPr>
            <w:r>
              <w:rPr>
                <w:sz w:val="21"/>
              </w:rPr>
              <w:t>型</w:t>
              <w:tab/>
              <w:t>系膜</w:t>
            </w:r>
            <w:r>
              <w:rPr>
                <w:spacing w:val="-3"/>
                <w:sz w:val="21"/>
              </w:rPr>
              <w:t>病</w:t>
            </w:r>
            <w:r>
              <w:rPr>
                <w:sz w:val="21"/>
              </w:rPr>
              <w:t>变型</w:t>
            </w:r>
          </w:p>
          <w:p>
            <w:pPr>
              <w:pStyle w:val="TableParagraph"/>
              <w:numPr>
                <w:ilvl w:val="0"/>
                <w:numId w:val="10"/>
              </w:numPr>
              <w:tabs>
                <w:tab w:pos="364" w:val="left" w:leader="none"/>
                <w:tab w:pos="2226" w:val="left" w:leader="none"/>
              </w:tabs>
              <w:spacing w:line="240" w:lineRule="auto" w:before="30" w:after="0"/>
              <w:ind w:left="363" w:right="0" w:hanging="259"/>
              <w:jc w:val="left"/>
              <w:rPr>
                <w:sz w:val="21"/>
              </w:rPr>
            </w:pPr>
            <w:r>
              <w:rPr>
                <w:sz w:val="21"/>
              </w:rPr>
              <w:t>型</w:t>
              <w:tab/>
              <w:t>局灶</w:t>
            </w:r>
            <w:r>
              <w:rPr>
                <w:spacing w:val="-3"/>
                <w:sz w:val="21"/>
              </w:rPr>
              <w:t>及</w:t>
            </w:r>
            <w:r>
              <w:rPr>
                <w:sz w:val="21"/>
              </w:rPr>
              <w:t>节</w:t>
            </w:r>
            <w:r>
              <w:rPr>
                <w:spacing w:val="-3"/>
                <w:sz w:val="21"/>
              </w:rPr>
              <w:t>段</w:t>
            </w:r>
            <w:r>
              <w:rPr>
                <w:sz w:val="21"/>
              </w:rPr>
              <w:t>增</w:t>
            </w:r>
            <w:r>
              <w:rPr>
                <w:spacing w:val="-3"/>
                <w:sz w:val="21"/>
              </w:rPr>
              <w:t>生</w:t>
            </w:r>
            <w:r>
              <w:rPr>
                <w:sz w:val="21"/>
              </w:rPr>
              <w:t>型</w:t>
            </w:r>
          </w:p>
          <w:p>
            <w:pPr>
              <w:pStyle w:val="TableParagraph"/>
              <w:numPr>
                <w:ilvl w:val="0"/>
                <w:numId w:val="10"/>
              </w:numPr>
              <w:tabs>
                <w:tab w:pos="378" w:val="left" w:leader="none"/>
                <w:tab w:pos="2226" w:val="left" w:leader="none"/>
              </w:tabs>
              <w:spacing w:line="240" w:lineRule="auto" w:before="30" w:after="0"/>
              <w:ind w:left="378" w:right="0" w:hanging="274"/>
              <w:jc w:val="left"/>
              <w:rPr>
                <w:sz w:val="21"/>
              </w:rPr>
            </w:pPr>
            <w:r>
              <w:rPr>
                <w:sz w:val="21"/>
              </w:rPr>
              <w:t>型</w:t>
              <w:tab/>
              <w:t>弥漫</w:t>
            </w:r>
            <w:r>
              <w:rPr>
                <w:spacing w:val="-3"/>
                <w:sz w:val="21"/>
              </w:rPr>
              <w:t>增</w:t>
            </w:r>
            <w:r>
              <w:rPr>
                <w:sz w:val="21"/>
              </w:rPr>
              <w:t>生型</w:t>
            </w:r>
          </w:p>
          <w:p>
            <w:pPr>
              <w:pStyle w:val="TableParagraph"/>
              <w:numPr>
                <w:ilvl w:val="0"/>
                <w:numId w:val="10"/>
              </w:numPr>
              <w:tabs>
                <w:tab w:pos="311" w:val="left" w:leader="none"/>
                <w:tab w:pos="2226" w:val="left" w:leader="none"/>
              </w:tabs>
              <w:spacing w:line="240" w:lineRule="auto" w:before="30" w:after="0"/>
              <w:ind w:left="310" w:right="0" w:hanging="206"/>
              <w:jc w:val="left"/>
              <w:rPr>
                <w:sz w:val="21"/>
              </w:rPr>
            </w:pPr>
            <w:r>
              <w:rPr>
                <w:sz w:val="21"/>
              </w:rPr>
              <w:t>型</w:t>
              <w:tab/>
              <w:t>膜型</w:t>
            </w:r>
          </w:p>
          <w:p>
            <w:pPr>
              <w:pStyle w:val="TableParagraph"/>
              <w:numPr>
                <w:ilvl w:val="0"/>
                <w:numId w:val="10"/>
              </w:numPr>
              <w:tabs>
                <w:tab w:pos="378" w:val="left" w:leader="none"/>
                <w:tab w:pos="2226" w:val="left" w:leader="none"/>
              </w:tabs>
              <w:spacing w:line="240" w:lineRule="auto" w:before="30" w:after="0"/>
              <w:ind w:left="378" w:right="0" w:hanging="274"/>
              <w:jc w:val="left"/>
              <w:rPr>
                <w:sz w:val="21"/>
              </w:rPr>
            </w:pPr>
            <w:r>
              <w:rPr>
                <w:sz w:val="21"/>
              </w:rPr>
              <w:t>型</w:t>
              <w:tab/>
              <w:t>肾小</w:t>
            </w:r>
            <w:r>
              <w:rPr>
                <w:spacing w:val="-3"/>
                <w:sz w:val="21"/>
              </w:rPr>
              <w:t>球</w:t>
            </w:r>
            <w:r>
              <w:rPr>
                <w:sz w:val="21"/>
              </w:rPr>
              <w:t>硬</w:t>
            </w:r>
            <w:r>
              <w:rPr>
                <w:spacing w:val="-3"/>
                <w:sz w:val="21"/>
              </w:rPr>
              <w:t>化</w:t>
            </w:r>
            <w:r>
              <w:rPr>
                <w:sz w:val="21"/>
              </w:rPr>
              <w:t>型</w:t>
            </w:r>
          </w:p>
        </w:tc>
      </w:tr>
      <w:tr>
        <w:trPr>
          <w:trHeight w:val="1868" w:hRule="atLeast"/>
        </w:trPr>
        <w:tc>
          <w:tcPr>
            <w:tcW w:w="492" w:type="dxa"/>
          </w:tcPr>
          <w:p>
            <w:pPr>
              <w:pStyle w:val="TableParagraph"/>
              <w:spacing w:before="34"/>
              <w:ind w:right="27"/>
              <w:jc w:val="right"/>
              <w:rPr>
                <w:rFonts w:ascii="Times New Roman"/>
                <w:sz w:val="21"/>
              </w:rPr>
            </w:pPr>
            <w:r>
              <w:rPr>
                <w:rFonts w:ascii="Times New Roman"/>
                <w:sz w:val="21"/>
              </w:rPr>
              <w:t>38.</w:t>
            </w:r>
          </w:p>
        </w:tc>
        <w:tc>
          <w:tcPr>
            <w:tcW w:w="3010" w:type="dxa"/>
          </w:tcPr>
          <w:p>
            <w:pPr>
              <w:pStyle w:val="TableParagraph"/>
              <w:spacing w:line="273" w:lineRule="auto"/>
              <w:ind w:left="27" w:right="352"/>
              <w:rPr>
                <w:sz w:val="21"/>
              </w:rPr>
            </w:pPr>
            <w:r>
              <w:rPr>
                <w:sz w:val="21"/>
              </w:rPr>
              <w:t>非阿尔茨海默病所致严重痴呆</w:t>
            </w:r>
          </w:p>
        </w:tc>
        <w:tc>
          <w:tcPr>
            <w:tcW w:w="6922" w:type="dxa"/>
            <w:tcBorders>
              <w:top w:val="single" w:sz="4" w:space="0" w:color="000000"/>
            </w:tcBorders>
          </w:tcPr>
          <w:p>
            <w:pPr>
              <w:pStyle w:val="TableParagraph"/>
              <w:spacing w:line="273" w:lineRule="auto"/>
              <w:ind w:left="-4" w:right="199"/>
              <w:rPr>
                <w:sz w:val="21"/>
              </w:rPr>
            </w:pPr>
            <w:r>
              <w:rPr>
                <w:spacing w:val="-3"/>
                <w:sz w:val="21"/>
              </w:rPr>
              <w:t>指因阿尔茨海默病以外的脑的器质性疾病造成脑功能衰竭导致永久不可 逆性的严重痴呆，临床表现为明显的认知能力障碍、行为异常和社交能力</w:t>
            </w:r>
            <w:r>
              <w:rPr>
                <w:spacing w:val="-4"/>
                <w:sz w:val="21"/>
              </w:rPr>
              <w:t>减退。被保险人自主生活能力完全丧失，无法独立完成六项基本日常生活活动中的三项或三项以上，日常生活必须持续受到他人监护。导致痴呆的</w:t>
            </w:r>
            <w:r>
              <w:rPr>
                <w:spacing w:val="-3"/>
                <w:sz w:val="21"/>
              </w:rPr>
              <w:t>疾病必须明确诊断，并且有完整的临床、实验室和影像学检查结果证实。</w:t>
            </w:r>
          </w:p>
          <w:p>
            <w:pPr>
              <w:pStyle w:val="TableParagraph"/>
              <w:spacing w:before="21"/>
              <w:ind w:left="-4"/>
              <w:rPr>
                <w:b/>
                <w:sz w:val="21"/>
              </w:rPr>
            </w:pPr>
            <w:r>
              <w:rPr>
                <w:b/>
                <w:sz w:val="21"/>
              </w:rPr>
              <w:t>神经官能症,精神疾病及酒精中毒所致脑损害不在保障范围内。</w:t>
            </w:r>
          </w:p>
        </w:tc>
      </w:tr>
      <w:tr>
        <w:trPr>
          <w:trHeight w:val="4680" w:hRule="atLeast"/>
        </w:trPr>
        <w:tc>
          <w:tcPr>
            <w:tcW w:w="492" w:type="dxa"/>
          </w:tcPr>
          <w:p>
            <w:pPr>
              <w:pStyle w:val="TableParagraph"/>
              <w:spacing w:before="38"/>
              <w:ind w:right="27"/>
              <w:jc w:val="right"/>
              <w:rPr>
                <w:rFonts w:ascii="Times New Roman"/>
                <w:sz w:val="21"/>
              </w:rPr>
            </w:pPr>
            <w:r>
              <w:rPr>
                <w:rFonts w:ascii="Times New Roman"/>
                <w:sz w:val="21"/>
              </w:rPr>
              <w:t>39.</w:t>
            </w:r>
          </w:p>
        </w:tc>
        <w:tc>
          <w:tcPr>
            <w:tcW w:w="3010" w:type="dxa"/>
          </w:tcPr>
          <w:p>
            <w:pPr>
              <w:pStyle w:val="TableParagraph"/>
              <w:spacing w:line="266" w:lineRule="exact"/>
              <w:ind w:left="27"/>
              <w:rPr>
                <w:sz w:val="21"/>
              </w:rPr>
            </w:pPr>
            <w:r>
              <w:rPr>
                <w:sz w:val="21"/>
              </w:rPr>
              <w:t>严重类风湿性关节炎</w:t>
            </w:r>
          </w:p>
        </w:tc>
        <w:tc>
          <w:tcPr>
            <w:tcW w:w="6922" w:type="dxa"/>
          </w:tcPr>
          <w:p>
            <w:pPr>
              <w:pStyle w:val="TableParagraph"/>
              <w:spacing w:line="268" w:lineRule="auto"/>
              <w:ind w:left="-4" w:right="200"/>
              <w:rPr>
                <w:sz w:val="21"/>
              </w:rPr>
            </w:pPr>
            <w:r>
              <w:rPr>
                <w:spacing w:val="-4"/>
                <w:sz w:val="21"/>
              </w:rPr>
              <w:t>指广泛分布的慢性进行性多关节病变，表现为关节严重变形，侵犯至少三</w:t>
            </w:r>
            <w:r>
              <w:rPr>
                <w:spacing w:val="-3"/>
                <w:sz w:val="21"/>
              </w:rPr>
              <w:t>个主要关节（腕关节、肘关节、肩关节、踝关节、膝关节、髋关节）</w:t>
            </w:r>
            <w:r>
              <w:rPr>
                <w:sz w:val="21"/>
              </w:rPr>
              <w:t>或关节组</w:t>
            </w:r>
            <w:r>
              <w:rPr>
                <w:spacing w:val="-3"/>
                <w:sz w:val="21"/>
              </w:rPr>
              <w:t>（如手的多个指间、掌指关节，足的多个足趾、跖趾关节等</w:t>
            </w:r>
            <w:r>
              <w:rPr>
                <w:spacing w:val="-108"/>
                <w:sz w:val="21"/>
              </w:rPr>
              <w:t>）</w:t>
            </w:r>
            <w:r>
              <w:rPr>
                <w:spacing w:val="-2"/>
                <w:sz w:val="21"/>
              </w:rPr>
              <w:t>。类风</w:t>
            </w:r>
            <w:r>
              <w:rPr>
                <w:spacing w:val="-5"/>
                <w:sz w:val="21"/>
              </w:rPr>
              <w:t>湿性关节炎须明确诊断，并已达到类风湿性关节炎功能活动分级</w:t>
            </w:r>
            <w:r>
              <w:rPr>
                <w:spacing w:val="-3"/>
                <w:sz w:val="21"/>
              </w:rPr>
              <w:t>（</w:t>
            </w:r>
            <w:r>
              <w:rPr>
                <w:sz w:val="21"/>
              </w:rPr>
              <w:t>注</w:t>
            </w:r>
            <w:r>
              <w:rPr>
                <w:spacing w:val="-3"/>
                <w:sz w:val="21"/>
              </w:rPr>
              <w:t>）</w:t>
            </w:r>
            <w:r>
              <w:rPr>
                <w:rFonts w:ascii="Times New Roman" w:eastAsia="Times New Roman"/>
                <w:spacing w:val="-3"/>
                <w:sz w:val="21"/>
              </w:rPr>
              <w:t>IV </w:t>
            </w:r>
            <w:r>
              <w:rPr>
                <w:spacing w:val="-3"/>
                <w:sz w:val="21"/>
              </w:rPr>
              <w:t>级的永久不可逆性关节功能障碍，且须满足下列全部条件：</w:t>
            </w:r>
          </w:p>
          <w:p>
            <w:pPr>
              <w:pStyle w:val="TableParagraph"/>
              <w:spacing w:before="21"/>
              <w:ind w:left="-4"/>
              <w:rPr>
                <w:sz w:val="21"/>
              </w:rPr>
            </w:pPr>
            <w:r>
              <w:rPr>
                <w:sz w:val="21"/>
              </w:rPr>
              <w:t>（</w:t>
            </w:r>
            <w:r>
              <w:rPr>
                <w:rFonts w:ascii="Times New Roman" w:eastAsia="Times New Roman"/>
                <w:sz w:val="21"/>
              </w:rPr>
              <w:t>1</w:t>
            </w:r>
            <w:r>
              <w:rPr>
                <w:sz w:val="21"/>
              </w:rPr>
              <w:t>）晨僵；</w:t>
            </w:r>
          </w:p>
          <w:p>
            <w:pPr>
              <w:pStyle w:val="TableParagraph"/>
              <w:spacing w:before="21"/>
              <w:ind w:left="-4"/>
              <w:rPr>
                <w:sz w:val="21"/>
              </w:rPr>
            </w:pPr>
            <w:r>
              <w:rPr>
                <w:sz w:val="21"/>
              </w:rPr>
              <w:t>（</w:t>
            </w:r>
            <w:r>
              <w:rPr>
                <w:rFonts w:ascii="Times New Roman" w:eastAsia="Times New Roman"/>
                <w:sz w:val="21"/>
              </w:rPr>
              <w:t>2</w:t>
            </w:r>
            <w:r>
              <w:rPr>
                <w:sz w:val="21"/>
              </w:rPr>
              <w:t>）对称性关节炎；</w:t>
            </w:r>
          </w:p>
          <w:p>
            <w:pPr>
              <w:pStyle w:val="TableParagraph"/>
              <w:spacing w:before="21"/>
              <w:ind w:left="-4"/>
              <w:rPr>
                <w:sz w:val="21"/>
              </w:rPr>
            </w:pPr>
            <w:r>
              <w:rPr>
                <w:sz w:val="21"/>
              </w:rPr>
              <w:t>（</w:t>
            </w:r>
            <w:r>
              <w:rPr>
                <w:rFonts w:ascii="Times New Roman" w:eastAsia="Times New Roman"/>
                <w:sz w:val="21"/>
              </w:rPr>
              <w:t>3</w:t>
            </w:r>
            <w:r>
              <w:rPr>
                <w:sz w:val="21"/>
              </w:rPr>
              <w:t>）类风湿性皮下结节；</w:t>
            </w:r>
          </w:p>
          <w:p>
            <w:pPr>
              <w:pStyle w:val="TableParagraph"/>
              <w:spacing w:before="21"/>
              <w:ind w:left="-4"/>
              <w:rPr>
                <w:sz w:val="21"/>
              </w:rPr>
            </w:pPr>
            <w:r>
              <w:rPr>
                <w:sz w:val="21"/>
              </w:rPr>
              <w:t>（</w:t>
            </w:r>
            <w:r>
              <w:rPr>
                <w:rFonts w:ascii="Times New Roman" w:eastAsia="Times New Roman"/>
                <w:sz w:val="21"/>
              </w:rPr>
              <w:t>4</w:t>
            </w:r>
            <w:r>
              <w:rPr>
                <w:sz w:val="21"/>
              </w:rPr>
              <w:t>）类风湿因子滴度升高；</w:t>
            </w:r>
          </w:p>
          <w:p>
            <w:pPr>
              <w:pStyle w:val="TableParagraph"/>
              <w:spacing w:line="256" w:lineRule="auto" w:before="21"/>
              <w:ind w:left="-4" w:right="1621"/>
              <w:rPr>
                <w:sz w:val="21"/>
              </w:rPr>
            </w:pPr>
            <w:r>
              <w:rPr>
                <w:sz w:val="21"/>
              </w:rPr>
              <w:t>（</w:t>
            </w:r>
            <w:r>
              <w:rPr>
                <w:rFonts w:ascii="Times New Roman" w:eastAsia="Times New Roman"/>
                <w:sz w:val="21"/>
              </w:rPr>
              <w:t>5</w:t>
            </w:r>
            <w:r>
              <w:rPr>
                <w:sz w:val="21"/>
              </w:rPr>
              <w:t>）</w:t>
            </w:r>
            <w:r>
              <w:rPr>
                <w:rFonts w:ascii="Times New Roman" w:eastAsia="Times New Roman"/>
                <w:sz w:val="21"/>
              </w:rPr>
              <w:t>X</w:t>
            </w:r>
            <w:r>
              <w:rPr>
                <w:sz w:val="21"/>
              </w:rPr>
              <w:t>线显示严重的关节（软骨和骨）破坏和关节畸形。注：类风湿性关节炎功能活动分级：</w:t>
            </w:r>
          </w:p>
          <w:p>
            <w:pPr>
              <w:pStyle w:val="TableParagraph"/>
              <w:spacing w:before="22"/>
              <w:ind w:left="402"/>
              <w:rPr>
                <w:sz w:val="21"/>
              </w:rPr>
            </w:pPr>
            <w:r>
              <w:rPr>
                <w:sz w:val="21"/>
              </w:rPr>
              <w:t>Ⅰ级：关节功能完整，一般活动无障碍。</w:t>
            </w:r>
          </w:p>
          <w:p>
            <w:pPr>
              <w:pStyle w:val="TableParagraph"/>
              <w:spacing w:before="36"/>
              <w:ind w:left="402"/>
              <w:rPr>
                <w:sz w:val="21"/>
              </w:rPr>
            </w:pPr>
            <w:r>
              <w:rPr>
                <w:sz w:val="21"/>
              </w:rPr>
              <w:t>Ⅱ级：有关节不适或障碍，但尚能完成一半活动。</w:t>
            </w:r>
          </w:p>
          <w:p>
            <w:pPr>
              <w:pStyle w:val="TableParagraph"/>
              <w:spacing w:before="36"/>
              <w:ind w:left="402"/>
              <w:rPr>
                <w:sz w:val="21"/>
              </w:rPr>
            </w:pPr>
            <w:r>
              <w:rPr>
                <w:sz w:val="21"/>
              </w:rPr>
              <w:t>Ⅲ级：功能活动明显受限，但大部分生活可自理。</w:t>
            </w:r>
          </w:p>
          <w:p>
            <w:pPr>
              <w:pStyle w:val="TableParagraph"/>
              <w:spacing w:before="36"/>
              <w:ind w:left="402"/>
              <w:rPr>
                <w:sz w:val="21"/>
              </w:rPr>
            </w:pPr>
            <w:r>
              <w:rPr>
                <w:sz w:val="21"/>
              </w:rPr>
              <w:t>Ⅳ级：生活不能自理或卧床。</w:t>
            </w:r>
          </w:p>
        </w:tc>
      </w:tr>
      <w:tr>
        <w:trPr>
          <w:trHeight w:val="2184" w:hRule="atLeast"/>
        </w:trPr>
        <w:tc>
          <w:tcPr>
            <w:tcW w:w="492" w:type="dxa"/>
          </w:tcPr>
          <w:p>
            <w:pPr>
              <w:pStyle w:val="TableParagraph"/>
              <w:spacing w:before="38"/>
              <w:ind w:right="25"/>
              <w:jc w:val="right"/>
              <w:rPr>
                <w:rFonts w:ascii="Times New Roman"/>
                <w:sz w:val="21"/>
              </w:rPr>
            </w:pPr>
            <w:r>
              <w:rPr>
                <w:rFonts w:ascii="Times New Roman"/>
                <w:sz w:val="21"/>
              </w:rPr>
              <w:t>40.</w:t>
            </w:r>
          </w:p>
        </w:tc>
        <w:tc>
          <w:tcPr>
            <w:tcW w:w="3010" w:type="dxa"/>
          </w:tcPr>
          <w:p>
            <w:pPr>
              <w:pStyle w:val="TableParagraph"/>
              <w:spacing w:line="256" w:lineRule="auto"/>
              <w:ind w:left="27" w:right="347"/>
              <w:rPr>
                <w:b/>
                <w:sz w:val="21"/>
              </w:rPr>
            </w:pPr>
            <w:r>
              <w:rPr>
                <w:sz w:val="21"/>
              </w:rPr>
              <w:t>严重哮喘 </w:t>
            </w:r>
            <w:r>
              <w:rPr>
                <w:rFonts w:ascii="Times New Roman" w:eastAsia="Times New Roman"/>
                <w:sz w:val="21"/>
              </w:rPr>
              <w:t>- </w:t>
            </w:r>
            <w:r>
              <w:rPr>
                <w:b/>
                <w:sz w:val="21"/>
              </w:rPr>
              <w:t>二十五周岁前理赔</w:t>
            </w:r>
          </w:p>
        </w:tc>
        <w:tc>
          <w:tcPr>
            <w:tcW w:w="6922" w:type="dxa"/>
          </w:tcPr>
          <w:p>
            <w:pPr>
              <w:pStyle w:val="TableParagraph"/>
              <w:spacing w:line="273" w:lineRule="auto"/>
              <w:ind w:left="-4" w:right="197"/>
              <w:rPr>
                <w:sz w:val="21"/>
              </w:rPr>
            </w:pPr>
            <w:r>
              <w:rPr>
                <w:sz w:val="21"/>
              </w:rPr>
              <w:t>指一种反复发作的严重支气管阻塞性疾病，经我们认可的专科医生确诊， 且必须同时符合下列标准：</w:t>
            </w:r>
          </w:p>
          <w:p>
            <w:pPr>
              <w:pStyle w:val="TableParagraph"/>
              <w:spacing w:before="16"/>
              <w:ind w:left="-4"/>
              <w:rPr>
                <w:sz w:val="21"/>
              </w:rPr>
            </w:pPr>
            <w:r>
              <w:rPr>
                <w:sz w:val="21"/>
              </w:rPr>
              <w:t>（</w:t>
            </w:r>
            <w:r>
              <w:rPr>
                <w:rFonts w:ascii="Times New Roman" w:eastAsia="Times New Roman"/>
                <w:sz w:val="21"/>
              </w:rPr>
              <w:t>1</w:t>
            </w:r>
            <w:r>
              <w:rPr>
                <w:sz w:val="21"/>
              </w:rPr>
              <w:t>）过去两年中曾因哮喘持续状态住院治疗，并提供完整住院记录；</w:t>
            </w:r>
          </w:p>
          <w:p>
            <w:pPr>
              <w:pStyle w:val="TableParagraph"/>
              <w:spacing w:before="20"/>
              <w:ind w:left="-4"/>
              <w:rPr>
                <w:sz w:val="21"/>
              </w:rPr>
            </w:pPr>
            <w:r>
              <w:rPr>
                <w:sz w:val="21"/>
              </w:rPr>
              <w:t>（</w:t>
            </w:r>
            <w:r>
              <w:rPr>
                <w:rFonts w:ascii="Times New Roman" w:eastAsia="Times New Roman"/>
                <w:sz w:val="21"/>
              </w:rPr>
              <w:t>2</w:t>
            </w:r>
            <w:r>
              <w:rPr>
                <w:sz w:val="21"/>
              </w:rPr>
              <w:t>）因慢性过度换气导致胸廓畸形；</w:t>
            </w:r>
          </w:p>
          <w:p>
            <w:pPr>
              <w:pStyle w:val="TableParagraph"/>
              <w:spacing w:before="20"/>
              <w:ind w:left="-4"/>
              <w:rPr>
                <w:sz w:val="21"/>
              </w:rPr>
            </w:pPr>
            <w:r>
              <w:rPr>
                <w:sz w:val="21"/>
              </w:rPr>
              <w:t>（</w:t>
            </w:r>
            <w:r>
              <w:rPr>
                <w:rFonts w:ascii="Times New Roman" w:eastAsia="Times New Roman"/>
                <w:sz w:val="21"/>
              </w:rPr>
              <w:t>3</w:t>
            </w:r>
            <w:r>
              <w:rPr>
                <w:sz w:val="21"/>
              </w:rPr>
              <w:t>）在家中需要医生处方的氧气治疗法；</w:t>
            </w:r>
          </w:p>
          <w:p>
            <w:pPr>
              <w:pStyle w:val="TableParagraph"/>
              <w:spacing w:line="259" w:lineRule="auto" w:before="20"/>
              <w:ind w:left="-4" w:right="1563"/>
              <w:rPr>
                <w:b/>
                <w:sz w:val="21"/>
              </w:rPr>
            </w:pPr>
            <w:r>
              <w:rPr>
                <w:sz w:val="21"/>
              </w:rPr>
              <w:t>（</w:t>
            </w:r>
            <w:r>
              <w:rPr>
                <w:rFonts w:ascii="Times New Roman" w:eastAsia="Times New Roman"/>
                <w:sz w:val="21"/>
              </w:rPr>
              <w:t>4</w:t>
            </w:r>
            <w:r>
              <w:rPr>
                <w:sz w:val="21"/>
              </w:rPr>
              <w:t>）持续日常服用口服类固醇激素治疗持续至少六个月。</w:t>
            </w:r>
            <w:r>
              <w:rPr>
                <w:b/>
                <w:sz w:val="21"/>
              </w:rPr>
              <w:t>被保险人申请理赔时年龄必须在年满二十五周岁之前。</w:t>
            </w:r>
          </w:p>
        </w:tc>
      </w:tr>
      <w:tr>
        <w:trPr>
          <w:trHeight w:val="1871" w:hRule="atLeast"/>
        </w:trPr>
        <w:tc>
          <w:tcPr>
            <w:tcW w:w="492" w:type="dxa"/>
          </w:tcPr>
          <w:p>
            <w:pPr>
              <w:pStyle w:val="TableParagraph"/>
              <w:spacing w:before="38"/>
              <w:ind w:right="27"/>
              <w:jc w:val="right"/>
              <w:rPr>
                <w:rFonts w:ascii="Times New Roman"/>
                <w:sz w:val="21"/>
              </w:rPr>
            </w:pPr>
            <w:r>
              <w:rPr>
                <w:rFonts w:ascii="Times New Roman"/>
                <w:sz w:val="21"/>
              </w:rPr>
              <w:t>41.</w:t>
            </w:r>
          </w:p>
        </w:tc>
        <w:tc>
          <w:tcPr>
            <w:tcW w:w="3010" w:type="dxa"/>
          </w:tcPr>
          <w:p>
            <w:pPr>
              <w:pStyle w:val="TableParagraph"/>
              <w:spacing w:line="266" w:lineRule="exact"/>
              <w:ind w:left="27"/>
              <w:rPr>
                <w:sz w:val="21"/>
              </w:rPr>
            </w:pPr>
            <w:r>
              <w:rPr>
                <w:sz w:val="21"/>
              </w:rPr>
              <w:t>肾髓质囊性病</w:t>
            </w:r>
          </w:p>
        </w:tc>
        <w:tc>
          <w:tcPr>
            <w:tcW w:w="6922" w:type="dxa"/>
          </w:tcPr>
          <w:p>
            <w:pPr>
              <w:pStyle w:val="TableParagraph"/>
              <w:spacing w:line="266" w:lineRule="exact"/>
              <w:ind w:left="-4"/>
              <w:rPr>
                <w:sz w:val="21"/>
              </w:rPr>
            </w:pPr>
            <w:r>
              <w:rPr>
                <w:sz w:val="21"/>
              </w:rPr>
              <w:t>肾髓质囊性病的诊断须同时符合下列要求：</w:t>
            </w:r>
          </w:p>
          <w:p>
            <w:pPr>
              <w:pStyle w:val="TableParagraph"/>
              <w:spacing w:before="37"/>
              <w:ind w:left="-4"/>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before="21"/>
              <w:ind w:left="-4"/>
              <w:rPr>
                <w:sz w:val="21"/>
              </w:rPr>
            </w:pPr>
            <w:r>
              <w:rPr>
                <w:sz w:val="21"/>
              </w:rPr>
              <w:t>（</w:t>
            </w:r>
            <w:r>
              <w:rPr>
                <w:rFonts w:ascii="Times New Roman" w:eastAsia="Times New Roman"/>
                <w:sz w:val="21"/>
              </w:rPr>
              <w:t>2</w:t>
            </w:r>
            <w:r>
              <w:rPr>
                <w:sz w:val="21"/>
              </w:rPr>
              <w:t>）肾功能衰竭；</w:t>
            </w:r>
          </w:p>
          <w:p>
            <w:pPr>
              <w:pStyle w:val="TableParagraph"/>
              <w:spacing w:before="21"/>
              <w:ind w:left="-4"/>
              <w:rPr>
                <w:sz w:val="21"/>
              </w:rPr>
            </w:pPr>
            <w:r>
              <w:rPr>
                <w:sz w:val="21"/>
              </w:rPr>
              <w:t>（</w:t>
            </w:r>
            <w:r>
              <w:rPr>
                <w:rFonts w:ascii="Times New Roman" w:eastAsia="Times New Roman"/>
                <w:sz w:val="21"/>
              </w:rPr>
              <w:t>3</w:t>
            </w:r>
            <w:r>
              <w:rPr>
                <w:sz w:val="21"/>
              </w:rPr>
              <w:t>）诊断须由肾组织活检确定。</w:t>
            </w:r>
          </w:p>
          <w:p>
            <w:pPr>
              <w:pStyle w:val="TableParagraph"/>
              <w:spacing w:line="312" w:lineRule="exact" w:before="16"/>
              <w:ind w:left="-4" w:right="202"/>
              <w:rPr>
                <w:sz w:val="21"/>
              </w:rPr>
            </w:pPr>
            <w:r>
              <w:rPr>
                <w:sz w:val="21"/>
              </w:rPr>
              <w:t>我们承担本项疾病责任不受本合同“责任免除”中“遗传性疾病，先天性畸形、变形或染色体异常”的限制。</w:t>
            </w:r>
          </w:p>
        </w:tc>
      </w:tr>
      <w:tr>
        <w:trPr>
          <w:trHeight w:val="578" w:hRule="atLeast"/>
        </w:trPr>
        <w:tc>
          <w:tcPr>
            <w:tcW w:w="492" w:type="dxa"/>
          </w:tcPr>
          <w:p>
            <w:pPr>
              <w:pStyle w:val="TableParagraph"/>
              <w:spacing w:before="38"/>
              <w:ind w:right="27"/>
              <w:jc w:val="right"/>
              <w:rPr>
                <w:rFonts w:ascii="Times New Roman"/>
                <w:sz w:val="21"/>
              </w:rPr>
            </w:pPr>
            <w:r>
              <w:rPr>
                <w:rFonts w:ascii="Times New Roman"/>
                <w:sz w:val="21"/>
              </w:rPr>
              <w:t>42.</w:t>
            </w:r>
          </w:p>
        </w:tc>
        <w:tc>
          <w:tcPr>
            <w:tcW w:w="3010" w:type="dxa"/>
          </w:tcPr>
          <w:p>
            <w:pPr>
              <w:pStyle w:val="TableParagraph"/>
              <w:spacing w:line="266" w:lineRule="exact"/>
              <w:ind w:left="27"/>
              <w:rPr>
                <w:sz w:val="21"/>
              </w:rPr>
            </w:pPr>
            <w:r>
              <w:rPr>
                <w:sz w:val="21"/>
              </w:rPr>
              <w:t>重症急性坏死性筋膜炎</w:t>
            </w:r>
          </w:p>
        </w:tc>
        <w:tc>
          <w:tcPr>
            <w:tcW w:w="6922" w:type="dxa"/>
          </w:tcPr>
          <w:p>
            <w:pPr>
              <w:pStyle w:val="TableParagraph"/>
              <w:spacing w:line="266" w:lineRule="exact"/>
              <w:ind w:left="-4"/>
              <w:rPr>
                <w:sz w:val="21"/>
              </w:rPr>
            </w:pPr>
            <w:r>
              <w:rPr>
                <w:sz w:val="21"/>
              </w:rPr>
              <w:t>是一种由细菌侵入皮下组织和筋膜引起的急性坏死性软组织感染，可伴有</w:t>
            </w:r>
          </w:p>
          <w:p>
            <w:pPr>
              <w:pStyle w:val="TableParagraph"/>
              <w:spacing w:line="255" w:lineRule="exact" w:before="37"/>
              <w:ind w:left="-4"/>
              <w:rPr>
                <w:sz w:val="21"/>
              </w:rPr>
            </w:pPr>
            <w:r>
              <w:rPr>
                <w:sz w:val="21"/>
              </w:rPr>
              <w:t>毒血症、败血症、中毒性休克、弥漫性血管内凝血及多器官衰竭。必须满</w:t>
            </w:r>
          </w:p>
        </w:tc>
      </w:tr>
    </w:tbl>
    <w:p>
      <w:pPr>
        <w:rPr>
          <w:sz w:val="2"/>
          <w:szCs w:val="2"/>
        </w:rPr>
      </w:pPr>
      <w:r>
        <w:rPr/>
        <w:pict>
          <v:group style="position:absolute;margin-left:219.289993pt;margin-top:69.960022pt;width:205.4pt;height:97.1pt;mso-position-horizontal-relative:page;mso-position-vertical-relative:page;z-index:-48352" coordorigin="4386,1399" coordsize="4108,1942">
            <v:line style="position:absolute" from="4386,1726" to="6498,1726" stroked="true" strokeweight=".48pt" strokecolor="#000000">
              <v:stroke dashstyle="solid"/>
            </v:line>
            <v:line style="position:absolute" from="6508,1726" to="8483,1726" stroked="true" strokeweight=".48pt" strokecolor="#000000">
              <v:stroke dashstyle="solid"/>
            </v:line>
            <v:line style="position:absolute" from="4386,2050" to="6498,2050" stroked="true" strokeweight=".48pt" strokecolor="#000000">
              <v:stroke dashstyle="solid"/>
            </v:line>
            <v:line style="position:absolute" from="6508,2050" to="8483,2050" stroked="true" strokeweight=".48pt" strokecolor="#000000">
              <v:stroke dashstyle="solid"/>
            </v:line>
            <v:line style="position:absolute" from="4386,2372" to="6498,2372" stroked="true" strokeweight=".48pt" strokecolor="#000000">
              <v:stroke dashstyle="solid"/>
            </v:line>
            <v:line style="position:absolute" from="6508,2372" to="8483,2372" stroked="true" strokeweight=".48pt" strokecolor="#000000">
              <v:stroke dashstyle="solid"/>
            </v:line>
            <v:line style="position:absolute" from="4386,2693" to="6498,2693" stroked="true" strokeweight=".48pt" strokecolor="#000000">
              <v:stroke dashstyle="solid"/>
            </v:line>
            <v:line style="position:absolute" from="6508,2693" to="8483,2693" stroked="true" strokeweight=".48pt" strokecolor="#000000">
              <v:stroke dashstyle="solid"/>
            </v:line>
            <v:line style="position:absolute" from="4386,3015" to="6498,3015" stroked="true" strokeweight=".48pt" strokecolor="#000000">
              <v:stroke dashstyle="solid"/>
            </v:line>
            <v:line style="position:absolute" from="6508,3015" to="8483,3015" stroked="true" strokeweight=".48pt" strokecolor="#000000">
              <v:stroke dashstyle="solid"/>
            </v:line>
            <v:line style="position:absolute" from="6503,1399" to="6503,3341" stroked="true" strokeweight=".48001pt" strokecolor="#000000">
              <v:stroke dashstyle="solid"/>
            </v:line>
            <v:line style="position:absolute" from="8488,1399" to="8488,3341" stroked="true" strokeweight=".47998pt" strokecolor="#000000">
              <v:stroke dashstyle="solid"/>
            </v:line>
            <w10:wrap type="none"/>
          </v:group>
        </w:pict>
      </w:r>
    </w:p>
    <w:p>
      <w:pPr>
        <w:spacing w:after="0"/>
        <w:rPr>
          <w:sz w:val="2"/>
          <w:szCs w:val="2"/>
        </w:rPr>
        <w:sectPr>
          <w:pgSz w:w="11910" w:h="16160"/>
          <w:pgMar w:header="0" w:footer="799" w:top="1380" w:bottom="98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2831"/>
        <w:gridCol w:w="7126"/>
      </w:tblGrid>
      <w:tr>
        <w:trPr>
          <w:trHeight w:val="1201" w:hRule="atLeast"/>
        </w:trPr>
        <w:tc>
          <w:tcPr>
            <w:tcW w:w="492" w:type="dxa"/>
          </w:tcPr>
          <w:p>
            <w:pPr>
              <w:pStyle w:val="TableParagraph"/>
              <w:rPr>
                <w:rFonts w:ascii="Times New Roman"/>
                <w:sz w:val="20"/>
              </w:rPr>
            </w:pPr>
          </w:p>
        </w:tc>
        <w:tc>
          <w:tcPr>
            <w:tcW w:w="2831" w:type="dxa"/>
          </w:tcPr>
          <w:p>
            <w:pPr>
              <w:pStyle w:val="TableParagraph"/>
              <w:rPr>
                <w:rFonts w:ascii="Times New Roman"/>
                <w:sz w:val="20"/>
              </w:rPr>
            </w:pPr>
          </w:p>
        </w:tc>
        <w:tc>
          <w:tcPr>
            <w:tcW w:w="7126" w:type="dxa"/>
          </w:tcPr>
          <w:p>
            <w:pPr>
              <w:pStyle w:val="TableParagraph"/>
              <w:spacing w:line="202" w:lineRule="exact"/>
              <w:ind w:left="175"/>
              <w:rPr>
                <w:sz w:val="21"/>
              </w:rPr>
            </w:pPr>
            <w:r>
              <w:rPr>
                <w:sz w:val="21"/>
              </w:rPr>
              <w:t>足以下所有条件：</w:t>
            </w:r>
          </w:p>
          <w:p>
            <w:pPr>
              <w:pStyle w:val="TableParagraph"/>
              <w:spacing w:before="37"/>
              <w:ind w:left="175"/>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before="20"/>
              <w:ind w:left="175"/>
              <w:rPr>
                <w:sz w:val="21"/>
              </w:rPr>
            </w:pPr>
            <w:r>
              <w:rPr>
                <w:sz w:val="21"/>
              </w:rPr>
              <w:t>（</w:t>
            </w:r>
            <w:r>
              <w:rPr>
                <w:rFonts w:ascii="Times New Roman" w:eastAsia="Times New Roman"/>
                <w:sz w:val="21"/>
              </w:rPr>
              <w:t>2</w:t>
            </w:r>
            <w:r>
              <w:rPr>
                <w:sz w:val="21"/>
              </w:rPr>
              <w:t>）病情迅速恶化，有脓毒血症表现；</w:t>
            </w:r>
          </w:p>
          <w:p>
            <w:pPr>
              <w:pStyle w:val="TableParagraph"/>
              <w:spacing w:before="20"/>
              <w:ind w:left="175"/>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1871" w:hRule="atLeast"/>
        </w:trPr>
        <w:tc>
          <w:tcPr>
            <w:tcW w:w="492" w:type="dxa"/>
          </w:tcPr>
          <w:p>
            <w:pPr>
              <w:pStyle w:val="TableParagraph"/>
              <w:spacing w:before="21"/>
              <w:ind w:right="27"/>
              <w:jc w:val="right"/>
              <w:rPr>
                <w:rFonts w:ascii="Times New Roman"/>
                <w:sz w:val="21"/>
              </w:rPr>
            </w:pPr>
            <w:r>
              <w:rPr>
                <w:rFonts w:ascii="Times New Roman"/>
                <w:sz w:val="21"/>
              </w:rPr>
              <w:t>43.</w:t>
            </w:r>
          </w:p>
        </w:tc>
        <w:tc>
          <w:tcPr>
            <w:tcW w:w="2831" w:type="dxa"/>
          </w:tcPr>
          <w:p>
            <w:pPr>
              <w:pStyle w:val="TableParagraph"/>
              <w:spacing w:line="249" w:lineRule="exact"/>
              <w:ind w:left="27"/>
              <w:rPr>
                <w:sz w:val="21"/>
              </w:rPr>
            </w:pPr>
            <w:r>
              <w:rPr>
                <w:sz w:val="21"/>
              </w:rPr>
              <w:t>慢性呼吸功能衰竭终末期肺</w:t>
            </w:r>
          </w:p>
          <w:p>
            <w:pPr>
              <w:pStyle w:val="TableParagraph"/>
              <w:spacing w:before="37"/>
              <w:ind w:left="27"/>
              <w:rPr>
                <w:sz w:val="21"/>
              </w:rPr>
            </w:pPr>
            <w:r>
              <w:rPr>
                <w:w w:val="100"/>
                <w:sz w:val="21"/>
              </w:rPr>
              <w:t>病</w:t>
            </w:r>
          </w:p>
        </w:tc>
        <w:tc>
          <w:tcPr>
            <w:tcW w:w="7126" w:type="dxa"/>
          </w:tcPr>
          <w:p>
            <w:pPr>
              <w:pStyle w:val="TableParagraph"/>
              <w:spacing w:line="249" w:lineRule="exact"/>
              <w:ind w:left="175"/>
              <w:rPr>
                <w:sz w:val="21"/>
              </w:rPr>
            </w:pPr>
            <w:r>
              <w:rPr>
                <w:sz w:val="21"/>
              </w:rPr>
              <w:t>指慢性肺部疾病导致永久不可逆性的慢性呼吸功能衰竭，必须由呼吸专科</w:t>
            </w:r>
          </w:p>
          <w:p>
            <w:pPr>
              <w:pStyle w:val="TableParagraph"/>
              <w:spacing w:before="37"/>
              <w:ind w:left="175"/>
              <w:rPr>
                <w:sz w:val="21"/>
              </w:rPr>
            </w:pPr>
            <w:r>
              <w:rPr>
                <w:sz w:val="21"/>
              </w:rPr>
              <w:t>医生确认并符合下列所有条件：</w:t>
            </w:r>
          </w:p>
          <w:p>
            <w:pPr>
              <w:pStyle w:val="TableParagraph"/>
              <w:spacing w:before="37"/>
              <w:ind w:left="175"/>
              <w:rPr>
                <w:sz w:val="21"/>
              </w:rPr>
            </w:pPr>
            <w:r>
              <w:rPr>
                <w:sz w:val="21"/>
              </w:rPr>
              <w:t>（</w:t>
            </w:r>
            <w:r>
              <w:rPr>
                <w:rFonts w:ascii="Times New Roman" w:eastAsia="Times New Roman"/>
                <w:sz w:val="21"/>
              </w:rPr>
              <w:t>1</w:t>
            </w:r>
            <w:r>
              <w:rPr>
                <w:sz w:val="21"/>
              </w:rPr>
              <w:t>）休息时出现呼吸困难；</w:t>
            </w:r>
          </w:p>
          <w:p>
            <w:pPr>
              <w:pStyle w:val="TableParagraph"/>
              <w:spacing w:before="21"/>
              <w:ind w:left="175"/>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&lt;50mmHg</w:t>
            </w:r>
            <w:r>
              <w:rPr>
                <w:sz w:val="21"/>
                <w:vertAlign w:val="baseline"/>
              </w:rPr>
              <w:t>；</w:t>
            </w:r>
          </w:p>
          <w:p>
            <w:pPr>
              <w:pStyle w:val="TableParagraph"/>
              <w:spacing w:before="21"/>
              <w:ind w:left="175"/>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&lt;80</w:t>
            </w:r>
            <w:r>
              <w:rPr>
                <w:sz w:val="21"/>
                <w:vertAlign w:val="baseline"/>
              </w:rPr>
              <w:t>％；</w:t>
            </w:r>
          </w:p>
          <w:p>
            <w:pPr>
              <w:pStyle w:val="TableParagraph"/>
              <w:spacing w:before="21"/>
              <w:ind w:left="175"/>
              <w:rPr>
                <w:sz w:val="21"/>
              </w:rPr>
            </w:pPr>
            <w:r>
              <w:rPr>
                <w:sz w:val="21"/>
              </w:rPr>
              <w:t>（</w:t>
            </w:r>
            <w:r>
              <w:rPr>
                <w:rFonts w:ascii="Times New Roman" w:eastAsia="Times New Roman"/>
                <w:sz w:val="21"/>
              </w:rPr>
              <w:t>4</w:t>
            </w:r>
            <w:r>
              <w:rPr>
                <w:sz w:val="21"/>
              </w:rPr>
              <w:t>）因缺氧必须接受持续的输氧治疗。</w:t>
            </w:r>
          </w:p>
        </w:tc>
      </w:tr>
      <w:tr>
        <w:trPr>
          <w:trHeight w:val="928" w:hRule="atLeast"/>
        </w:trPr>
        <w:tc>
          <w:tcPr>
            <w:tcW w:w="492" w:type="dxa"/>
          </w:tcPr>
          <w:p>
            <w:pPr>
              <w:pStyle w:val="TableParagraph"/>
              <w:spacing w:before="21"/>
              <w:ind w:right="27"/>
              <w:jc w:val="right"/>
              <w:rPr>
                <w:rFonts w:ascii="Times New Roman"/>
                <w:sz w:val="21"/>
              </w:rPr>
            </w:pPr>
            <w:r>
              <w:rPr>
                <w:rFonts w:ascii="Times New Roman"/>
                <w:sz w:val="21"/>
              </w:rPr>
              <w:t>44.</w:t>
            </w:r>
          </w:p>
        </w:tc>
        <w:tc>
          <w:tcPr>
            <w:tcW w:w="2831" w:type="dxa"/>
          </w:tcPr>
          <w:p>
            <w:pPr>
              <w:pStyle w:val="TableParagraph"/>
              <w:spacing w:line="249" w:lineRule="exact"/>
              <w:ind w:left="27"/>
              <w:rPr>
                <w:sz w:val="21"/>
              </w:rPr>
            </w:pPr>
            <w:r>
              <w:rPr>
                <w:sz w:val="21"/>
              </w:rPr>
              <w:t>胰腺移植</w:t>
            </w:r>
          </w:p>
        </w:tc>
        <w:tc>
          <w:tcPr>
            <w:tcW w:w="7126" w:type="dxa"/>
          </w:tcPr>
          <w:p>
            <w:pPr>
              <w:pStyle w:val="TableParagraph"/>
              <w:spacing w:line="249" w:lineRule="exact"/>
              <w:ind w:left="175"/>
              <w:rPr>
                <w:sz w:val="21"/>
              </w:rPr>
            </w:pPr>
            <w:r>
              <w:rPr>
                <w:sz w:val="21"/>
              </w:rPr>
              <w:t>指因胰腺功能衰竭，已经实施了在全身麻醉下进行的胰腺的异体器官移植</w:t>
            </w:r>
          </w:p>
          <w:p>
            <w:pPr>
              <w:pStyle w:val="TableParagraph"/>
              <w:spacing w:before="37"/>
              <w:ind w:left="175"/>
              <w:rPr>
                <w:sz w:val="21"/>
              </w:rPr>
            </w:pPr>
            <w:r>
              <w:rPr>
                <w:sz w:val="21"/>
              </w:rPr>
              <w:t>手术</w:t>
            </w:r>
            <w:r>
              <w:rPr>
                <w:spacing w:val="-3"/>
                <w:sz w:val="21"/>
              </w:rPr>
              <w:t>（供体必须是人体器官</w:t>
            </w:r>
            <w:r>
              <w:rPr>
                <w:spacing w:val="-106"/>
                <w:sz w:val="21"/>
              </w:rPr>
              <w:t>）</w:t>
            </w:r>
            <w:r>
              <w:rPr>
                <w:sz w:val="21"/>
              </w:rPr>
              <w:t>。</w:t>
            </w:r>
          </w:p>
          <w:p>
            <w:pPr>
              <w:pStyle w:val="TableParagraph"/>
              <w:spacing w:before="36"/>
              <w:ind w:left="175"/>
              <w:rPr>
                <w:b/>
                <w:sz w:val="21"/>
              </w:rPr>
            </w:pPr>
            <w:r>
              <w:rPr>
                <w:b/>
                <w:sz w:val="21"/>
              </w:rPr>
              <w:t>单纯胰岛移植、部分胰腺组织或细胞的移植不在保障范围内。</w:t>
            </w:r>
          </w:p>
        </w:tc>
      </w:tr>
      <w:tr>
        <w:trPr>
          <w:trHeight w:val="943" w:hRule="atLeast"/>
        </w:trPr>
        <w:tc>
          <w:tcPr>
            <w:tcW w:w="492" w:type="dxa"/>
          </w:tcPr>
          <w:p>
            <w:pPr>
              <w:pStyle w:val="TableParagraph"/>
              <w:spacing w:before="29"/>
              <w:ind w:right="27"/>
              <w:jc w:val="right"/>
              <w:rPr>
                <w:rFonts w:ascii="Times New Roman"/>
                <w:sz w:val="21"/>
              </w:rPr>
            </w:pPr>
            <w:r>
              <w:rPr>
                <w:rFonts w:ascii="Times New Roman"/>
                <w:sz w:val="21"/>
              </w:rPr>
              <w:t>45.</w:t>
            </w:r>
          </w:p>
        </w:tc>
        <w:tc>
          <w:tcPr>
            <w:tcW w:w="2831" w:type="dxa"/>
          </w:tcPr>
          <w:p>
            <w:pPr>
              <w:pStyle w:val="TableParagraph"/>
              <w:spacing w:line="257" w:lineRule="exact"/>
              <w:ind w:left="27"/>
              <w:rPr>
                <w:sz w:val="21"/>
              </w:rPr>
            </w:pPr>
            <w:r>
              <w:rPr>
                <w:sz w:val="21"/>
              </w:rPr>
              <w:t>埃博拉病毒感染</w:t>
            </w:r>
          </w:p>
        </w:tc>
        <w:tc>
          <w:tcPr>
            <w:tcW w:w="7126" w:type="dxa"/>
          </w:tcPr>
          <w:p>
            <w:pPr>
              <w:pStyle w:val="TableParagraph"/>
              <w:spacing w:line="257" w:lineRule="exact"/>
              <w:ind w:left="175"/>
              <w:rPr>
                <w:sz w:val="21"/>
              </w:rPr>
            </w:pPr>
            <w:r>
              <w:rPr>
                <w:sz w:val="21"/>
              </w:rPr>
              <w:t>指受埃博拉病毒感染导致出血性发热。埃博拉病必须经国家机关认可的有</w:t>
            </w:r>
          </w:p>
          <w:p>
            <w:pPr>
              <w:pStyle w:val="TableParagraph"/>
              <w:spacing w:line="273" w:lineRule="auto" w:before="37"/>
              <w:ind w:left="175" w:right="227"/>
              <w:rPr>
                <w:sz w:val="21"/>
              </w:rPr>
            </w:pPr>
            <w:r>
              <w:rPr>
                <w:sz w:val="21"/>
              </w:rPr>
              <w:t>合法资质的传染病专家确诊，并且埃博拉病毒的存在必须经过实验室检查证实。该病必须从症状开始后</w:t>
            </w:r>
            <w:r>
              <w:rPr>
                <w:rFonts w:ascii="Times New Roman" w:eastAsia="Times New Roman"/>
                <w:sz w:val="21"/>
              </w:rPr>
              <w:t>30</w:t>
            </w:r>
            <w:r>
              <w:rPr>
                <w:sz w:val="21"/>
              </w:rPr>
              <w:t>天后持续出现并发症。</w:t>
            </w:r>
          </w:p>
        </w:tc>
      </w:tr>
      <w:tr>
        <w:trPr>
          <w:trHeight w:val="1240" w:hRule="atLeast"/>
        </w:trPr>
        <w:tc>
          <w:tcPr>
            <w:tcW w:w="492" w:type="dxa"/>
          </w:tcPr>
          <w:p>
            <w:pPr>
              <w:pStyle w:val="TableParagraph"/>
              <w:spacing w:before="21"/>
              <w:ind w:right="27"/>
              <w:jc w:val="right"/>
              <w:rPr>
                <w:rFonts w:ascii="Times New Roman"/>
                <w:sz w:val="21"/>
              </w:rPr>
            </w:pPr>
            <w:r>
              <w:rPr>
                <w:rFonts w:ascii="Times New Roman"/>
                <w:sz w:val="21"/>
              </w:rPr>
              <w:t>46.</w:t>
            </w:r>
          </w:p>
        </w:tc>
        <w:tc>
          <w:tcPr>
            <w:tcW w:w="2831" w:type="dxa"/>
          </w:tcPr>
          <w:p>
            <w:pPr>
              <w:pStyle w:val="TableParagraph"/>
              <w:spacing w:line="249" w:lineRule="exact"/>
              <w:ind w:left="27"/>
              <w:rPr>
                <w:sz w:val="21"/>
              </w:rPr>
            </w:pPr>
            <w:r>
              <w:rPr>
                <w:sz w:val="21"/>
              </w:rPr>
              <w:t>破裂脑动脉瘤夹闭手术</w:t>
            </w:r>
          </w:p>
        </w:tc>
        <w:tc>
          <w:tcPr>
            <w:tcW w:w="7126" w:type="dxa"/>
          </w:tcPr>
          <w:p>
            <w:pPr>
              <w:pStyle w:val="TableParagraph"/>
              <w:spacing w:line="249" w:lineRule="exact"/>
              <w:ind w:left="175"/>
              <w:rPr>
                <w:sz w:val="21"/>
              </w:rPr>
            </w:pPr>
            <w:r>
              <w:rPr>
                <w:sz w:val="21"/>
              </w:rPr>
              <w:t>指因脑动脉瘤破裂造成蛛网膜下腔出血，被保险人实际接受了在全麻下进</w:t>
            </w:r>
          </w:p>
          <w:p>
            <w:pPr>
              <w:pStyle w:val="TableParagraph"/>
              <w:spacing w:before="37"/>
              <w:ind w:left="175"/>
              <w:rPr>
                <w:sz w:val="21"/>
              </w:rPr>
            </w:pPr>
            <w:r>
              <w:rPr>
                <w:sz w:val="21"/>
              </w:rPr>
              <w:t>行的开颅动脉瘤夹闭手术。</w:t>
            </w:r>
          </w:p>
          <w:p>
            <w:pPr>
              <w:pStyle w:val="TableParagraph"/>
              <w:spacing w:line="273" w:lineRule="auto" w:before="37"/>
              <w:ind w:left="175" w:right="177"/>
              <w:rPr>
                <w:b/>
                <w:sz w:val="21"/>
              </w:rPr>
            </w:pPr>
            <w:r>
              <w:rPr>
                <w:b/>
                <w:sz w:val="21"/>
              </w:rPr>
              <w:t>脑动脉瘤（未破裂）预防性手术、颅骨打孔手术、动脉瘤栓塞手术、血管内手术及其他颅脑手术不在保障范围内。</w:t>
            </w:r>
          </w:p>
        </w:tc>
      </w:tr>
      <w:tr>
        <w:trPr>
          <w:trHeight w:val="936" w:hRule="atLeast"/>
        </w:trPr>
        <w:tc>
          <w:tcPr>
            <w:tcW w:w="492" w:type="dxa"/>
          </w:tcPr>
          <w:p>
            <w:pPr>
              <w:pStyle w:val="TableParagraph"/>
              <w:spacing w:before="29"/>
              <w:ind w:right="27"/>
              <w:jc w:val="right"/>
              <w:rPr>
                <w:rFonts w:ascii="Times New Roman"/>
                <w:sz w:val="21"/>
              </w:rPr>
            </w:pPr>
            <w:r>
              <w:rPr>
                <w:rFonts w:ascii="Times New Roman"/>
                <w:sz w:val="21"/>
              </w:rPr>
              <w:t>47.</w:t>
            </w:r>
          </w:p>
        </w:tc>
        <w:tc>
          <w:tcPr>
            <w:tcW w:w="2831" w:type="dxa"/>
          </w:tcPr>
          <w:p>
            <w:pPr>
              <w:pStyle w:val="TableParagraph"/>
              <w:spacing w:line="257" w:lineRule="exact"/>
              <w:ind w:left="27"/>
              <w:rPr>
                <w:sz w:val="21"/>
              </w:rPr>
            </w:pPr>
            <w:r>
              <w:rPr>
                <w:sz w:val="21"/>
              </w:rPr>
              <w:t>丝虫病所致象皮肿</w:t>
            </w:r>
          </w:p>
        </w:tc>
        <w:tc>
          <w:tcPr>
            <w:tcW w:w="7126" w:type="dxa"/>
          </w:tcPr>
          <w:p>
            <w:pPr>
              <w:pStyle w:val="TableParagraph"/>
              <w:spacing w:line="257" w:lineRule="exact"/>
              <w:ind w:left="175"/>
              <w:rPr>
                <w:sz w:val="21"/>
              </w:rPr>
            </w:pPr>
            <w:r>
              <w:rPr>
                <w:sz w:val="21"/>
              </w:rPr>
              <w:t>指因丝虫感染导致淋巴阻塞性出现严重淋巴水肿，达到国际淋巴学会淋巴</w:t>
            </w:r>
          </w:p>
          <w:p>
            <w:pPr>
              <w:pStyle w:val="TableParagraph"/>
              <w:spacing w:line="256" w:lineRule="auto" w:before="37"/>
              <w:ind w:left="175" w:right="179"/>
              <w:rPr>
                <w:sz w:val="21"/>
              </w:rPr>
            </w:pPr>
            <w:r>
              <w:rPr>
                <w:sz w:val="21"/>
              </w:rPr>
              <w:t>水肿分期第 </w:t>
            </w:r>
            <w:r>
              <w:rPr>
                <w:rFonts w:ascii="Times New Roman" w:eastAsia="Times New Roman"/>
                <w:sz w:val="21"/>
              </w:rPr>
              <w:t>III </w:t>
            </w:r>
            <w:r>
              <w:rPr>
                <w:sz w:val="21"/>
              </w:rPr>
              <w:t>期，临床表现为肢体象皮肿，患肢较健肢增粗 </w:t>
            </w:r>
            <w:r>
              <w:rPr>
                <w:rFonts w:ascii="Times New Roman" w:eastAsia="Times New Roman"/>
                <w:sz w:val="21"/>
              </w:rPr>
              <w:t>30%</w:t>
            </w:r>
            <w:r>
              <w:rPr>
                <w:sz w:val="21"/>
              </w:rPr>
              <w:t>以上， 日常生活不能自理。</w:t>
            </w:r>
          </w:p>
        </w:tc>
      </w:tr>
      <w:tr>
        <w:trPr>
          <w:trHeight w:val="935" w:hRule="atLeast"/>
        </w:trPr>
        <w:tc>
          <w:tcPr>
            <w:tcW w:w="492" w:type="dxa"/>
          </w:tcPr>
          <w:p>
            <w:pPr>
              <w:pStyle w:val="TableParagraph"/>
              <w:spacing w:before="29"/>
              <w:ind w:right="25"/>
              <w:jc w:val="right"/>
              <w:rPr>
                <w:rFonts w:ascii="Times New Roman"/>
                <w:sz w:val="21"/>
              </w:rPr>
            </w:pPr>
            <w:r>
              <w:rPr>
                <w:rFonts w:ascii="Times New Roman"/>
                <w:sz w:val="21"/>
              </w:rPr>
              <w:t>48.</w:t>
            </w:r>
          </w:p>
        </w:tc>
        <w:tc>
          <w:tcPr>
            <w:tcW w:w="2831" w:type="dxa"/>
          </w:tcPr>
          <w:p>
            <w:pPr>
              <w:pStyle w:val="TableParagraph"/>
              <w:spacing w:line="257" w:lineRule="exact"/>
              <w:ind w:left="27"/>
              <w:rPr>
                <w:sz w:val="21"/>
              </w:rPr>
            </w:pPr>
            <w:r>
              <w:rPr>
                <w:sz w:val="21"/>
              </w:rPr>
              <w:t>急性坏死性胰腺炎开腹手术</w:t>
            </w:r>
          </w:p>
        </w:tc>
        <w:tc>
          <w:tcPr>
            <w:tcW w:w="7126" w:type="dxa"/>
          </w:tcPr>
          <w:p>
            <w:pPr>
              <w:pStyle w:val="TableParagraph"/>
              <w:spacing w:line="257" w:lineRule="exact"/>
              <w:ind w:left="175"/>
              <w:rPr>
                <w:sz w:val="21"/>
              </w:rPr>
            </w:pPr>
            <w:r>
              <w:rPr>
                <w:sz w:val="21"/>
              </w:rPr>
              <w:t>指为治疗急性坏死性胰腺炎，实际实施了开腹进行的坏死组织清除术、病</w:t>
            </w:r>
          </w:p>
          <w:p>
            <w:pPr>
              <w:pStyle w:val="TableParagraph"/>
              <w:spacing w:before="37"/>
              <w:ind w:left="175"/>
              <w:rPr>
                <w:sz w:val="21"/>
              </w:rPr>
            </w:pPr>
            <w:r>
              <w:rPr>
                <w:sz w:val="21"/>
              </w:rPr>
              <w:t>灶切除术或胰腺部分切除术。</w:t>
            </w:r>
          </w:p>
          <w:p>
            <w:pPr>
              <w:pStyle w:val="TableParagraph"/>
              <w:spacing w:before="37"/>
              <w:ind w:left="175"/>
              <w:rPr>
                <w:sz w:val="21"/>
              </w:rPr>
            </w:pPr>
            <w:r>
              <w:rPr>
                <w:b/>
                <w:sz w:val="21"/>
              </w:rPr>
              <w:t>为治疗因酒精中毒引起的急性坏死性胰腺炎的开腹手术不在保障范围内</w:t>
            </w:r>
            <w:r>
              <w:rPr>
                <w:sz w:val="21"/>
              </w:rPr>
              <w:t>。</w:t>
            </w:r>
          </w:p>
        </w:tc>
      </w:tr>
      <w:tr>
        <w:trPr>
          <w:trHeight w:val="1560" w:hRule="atLeast"/>
        </w:trPr>
        <w:tc>
          <w:tcPr>
            <w:tcW w:w="492" w:type="dxa"/>
          </w:tcPr>
          <w:p>
            <w:pPr>
              <w:pStyle w:val="TableParagraph"/>
              <w:spacing w:before="29"/>
              <w:ind w:right="27"/>
              <w:jc w:val="right"/>
              <w:rPr>
                <w:rFonts w:ascii="Times New Roman"/>
                <w:sz w:val="21"/>
              </w:rPr>
            </w:pPr>
            <w:r>
              <w:rPr>
                <w:rFonts w:ascii="Times New Roman"/>
                <w:sz w:val="21"/>
              </w:rPr>
              <w:t>49.</w:t>
            </w:r>
          </w:p>
        </w:tc>
        <w:tc>
          <w:tcPr>
            <w:tcW w:w="2831" w:type="dxa"/>
          </w:tcPr>
          <w:p>
            <w:pPr>
              <w:pStyle w:val="TableParagraph"/>
              <w:spacing w:line="257" w:lineRule="exact"/>
              <w:ind w:left="27"/>
              <w:rPr>
                <w:sz w:val="21"/>
              </w:rPr>
            </w:pPr>
            <w:r>
              <w:rPr>
                <w:sz w:val="21"/>
              </w:rPr>
              <w:t>主动脉夹层血肿</w:t>
            </w:r>
          </w:p>
        </w:tc>
        <w:tc>
          <w:tcPr>
            <w:tcW w:w="7126" w:type="dxa"/>
          </w:tcPr>
          <w:p>
            <w:pPr>
              <w:pStyle w:val="TableParagraph"/>
              <w:spacing w:line="257" w:lineRule="exact"/>
              <w:ind w:left="175"/>
              <w:rPr>
                <w:sz w:val="21"/>
              </w:rPr>
            </w:pPr>
            <w:r>
              <w:rPr>
                <w:sz w:val="21"/>
              </w:rPr>
              <w:t>是指主动脉壁在受到某些病理因素的破坏后，高速、高压的主动脉血流将</w:t>
            </w:r>
          </w:p>
          <w:p>
            <w:pPr>
              <w:pStyle w:val="TableParagraph"/>
              <w:spacing w:line="261" w:lineRule="auto" w:before="37"/>
              <w:ind w:left="175" w:right="228"/>
              <w:jc w:val="both"/>
              <w:rPr>
                <w:sz w:val="21"/>
              </w:rPr>
            </w:pPr>
            <w:r>
              <w:rPr>
                <w:spacing w:val="-3"/>
                <w:sz w:val="21"/>
              </w:rPr>
              <w:t>其内膜撕裂，以致主动脉腔内的血流通过主动脉内膜的破裂口进入主动脉</w:t>
            </w:r>
            <w:r>
              <w:rPr>
                <w:spacing w:val="-10"/>
                <w:w w:val="100"/>
                <w:sz w:val="21"/>
              </w:rPr>
              <w:t>内壁而形成血肿。被保险人需通过断层扫描</w:t>
            </w:r>
            <w:r>
              <w:rPr>
                <w:spacing w:val="-3"/>
                <w:w w:val="100"/>
                <w:sz w:val="21"/>
              </w:rPr>
              <w:t>（</w:t>
            </w:r>
            <w:r>
              <w:rPr>
                <w:rFonts w:ascii="Times New Roman" w:eastAsia="Times New Roman"/>
                <w:spacing w:val="-2"/>
                <w:w w:val="100"/>
                <w:sz w:val="21"/>
              </w:rPr>
              <w:t>C</w:t>
            </w:r>
            <w:r>
              <w:rPr>
                <w:rFonts w:ascii="Times New Roman" w:eastAsia="Times New Roman"/>
                <w:w w:val="100"/>
                <w:sz w:val="21"/>
              </w:rPr>
              <w:t>T</w:t>
            </w:r>
            <w:r>
              <w:rPr>
                <w:spacing w:val="-106"/>
                <w:w w:val="100"/>
                <w:sz w:val="21"/>
              </w:rPr>
              <w:t>）</w:t>
            </w:r>
            <w:r>
              <w:rPr>
                <w:spacing w:val="-13"/>
                <w:w w:val="100"/>
                <w:sz w:val="21"/>
              </w:rPr>
              <w:t>、核磁共振检查</w:t>
            </w:r>
            <w:r>
              <w:rPr>
                <w:spacing w:val="-3"/>
                <w:w w:val="100"/>
                <w:sz w:val="21"/>
              </w:rPr>
              <w:t>（</w:t>
            </w:r>
            <w:r>
              <w:rPr>
                <w:rFonts w:ascii="Times New Roman" w:eastAsia="Times New Roman"/>
                <w:w w:val="100"/>
                <w:sz w:val="21"/>
              </w:rPr>
              <w:t>MR</w:t>
            </w:r>
            <w:r>
              <w:rPr>
                <w:rFonts w:ascii="Times New Roman" w:eastAsia="Times New Roman"/>
                <w:spacing w:val="-3"/>
                <w:w w:val="100"/>
                <w:sz w:val="21"/>
              </w:rPr>
              <w:t>I</w:t>
            </w:r>
            <w:r>
              <w:rPr>
                <w:spacing w:val="-106"/>
                <w:w w:val="100"/>
                <w:sz w:val="21"/>
              </w:rPr>
              <w:t>）、</w:t>
            </w:r>
            <w:r>
              <w:rPr>
                <w:spacing w:val="-6"/>
                <w:sz w:val="21"/>
              </w:rPr>
              <w:t>磁共振血管检验法（</w:t>
            </w:r>
            <w:r>
              <w:rPr>
                <w:rFonts w:ascii="Times New Roman" w:eastAsia="Times New Roman"/>
                <w:spacing w:val="-6"/>
                <w:sz w:val="21"/>
              </w:rPr>
              <w:t>MRA</w:t>
            </w:r>
            <w:r>
              <w:rPr>
                <w:spacing w:val="-6"/>
                <w:sz w:val="21"/>
              </w:rPr>
              <w:t>）或血管扫描等检查，并且实施了胸腹切开的直</w:t>
            </w:r>
            <w:r>
              <w:rPr>
                <w:spacing w:val="-4"/>
                <w:sz w:val="21"/>
              </w:rPr>
              <w:t>视主动脉手术。</w:t>
            </w:r>
          </w:p>
        </w:tc>
      </w:tr>
      <w:tr>
        <w:trPr>
          <w:trHeight w:val="1880" w:hRule="atLeast"/>
        </w:trPr>
        <w:tc>
          <w:tcPr>
            <w:tcW w:w="492" w:type="dxa"/>
          </w:tcPr>
          <w:p>
            <w:pPr>
              <w:pStyle w:val="TableParagraph"/>
              <w:spacing w:before="29"/>
              <w:ind w:right="27"/>
              <w:jc w:val="right"/>
              <w:rPr>
                <w:rFonts w:ascii="Times New Roman"/>
                <w:sz w:val="21"/>
              </w:rPr>
            </w:pPr>
            <w:r>
              <w:rPr>
                <w:rFonts w:ascii="Times New Roman"/>
                <w:sz w:val="21"/>
              </w:rPr>
              <w:t>50.</w:t>
            </w:r>
          </w:p>
        </w:tc>
        <w:tc>
          <w:tcPr>
            <w:tcW w:w="2831" w:type="dxa"/>
          </w:tcPr>
          <w:p>
            <w:pPr>
              <w:pStyle w:val="TableParagraph"/>
              <w:spacing w:line="257" w:lineRule="exact"/>
              <w:ind w:left="27"/>
              <w:rPr>
                <w:sz w:val="21"/>
              </w:rPr>
            </w:pPr>
            <w:r>
              <w:rPr>
                <w:sz w:val="21"/>
              </w:rPr>
              <w:t>系统性硬皮病</w:t>
            </w:r>
          </w:p>
        </w:tc>
        <w:tc>
          <w:tcPr>
            <w:tcW w:w="7126" w:type="dxa"/>
          </w:tcPr>
          <w:p>
            <w:pPr>
              <w:pStyle w:val="TableParagraph"/>
              <w:spacing w:line="257" w:lineRule="exact"/>
              <w:ind w:left="175"/>
              <w:rPr>
                <w:sz w:val="21"/>
              </w:rPr>
            </w:pPr>
            <w:r>
              <w:rPr>
                <w:sz w:val="21"/>
              </w:rPr>
              <w:t>指一种以局限性或弥漫性皮肤增厚和皮肤、血管、内脏器官异常纤维化为</w:t>
            </w:r>
          </w:p>
          <w:p>
            <w:pPr>
              <w:pStyle w:val="TableParagraph"/>
              <w:spacing w:line="273" w:lineRule="auto" w:before="37"/>
              <w:ind w:left="175" w:right="227"/>
              <w:rPr>
                <w:sz w:val="21"/>
              </w:rPr>
            </w:pPr>
            <w:r>
              <w:rPr>
                <w:sz w:val="21"/>
              </w:rPr>
              <w:t>特征的结缔组织病。本病须经专科医生明确诊断，并须满足下列至少一项条件：</w:t>
            </w:r>
          </w:p>
          <w:p>
            <w:pPr>
              <w:pStyle w:val="TableParagraph"/>
              <w:spacing w:before="7"/>
              <w:ind w:left="175"/>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before="20"/>
              <w:ind w:left="175"/>
              <w:rPr>
                <w:sz w:val="21"/>
              </w:rPr>
            </w:pPr>
            <w:r>
              <w:rPr>
                <w:sz w:val="21"/>
              </w:rPr>
              <w:t>（</w:t>
            </w:r>
            <w:r>
              <w:rPr>
                <w:rFonts w:ascii="Times New Roman" w:eastAsia="Times New Roman"/>
                <w:sz w:val="21"/>
              </w:rPr>
              <w:t>2</w:t>
            </w:r>
            <w:r>
              <w:rPr>
                <w:sz w:val="21"/>
              </w:rPr>
              <w:t>）心脏：心功能受损达到美国纽约心脏病学会心功能状态分级</w:t>
            </w:r>
            <w:r>
              <w:rPr>
                <w:rFonts w:ascii="Times New Roman" w:eastAsia="Times New Roman"/>
                <w:sz w:val="21"/>
              </w:rPr>
              <w:t>IV</w:t>
            </w:r>
            <w:r>
              <w:rPr>
                <w:sz w:val="21"/>
              </w:rPr>
              <w:t>级；</w:t>
            </w:r>
          </w:p>
          <w:p>
            <w:pPr>
              <w:pStyle w:val="TableParagraph"/>
              <w:spacing w:before="20"/>
              <w:ind w:left="175"/>
              <w:rPr>
                <w:sz w:val="21"/>
              </w:rPr>
            </w:pPr>
            <w:r>
              <w:rPr>
                <w:sz w:val="21"/>
              </w:rPr>
              <w:t>（</w:t>
            </w:r>
            <w:r>
              <w:rPr>
                <w:rFonts w:ascii="Times New Roman" w:eastAsia="Times New Roman"/>
                <w:sz w:val="21"/>
              </w:rPr>
              <w:t>3</w:t>
            </w:r>
            <w:r>
              <w:rPr>
                <w:sz w:val="21"/>
              </w:rPr>
              <w:t>）肾脏：肾脏受损导致双肾功能慢性不可逆衰竭，达到尿毒症期。</w:t>
            </w:r>
          </w:p>
        </w:tc>
      </w:tr>
      <w:tr>
        <w:trPr>
          <w:trHeight w:val="1834" w:hRule="atLeast"/>
        </w:trPr>
        <w:tc>
          <w:tcPr>
            <w:tcW w:w="492" w:type="dxa"/>
          </w:tcPr>
          <w:p>
            <w:pPr>
              <w:pStyle w:val="TableParagraph"/>
              <w:spacing w:before="21"/>
              <w:ind w:right="27"/>
              <w:jc w:val="right"/>
              <w:rPr>
                <w:rFonts w:ascii="Times New Roman"/>
                <w:sz w:val="21"/>
              </w:rPr>
            </w:pPr>
            <w:r>
              <w:rPr>
                <w:rFonts w:ascii="Times New Roman"/>
                <w:sz w:val="21"/>
              </w:rPr>
              <w:t>51.</w:t>
            </w:r>
          </w:p>
        </w:tc>
        <w:tc>
          <w:tcPr>
            <w:tcW w:w="2831" w:type="dxa"/>
          </w:tcPr>
          <w:p>
            <w:pPr>
              <w:pStyle w:val="TableParagraph"/>
              <w:spacing w:line="249" w:lineRule="exact"/>
              <w:ind w:left="27"/>
              <w:rPr>
                <w:sz w:val="21"/>
              </w:rPr>
            </w:pPr>
            <w:r>
              <w:rPr>
                <w:sz w:val="21"/>
              </w:rPr>
              <w:t>原发性硬化性胆管炎</w:t>
            </w:r>
          </w:p>
        </w:tc>
        <w:tc>
          <w:tcPr>
            <w:tcW w:w="7126" w:type="dxa"/>
          </w:tcPr>
          <w:p>
            <w:pPr>
              <w:pStyle w:val="TableParagraph"/>
              <w:spacing w:line="249" w:lineRule="exact"/>
              <w:ind w:left="175"/>
              <w:rPr>
                <w:sz w:val="21"/>
              </w:rPr>
            </w:pPr>
            <w:r>
              <w:rPr>
                <w:sz w:val="21"/>
              </w:rPr>
              <w:t>指一种胆汁淤积综合征，其特征是肝内、肝外胆道因纤维化性炎症逐渐狭</w:t>
            </w:r>
          </w:p>
          <w:p>
            <w:pPr>
              <w:pStyle w:val="TableParagraph"/>
              <w:spacing w:line="273" w:lineRule="auto" w:before="37"/>
              <w:ind w:left="175" w:right="227"/>
              <w:rPr>
                <w:sz w:val="21"/>
              </w:rPr>
            </w:pPr>
            <w:r>
              <w:rPr>
                <w:sz w:val="21"/>
              </w:rPr>
              <w:t>窄，并最终导致完全阻塞而发展为肝硬化。本病须经内镜逆行胰胆管造影等影像学检查证实，并须满足下列全部条件：</w:t>
            </w:r>
          </w:p>
          <w:p>
            <w:pPr>
              <w:pStyle w:val="TableParagraph"/>
              <w:spacing w:before="7"/>
              <w:ind w:left="175"/>
              <w:rPr>
                <w:sz w:val="21"/>
              </w:rPr>
            </w:pPr>
            <w:r>
              <w:rPr>
                <w:sz w:val="21"/>
              </w:rPr>
              <w:t>（</w:t>
            </w:r>
            <w:r>
              <w:rPr>
                <w:rFonts w:ascii="Times New Roman" w:eastAsia="Times New Roman"/>
                <w:sz w:val="21"/>
              </w:rPr>
              <w:t>1</w:t>
            </w:r>
            <w:r>
              <w:rPr>
                <w:sz w:val="21"/>
              </w:rPr>
              <w:t>）总胆红素和直接胆红素同时升高，血清</w:t>
            </w:r>
            <w:r>
              <w:rPr>
                <w:rFonts w:ascii="Times New Roman" w:eastAsia="Times New Roman"/>
                <w:sz w:val="21"/>
              </w:rPr>
              <w:t>ALP&gt;200U/L</w:t>
            </w:r>
            <w:r>
              <w:rPr>
                <w:sz w:val="21"/>
              </w:rPr>
              <w:t>；</w:t>
            </w:r>
          </w:p>
          <w:p>
            <w:pPr>
              <w:pStyle w:val="TableParagraph"/>
              <w:spacing w:before="20"/>
              <w:ind w:left="175"/>
              <w:rPr>
                <w:sz w:val="21"/>
              </w:rPr>
            </w:pPr>
            <w:r>
              <w:rPr>
                <w:sz w:val="21"/>
              </w:rPr>
              <w:t>（</w:t>
            </w:r>
            <w:r>
              <w:rPr>
                <w:rFonts w:ascii="Times New Roman" w:eastAsia="Times New Roman"/>
                <w:sz w:val="21"/>
              </w:rPr>
              <w:t>2</w:t>
            </w:r>
            <w:r>
              <w:rPr>
                <w:sz w:val="21"/>
              </w:rPr>
              <w:t>）持续性黄疸病史；</w:t>
            </w:r>
          </w:p>
          <w:p>
            <w:pPr>
              <w:pStyle w:val="TableParagraph"/>
              <w:spacing w:line="280" w:lineRule="exact" w:before="20"/>
              <w:ind w:left="175"/>
              <w:rPr>
                <w:sz w:val="21"/>
              </w:rPr>
            </w:pPr>
            <w:r>
              <w:rPr>
                <w:sz w:val="21"/>
              </w:rPr>
              <w:t>（</w:t>
            </w:r>
            <w:r>
              <w:rPr>
                <w:rFonts w:ascii="Times New Roman" w:eastAsia="Times New Roman"/>
                <w:sz w:val="21"/>
              </w:rPr>
              <w:t>3</w:t>
            </w:r>
            <w:r>
              <w:rPr>
                <w:sz w:val="21"/>
              </w:rPr>
              <w:t>）出现胆汁性肝硬化或门脉高压。</w:t>
            </w:r>
          </w:p>
        </w:tc>
      </w:tr>
    </w:tbl>
    <w:p>
      <w:pPr>
        <w:spacing w:after="0" w:line="280" w:lineRule="exact"/>
        <w:rPr>
          <w:sz w:val="21"/>
        </w:rPr>
        <w:sectPr>
          <w:pgSz w:w="11910" w:h="16160"/>
          <w:pgMar w:header="0" w:footer="799" w:top="1440" w:bottom="980" w:left="760" w:right="48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2596"/>
        <w:gridCol w:w="7337"/>
      </w:tblGrid>
      <w:tr>
        <w:trPr>
          <w:trHeight w:val="263" w:hRule="atLeast"/>
        </w:trPr>
        <w:tc>
          <w:tcPr>
            <w:tcW w:w="492" w:type="dxa"/>
          </w:tcPr>
          <w:p>
            <w:pPr>
              <w:pStyle w:val="TableParagraph"/>
              <w:rPr>
                <w:rFonts w:ascii="Times New Roman"/>
                <w:sz w:val="18"/>
              </w:rPr>
            </w:pPr>
          </w:p>
        </w:tc>
        <w:tc>
          <w:tcPr>
            <w:tcW w:w="2596" w:type="dxa"/>
          </w:tcPr>
          <w:p>
            <w:pPr>
              <w:pStyle w:val="TableParagraph"/>
              <w:rPr>
                <w:rFonts w:ascii="Times New Roman"/>
                <w:sz w:val="18"/>
              </w:rPr>
            </w:pPr>
          </w:p>
        </w:tc>
        <w:tc>
          <w:tcPr>
            <w:tcW w:w="7337" w:type="dxa"/>
          </w:tcPr>
          <w:p>
            <w:pPr>
              <w:pStyle w:val="TableParagraph"/>
              <w:spacing w:line="202" w:lineRule="exact"/>
              <w:ind w:left="410"/>
              <w:rPr>
                <w:b/>
                <w:sz w:val="21"/>
              </w:rPr>
            </w:pPr>
            <w:r>
              <w:rPr>
                <w:b/>
                <w:sz w:val="21"/>
              </w:rPr>
              <w:t>因肿瘤或胆管损伤等继发性的硬化性胆管炎不在保障范围内。</w:t>
            </w:r>
          </w:p>
        </w:tc>
      </w:tr>
      <w:tr>
        <w:trPr>
          <w:trHeight w:val="3126" w:hRule="atLeast"/>
        </w:trPr>
        <w:tc>
          <w:tcPr>
            <w:tcW w:w="492" w:type="dxa"/>
          </w:tcPr>
          <w:p>
            <w:pPr>
              <w:pStyle w:val="TableParagraph"/>
              <w:spacing w:before="35"/>
              <w:ind w:right="27"/>
              <w:jc w:val="right"/>
              <w:rPr>
                <w:rFonts w:ascii="Times New Roman"/>
                <w:sz w:val="21"/>
              </w:rPr>
            </w:pPr>
            <w:r>
              <w:rPr>
                <w:rFonts w:ascii="Times New Roman"/>
                <w:sz w:val="21"/>
              </w:rPr>
              <w:t>52.</w:t>
            </w:r>
          </w:p>
        </w:tc>
        <w:tc>
          <w:tcPr>
            <w:tcW w:w="2596" w:type="dxa"/>
          </w:tcPr>
          <w:p>
            <w:pPr>
              <w:pStyle w:val="TableParagraph"/>
              <w:spacing w:line="279" w:lineRule="exact"/>
              <w:ind w:left="27"/>
              <w:rPr>
                <w:sz w:val="21"/>
              </w:rPr>
            </w:pPr>
            <w:r>
              <w:rPr>
                <w:sz w:val="21"/>
              </w:rPr>
              <w:t>经输血导致的 </w:t>
            </w:r>
            <w:r>
              <w:rPr>
                <w:rFonts w:ascii="Times New Roman" w:eastAsia="Times New Roman"/>
                <w:sz w:val="21"/>
              </w:rPr>
              <w:t>HIV </w:t>
            </w:r>
            <w:r>
              <w:rPr>
                <w:sz w:val="21"/>
              </w:rPr>
              <w:t>感染</w:t>
            </w:r>
          </w:p>
        </w:tc>
        <w:tc>
          <w:tcPr>
            <w:tcW w:w="7337" w:type="dxa"/>
          </w:tcPr>
          <w:p>
            <w:pPr>
              <w:pStyle w:val="TableParagraph"/>
              <w:spacing w:line="279" w:lineRule="exact"/>
              <w:ind w:left="410"/>
              <w:rPr>
                <w:sz w:val="21"/>
              </w:rPr>
            </w:pPr>
            <w:r>
              <w:rPr>
                <w:sz w:val="21"/>
              </w:rPr>
              <w:t>指被保险人感染上人类免疫缺陷病毒（</w:t>
            </w:r>
            <w:r>
              <w:rPr>
                <w:rFonts w:ascii="Times New Roman" w:eastAsia="Times New Roman"/>
                <w:sz w:val="21"/>
              </w:rPr>
              <w:t>HIV</w:t>
            </w:r>
            <w:r>
              <w:rPr>
                <w:sz w:val="21"/>
              </w:rPr>
              <w:t>）并且满足下列全部条件：</w:t>
            </w:r>
          </w:p>
          <w:p>
            <w:pPr>
              <w:pStyle w:val="TableParagraph"/>
              <w:spacing w:before="21"/>
              <w:ind w:left="410"/>
              <w:rPr>
                <w:sz w:val="21"/>
              </w:rPr>
            </w:pPr>
            <w:r>
              <w:rPr>
                <w:sz w:val="21"/>
              </w:rPr>
              <w:t>（</w:t>
            </w:r>
            <w:r>
              <w:rPr>
                <w:rFonts w:ascii="Times New Roman" w:eastAsia="Times New Roman"/>
                <w:sz w:val="21"/>
              </w:rPr>
              <w:t>1</w:t>
            </w:r>
            <w:r>
              <w:rPr>
                <w:sz w:val="21"/>
              </w:rPr>
              <w:t>）被保险人等待期后因输血而感染</w:t>
            </w:r>
            <w:r>
              <w:rPr>
                <w:rFonts w:ascii="Times New Roman" w:eastAsia="Times New Roman"/>
                <w:sz w:val="21"/>
              </w:rPr>
              <w:t>HIV</w:t>
            </w:r>
            <w:r>
              <w:rPr>
                <w:sz w:val="21"/>
              </w:rPr>
              <w:t>；</w:t>
            </w:r>
          </w:p>
          <w:p>
            <w:pPr>
              <w:pStyle w:val="TableParagraph"/>
              <w:spacing w:line="256" w:lineRule="auto" w:before="21"/>
              <w:ind w:left="410" w:right="204"/>
              <w:rPr>
                <w:sz w:val="21"/>
              </w:rPr>
            </w:pPr>
            <w:r>
              <w:rPr>
                <w:sz w:val="21"/>
              </w:rPr>
              <w:t>（</w:t>
            </w:r>
            <w:r>
              <w:rPr>
                <w:rFonts w:ascii="Times New Roman" w:eastAsia="Times New Roman"/>
                <w:sz w:val="21"/>
              </w:rPr>
              <w:t>2</w:t>
            </w:r>
            <w:r>
              <w:rPr>
                <w:sz w:val="21"/>
              </w:rPr>
              <w:t>）提供输血治疗的输血中心或医院出具该项输血感染属医疗责任事故的报告，或者法院终审裁定为医疗责任并且不准上诉；</w:t>
            </w:r>
          </w:p>
          <w:p>
            <w:pPr>
              <w:pStyle w:val="TableParagraph"/>
              <w:spacing w:before="22"/>
              <w:ind w:left="410"/>
              <w:rPr>
                <w:sz w:val="21"/>
              </w:rPr>
            </w:pPr>
            <w:r>
              <w:rPr>
                <w:sz w:val="21"/>
              </w:rPr>
              <w:t>（</w:t>
            </w:r>
            <w:r>
              <w:rPr>
                <w:rFonts w:ascii="Times New Roman" w:eastAsia="Times New Roman"/>
                <w:sz w:val="21"/>
              </w:rPr>
              <w:t>3</w:t>
            </w:r>
            <w:r>
              <w:rPr>
                <w:sz w:val="21"/>
              </w:rPr>
              <w:t>）受感染的被保险人不是血友病患者。</w:t>
            </w:r>
          </w:p>
          <w:p>
            <w:pPr>
              <w:pStyle w:val="TableParagraph"/>
              <w:spacing w:line="264" w:lineRule="auto" w:before="21"/>
              <w:ind w:left="410" w:right="204"/>
              <w:jc w:val="both"/>
              <w:rPr>
                <w:sz w:val="21"/>
              </w:rPr>
            </w:pPr>
            <w:r>
              <w:rPr>
                <w:b/>
                <w:spacing w:val="-1"/>
                <w:sz w:val="21"/>
              </w:rPr>
              <w:t>任何因其他传播方式</w:t>
            </w:r>
            <w:r>
              <w:rPr>
                <w:b/>
                <w:sz w:val="21"/>
              </w:rPr>
              <w:t>（</w:t>
            </w:r>
            <w:r>
              <w:rPr>
                <w:b/>
                <w:spacing w:val="-3"/>
                <w:sz w:val="21"/>
              </w:rPr>
              <w:t>包括：性传播或静脉注射毒品）</w:t>
            </w:r>
            <w:r>
              <w:rPr>
                <w:b/>
                <w:sz w:val="21"/>
              </w:rPr>
              <w:t>导致的</w:t>
            </w:r>
            <w:r>
              <w:rPr>
                <w:rFonts w:ascii="Times New Roman" w:eastAsia="Times New Roman"/>
                <w:b/>
                <w:spacing w:val="-3"/>
                <w:sz w:val="21"/>
              </w:rPr>
              <w:t>HIV</w:t>
            </w:r>
            <w:r>
              <w:rPr>
                <w:b/>
                <w:sz w:val="21"/>
              </w:rPr>
              <w:t>感染不</w:t>
            </w:r>
            <w:r>
              <w:rPr>
                <w:b/>
                <w:spacing w:val="-1"/>
                <w:sz w:val="21"/>
              </w:rPr>
              <w:t>在保障范围内。</w:t>
            </w:r>
            <w:r>
              <w:rPr>
                <w:spacing w:val="-4"/>
                <w:sz w:val="21"/>
              </w:rPr>
              <w:t>我们保留获得使用被保险人的所有血液样本的权利，并对</w:t>
            </w:r>
            <w:r>
              <w:rPr>
                <w:spacing w:val="-3"/>
                <w:sz w:val="21"/>
              </w:rPr>
              <w:t>这些样本进行独立检验。</w:t>
            </w:r>
          </w:p>
          <w:p>
            <w:pPr>
              <w:pStyle w:val="TableParagraph"/>
              <w:spacing w:line="273" w:lineRule="auto" w:before="16"/>
              <w:ind w:left="410" w:right="203"/>
              <w:rPr>
                <w:sz w:val="21"/>
              </w:rPr>
            </w:pPr>
            <w:r>
              <w:rPr>
                <w:sz w:val="21"/>
              </w:rPr>
              <w:t>我们承担本项疾病责任不受本合同“责任免除”中“被保险人感染艾滋病病毒或患艾滋病”的限制。</w:t>
            </w:r>
          </w:p>
        </w:tc>
      </w:tr>
      <w:tr>
        <w:trPr>
          <w:trHeight w:val="1248" w:hRule="atLeast"/>
        </w:trPr>
        <w:tc>
          <w:tcPr>
            <w:tcW w:w="492" w:type="dxa"/>
          </w:tcPr>
          <w:p>
            <w:pPr>
              <w:pStyle w:val="TableParagraph"/>
              <w:spacing w:before="29"/>
              <w:ind w:right="27"/>
              <w:jc w:val="right"/>
              <w:rPr>
                <w:rFonts w:ascii="Times New Roman"/>
                <w:sz w:val="21"/>
              </w:rPr>
            </w:pPr>
            <w:r>
              <w:rPr>
                <w:rFonts w:ascii="Times New Roman"/>
                <w:sz w:val="21"/>
              </w:rPr>
              <w:t>53.</w:t>
            </w:r>
          </w:p>
        </w:tc>
        <w:tc>
          <w:tcPr>
            <w:tcW w:w="2596" w:type="dxa"/>
          </w:tcPr>
          <w:p>
            <w:pPr>
              <w:pStyle w:val="TableParagraph"/>
              <w:spacing w:line="258" w:lineRule="exact"/>
              <w:ind w:left="27"/>
              <w:rPr>
                <w:sz w:val="21"/>
              </w:rPr>
            </w:pPr>
            <w:r>
              <w:rPr>
                <w:sz w:val="21"/>
              </w:rPr>
              <w:t>疯牛病</w:t>
            </w:r>
          </w:p>
        </w:tc>
        <w:tc>
          <w:tcPr>
            <w:tcW w:w="7337" w:type="dxa"/>
          </w:tcPr>
          <w:p>
            <w:pPr>
              <w:pStyle w:val="TableParagraph"/>
              <w:spacing w:line="258" w:lineRule="exact"/>
              <w:ind w:left="410"/>
              <w:rPr>
                <w:sz w:val="21"/>
              </w:rPr>
            </w:pPr>
            <w:r>
              <w:rPr>
                <w:sz w:val="21"/>
              </w:rPr>
              <w:t>一种由动物传染而来的中枢神经系统变性性疾病，大脑呈海绵状改变伴神</w:t>
            </w:r>
          </w:p>
          <w:p>
            <w:pPr>
              <w:pStyle w:val="TableParagraph"/>
              <w:spacing w:line="273" w:lineRule="auto" w:before="37"/>
              <w:ind w:left="410" w:right="203"/>
              <w:rPr>
                <w:b/>
                <w:sz w:val="21"/>
              </w:rPr>
            </w:pPr>
            <w:r>
              <w:rPr>
                <w:spacing w:val="-4"/>
                <w:sz w:val="21"/>
              </w:rPr>
              <w:t>经元缺失和胶质化。临床表现为进行性痴呆、不随意运动及抽搐、行动困</w:t>
            </w:r>
            <w:r>
              <w:rPr>
                <w:spacing w:val="-3"/>
                <w:sz w:val="21"/>
              </w:rPr>
              <w:t>难等等。疯牛病必须由权威医疗机构根据致病蛋白的发现而明确诊断。 </w:t>
            </w:r>
            <w:r>
              <w:rPr>
                <w:b/>
                <w:spacing w:val="-3"/>
                <w:sz w:val="21"/>
              </w:rPr>
              <w:t>疑似诊断不作为理赔依据。</w:t>
            </w:r>
          </w:p>
        </w:tc>
      </w:tr>
      <w:tr>
        <w:trPr>
          <w:trHeight w:val="1560" w:hRule="atLeast"/>
        </w:trPr>
        <w:tc>
          <w:tcPr>
            <w:tcW w:w="492" w:type="dxa"/>
          </w:tcPr>
          <w:p>
            <w:pPr>
              <w:pStyle w:val="TableParagraph"/>
              <w:spacing w:before="29"/>
              <w:ind w:right="27"/>
              <w:jc w:val="right"/>
              <w:rPr>
                <w:rFonts w:ascii="Times New Roman"/>
                <w:sz w:val="21"/>
              </w:rPr>
            </w:pPr>
            <w:r>
              <w:rPr>
                <w:rFonts w:ascii="Times New Roman"/>
                <w:sz w:val="21"/>
              </w:rPr>
              <w:t>54.</w:t>
            </w:r>
          </w:p>
        </w:tc>
        <w:tc>
          <w:tcPr>
            <w:tcW w:w="2596" w:type="dxa"/>
          </w:tcPr>
          <w:p>
            <w:pPr>
              <w:pStyle w:val="TableParagraph"/>
              <w:spacing w:line="257" w:lineRule="exact"/>
              <w:ind w:left="27"/>
              <w:rPr>
                <w:sz w:val="21"/>
              </w:rPr>
            </w:pPr>
            <w:r>
              <w:rPr>
                <w:sz w:val="21"/>
              </w:rPr>
              <w:t>慢性复发性胰腺炎</w:t>
            </w:r>
          </w:p>
        </w:tc>
        <w:tc>
          <w:tcPr>
            <w:tcW w:w="7337" w:type="dxa"/>
          </w:tcPr>
          <w:p>
            <w:pPr>
              <w:pStyle w:val="TableParagraph"/>
              <w:spacing w:line="257" w:lineRule="exact"/>
              <w:ind w:left="410"/>
              <w:rPr>
                <w:sz w:val="21"/>
              </w:rPr>
            </w:pPr>
            <w:r>
              <w:rPr>
                <w:sz w:val="21"/>
              </w:rPr>
              <w:t>指有腹痛等典型症状的胰腺炎反复发作，导致胰腺进行性破坏，并导致胰</w:t>
            </w:r>
          </w:p>
          <w:p>
            <w:pPr>
              <w:pStyle w:val="TableParagraph"/>
              <w:spacing w:line="256" w:lineRule="auto" w:before="37"/>
              <w:ind w:left="410" w:right="217"/>
              <w:rPr>
                <w:sz w:val="21"/>
              </w:rPr>
            </w:pPr>
            <w:r>
              <w:rPr>
                <w:spacing w:val="-6"/>
                <w:sz w:val="21"/>
              </w:rPr>
              <w:t>腺功能紊乱而导致严重糖尿病以及营养不良、恶液质。断层扫描（</w:t>
            </w:r>
            <w:r>
              <w:rPr>
                <w:rFonts w:ascii="Times New Roman" w:eastAsia="Times New Roman"/>
                <w:spacing w:val="-6"/>
                <w:sz w:val="21"/>
              </w:rPr>
              <w:t>CT</w:t>
            </w:r>
            <w:r>
              <w:rPr>
                <w:spacing w:val="-6"/>
                <w:sz w:val="21"/>
              </w:rPr>
              <w:t>）</w:t>
            </w:r>
            <w:r>
              <w:rPr>
                <w:spacing w:val="-15"/>
                <w:sz w:val="21"/>
              </w:rPr>
              <w:t>证</w:t>
            </w:r>
            <w:r>
              <w:rPr>
                <w:spacing w:val="-4"/>
                <w:sz w:val="21"/>
              </w:rPr>
              <w:t>实胰腺存在广泛钙化，且必须接受酶替代以及胰岛素替代治疗</w:t>
            </w:r>
            <w:r>
              <w:rPr>
                <w:rFonts w:ascii="Times New Roman" w:eastAsia="Times New Roman"/>
                <w:sz w:val="21"/>
              </w:rPr>
              <w:t>6</w:t>
            </w:r>
            <w:r>
              <w:rPr>
                <w:spacing w:val="-3"/>
                <w:sz w:val="21"/>
              </w:rPr>
              <w:t>个月以上诊断必须由消化科专科医生确诊。</w:t>
            </w:r>
          </w:p>
          <w:p>
            <w:pPr>
              <w:pStyle w:val="TableParagraph"/>
              <w:spacing w:before="22"/>
              <w:ind w:left="410"/>
              <w:rPr>
                <w:b/>
                <w:sz w:val="21"/>
              </w:rPr>
            </w:pPr>
            <w:r>
              <w:rPr>
                <w:b/>
                <w:sz w:val="21"/>
              </w:rPr>
              <w:t>酒精导致的慢性复发性胰腺炎不在保障范围内。</w:t>
            </w:r>
          </w:p>
        </w:tc>
      </w:tr>
      <w:tr>
        <w:trPr>
          <w:trHeight w:val="1560" w:hRule="atLeast"/>
        </w:trPr>
        <w:tc>
          <w:tcPr>
            <w:tcW w:w="492" w:type="dxa"/>
          </w:tcPr>
          <w:p>
            <w:pPr>
              <w:pStyle w:val="TableParagraph"/>
              <w:spacing w:before="29"/>
              <w:ind w:right="27"/>
              <w:jc w:val="right"/>
              <w:rPr>
                <w:rFonts w:ascii="Times New Roman"/>
                <w:sz w:val="21"/>
              </w:rPr>
            </w:pPr>
            <w:r>
              <w:rPr>
                <w:rFonts w:ascii="Times New Roman"/>
                <w:sz w:val="21"/>
              </w:rPr>
              <w:t>55.</w:t>
            </w:r>
          </w:p>
        </w:tc>
        <w:tc>
          <w:tcPr>
            <w:tcW w:w="2596" w:type="dxa"/>
          </w:tcPr>
          <w:p>
            <w:pPr>
              <w:pStyle w:val="TableParagraph"/>
              <w:spacing w:line="257" w:lineRule="exact"/>
              <w:ind w:left="27"/>
              <w:rPr>
                <w:sz w:val="21"/>
              </w:rPr>
            </w:pPr>
            <w:r>
              <w:rPr>
                <w:sz w:val="21"/>
              </w:rPr>
              <w:t>终末期疾病</w:t>
            </w:r>
          </w:p>
        </w:tc>
        <w:tc>
          <w:tcPr>
            <w:tcW w:w="7337" w:type="dxa"/>
          </w:tcPr>
          <w:p>
            <w:pPr>
              <w:pStyle w:val="TableParagraph"/>
              <w:spacing w:line="257" w:lineRule="exact"/>
              <w:ind w:left="410"/>
              <w:rPr>
                <w:sz w:val="21"/>
              </w:rPr>
            </w:pPr>
            <w:r>
              <w:rPr>
                <w:sz w:val="21"/>
              </w:rPr>
              <w:t>指被保险人被确诊为疾病的终末期状态，疾病已经无法以现有的医疗技术</w:t>
            </w:r>
          </w:p>
          <w:p>
            <w:pPr>
              <w:pStyle w:val="TableParagraph"/>
              <w:spacing w:line="273" w:lineRule="auto" w:before="37"/>
              <w:ind w:left="410" w:right="198"/>
              <w:jc w:val="both"/>
              <w:rPr>
                <w:sz w:val="21"/>
              </w:rPr>
            </w:pPr>
            <w:r>
              <w:rPr>
                <w:sz w:val="21"/>
              </w:rPr>
              <w:t>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r>
        <w:trPr>
          <w:trHeight w:val="2504" w:hRule="atLeast"/>
        </w:trPr>
        <w:tc>
          <w:tcPr>
            <w:tcW w:w="492" w:type="dxa"/>
          </w:tcPr>
          <w:p>
            <w:pPr>
              <w:pStyle w:val="TableParagraph"/>
              <w:spacing w:before="29"/>
              <w:ind w:right="27"/>
              <w:jc w:val="right"/>
              <w:rPr>
                <w:rFonts w:ascii="Times New Roman"/>
                <w:sz w:val="21"/>
              </w:rPr>
            </w:pPr>
            <w:r>
              <w:rPr>
                <w:rFonts w:ascii="Times New Roman"/>
                <w:sz w:val="21"/>
              </w:rPr>
              <w:t>56.</w:t>
            </w:r>
          </w:p>
        </w:tc>
        <w:tc>
          <w:tcPr>
            <w:tcW w:w="2596" w:type="dxa"/>
          </w:tcPr>
          <w:p>
            <w:pPr>
              <w:pStyle w:val="TableParagraph"/>
              <w:spacing w:line="257" w:lineRule="exact"/>
              <w:ind w:left="27"/>
              <w:rPr>
                <w:sz w:val="21"/>
              </w:rPr>
            </w:pPr>
            <w:r>
              <w:rPr>
                <w:sz w:val="21"/>
              </w:rPr>
              <w:t>肺源性心脏病</w:t>
            </w:r>
          </w:p>
        </w:tc>
        <w:tc>
          <w:tcPr>
            <w:tcW w:w="7337" w:type="dxa"/>
          </w:tcPr>
          <w:p>
            <w:pPr>
              <w:pStyle w:val="TableParagraph"/>
              <w:spacing w:line="257" w:lineRule="exact"/>
              <w:ind w:left="410"/>
              <w:rPr>
                <w:sz w:val="21"/>
              </w:rPr>
            </w:pPr>
            <w:r>
              <w:rPr>
                <w:sz w:val="21"/>
              </w:rPr>
              <w:t>指由于各种胸肺及支气管病变而继发的肺动脉高压，最后导致以右室肥大</w:t>
            </w:r>
          </w:p>
          <w:p>
            <w:pPr>
              <w:pStyle w:val="TableParagraph"/>
              <w:spacing w:before="37"/>
              <w:ind w:left="410"/>
              <w:rPr>
                <w:sz w:val="21"/>
              </w:rPr>
            </w:pPr>
            <w:r>
              <w:rPr>
                <w:sz w:val="21"/>
              </w:rPr>
              <w:t>为特征的心脏病。须经呼吸专科医生确诊，且必须同时满足如下诊断标准</w:t>
            </w:r>
          </w:p>
          <w:p>
            <w:pPr>
              <w:pStyle w:val="TableParagraph"/>
              <w:spacing w:before="37"/>
              <w:ind w:left="410"/>
              <w:rPr>
                <w:sz w:val="21"/>
              </w:rPr>
            </w:pPr>
            <w:r>
              <w:rPr>
                <w:w w:val="100"/>
                <w:sz w:val="21"/>
              </w:rPr>
              <w:t>（</w:t>
            </w:r>
            <w:r>
              <w:rPr>
                <w:rFonts w:ascii="Times New Roman" w:eastAsia="Times New Roman"/>
                <w:w w:val="100"/>
                <w:sz w:val="21"/>
              </w:rPr>
              <w:t>1</w:t>
            </w:r>
            <w:r>
              <w:rPr>
                <w:spacing w:val="-3"/>
                <w:w w:val="100"/>
                <w:sz w:val="21"/>
              </w:rPr>
              <w:t>）左心房压力增高（</w:t>
            </w:r>
            <w:r>
              <w:rPr>
                <w:spacing w:val="-2"/>
                <w:w w:val="100"/>
                <w:sz w:val="21"/>
              </w:rPr>
              <w:t>不低于</w:t>
            </w:r>
            <w:r>
              <w:rPr>
                <w:spacing w:val="-53"/>
                <w:sz w:val="21"/>
              </w:rPr>
              <w:t> </w:t>
            </w:r>
            <w:r>
              <w:rPr>
                <w:rFonts w:ascii="Times New Roman" w:eastAsia="Times New Roman"/>
                <w:spacing w:val="-3"/>
                <w:w w:val="100"/>
                <w:sz w:val="21"/>
              </w:rPr>
              <w:t>2</w:t>
            </w:r>
            <w:r>
              <w:rPr>
                <w:rFonts w:ascii="Times New Roman" w:eastAsia="Times New Roman"/>
                <w:w w:val="100"/>
                <w:sz w:val="21"/>
              </w:rPr>
              <w:t>0</w:t>
            </w:r>
            <w:r>
              <w:rPr>
                <w:rFonts w:ascii="Times New Roman" w:eastAsia="Times New Roman"/>
                <w:sz w:val="21"/>
              </w:rPr>
              <w:t> </w:t>
            </w:r>
            <w:r>
              <w:rPr>
                <w:spacing w:val="-2"/>
                <w:w w:val="100"/>
                <w:sz w:val="21"/>
              </w:rPr>
              <w:t>个单位</w:t>
            </w:r>
            <w:r>
              <w:rPr>
                <w:spacing w:val="-108"/>
                <w:w w:val="100"/>
                <w:sz w:val="21"/>
              </w:rPr>
              <w:t>）</w:t>
            </w:r>
            <w:r>
              <w:rPr>
                <w:w w:val="100"/>
                <w:sz w:val="21"/>
              </w:rPr>
              <w:t>；</w:t>
            </w:r>
          </w:p>
          <w:p>
            <w:pPr>
              <w:pStyle w:val="TableParagraph"/>
              <w:spacing w:before="21"/>
              <w:ind w:left="410"/>
              <w:rPr>
                <w:sz w:val="21"/>
              </w:rPr>
            </w:pPr>
            <w:r>
              <w:rPr>
                <w:w w:val="100"/>
                <w:sz w:val="21"/>
              </w:rPr>
              <w:t>（</w:t>
            </w:r>
            <w:r>
              <w:rPr>
                <w:rFonts w:ascii="Times New Roman" w:eastAsia="Times New Roman"/>
                <w:w w:val="100"/>
                <w:sz w:val="21"/>
              </w:rPr>
              <w:t>2</w:t>
            </w:r>
            <w:r>
              <w:rPr>
                <w:spacing w:val="-3"/>
                <w:w w:val="100"/>
                <w:sz w:val="21"/>
              </w:rPr>
              <w:t>）肺血管阻力高于正常值</w:t>
            </w:r>
            <w:r>
              <w:rPr>
                <w:spacing w:val="-53"/>
                <w:sz w:val="21"/>
              </w:rPr>
              <w:t> </w:t>
            </w:r>
            <w:r>
              <w:rPr>
                <w:rFonts w:ascii="Times New Roman" w:eastAsia="Times New Roman"/>
                <w:w w:val="100"/>
                <w:sz w:val="21"/>
              </w:rPr>
              <w:t>3</w:t>
            </w:r>
            <w:r>
              <w:rPr>
                <w:rFonts w:ascii="Times New Roman" w:eastAsia="Times New Roman"/>
                <w:sz w:val="21"/>
              </w:rPr>
              <w:t> </w:t>
            </w:r>
            <w:r>
              <w:rPr>
                <w:spacing w:val="-3"/>
                <w:w w:val="100"/>
                <w:sz w:val="21"/>
              </w:rPr>
              <w:t>个单位</w:t>
            </w:r>
            <w:r>
              <w:rPr>
                <w:spacing w:val="-2"/>
                <w:w w:val="100"/>
                <w:sz w:val="21"/>
              </w:rPr>
              <w:t>（</w:t>
            </w:r>
            <w:r>
              <w:rPr>
                <w:rFonts w:ascii="Times New Roman" w:eastAsia="Times New Roman"/>
                <w:w w:val="100"/>
                <w:sz w:val="21"/>
              </w:rPr>
              <w:t>Pu</w:t>
            </w:r>
            <w:r>
              <w:rPr>
                <w:rFonts w:ascii="Times New Roman" w:eastAsia="Times New Roman"/>
                <w:spacing w:val="-1"/>
                <w:w w:val="100"/>
                <w:sz w:val="21"/>
              </w:rPr>
              <w:t>l</w:t>
            </w:r>
            <w:r>
              <w:rPr>
                <w:rFonts w:ascii="Times New Roman" w:eastAsia="Times New Roman"/>
                <w:spacing w:val="-4"/>
                <w:w w:val="100"/>
                <w:sz w:val="21"/>
              </w:rPr>
              <w:t>m</w:t>
            </w:r>
            <w:r>
              <w:rPr>
                <w:rFonts w:ascii="Times New Roman" w:eastAsia="Times New Roman"/>
                <w:w w:val="100"/>
                <w:sz w:val="21"/>
              </w:rPr>
              <w:t>ona</w:t>
            </w:r>
            <w:r>
              <w:rPr>
                <w:rFonts w:ascii="Times New Roman" w:eastAsia="Times New Roman"/>
                <w:spacing w:val="0"/>
                <w:w w:val="100"/>
                <w:sz w:val="21"/>
              </w:rPr>
              <w:t>r</w:t>
            </w:r>
            <w:r>
              <w:rPr>
                <w:rFonts w:ascii="Times New Roman" w:eastAsia="Times New Roman"/>
                <w:w w:val="100"/>
                <w:sz w:val="21"/>
              </w:rPr>
              <w:t>y</w:t>
            </w:r>
            <w:r>
              <w:rPr>
                <w:rFonts w:ascii="Times New Roman" w:eastAsia="Times New Roman"/>
                <w:spacing w:val="-5"/>
                <w:sz w:val="21"/>
              </w:rPr>
              <w:t> </w:t>
            </w:r>
            <w:r>
              <w:rPr>
                <w:rFonts w:ascii="Times New Roman" w:eastAsia="Times New Roman"/>
                <w:w w:val="100"/>
                <w:sz w:val="21"/>
              </w:rPr>
              <w:t>R</w:t>
            </w:r>
            <w:r>
              <w:rPr>
                <w:rFonts w:ascii="Times New Roman" w:eastAsia="Times New Roman"/>
                <w:w w:val="100"/>
                <w:sz w:val="21"/>
              </w:rPr>
              <w:t>e</w:t>
            </w:r>
            <w:r>
              <w:rPr>
                <w:rFonts w:ascii="Times New Roman" w:eastAsia="Times New Roman"/>
                <w:spacing w:val="-1"/>
                <w:w w:val="100"/>
                <w:sz w:val="21"/>
              </w:rPr>
              <w:t>s</w:t>
            </w:r>
            <w:r>
              <w:rPr>
                <w:rFonts w:ascii="Times New Roman" w:eastAsia="Times New Roman"/>
                <w:spacing w:val="-2"/>
                <w:w w:val="100"/>
                <w:sz w:val="21"/>
              </w:rPr>
              <w:t>i</w:t>
            </w:r>
            <w:r>
              <w:rPr>
                <w:rFonts w:ascii="Times New Roman" w:eastAsia="Times New Roman"/>
                <w:w w:val="100"/>
                <w:sz w:val="21"/>
              </w:rPr>
              <w:t>s</w:t>
            </w:r>
            <w:r>
              <w:rPr>
                <w:rFonts w:ascii="Times New Roman" w:eastAsia="Times New Roman"/>
                <w:spacing w:val="-2"/>
                <w:w w:val="100"/>
                <w:sz w:val="21"/>
              </w:rPr>
              <w:t>t</w:t>
            </w:r>
            <w:r>
              <w:rPr>
                <w:rFonts w:ascii="Times New Roman" w:eastAsia="Times New Roman"/>
                <w:w w:val="100"/>
                <w:sz w:val="21"/>
              </w:rPr>
              <w:t>ance</w:t>
            </w:r>
            <w:r>
              <w:rPr>
                <w:spacing w:val="-106"/>
                <w:w w:val="100"/>
                <w:sz w:val="21"/>
              </w:rPr>
              <w:t>）；</w:t>
            </w:r>
          </w:p>
          <w:p>
            <w:pPr>
              <w:pStyle w:val="TableParagraph"/>
              <w:spacing w:before="21"/>
              <w:ind w:left="410"/>
              <w:rPr>
                <w:sz w:val="21"/>
              </w:rPr>
            </w:pPr>
            <w:r>
              <w:rPr>
                <w:sz w:val="21"/>
              </w:rPr>
              <w:t>（</w:t>
            </w:r>
            <w:r>
              <w:rPr>
                <w:rFonts w:ascii="Times New Roman" w:eastAsia="Times New Roman"/>
                <w:sz w:val="21"/>
              </w:rPr>
              <w:t>3</w:t>
            </w:r>
            <w:r>
              <w:rPr>
                <w:sz w:val="21"/>
              </w:rPr>
              <w:t>）肺动脉血压不低于 </w:t>
            </w:r>
            <w:r>
              <w:rPr>
                <w:rFonts w:ascii="Times New Roman" w:eastAsia="Times New Roman"/>
                <w:sz w:val="21"/>
              </w:rPr>
              <w:t>40 </w:t>
            </w:r>
            <w:r>
              <w:rPr>
                <w:sz w:val="21"/>
              </w:rPr>
              <w:t>毫米汞柱；</w:t>
            </w:r>
          </w:p>
          <w:p>
            <w:pPr>
              <w:pStyle w:val="TableParagraph"/>
              <w:spacing w:before="21"/>
              <w:ind w:left="410"/>
              <w:rPr>
                <w:sz w:val="21"/>
              </w:rPr>
            </w:pPr>
            <w:r>
              <w:rPr>
                <w:sz w:val="21"/>
              </w:rPr>
              <w:t>（</w:t>
            </w:r>
            <w:r>
              <w:rPr>
                <w:rFonts w:ascii="Times New Roman" w:eastAsia="Times New Roman"/>
                <w:sz w:val="21"/>
              </w:rPr>
              <w:t>4</w:t>
            </w:r>
            <w:r>
              <w:rPr>
                <w:sz w:val="21"/>
              </w:rPr>
              <w:t>）肺动脉楔压不低于 </w:t>
            </w:r>
            <w:r>
              <w:rPr>
                <w:rFonts w:ascii="Times New Roman" w:eastAsia="Times New Roman"/>
                <w:sz w:val="21"/>
              </w:rPr>
              <w:t>6 </w:t>
            </w:r>
            <w:r>
              <w:rPr>
                <w:sz w:val="21"/>
              </w:rPr>
              <w:t>毫米汞柱；</w:t>
            </w:r>
          </w:p>
          <w:p>
            <w:pPr>
              <w:pStyle w:val="TableParagraph"/>
              <w:spacing w:before="21"/>
              <w:ind w:left="410"/>
              <w:rPr>
                <w:sz w:val="21"/>
              </w:rPr>
            </w:pPr>
            <w:r>
              <w:rPr>
                <w:sz w:val="21"/>
              </w:rPr>
              <w:t>（</w:t>
            </w:r>
            <w:r>
              <w:rPr>
                <w:rFonts w:ascii="Times New Roman" w:eastAsia="Times New Roman"/>
                <w:sz w:val="21"/>
              </w:rPr>
              <w:t>5</w:t>
            </w:r>
            <w:r>
              <w:rPr>
                <w:sz w:val="21"/>
              </w:rPr>
              <w:t>）右心室心脏舒张期末压力不低于 </w:t>
            </w:r>
            <w:r>
              <w:rPr>
                <w:rFonts w:ascii="Times New Roman" w:eastAsia="Times New Roman"/>
                <w:sz w:val="21"/>
              </w:rPr>
              <w:t>8 </w:t>
            </w:r>
            <w:r>
              <w:rPr>
                <w:sz w:val="21"/>
              </w:rPr>
              <w:t>毫米汞柱；</w:t>
            </w:r>
          </w:p>
          <w:p>
            <w:pPr>
              <w:pStyle w:val="TableParagraph"/>
              <w:spacing w:before="21"/>
              <w:ind w:left="410"/>
              <w:rPr>
                <w:sz w:val="21"/>
              </w:rPr>
            </w:pPr>
            <w:r>
              <w:rPr>
                <w:sz w:val="21"/>
              </w:rPr>
              <w:t>（</w:t>
            </w:r>
            <w:r>
              <w:rPr>
                <w:rFonts w:ascii="Times New Roman" w:eastAsia="Times New Roman"/>
                <w:sz w:val="21"/>
              </w:rPr>
              <w:t>6</w:t>
            </w:r>
            <w:r>
              <w:rPr>
                <w:sz w:val="21"/>
              </w:rPr>
              <w:t>）右心室过度肥大、扩张，出现右心衰竭和呼吸困难。</w:t>
            </w:r>
          </w:p>
        </w:tc>
      </w:tr>
      <w:tr>
        <w:trPr>
          <w:trHeight w:val="2488" w:hRule="atLeast"/>
        </w:trPr>
        <w:tc>
          <w:tcPr>
            <w:tcW w:w="492" w:type="dxa"/>
          </w:tcPr>
          <w:p>
            <w:pPr>
              <w:pStyle w:val="TableParagraph"/>
              <w:spacing w:before="21"/>
              <w:ind w:right="27"/>
              <w:jc w:val="right"/>
              <w:rPr>
                <w:rFonts w:ascii="Times New Roman"/>
                <w:sz w:val="21"/>
              </w:rPr>
            </w:pPr>
            <w:r>
              <w:rPr>
                <w:rFonts w:ascii="Times New Roman"/>
                <w:sz w:val="21"/>
              </w:rPr>
              <w:t>57.</w:t>
            </w:r>
          </w:p>
        </w:tc>
        <w:tc>
          <w:tcPr>
            <w:tcW w:w="2596" w:type="dxa"/>
          </w:tcPr>
          <w:p>
            <w:pPr>
              <w:pStyle w:val="TableParagraph"/>
              <w:spacing w:line="250" w:lineRule="exact"/>
              <w:ind w:left="27"/>
              <w:rPr>
                <w:sz w:val="21"/>
              </w:rPr>
            </w:pPr>
            <w:r>
              <w:rPr>
                <w:sz w:val="21"/>
              </w:rPr>
              <w:t>严重肌营养不良症</w:t>
            </w:r>
          </w:p>
        </w:tc>
        <w:tc>
          <w:tcPr>
            <w:tcW w:w="7337" w:type="dxa"/>
          </w:tcPr>
          <w:p>
            <w:pPr>
              <w:pStyle w:val="TableParagraph"/>
              <w:spacing w:line="250" w:lineRule="exact"/>
              <w:ind w:left="410"/>
              <w:rPr>
                <w:sz w:val="21"/>
              </w:rPr>
            </w:pPr>
            <w:r>
              <w:rPr>
                <w:sz w:val="21"/>
              </w:rPr>
              <w:t>指一组原发于肌肉的遗传性疾病，临床表现为与神经系统无关的肌肉无力</w:t>
            </w:r>
          </w:p>
          <w:p>
            <w:pPr>
              <w:pStyle w:val="TableParagraph"/>
              <w:spacing w:before="37"/>
              <w:ind w:left="410"/>
              <w:rPr>
                <w:sz w:val="21"/>
              </w:rPr>
            </w:pPr>
            <w:r>
              <w:rPr>
                <w:sz w:val="21"/>
              </w:rPr>
              <w:t>和肌肉萎缩。且须满足下列全部条件：</w:t>
            </w:r>
          </w:p>
          <w:p>
            <w:pPr>
              <w:pStyle w:val="TableParagraph"/>
              <w:spacing w:line="256" w:lineRule="auto" w:before="37"/>
              <w:ind w:left="410" w:right="204"/>
              <w:rPr>
                <w:sz w:val="21"/>
              </w:rPr>
            </w:pPr>
            <w:r>
              <w:rPr>
                <w:sz w:val="21"/>
              </w:rPr>
              <w:t>（</w:t>
            </w:r>
            <w:r>
              <w:rPr>
                <w:rFonts w:ascii="Times New Roman" w:eastAsia="Times New Roman"/>
                <w:sz w:val="21"/>
              </w:rPr>
              <w:t>1</w:t>
            </w:r>
            <w:r>
              <w:rPr>
                <w:sz w:val="21"/>
              </w:rPr>
              <w:t>）肌肉组织活检结果满足肌营养不良症的肌肉细胞变性、坏死等阳性改变；</w:t>
            </w:r>
          </w:p>
          <w:p>
            <w:pPr>
              <w:pStyle w:val="TableParagraph"/>
              <w:spacing w:line="256" w:lineRule="auto" w:before="22"/>
              <w:ind w:left="410" w:right="204"/>
              <w:rPr>
                <w:sz w:val="21"/>
              </w:rPr>
            </w:pPr>
            <w:r>
              <w:rPr>
                <w:sz w:val="21"/>
              </w:rPr>
              <w:t>（</w:t>
            </w:r>
            <w:r>
              <w:rPr>
                <w:rFonts w:ascii="Times New Roman" w:eastAsia="Times New Roman"/>
                <w:sz w:val="21"/>
              </w:rPr>
              <w:t>2</w:t>
            </w:r>
            <w:r>
              <w:rPr>
                <w:sz w:val="21"/>
              </w:rPr>
              <w:t>）自主生活能力完全丧失，无法独立完成六项基本日常生活活动中的三项或三项以上。</w:t>
            </w:r>
          </w:p>
          <w:p>
            <w:pPr>
              <w:pStyle w:val="TableParagraph"/>
              <w:spacing w:line="273" w:lineRule="auto" w:before="22"/>
              <w:ind w:left="410" w:right="203"/>
              <w:rPr>
                <w:sz w:val="21"/>
              </w:rPr>
            </w:pPr>
            <w:r>
              <w:rPr>
                <w:sz w:val="21"/>
              </w:rPr>
              <w:t>我们承担本项疾病责任不受本合同“责任免除”中“遗传性疾病，先天性畸形、变形或染色体异常”的限制。</w:t>
            </w:r>
          </w:p>
        </w:tc>
      </w:tr>
      <w:tr>
        <w:trPr>
          <w:trHeight w:val="578" w:hRule="atLeast"/>
        </w:trPr>
        <w:tc>
          <w:tcPr>
            <w:tcW w:w="492" w:type="dxa"/>
          </w:tcPr>
          <w:p>
            <w:pPr>
              <w:pStyle w:val="TableParagraph"/>
              <w:spacing w:before="29"/>
              <w:ind w:right="27"/>
              <w:jc w:val="right"/>
              <w:rPr>
                <w:rFonts w:ascii="Times New Roman"/>
                <w:sz w:val="21"/>
              </w:rPr>
            </w:pPr>
            <w:r>
              <w:rPr>
                <w:rFonts w:ascii="Times New Roman"/>
                <w:sz w:val="21"/>
              </w:rPr>
              <w:t>58.</w:t>
            </w:r>
          </w:p>
        </w:tc>
        <w:tc>
          <w:tcPr>
            <w:tcW w:w="2596" w:type="dxa"/>
          </w:tcPr>
          <w:p>
            <w:pPr>
              <w:pStyle w:val="TableParagraph"/>
              <w:spacing w:line="257" w:lineRule="exact"/>
              <w:ind w:left="27"/>
              <w:rPr>
                <w:sz w:val="21"/>
              </w:rPr>
            </w:pPr>
            <w:r>
              <w:rPr>
                <w:sz w:val="21"/>
              </w:rPr>
              <w:t>严重川崎病</w:t>
            </w:r>
          </w:p>
        </w:tc>
        <w:tc>
          <w:tcPr>
            <w:tcW w:w="7337" w:type="dxa"/>
          </w:tcPr>
          <w:p>
            <w:pPr>
              <w:pStyle w:val="TableParagraph"/>
              <w:spacing w:line="257" w:lineRule="exact"/>
              <w:ind w:left="410"/>
              <w:rPr>
                <w:b/>
                <w:sz w:val="21"/>
              </w:rPr>
            </w:pPr>
            <w:r>
              <w:rPr>
                <w:sz w:val="21"/>
              </w:rPr>
              <w:t>为一种病因不明的系统性血管炎。</w:t>
            </w:r>
            <w:r>
              <w:rPr>
                <w:b/>
                <w:sz w:val="21"/>
              </w:rPr>
              <w:t>本合同仅对诊断性检查证实川崎病并发</w:t>
            </w:r>
          </w:p>
          <w:p>
            <w:pPr>
              <w:pStyle w:val="TableParagraph"/>
              <w:spacing w:line="264" w:lineRule="exact" w:before="37"/>
              <w:ind w:left="410"/>
              <w:rPr>
                <w:b/>
                <w:sz w:val="21"/>
              </w:rPr>
            </w:pPr>
            <w:r>
              <w:rPr>
                <w:b/>
                <w:sz w:val="21"/>
              </w:rPr>
              <w:t>动脉瘤或其他心血管异常并且实际接受了手术治疗的情况予以理赔。</w:t>
            </w:r>
          </w:p>
        </w:tc>
      </w:tr>
    </w:tbl>
    <w:p>
      <w:pPr>
        <w:spacing w:after="0" w:line="264" w:lineRule="exact"/>
        <w:rPr>
          <w:sz w:val="21"/>
        </w:rPr>
        <w:sectPr>
          <w:pgSz w:w="11910" w:h="16160"/>
          <w:pgMar w:header="0" w:footer="799" w:top="1440" w:bottom="98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2833"/>
        <w:gridCol w:w="7100"/>
      </w:tblGrid>
      <w:tr>
        <w:trPr>
          <w:trHeight w:val="2458" w:hRule="atLeast"/>
        </w:trPr>
        <w:tc>
          <w:tcPr>
            <w:tcW w:w="492" w:type="dxa"/>
          </w:tcPr>
          <w:p>
            <w:pPr>
              <w:pStyle w:val="TableParagraph"/>
              <w:spacing w:line="234" w:lineRule="exact"/>
              <w:ind w:right="27"/>
              <w:jc w:val="right"/>
              <w:rPr>
                <w:rFonts w:ascii="Times New Roman"/>
                <w:sz w:val="21"/>
              </w:rPr>
            </w:pPr>
            <w:r>
              <w:rPr>
                <w:rFonts w:ascii="Times New Roman"/>
                <w:sz w:val="21"/>
              </w:rPr>
              <w:t>59.</w:t>
            </w:r>
          </w:p>
        </w:tc>
        <w:tc>
          <w:tcPr>
            <w:tcW w:w="2833" w:type="dxa"/>
          </w:tcPr>
          <w:p>
            <w:pPr>
              <w:pStyle w:val="TableParagraph"/>
              <w:spacing w:line="220" w:lineRule="exact"/>
              <w:ind w:left="27"/>
              <w:rPr>
                <w:sz w:val="21"/>
              </w:rPr>
            </w:pPr>
            <w:r>
              <w:rPr>
                <w:sz w:val="21"/>
              </w:rPr>
              <w:t>严重自身免疫性肝炎</w:t>
            </w:r>
          </w:p>
        </w:tc>
        <w:tc>
          <w:tcPr>
            <w:tcW w:w="7100" w:type="dxa"/>
          </w:tcPr>
          <w:p>
            <w:pPr>
              <w:pStyle w:val="TableParagraph"/>
              <w:spacing w:line="220" w:lineRule="exact"/>
              <w:ind w:left="173"/>
              <w:rPr>
                <w:sz w:val="21"/>
              </w:rPr>
            </w:pPr>
            <w:r>
              <w:rPr>
                <w:sz w:val="21"/>
              </w:rPr>
              <w:t>自身免疫性肝炎是一种原因不明的慢性肝脏的坏死性炎性疾病，机体免疫</w:t>
            </w:r>
          </w:p>
          <w:p>
            <w:pPr>
              <w:pStyle w:val="TableParagraph"/>
              <w:spacing w:line="273" w:lineRule="auto" w:before="37"/>
              <w:ind w:left="173" w:right="200"/>
              <w:rPr>
                <w:sz w:val="21"/>
              </w:rPr>
            </w:pPr>
            <w:r>
              <w:rPr>
                <w:sz w:val="21"/>
              </w:rPr>
              <w:t>机制被破坏，产生针对肝脏自身抗原的抗体导致自身免疫反应，从而破坏肝细胞造成肝脏炎症坏死，进而发展为肝硬化。必须满足所有以下条件：</w:t>
            </w:r>
          </w:p>
          <w:p>
            <w:pPr>
              <w:pStyle w:val="TableParagraph"/>
              <w:spacing w:before="7"/>
              <w:ind w:left="173"/>
              <w:rPr>
                <w:sz w:val="21"/>
              </w:rPr>
            </w:pPr>
            <w:r>
              <w:rPr>
                <w:sz w:val="21"/>
              </w:rPr>
              <w:t>（</w:t>
            </w:r>
            <w:r>
              <w:rPr>
                <w:rFonts w:ascii="Times New Roman" w:hAnsi="Times New Roman" w:eastAsia="Times New Roman"/>
                <w:sz w:val="21"/>
              </w:rPr>
              <w:t>1</w:t>
            </w:r>
            <w:r>
              <w:rPr>
                <w:sz w:val="21"/>
              </w:rPr>
              <w:t>）高 </w:t>
            </w:r>
            <w:r>
              <w:rPr>
                <w:rFonts w:ascii="Times New Roman" w:hAnsi="Times New Roman" w:eastAsia="Times New Roman"/>
                <w:sz w:val="21"/>
              </w:rPr>
              <w:t>γ </w:t>
            </w:r>
            <w:r>
              <w:rPr>
                <w:sz w:val="21"/>
              </w:rPr>
              <w:t>球蛋白血症；</w:t>
            </w:r>
          </w:p>
          <w:p>
            <w:pPr>
              <w:pStyle w:val="TableParagraph"/>
              <w:spacing w:line="256" w:lineRule="auto" w:before="21"/>
              <w:ind w:left="173" w:right="204"/>
              <w:rPr>
                <w:sz w:val="21"/>
              </w:rPr>
            </w:pPr>
            <w:r>
              <w:rPr>
                <w:spacing w:val="-9"/>
                <w:sz w:val="21"/>
              </w:rPr>
              <w:t>（</w:t>
            </w:r>
            <w:r>
              <w:rPr>
                <w:rFonts w:ascii="Times New Roman" w:eastAsia="Times New Roman"/>
                <w:spacing w:val="-9"/>
                <w:sz w:val="21"/>
              </w:rPr>
              <w:t>2</w:t>
            </w:r>
            <w:r>
              <w:rPr>
                <w:spacing w:val="-9"/>
                <w:sz w:val="21"/>
              </w:rPr>
              <w:t>）</w:t>
            </w:r>
            <w:r>
              <w:rPr>
                <w:spacing w:val="-6"/>
                <w:sz w:val="21"/>
              </w:rPr>
              <w:t>血液中存在高水平的自身免疫抗体，如 </w:t>
            </w:r>
            <w:r>
              <w:rPr>
                <w:rFonts w:ascii="Times New Roman" w:eastAsia="Times New Roman"/>
                <w:spacing w:val="-9"/>
                <w:sz w:val="21"/>
              </w:rPr>
              <w:t>ANA</w:t>
            </w:r>
            <w:r>
              <w:rPr>
                <w:spacing w:val="-9"/>
                <w:sz w:val="21"/>
              </w:rPr>
              <w:t>（</w:t>
            </w:r>
            <w:r>
              <w:rPr>
                <w:spacing w:val="-1"/>
                <w:sz w:val="21"/>
              </w:rPr>
              <w:t>抗核抗体</w:t>
            </w:r>
            <w:r>
              <w:rPr>
                <w:spacing w:val="-106"/>
                <w:sz w:val="21"/>
              </w:rPr>
              <w:t>）</w:t>
            </w:r>
            <w:r>
              <w:rPr>
                <w:spacing w:val="-29"/>
                <w:sz w:val="21"/>
              </w:rPr>
              <w:t>、</w:t>
            </w:r>
            <w:r>
              <w:rPr>
                <w:rFonts w:ascii="Times New Roman" w:eastAsia="Times New Roman"/>
                <w:spacing w:val="-8"/>
                <w:sz w:val="21"/>
              </w:rPr>
              <w:t>SMA</w:t>
            </w:r>
            <w:r>
              <w:rPr>
                <w:spacing w:val="-8"/>
                <w:sz w:val="21"/>
              </w:rPr>
              <w:t>（</w:t>
            </w:r>
            <w:r>
              <w:rPr>
                <w:sz w:val="21"/>
              </w:rPr>
              <w:t>抗</w:t>
            </w:r>
            <w:r>
              <w:rPr>
                <w:spacing w:val="-2"/>
                <w:sz w:val="21"/>
              </w:rPr>
              <w:t>平滑肌抗体</w:t>
            </w:r>
            <w:r>
              <w:rPr>
                <w:spacing w:val="-106"/>
                <w:sz w:val="21"/>
              </w:rPr>
              <w:t>）</w:t>
            </w:r>
            <w:r>
              <w:rPr>
                <w:spacing w:val="-19"/>
                <w:sz w:val="21"/>
              </w:rPr>
              <w:t>、抗 </w:t>
            </w:r>
            <w:r>
              <w:rPr>
                <w:rFonts w:ascii="Times New Roman" w:eastAsia="Times New Roman"/>
                <w:sz w:val="21"/>
              </w:rPr>
              <w:t>LKM1 </w:t>
            </w:r>
            <w:r>
              <w:rPr>
                <w:spacing w:val="-1"/>
                <w:sz w:val="21"/>
              </w:rPr>
              <w:t>抗体或抗</w:t>
            </w:r>
            <w:r>
              <w:rPr>
                <w:rFonts w:ascii="Times New Roman" w:eastAsia="Times New Roman"/>
                <w:sz w:val="21"/>
              </w:rPr>
              <w:t>-SLA/LP </w:t>
            </w:r>
            <w:r>
              <w:rPr>
                <w:spacing w:val="-2"/>
                <w:sz w:val="21"/>
              </w:rPr>
              <w:t>抗体；</w:t>
            </w:r>
          </w:p>
          <w:p>
            <w:pPr>
              <w:pStyle w:val="TableParagraph"/>
              <w:spacing w:before="5"/>
              <w:ind w:left="173"/>
              <w:rPr>
                <w:sz w:val="21"/>
              </w:rPr>
            </w:pPr>
            <w:r>
              <w:rPr>
                <w:sz w:val="21"/>
              </w:rPr>
              <w:t>（</w:t>
            </w:r>
            <w:r>
              <w:rPr>
                <w:rFonts w:ascii="Times New Roman" w:eastAsia="Times New Roman"/>
                <w:sz w:val="21"/>
              </w:rPr>
              <w:t>3</w:t>
            </w:r>
            <w:r>
              <w:rPr>
                <w:sz w:val="21"/>
              </w:rPr>
              <w:t>）肝脏活检证实免疫性肝炎；</w:t>
            </w:r>
          </w:p>
          <w:p>
            <w:pPr>
              <w:pStyle w:val="TableParagraph"/>
              <w:spacing w:before="21"/>
              <w:ind w:left="173"/>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936" w:hRule="atLeast"/>
        </w:trPr>
        <w:tc>
          <w:tcPr>
            <w:tcW w:w="492" w:type="dxa"/>
          </w:tcPr>
          <w:p>
            <w:pPr>
              <w:pStyle w:val="TableParagraph"/>
              <w:spacing w:before="30"/>
              <w:ind w:right="27"/>
              <w:jc w:val="right"/>
              <w:rPr>
                <w:rFonts w:ascii="Times New Roman"/>
                <w:sz w:val="21"/>
              </w:rPr>
            </w:pPr>
            <w:r>
              <w:rPr>
                <w:rFonts w:ascii="Times New Roman"/>
                <w:sz w:val="21"/>
              </w:rPr>
              <w:t>60.</w:t>
            </w:r>
          </w:p>
        </w:tc>
        <w:tc>
          <w:tcPr>
            <w:tcW w:w="2833" w:type="dxa"/>
          </w:tcPr>
          <w:p>
            <w:pPr>
              <w:pStyle w:val="TableParagraph"/>
              <w:spacing w:line="258" w:lineRule="exact"/>
              <w:ind w:left="27"/>
              <w:rPr>
                <w:sz w:val="21"/>
              </w:rPr>
            </w:pPr>
            <w:r>
              <w:rPr>
                <w:sz w:val="21"/>
              </w:rPr>
              <w:t>严重心肌炎</w:t>
            </w:r>
          </w:p>
        </w:tc>
        <w:tc>
          <w:tcPr>
            <w:tcW w:w="7100" w:type="dxa"/>
          </w:tcPr>
          <w:p>
            <w:pPr>
              <w:pStyle w:val="TableParagraph"/>
              <w:spacing w:line="274" w:lineRule="exact"/>
              <w:ind w:left="173"/>
              <w:rPr>
                <w:sz w:val="21"/>
              </w:rPr>
            </w:pPr>
            <w:r>
              <w:rPr>
                <w:sz w:val="21"/>
              </w:rPr>
              <w:t>心肌的严重感染而导致至少持续 </w:t>
            </w:r>
            <w:r>
              <w:rPr>
                <w:rFonts w:ascii="Times New Roman" w:eastAsia="Times New Roman"/>
                <w:sz w:val="21"/>
              </w:rPr>
              <w:t>6 </w:t>
            </w:r>
            <w:r>
              <w:rPr>
                <w:sz w:val="21"/>
              </w:rPr>
              <w:t>个月的心功能损害。严重的心功能损害</w:t>
            </w:r>
          </w:p>
          <w:p>
            <w:pPr>
              <w:pStyle w:val="TableParagraph"/>
              <w:spacing w:line="256" w:lineRule="auto" w:before="21"/>
              <w:ind w:left="173" w:right="205"/>
              <w:rPr>
                <w:sz w:val="21"/>
              </w:rPr>
            </w:pPr>
            <w:r>
              <w:rPr>
                <w:sz w:val="21"/>
              </w:rPr>
              <w:t>必须具备如下条件：左室腔扩大至少达到正常值上限的 </w:t>
            </w:r>
            <w:r>
              <w:rPr>
                <w:rFonts w:ascii="Times New Roman" w:eastAsia="Times New Roman"/>
                <w:sz w:val="21"/>
              </w:rPr>
              <w:t>120%</w:t>
            </w:r>
            <w:r>
              <w:rPr>
                <w:sz w:val="21"/>
              </w:rPr>
              <w:t>，且左室射血分数持续性低于 </w:t>
            </w:r>
            <w:r>
              <w:rPr>
                <w:rFonts w:ascii="Times New Roman" w:eastAsia="Times New Roman"/>
                <w:sz w:val="21"/>
              </w:rPr>
              <w:t>40%</w:t>
            </w:r>
            <w:r>
              <w:rPr>
                <w:sz w:val="21"/>
              </w:rPr>
              <w:t>。</w:t>
            </w:r>
          </w:p>
        </w:tc>
      </w:tr>
      <w:tr>
        <w:trPr>
          <w:trHeight w:val="624" w:hRule="atLeast"/>
        </w:trPr>
        <w:tc>
          <w:tcPr>
            <w:tcW w:w="492" w:type="dxa"/>
          </w:tcPr>
          <w:p>
            <w:pPr>
              <w:pStyle w:val="TableParagraph"/>
              <w:spacing w:before="30"/>
              <w:ind w:right="27"/>
              <w:jc w:val="right"/>
              <w:rPr>
                <w:rFonts w:ascii="Times New Roman"/>
                <w:sz w:val="21"/>
              </w:rPr>
            </w:pPr>
            <w:r>
              <w:rPr>
                <w:rFonts w:ascii="Times New Roman"/>
                <w:sz w:val="21"/>
              </w:rPr>
              <w:t>61.</w:t>
            </w:r>
          </w:p>
        </w:tc>
        <w:tc>
          <w:tcPr>
            <w:tcW w:w="2833" w:type="dxa"/>
          </w:tcPr>
          <w:p>
            <w:pPr>
              <w:pStyle w:val="TableParagraph"/>
              <w:spacing w:line="258" w:lineRule="exact"/>
              <w:ind w:left="27"/>
              <w:rPr>
                <w:sz w:val="21"/>
              </w:rPr>
            </w:pPr>
            <w:r>
              <w:rPr>
                <w:sz w:val="21"/>
              </w:rPr>
              <w:t>严重面部烧伤</w:t>
            </w:r>
          </w:p>
        </w:tc>
        <w:tc>
          <w:tcPr>
            <w:tcW w:w="7100" w:type="dxa"/>
          </w:tcPr>
          <w:p>
            <w:pPr>
              <w:pStyle w:val="TableParagraph"/>
              <w:spacing w:line="258" w:lineRule="exact"/>
              <w:ind w:left="173"/>
              <w:rPr>
                <w:sz w:val="21"/>
              </w:rPr>
            </w:pPr>
            <w:r>
              <w:rPr>
                <w:sz w:val="21"/>
              </w:rPr>
              <w:t>指面部烧伤程度为Ⅲ度，即全层皮肤烧伤，包括表皮、真皮和皮下组织，</w:t>
            </w:r>
          </w:p>
          <w:p>
            <w:pPr>
              <w:pStyle w:val="TableParagraph"/>
              <w:spacing w:before="37"/>
              <w:ind w:left="173"/>
              <w:rPr>
                <w:sz w:val="21"/>
              </w:rPr>
            </w:pPr>
            <w:r>
              <w:rPr>
                <w:sz w:val="21"/>
              </w:rPr>
              <w:t>且Ⅲ度烧伤的面积达到面部表面积的 </w:t>
            </w:r>
            <w:r>
              <w:rPr>
                <w:rFonts w:ascii="Times New Roman" w:hAnsi="Times New Roman" w:eastAsia="Times New Roman"/>
                <w:sz w:val="21"/>
              </w:rPr>
              <w:t>80%</w:t>
            </w:r>
            <w:r>
              <w:rPr>
                <w:sz w:val="21"/>
              </w:rPr>
              <w:t>或者 </w:t>
            </w:r>
            <w:r>
              <w:rPr>
                <w:rFonts w:ascii="Times New Roman" w:hAnsi="Times New Roman" w:eastAsia="Times New Roman"/>
                <w:sz w:val="21"/>
              </w:rPr>
              <w:t>80%</w:t>
            </w:r>
            <w:r>
              <w:rPr>
                <w:sz w:val="21"/>
              </w:rPr>
              <w:t>以上。</w:t>
            </w:r>
          </w:p>
        </w:tc>
      </w:tr>
      <w:tr>
        <w:trPr>
          <w:trHeight w:val="2800" w:hRule="atLeast"/>
        </w:trPr>
        <w:tc>
          <w:tcPr>
            <w:tcW w:w="492" w:type="dxa"/>
          </w:tcPr>
          <w:p>
            <w:pPr>
              <w:pStyle w:val="TableParagraph"/>
              <w:spacing w:before="30"/>
              <w:ind w:right="27"/>
              <w:jc w:val="right"/>
              <w:rPr>
                <w:rFonts w:ascii="Times New Roman"/>
                <w:sz w:val="21"/>
              </w:rPr>
            </w:pPr>
            <w:r>
              <w:rPr>
                <w:rFonts w:ascii="Times New Roman"/>
                <w:sz w:val="21"/>
              </w:rPr>
              <w:t>62.</w:t>
            </w:r>
          </w:p>
        </w:tc>
        <w:tc>
          <w:tcPr>
            <w:tcW w:w="2833" w:type="dxa"/>
          </w:tcPr>
          <w:p>
            <w:pPr>
              <w:pStyle w:val="TableParagraph"/>
              <w:spacing w:line="274" w:lineRule="exact"/>
              <w:ind w:left="27"/>
              <w:rPr>
                <w:rFonts w:ascii="Times New Roman" w:eastAsia="Times New Roman"/>
                <w:sz w:val="21"/>
              </w:rPr>
            </w:pPr>
            <w:r>
              <w:rPr>
                <w:sz w:val="21"/>
              </w:rPr>
              <w:t>肝豆状核变性（或称 </w:t>
            </w:r>
            <w:r>
              <w:rPr>
                <w:rFonts w:ascii="Times New Roman" w:eastAsia="Times New Roman"/>
                <w:sz w:val="21"/>
              </w:rPr>
              <w:t>Wilson</w:t>
            </w:r>
          </w:p>
          <w:p>
            <w:pPr>
              <w:pStyle w:val="TableParagraph"/>
              <w:spacing w:before="21"/>
              <w:ind w:left="27"/>
              <w:rPr>
                <w:sz w:val="21"/>
              </w:rPr>
            </w:pPr>
            <w:r>
              <w:rPr>
                <w:sz w:val="21"/>
              </w:rPr>
              <w:t>病）</w:t>
            </w:r>
          </w:p>
        </w:tc>
        <w:tc>
          <w:tcPr>
            <w:tcW w:w="7100" w:type="dxa"/>
          </w:tcPr>
          <w:p>
            <w:pPr>
              <w:pStyle w:val="TableParagraph"/>
              <w:spacing w:line="258" w:lineRule="exact"/>
              <w:ind w:left="173"/>
              <w:rPr>
                <w:sz w:val="21"/>
              </w:rPr>
            </w:pPr>
            <w:r>
              <w:rPr>
                <w:sz w:val="21"/>
              </w:rPr>
              <w:t>指一种常染色体隐性遗传的铜代谢缺陷病，以不同程度的肝细胞损害、脑</w:t>
            </w:r>
          </w:p>
          <w:p>
            <w:pPr>
              <w:pStyle w:val="TableParagraph"/>
              <w:spacing w:line="273" w:lineRule="auto" w:before="37"/>
              <w:ind w:left="173" w:right="203"/>
              <w:rPr>
                <w:sz w:val="21"/>
              </w:rPr>
            </w:pPr>
            <w:r>
              <w:rPr>
                <w:sz w:val="21"/>
              </w:rPr>
              <w:t>退行性病变和角膜边缘有铜盐沉着环为其临床特征，并须满足下列全部条件：</w:t>
            </w:r>
          </w:p>
          <w:p>
            <w:pPr>
              <w:pStyle w:val="TableParagraph"/>
              <w:spacing w:before="7"/>
              <w:ind w:left="173"/>
              <w:rPr>
                <w:sz w:val="21"/>
              </w:rPr>
            </w:pPr>
            <w:r>
              <w:rPr>
                <w:sz w:val="21"/>
              </w:rPr>
              <w:t>（</w:t>
            </w:r>
            <w:r>
              <w:rPr>
                <w:rFonts w:ascii="Times New Roman" w:eastAsia="Times New Roman"/>
                <w:sz w:val="21"/>
              </w:rPr>
              <w:t>1</w:t>
            </w:r>
            <w:r>
              <w:rPr>
                <w:sz w:val="21"/>
              </w:rPr>
              <w:t>）典型症状；</w:t>
            </w:r>
          </w:p>
          <w:p>
            <w:pPr>
              <w:pStyle w:val="TableParagraph"/>
              <w:spacing w:before="20"/>
              <w:ind w:left="173"/>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before="20"/>
              <w:ind w:left="173"/>
              <w:rPr>
                <w:sz w:val="21"/>
              </w:rPr>
            </w:pPr>
            <w:r>
              <w:rPr>
                <w:sz w:val="21"/>
              </w:rPr>
              <w:t>（</w:t>
            </w:r>
            <w:r>
              <w:rPr>
                <w:rFonts w:ascii="Times New Roman" w:eastAsia="Times New Roman"/>
                <w:sz w:val="21"/>
              </w:rPr>
              <w:t>3</w:t>
            </w:r>
            <w:r>
              <w:rPr>
                <w:sz w:val="21"/>
              </w:rPr>
              <w:t>）血清铜和血清铜蓝蛋白降低，尿铜增加；</w:t>
            </w:r>
          </w:p>
          <w:p>
            <w:pPr>
              <w:pStyle w:val="TableParagraph"/>
              <w:spacing w:before="20"/>
              <w:ind w:left="173"/>
              <w:rPr>
                <w:sz w:val="21"/>
              </w:rPr>
            </w:pPr>
            <w:r>
              <w:rPr>
                <w:sz w:val="21"/>
              </w:rPr>
              <w:t>（</w:t>
            </w:r>
            <w:r>
              <w:rPr>
                <w:rFonts w:ascii="Times New Roman" w:eastAsia="Times New Roman"/>
                <w:sz w:val="21"/>
              </w:rPr>
              <w:t>4</w:t>
            </w:r>
            <w:r>
              <w:rPr>
                <w:sz w:val="21"/>
              </w:rPr>
              <w:t>）经皮做肝脏活检来定量分析肝脏铜的含量。</w:t>
            </w:r>
          </w:p>
          <w:p>
            <w:pPr>
              <w:pStyle w:val="TableParagraph"/>
              <w:spacing w:line="312" w:lineRule="exact" w:before="16"/>
              <w:ind w:left="173" w:right="203"/>
              <w:rPr>
                <w:sz w:val="21"/>
              </w:rPr>
            </w:pPr>
            <w:r>
              <w:rPr>
                <w:sz w:val="21"/>
              </w:rPr>
              <w:t>我们承担本项疾病责任不受本合同“责任免除”中“遗传性疾病，先天性畸形、变形或染色体异常”的限制。</w:t>
            </w:r>
          </w:p>
        </w:tc>
      </w:tr>
      <w:tr>
        <w:trPr>
          <w:trHeight w:val="936" w:hRule="atLeast"/>
        </w:trPr>
        <w:tc>
          <w:tcPr>
            <w:tcW w:w="492" w:type="dxa"/>
          </w:tcPr>
          <w:p>
            <w:pPr>
              <w:pStyle w:val="TableParagraph"/>
              <w:spacing w:before="38"/>
              <w:ind w:right="27"/>
              <w:jc w:val="right"/>
              <w:rPr>
                <w:rFonts w:ascii="Times New Roman"/>
                <w:sz w:val="21"/>
              </w:rPr>
            </w:pPr>
            <w:r>
              <w:rPr>
                <w:rFonts w:ascii="Times New Roman"/>
                <w:sz w:val="21"/>
              </w:rPr>
              <w:t>63.</w:t>
            </w:r>
          </w:p>
        </w:tc>
        <w:tc>
          <w:tcPr>
            <w:tcW w:w="2833" w:type="dxa"/>
          </w:tcPr>
          <w:p>
            <w:pPr>
              <w:pStyle w:val="TableParagraph"/>
              <w:spacing w:line="266" w:lineRule="exact"/>
              <w:ind w:left="27"/>
              <w:rPr>
                <w:sz w:val="21"/>
              </w:rPr>
            </w:pPr>
            <w:r>
              <w:rPr>
                <w:sz w:val="21"/>
              </w:rPr>
              <w:t>溶血性链球菌引起的坏疽</w:t>
            </w:r>
          </w:p>
        </w:tc>
        <w:tc>
          <w:tcPr>
            <w:tcW w:w="7100" w:type="dxa"/>
          </w:tcPr>
          <w:p>
            <w:pPr>
              <w:pStyle w:val="TableParagraph"/>
              <w:spacing w:line="266" w:lineRule="exact"/>
              <w:ind w:left="173"/>
              <w:rPr>
                <w:sz w:val="21"/>
              </w:rPr>
            </w:pPr>
            <w:r>
              <w:rPr>
                <w:sz w:val="21"/>
              </w:rPr>
              <w:t>躯干或肢体的浅筋膜或涉及肌肉的深筋膜感染，呈暴发性进展，必须即刻</w:t>
            </w:r>
          </w:p>
          <w:p>
            <w:pPr>
              <w:pStyle w:val="TableParagraph"/>
              <w:spacing w:line="310" w:lineRule="atLeast" w:before="2"/>
              <w:ind w:left="173" w:right="203"/>
              <w:rPr>
                <w:sz w:val="21"/>
              </w:rPr>
            </w:pPr>
            <w:r>
              <w:rPr>
                <w:sz w:val="21"/>
              </w:rPr>
              <w:t>手术清创。须在外科手术后进行组织培养证实溶血性链球菌坏疽并由专科医生确诊。</w:t>
            </w:r>
          </w:p>
        </w:tc>
      </w:tr>
      <w:tr>
        <w:trPr>
          <w:trHeight w:val="943" w:hRule="atLeast"/>
        </w:trPr>
        <w:tc>
          <w:tcPr>
            <w:tcW w:w="492" w:type="dxa"/>
          </w:tcPr>
          <w:p>
            <w:pPr>
              <w:pStyle w:val="TableParagraph"/>
              <w:spacing w:before="38"/>
              <w:ind w:right="27"/>
              <w:jc w:val="right"/>
              <w:rPr>
                <w:rFonts w:ascii="Times New Roman"/>
                <w:sz w:val="21"/>
              </w:rPr>
            </w:pPr>
            <w:r>
              <w:rPr>
                <w:rFonts w:ascii="Times New Roman"/>
                <w:sz w:val="21"/>
              </w:rPr>
              <w:t>64.</w:t>
            </w:r>
          </w:p>
        </w:tc>
        <w:tc>
          <w:tcPr>
            <w:tcW w:w="2833" w:type="dxa"/>
          </w:tcPr>
          <w:p>
            <w:pPr>
              <w:pStyle w:val="TableParagraph"/>
              <w:spacing w:line="266" w:lineRule="exact"/>
              <w:ind w:left="27"/>
              <w:rPr>
                <w:sz w:val="21"/>
              </w:rPr>
            </w:pPr>
            <w:r>
              <w:rPr>
                <w:sz w:val="21"/>
              </w:rPr>
              <w:t>严重肠道疾病并发症</w:t>
            </w:r>
          </w:p>
        </w:tc>
        <w:tc>
          <w:tcPr>
            <w:tcW w:w="7100" w:type="dxa"/>
          </w:tcPr>
          <w:p>
            <w:pPr>
              <w:pStyle w:val="TableParagraph"/>
              <w:spacing w:line="266" w:lineRule="exact"/>
              <w:ind w:left="173"/>
              <w:rPr>
                <w:sz w:val="21"/>
              </w:rPr>
            </w:pPr>
            <w:r>
              <w:rPr>
                <w:sz w:val="21"/>
              </w:rPr>
              <w:t>严重肠道疾病或外伤导致小肠损害并发症，满足以下所有条件：</w:t>
            </w:r>
          </w:p>
          <w:p>
            <w:pPr>
              <w:pStyle w:val="TableParagraph"/>
              <w:spacing w:before="37"/>
              <w:ind w:left="173"/>
              <w:rPr>
                <w:sz w:val="21"/>
              </w:rPr>
            </w:pPr>
            <w:r>
              <w:rPr>
                <w:sz w:val="21"/>
              </w:rPr>
              <w:t>（</w:t>
            </w:r>
            <w:r>
              <w:rPr>
                <w:rFonts w:ascii="Times New Roman" w:eastAsia="Times New Roman"/>
                <w:sz w:val="21"/>
              </w:rPr>
              <w:t>1</w:t>
            </w:r>
            <w:r>
              <w:rPr>
                <w:sz w:val="21"/>
              </w:rPr>
              <w:t>）至少切除了三分之二小肠；</w:t>
            </w:r>
          </w:p>
          <w:p>
            <w:pPr>
              <w:pStyle w:val="TableParagraph"/>
              <w:spacing w:before="21"/>
              <w:ind w:left="173"/>
              <w:rPr>
                <w:sz w:val="21"/>
              </w:rPr>
            </w:pPr>
            <w:r>
              <w:rPr>
                <w:sz w:val="21"/>
              </w:rPr>
              <w:t>（</w:t>
            </w:r>
            <w:r>
              <w:rPr>
                <w:rFonts w:ascii="Times New Roman" w:eastAsia="Times New Roman"/>
                <w:sz w:val="21"/>
              </w:rPr>
              <w:t>2</w:t>
            </w:r>
            <w:r>
              <w:rPr>
                <w:sz w:val="21"/>
              </w:rPr>
              <w:t>）完全肠外营养支持三个月以上。</w:t>
            </w:r>
          </w:p>
        </w:tc>
      </w:tr>
      <w:tr>
        <w:trPr>
          <w:trHeight w:val="2496" w:hRule="atLeast"/>
        </w:trPr>
        <w:tc>
          <w:tcPr>
            <w:tcW w:w="492" w:type="dxa"/>
          </w:tcPr>
          <w:p>
            <w:pPr>
              <w:pStyle w:val="TableParagraph"/>
              <w:spacing w:before="30"/>
              <w:ind w:right="27"/>
              <w:jc w:val="right"/>
              <w:rPr>
                <w:rFonts w:ascii="Times New Roman"/>
                <w:sz w:val="21"/>
              </w:rPr>
            </w:pPr>
            <w:r>
              <w:rPr>
                <w:rFonts w:ascii="Times New Roman"/>
                <w:sz w:val="21"/>
              </w:rPr>
              <w:t>65.</w:t>
            </w:r>
          </w:p>
        </w:tc>
        <w:tc>
          <w:tcPr>
            <w:tcW w:w="2833" w:type="dxa"/>
          </w:tcPr>
          <w:p>
            <w:pPr>
              <w:pStyle w:val="TableParagraph"/>
              <w:spacing w:line="274" w:lineRule="exact"/>
              <w:ind w:left="27"/>
              <w:rPr>
                <w:sz w:val="21"/>
              </w:rPr>
            </w:pPr>
            <w:r>
              <w:rPr>
                <w:spacing w:val="-3"/>
                <w:sz w:val="21"/>
              </w:rPr>
              <w:t>严重瑞氏综合征</w:t>
            </w:r>
            <w:r>
              <w:rPr>
                <w:sz w:val="21"/>
              </w:rPr>
              <w:t>（</w:t>
            </w:r>
            <w:r>
              <w:rPr>
                <w:rFonts w:ascii="Times New Roman" w:eastAsia="Times New Roman"/>
                <w:sz w:val="21"/>
              </w:rPr>
              <w:t>Reye</w:t>
            </w:r>
            <w:r>
              <w:rPr>
                <w:rFonts w:ascii="Times New Roman" w:eastAsia="Times New Roman"/>
                <w:spacing w:val="51"/>
                <w:sz w:val="21"/>
              </w:rPr>
              <w:t> </w:t>
            </w:r>
            <w:r>
              <w:rPr>
                <w:sz w:val="21"/>
              </w:rPr>
              <w:t>综合</w:t>
            </w:r>
          </w:p>
          <w:p>
            <w:pPr>
              <w:pStyle w:val="TableParagraph"/>
              <w:spacing w:line="273" w:lineRule="auto" w:before="21"/>
              <w:ind w:left="27" w:right="172"/>
              <w:rPr>
                <w:sz w:val="21"/>
              </w:rPr>
            </w:pPr>
            <w:r>
              <w:rPr>
                <w:spacing w:val="-12"/>
                <w:sz w:val="21"/>
              </w:rPr>
              <w:t>征，也称赖氏综合征、雷氏综合征）</w:t>
            </w:r>
          </w:p>
        </w:tc>
        <w:tc>
          <w:tcPr>
            <w:tcW w:w="7100" w:type="dxa"/>
          </w:tcPr>
          <w:p>
            <w:pPr>
              <w:pStyle w:val="TableParagraph"/>
              <w:spacing w:line="258" w:lineRule="exact"/>
              <w:ind w:left="173"/>
              <w:rPr>
                <w:sz w:val="21"/>
              </w:rPr>
            </w:pPr>
            <w:r>
              <w:rPr>
                <w:sz w:val="21"/>
              </w:rPr>
              <w:t>瑞氏综合征是线粒体功能障碍性疾病。导致脂肪代谢障碍，引起短链脂肪</w:t>
            </w:r>
          </w:p>
          <w:p>
            <w:pPr>
              <w:pStyle w:val="TableParagraph"/>
              <w:spacing w:line="273" w:lineRule="auto" w:before="37"/>
              <w:ind w:left="173" w:right="205"/>
              <w:rPr>
                <w:sz w:val="21"/>
              </w:rPr>
            </w:pPr>
            <w:r>
              <w:rPr>
                <w:sz w:val="21"/>
              </w:rPr>
              <w:t>酸、血氨升高，造成脑水肿。主要临床表现为急性发热、反复呕吐、惊厥及意识障碍等等。</w:t>
            </w:r>
          </w:p>
          <w:p>
            <w:pPr>
              <w:pStyle w:val="TableParagraph"/>
              <w:spacing w:line="273" w:lineRule="auto" w:before="7"/>
              <w:ind w:left="173" w:right="203"/>
              <w:rPr>
                <w:sz w:val="21"/>
              </w:rPr>
            </w:pPr>
            <w:r>
              <w:rPr>
                <w:sz w:val="21"/>
              </w:rPr>
              <w:t>肝脏活检是确诊的重要手段。瑞氏综合征需由三级医院的儿科专科医生确诊，并符合下列所有条件：</w:t>
            </w:r>
          </w:p>
          <w:p>
            <w:pPr>
              <w:pStyle w:val="TableParagraph"/>
              <w:spacing w:before="7"/>
              <w:ind w:left="173"/>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before="20"/>
              <w:ind w:left="173"/>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before="20"/>
              <w:ind w:left="173"/>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1551" w:hRule="atLeast"/>
        </w:trPr>
        <w:tc>
          <w:tcPr>
            <w:tcW w:w="492" w:type="dxa"/>
          </w:tcPr>
          <w:p>
            <w:pPr>
              <w:pStyle w:val="TableParagraph"/>
              <w:spacing w:before="30"/>
              <w:ind w:right="25"/>
              <w:jc w:val="right"/>
              <w:rPr>
                <w:rFonts w:ascii="Times New Roman"/>
                <w:sz w:val="21"/>
              </w:rPr>
            </w:pPr>
            <w:r>
              <w:rPr>
                <w:rFonts w:ascii="Times New Roman"/>
                <w:sz w:val="21"/>
              </w:rPr>
              <w:t>66.</w:t>
            </w:r>
          </w:p>
        </w:tc>
        <w:tc>
          <w:tcPr>
            <w:tcW w:w="2833" w:type="dxa"/>
          </w:tcPr>
          <w:p>
            <w:pPr>
              <w:pStyle w:val="TableParagraph"/>
              <w:spacing w:line="274" w:lineRule="exact"/>
              <w:ind w:left="27"/>
              <w:rPr>
                <w:sz w:val="21"/>
              </w:rPr>
            </w:pPr>
            <w:r>
              <w:rPr>
                <w:rFonts w:ascii="Times New Roman" w:eastAsia="Times New Roman"/>
                <w:sz w:val="21"/>
              </w:rPr>
              <w:t>III </w:t>
            </w:r>
            <w:r>
              <w:rPr>
                <w:sz w:val="21"/>
              </w:rPr>
              <w:t>型成骨不全症</w:t>
            </w:r>
          </w:p>
        </w:tc>
        <w:tc>
          <w:tcPr>
            <w:tcW w:w="7100" w:type="dxa"/>
          </w:tcPr>
          <w:p>
            <w:pPr>
              <w:pStyle w:val="TableParagraph"/>
              <w:spacing w:line="258" w:lineRule="exact"/>
              <w:ind w:left="173"/>
              <w:rPr>
                <w:sz w:val="21"/>
              </w:rPr>
            </w:pPr>
            <w:r>
              <w:rPr>
                <w:sz w:val="21"/>
              </w:rPr>
              <w:t>骨生长不全症是一种胶原病，特征为骨易碎，骨质疏松和易骨折。该病有</w:t>
            </w:r>
          </w:p>
          <w:p>
            <w:pPr>
              <w:pStyle w:val="TableParagraph"/>
              <w:spacing w:line="261" w:lineRule="auto" w:before="37"/>
              <w:ind w:left="173" w:right="203"/>
              <w:rPr>
                <w:sz w:val="21"/>
              </w:rPr>
            </w:pPr>
            <w:r>
              <w:rPr>
                <w:rFonts w:ascii="Times New Roman" w:eastAsia="Times New Roman"/>
                <w:sz w:val="21"/>
              </w:rPr>
              <w:t>4 </w:t>
            </w:r>
            <w:r>
              <w:rPr>
                <w:spacing w:val="-7"/>
                <w:sz w:val="21"/>
              </w:rPr>
              <w:t>种类型：</w:t>
            </w:r>
            <w:r>
              <w:rPr>
                <w:rFonts w:ascii="Times New Roman" w:eastAsia="Times New Roman"/>
                <w:spacing w:val="-17"/>
                <w:sz w:val="21"/>
              </w:rPr>
              <w:t>I </w:t>
            </w:r>
            <w:r>
              <w:rPr>
                <w:spacing w:val="-17"/>
                <w:sz w:val="21"/>
              </w:rPr>
              <w:t>型、</w:t>
            </w:r>
            <w:r>
              <w:rPr>
                <w:rFonts w:ascii="Times New Roman" w:eastAsia="Times New Roman"/>
                <w:sz w:val="21"/>
              </w:rPr>
              <w:t>II </w:t>
            </w:r>
            <w:r>
              <w:rPr>
                <w:spacing w:val="-17"/>
                <w:sz w:val="21"/>
              </w:rPr>
              <w:t>型、</w:t>
            </w:r>
            <w:r>
              <w:rPr>
                <w:rFonts w:ascii="Times New Roman" w:eastAsia="Times New Roman"/>
                <w:sz w:val="21"/>
              </w:rPr>
              <w:t>III </w:t>
            </w:r>
            <w:r>
              <w:rPr>
                <w:spacing w:val="-17"/>
                <w:sz w:val="21"/>
              </w:rPr>
              <w:t>型、</w:t>
            </w:r>
            <w:r>
              <w:rPr>
                <w:rFonts w:ascii="Times New Roman" w:eastAsia="Times New Roman"/>
                <w:sz w:val="21"/>
              </w:rPr>
              <w:t>IV </w:t>
            </w:r>
            <w:r>
              <w:rPr>
                <w:spacing w:val="-11"/>
                <w:sz w:val="21"/>
              </w:rPr>
              <w:t>型。本保障范围仅涉及 </w:t>
            </w:r>
            <w:r>
              <w:rPr>
                <w:rFonts w:ascii="Times New Roman" w:eastAsia="Times New Roman"/>
                <w:sz w:val="21"/>
              </w:rPr>
              <w:t>III </w:t>
            </w:r>
            <w:r>
              <w:rPr>
                <w:spacing w:val="-1"/>
                <w:sz w:val="21"/>
              </w:rPr>
              <w:t>型成骨不全症</w:t>
            </w:r>
            <w:r>
              <w:rPr>
                <w:spacing w:val="-4"/>
                <w:sz w:val="21"/>
              </w:rPr>
              <w:t>其主要临床特点有：发展迟缓、多发性骨折、进行性脊柱后侧凸及听力损</w:t>
            </w:r>
            <w:r>
              <w:rPr>
                <w:spacing w:val="-11"/>
                <w:sz w:val="21"/>
              </w:rPr>
              <w:t>害。</w:t>
            </w:r>
            <w:r>
              <w:rPr>
                <w:rFonts w:ascii="Times New Roman" w:eastAsia="Times New Roman"/>
                <w:sz w:val="21"/>
              </w:rPr>
              <w:t>III </w:t>
            </w:r>
            <w:r>
              <w:rPr>
                <w:spacing w:val="-5"/>
                <w:sz w:val="21"/>
              </w:rPr>
              <w:t>型成骨不全的诊断必须根据身体检查，家族史，</w:t>
            </w:r>
            <w:r>
              <w:rPr>
                <w:rFonts w:ascii="Times New Roman" w:eastAsia="Times New Roman"/>
                <w:spacing w:val="-10"/>
                <w:sz w:val="21"/>
              </w:rPr>
              <w:t>X </w:t>
            </w:r>
            <w:r>
              <w:rPr>
                <w:spacing w:val="-3"/>
                <w:sz w:val="21"/>
              </w:rPr>
              <w:t>线检查和皮肤活检报告资料确诊，并经专科医生出具诊断证明。</w:t>
            </w:r>
          </w:p>
        </w:tc>
      </w:tr>
      <w:tr>
        <w:trPr>
          <w:trHeight w:val="594" w:hRule="atLeast"/>
        </w:trPr>
        <w:tc>
          <w:tcPr>
            <w:tcW w:w="492" w:type="dxa"/>
          </w:tcPr>
          <w:p>
            <w:pPr>
              <w:pStyle w:val="TableParagraph"/>
              <w:spacing w:before="38"/>
              <w:ind w:right="27"/>
              <w:jc w:val="right"/>
              <w:rPr>
                <w:rFonts w:ascii="Times New Roman"/>
                <w:sz w:val="21"/>
              </w:rPr>
            </w:pPr>
            <w:r>
              <w:rPr>
                <w:rFonts w:ascii="Times New Roman"/>
                <w:sz w:val="21"/>
              </w:rPr>
              <w:t>67.</w:t>
            </w:r>
          </w:p>
        </w:tc>
        <w:tc>
          <w:tcPr>
            <w:tcW w:w="2833" w:type="dxa"/>
          </w:tcPr>
          <w:p>
            <w:pPr>
              <w:pStyle w:val="TableParagraph"/>
              <w:spacing w:line="266" w:lineRule="exact"/>
              <w:ind w:left="27"/>
              <w:rPr>
                <w:sz w:val="21"/>
              </w:rPr>
            </w:pPr>
            <w:r>
              <w:rPr>
                <w:sz w:val="21"/>
              </w:rPr>
              <w:t>严重传染性心内膜炎</w:t>
            </w:r>
          </w:p>
        </w:tc>
        <w:tc>
          <w:tcPr>
            <w:tcW w:w="7100" w:type="dxa"/>
          </w:tcPr>
          <w:p>
            <w:pPr>
              <w:pStyle w:val="TableParagraph"/>
              <w:spacing w:line="281" w:lineRule="exact"/>
              <w:ind w:left="173"/>
              <w:rPr>
                <w:sz w:val="21"/>
              </w:rPr>
            </w:pPr>
            <w:r>
              <w:rPr>
                <w:sz w:val="21"/>
              </w:rPr>
              <w:t>是指由感染性微生物引致的心脏内膜炎症，并须符合下</w:t>
            </w:r>
            <w:r>
              <w:rPr>
                <w:rFonts w:ascii="Arial" w:eastAsia="Arial"/>
                <w:w w:val="115"/>
                <w:sz w:val="21"/>
              </w:rPr>
              <w:t>列</w:t>
            </w:r>
            <w:r>
              <w:rPr>
                <w:sz w:val="21"/>
              </w:rPr>
              <w:t>所有条件：</w:t>
            </w:r>
          </w:p>
          <w:p>
            <w:pPr>
              <w:pStyle w:val="TableParagraph"/>
              <w:spacing w:line="271" w:lineRule="exact" w:before="22"/>
              <w:ind w:left="173"/>
              <w:rPr>
                <w:sz w:val="21"/>
              </w:rPr>
            </w:pPr>
            <w:r>
              <w:rPr>
                <w:sz w:val="21"/>
              </w:rPr>
              <w:t>（</w:t>
            </w:r>
            <w:r>
              <w:rPr>
                <w:rFonts w:ascii="Times New Roman" w:eastAsia="Times New Roman"/>
                <w:sz w:val="21"/>
              </w:rPr>
              <w:t>1</w:t>
            </w:r>
            <w:r>
              <w:rPr>
                <w:sz w:val="21"/>
              </w:rPr>
              <w:t>）血液培植结果呈阳性反应，证明感染性微生物的存在，导致传染性</w:t>
            </w:r>
          </w:p>
        </w:tc>
      </w:tr>
    </w:tbl>
    <w:p>
      <w:pPr>
        <w:spacing w:after="0" w:line="271" w:lineRule="exact"/>
        <w:rPr>
          <w:sz w:val="21"/>
        </w:rPr>
        <w:sectPr>
          <w:pgSz w:w="11910" w:h="16160"/>
          <w:pgMar w:header="0" w:footer="799" w:top="1420" w:bottom="98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2703"/>
        <w:gridCol w:w="7229"/>
      </w:tblGrid>
      <w:tr>
        <w:trPr>
          <w:trHeight w:val="1817" w:hRule="atLeast"/>
        </w:trPr>
        <w:tc>
          <w:tcPr>
            <w:tcW w:w="492" w:type="dxa"/>
          </w:tcPr>
          <w:p>
            <w:pPr>
              <w:pStyle w:val="TableParagraph"/>
              <w:rPr>
                <w:rFonts w:ascii="Times New Roman"/>
                <w:sz w:val="20"/>
              </w:rPr>
            </w:pPr>
          </w:p>
        </w:tc>
        <w:tc>
          <w:tcPr>
            <w:tcW w:w="2703" w:type="dxa"/>
          </w:tcPr>
          <w:p>
            <w:pPr>
              <w:pStyle w:val="TableParagraph"/>
              <w:rPr>
                <w:rFonts w:ascii="Times New Roman"/>
                <w:sz w:val="20"/>
              </w:rPr>
            </w:pPr>
          </w:p>
        </w:tc>
        <w:tc>
          <w:tcPr>
            <w:tcW w:w="7229" w:type="dxa"/>
          </w:tcPr>
          <w:p>
            <w:pPr>
              <w:pStyle w:val="TableParagraph"/>
              <w:spacing w:line="202" w:lineRule="exact"/>
              <w:ind w:left="303"/>
              <w:rPr>
                <w:sz w:val="21"/>
              </w:rPr>
            </w:pPr>
            <w:r>
              <w:rPr>
                <w:sz w:val="21"/>
              </w:rPr>
              <w:t>心内膜炎；</w:t>
            </w:r>
          </w:p>
          <w:p>
            <w:pPr>
              <w:pStyle w:val="TableParagraph"/>
              <w:spacing w:line="264" w:lineRule="auto" w:before="37"/>
              <w:ind w:left="303" w:right="202"/>
              <w:jc w:val="both"/>
              <w:rPr>
                <w:sz w:val="21"/>
              </w:rPr>
            </w:pPr>
            <w:r>
              <w:rPr>
                <w:sz w:val="21"/>
              </w:rPr>
              <w:t>（</w:t>
            </w:r>
            <w:r>
              <w:rPr>
                <w:rFonts w:ascii="Times New Roman" w:eastAsia="Times New Roman"/>
                <w:sz w:val="21"/>
              </w:rPr>
              <w:t>2</w:t>
            </w:r>
            <w:r>
              <w:rPr>
                <w:sz w:val="21"/>
              </w:rPr>
              <w:t>）出现最少中度之心脏瓣膜功能</w:t>
            </w:r>
            <w:r>
              <w:rPr>
                <w:rFonts w:ascii="Arial" w:eastAsia="Arial"/>
                <w:sz w:val="21"/>
              </w:rPr>
              <w:t>不</w:t>
            </w:r>
            <w:r>
              <w:rPr>
                <w:sz w:val="21"/>
              </w:rPr>
              <w:t>全（</w:t>
            </w:r>
            <w:r>
              <w:rPr>
                <w:spacing w:val="-6"/>
                <w:sz w:val="21"/>
              </w:rPr>
              <w:t>即返流部份达百分之二十或以</w:t>
            </w:r>
            <w:r>
              <w:rPr>
                <w:sz w:val="21"/>
              </w:rPr>
              <w:t>上</w:t>
            </w:r>
            <w:r>
              <w:rPr>
                <w:spacing w:val="-3"/>
                <w:sz w:val="21"/>
              </w:rPr>
              <w:t>）或中度之心脏瓣膜狭窄</w:t>
            </w:r>
            <w:r>
              <w:rPr>
                <w:sz w:val="21"/>
              </w:rPr>
              <w:t>（</w:t>
            </w:r>
            <w:r>
              <w:rPr>
                <w:spacing w:val="-3"/>
                <w:sz w:val="21"/>
              </w:rPr>
              <w:t>即心脏瓣膜面积为正常值的百分之三十或以</w:t>
            </w:r>
            <w:r>
              <w:rPr>
                <w:spacing w:val="-3"/>
                <w:w w:val="100"/>
                <w:sz w:val="21"/>
              </w:rPr>
              <w:t>下</w:t>
            </w:r>
            <w:r>
              <w:rPr>
                <w:spacing w:val="-106"/>
                <w:w w:val="100"/>
                <w:sz w:val="21"/>
              </w:rPr>
              <w:t>）</w:t>
            </w:r>
            <w:r>
              <w:rPr>
                <w:w w:val="100"/>
                <w:sz w:val="21"/>
              </w:rPr>
              <w:t>；</w:t>
            </w:r>
          </w:p>
          <w:p>
            <w:pPr>
              <w:pStyle w:val="TableParagraph"/>
              <w:spacing w:line="256" w:lineRule="auto" w:before="15"/>
              <w:ind w:left="303" w:right="203"/>
              <w:jc w:val="both"/>
              <w:rPr>
                <w:sz w:val="21"/>
              </w:rPr>
            </w:pPr>
            <w:r>
              <w:rPr>
                <w:sz w:val="21"/>
              </w:rPr>
              <w:t>（</w:t>
            </w:r>
            <w:r>
              <w:rPr>
                <w:rFonts w:ascii="Times New Roman" w:eastAsia="Times New Roman"/>
                <w:sz w:val="21"/>
              </w:rPr>
              <w:t>3</w:t>
            </w:r>
            <w:r>
              <w:rPr>
                <w:sz w:val="21"/>
              </w:rPr>
              <w:t>）传染性心内膜炎的诊断及瓣膜受损的严重程度必须由心脏病专科医生出具相关证明。</w:t>
            </w:r>
          </w:p>
        </w:tc>
      </w:tr>
      <w:tr>
        <w:trPr>
          <w:trHeight w:val="2816" w:hRule="atLeast"/>
        </w:trPr>
        <w:tc>
          <w:tcPr>
            <w:tcW w:w="492" w:type="dxa"/>
          </w:tcPr>
          <w:p>
            <w:pPr>
              <w:pStyle w:val="TableParagraph"/>
              <w:spacing w:before="29"/>
              <w:ind w:right="27"/>
              <w:jc w:val="right"/>
              <w:rPr>
                <w:rFonts w:ascii="Times New Roman"/>
                <w:sz w:val="21"/>
              </w:rPr>
            </w:pPr>
            <w:r>
              <w:rPr>
                <w:rFonts w:ascii="Times New Roman"/>
                <w:sz w:val="21"/>
              </w:rPr>
              <w:t>68.</w:t>
            </w:r>
          </w:p>
        </w:tc>
        <w:tc>
          <w:tcPr>
            <w:tcW w:w="2703" w:type="dxa"/>
          </w:tcPr>
          <w:p>
            <w:pPr>
              <w:pStyle w:val="TableParagraph"/>
              <w:spacing w:line="257" w:lineRule="exact"/>
              <w:ind w:left="27"/>
              <w:rPr>
                <w:sz w:val="21"/>
              </w:rPr>
            </w:pPr>
            <w:r>
              <w:rPr>
                <w:sz w:val="21"/>
              </w:rPr>
              <w:t>失去一肢及一眼</w:t>
            </w:r>
          </w:p>
        </w:tc>
        <w:tc>
          <w:tcPr>
            <w:tcW w:w="7229" w:type="dxa"/>
          </w:tcPr>
          <w:p>
            <w:pPr>
              <w:pStyle w:val="TableParagraph"/>
              <w:spacing w:line="257" w:lineRule="exact"/>
              <w:ind w:left="303"/>
              <w:rPr>
                <w:sz w:val="21"/>
              </w:rPr>
            </w:pPr>
            <w:r>
              <w:rPr>
                <w:sz w:val="21"/>
              </w:rPr>
              <w:t>因疾病或意外伤害导致单眼视力丧失及任何一肢自腕关节或踝关节近端</w:t>
            </w:r>
          </w:p>
          <w:p>
            <w:pPr>
              <w:pStyle w:val="TableParagraph"/>
              <w:spacing w:before="37"/>
              <w:ind w:left="303"/>
              <w:rPr>
                <w:sz w:val="21"/>
              </w:rPr>
            </w:pPr>
            <w:r>
              <w:rPr>
                <w:sz w:val="21"/>
              </w:rPr>
              <w:t>（靠近躯干端）以上完全性断离。</w:t>
            </w:r>
          </w:p>
          <w:p>
            <w:pPr>
              <w:pStyle w:val="TableParagraph"/>
              <w:spacing w:line="273" w:lineRule="auto" w:before="37"/>
              <w:ind w:left="303" w:right="202"/>
              <w:rPr>
                <w:sz w:val="21"/>
              </w:rPr>
            </w:pPr>
            <w:r>
              <w:rPr>
                <w:sz w:val="21"/>
              </w:rPr>
              <w:t>单眼视力丧失指单眼视力永久不可逆性丧失，患眼须满足下列至少一项条件：</w:t>
            </w:r>
          </w:p>
          <w:p>
            <w:pPr>
              <w:pStyle w:val="TableParagraph"/>
              <w:spacing w:before="7"/>
              <w:ind w:left="303"/>
              <w:rPr>
                <w:sz w:val="21"/>
              </w:rPr>
            </w:pPr>
            <w:r>
              <w:rPr>
                <w:sz w:val="21"/>
              </w:rPr>
              <w:t>（</w:t>
            </w:r>
            <w:r>
              <w:rPr>
                <w:rFonts w:ascii="Times New Roman" w:eastAsia="Times New Roman"/>
                <w:sz w:val="21"/>
              </w:rPr>
              <w:t>1</w:t>
            </w:r>
            <w:r>
              <w:rPr>
                <w:sz w:val="21"/>
              </w:rPr>
              <w:t>）眼球缺失或摘除；</w:t>
            </w:r>
          </w:p>
          <w:p>
            <w:pPr>
              <w:pStyle w:val="TableParagraph"/>
              <w:spacing w:line="256" w:lineRule="auto" w:before="21"/>
              <w:ind w:left="303" w:right="206"/>
              <w:rPr>
                <w:sz w:val="21"/>
              </w:rPr>
            </w:pPr>
            <w:r>
              <w:rPr>
                <w:sz w:val="21"/>
              </w:rPr>
              <w:t>（</w:t>
            </w:r>
            <w:r>
              <w:rPr>
                <w:rFonts w:ascii="Times New Roman" w:eastAsia="Times New Roman"/>
                <w:sz w:val="21"/>
              </w:rPr>
              <w:t>2</w:t>
            </w:r>
            <w:r>
              <w:rPr>
                <w:sz w:val="21"/>
              </w:rPr>
              <w:t>）</w:t>
            </w:r>
            <w:r>
              <w:rPr>
                <w:spacing w:val="5"/>
                <w:sz w:val="21"/>
              </w:rPr>
              <w:t>矫正视力低于 </w:t>
            </w:r>
            <w:r>
              <w:rPr>
                <w:rFonts w:ascii="Times New Roman" w:eastAsia="Times New Roman"/>
                <w:sz w:val="21"/>
              </w:rPr>
              <w:t>0.02</w:t>
            </w:r>
            <w:r>
              <w:rPr>
                <w:sz w:val="21"/>
              </w:rPr>
              <w:t>（采用国际标准视力表，如果使用其他视力表应</w:t>
            </w:r>
            <w:r>
              <w:rPr>
                <w:spacing w:val="-2"/>
                <w:sz w:val="21"/>
              </w:rPr>
              <w:t>进行换算</w:t>
            </w:r>
            <w:r>
              <w:rPr>
                <w:spacing w:val="-108"/>
                <w:sz w:val="21"/>
              </w:rPr>
              <w:t>）；</w:t>
            </w:r>
          </w:p>
          <w:p>
            <w:pPr>
              <w:pStyle w:val="TableParagraph"/>
              <w:spacing w:before="22"/>
              <w:ind w:left="303"/>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21"/>
              <w:ind w:left="303"/>
              <w:rPr>
                <w:b/>
                <w:sz w:val="21"/>
              </w:rPr>
            </w:pPr>
            <w:r>
              <w:rPr>
                <w:b/>
                <w:sz w:val="21"/>
              </w:rPr>
              <w:t>被保险人在 </w:t>
            </w:r>
            <w:r>
              <w:rPr>
                <w:rFonts w:ascii="Times New Roman" w:eastAsia="Times New Roman"/>
                <w:b/>
                <w:sz w:val="21"/>
              </w:rPr>
              <w:t>3 </w:t>
            </w:r>
            <w:r>
              <w:rPr>
                <w:b/>
                <w:sz w:val="21"/>
              </w:rPr>
              <w:t>周岁之前因疾病导致单眼视力丧失不在保障范围内。</w:t>
            </w:r>
          </w:p>
        </w:tc>
      </w:tr>
      <w:tr>
        <w:trPr>
          <w:trHeight w:val="1567" w:hRule="atLeast"/>
        </w:trPr>
        <w:tc>
          <w:tcPr>
            <w:tcW w:w="492" w:type="dxa"/>
          </w:tcPr>
          <w:p>
            <w:pPr>
              <w:pStyle w:val="TableParagraph"/>
              <w:spacing w:before="21"/>
              <w:ind w:right="27"/>
              <w:jc w:val="right"/>
              <w:rPr>
                <w:rFonts w:ascii="Times New Roman"/>
                <w:sz w:val="21"/>
              </w:rPr>
            </w:pPr>
            <w:r>
              <w:rPr>
                <w:rFonts w:ascii="Times New Roman"/>
                <w:sz w:val="21"/>
              </w:rPr>
              <w:t>69.</w:t>
            </w:r>
          </w:p>
        </w:tc>
        <w:tc>
          <w:tcPr>
            <w:tcW w:w="2703" w:type="dxa"/>
          </w:tcPr>
          <w:p>
            <w:pPr>
              <w:pStyle w:val="TableParagraph"/>
              <w:spacing w:line="249" w:lineRule="exact"/>
              <w:ind w:left="27"/>
              <w:rPr>
                <w:sz w:val="21"/>
              </w:rPr>
            </w:pPr>
            <w:r>
              <w:rPr>
                <w:sz w:val="21"/>
              </w:rPr>
              <w:t>肺淋巴管肌瘤病</w:t>
            </w:r>
          </w:p>
        </w:tc>
        <w:tc>
          <w:tcPr>
            <w:tcW w:w="7229" w:type="dxa"/>
          </w:tcPr>
          <w:p>
            <w:pPr>
              <w:pStyle w:val="TableParagraph"/>
              <w:spacing w:line="249" w:lineRule="exact"/>
              <w:ind w:left="303"/>
              <w:rPr>
                <w:sz w:val="21"/>
              </w:rPr>
            </w:pPr>
            <w:r>
              <w:rPr>
                <w:sz w:val="21"/>
              </w:rPr>
              <w:t>指一种弥漫性肺部疾病，主要病理改变为肺间质、支气管、血管和淋巴管</w:t>
            </w:r>
          </w:p>
          <w:p>
            <w:pPr>
              <w:pStyle w:val="TableParagraph"/>
              <w:spacing w:before="37"/>
              <w:ind w:left="303"/>
              <w:rPr>
                <w:sz w:val="21"/>
              </w:rPr>
            </w:pPr>
            <w:r>
              <w:rPr>
                <w:sz w:val="21"/>
              </w:rPr>
              <w:t>内出现未成熟的平滑肌异常增生，同时需满足下列全部条件：</w:t>
            </w:r>
          </w:p>
          <w:p>
            <w:pPr>
              <w:pStyle w:val="TableParagraph"/>
              <w:spacing w:before="37"/>
              <w:ind w:left="303"/>
              <w:rPr>
                <w:sz w:val="21"/>
              </w:rPr>
            </w:pPr>
            <w:r>
              <w:rPr>
                <w:sz w:val="21"/>
              </w:rPr>
              <w:t>（</w:t>
            </w:r>
            <w:r>
              <w:rPr>
                <w:rFonts w:ascii="Times New Roman" w:eastAsia="Times New Roman"/>
                <w:sz w:val="21"/>
              </w:rPr>
              <w:t>1</w:t>
            </w:r>
            <w:r>
              <w:rPr>
                <w:sz w:val="21"/>
              </w:rPr>
              <w:t>）经组织病理学诊断；</w:t>
            </w:r>
          </w:p>
          <w:p>
            <w:pPr>
              <w:pStyle w:val="TableParagraph"/>
              <w:spacing w:before="21"/>
              <w:ind w:left="303"/>
              <w:rPr>
                <w:sz w:val="21"/>
              </w:rPr>
            </w:pPr>
            <w:r>
              <w:rPr>
                <w:sz w:val="21"/>
              </w:rPr>
              <w:t>（</w:t>
            </w:r>
            <w:r>
              <w:rPr>
                <w:rFonts w:ascii="Times New Roman" w:eastAsia="Times New Roman"/>
                <w:sz w:val="21"/>
              </w:rPr>
              <w:t>2</w:t>
            </w:r>
            <w:r>
              <w:rPr>
                <w:sz w:val="21"/>
              </w:rPr>
              <w:t>）</w:t>
            </w:r>
            <w:r>
              <w:rPr>
                <w:rFonts w:ascii="Times New Roman" w:eastAsia="Times New Roman"/>
                <w:sz w:val="21"/>
              </w:rPr>
              <w:t>CT </w:t>
            </w:r>
            <w:r>
              <w:rPr>
                <w:sz w:val="21"/>
              </w:rPr>
              <w:t>显示双肺弥漫性囊性改变；</w:t>
            </w:r>
          </w:p>
          <w:p>
            <w:pPr>
              <w:pStyle w:val="TableParagraph"/>
              <w:spacing w:before="21"/>
              <w:ind w:left="303"/>
              <w:rPr>
                <w:sz w:val="21"/>
              </w:rPr>
            </w:pPr>
            <w:r>
              <w:rPr>
                <w:sz w:val="21"/>
              </w:rPr>
              <w:t>（</w:t>
            </w:r>
            <w:r>
              <w:rPr>
                <w:rFonts w:ascii="Times New Roman" w:eastAsia="Times New Roman"/>
                <w:sz w:val="21"/>
              </w:rPr>
              <w:t>3</w:t>
            </w:r>
            <w:r>
              <w:rPr>
                <w:sz w:val="21"/>
              </w:rPr>
              <w:t>）血气提示低氧血症，动脉血氧分压（</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r>
            <w:r>
              <w:rPr>
                <w:sz w:val="21"/>
                <w:vertAlign w:val="baseline"/>
              </w:rPr>
              <w:t>）持续</w:t>
            </w:r>
            <w:r>
              <w:rPr>
                <w:rFonts w:ascii="Times New Roman" w:eastAsia="Times New Roman"/>
                <w:sz w:val="21"/>
                <w:vertAlign w:val="baseline"/>
              </w:rPr>
              <w:t>&lt;50mmHg</w:t>
            </w:r>
            <w:r>
              <w:rPr>
                <w:sz w:val="21"/>
                <w:vertAlign w:val="baseline"/>
              </w:rPr>
              <w:t>。</w:t>
            </w:r>
          </w:p>
        </w:tc>
      </w:tr>
      <w:tr>
        <w:trPr>
          <w:trHeight w:val="920" w:hRule="atLeast"/>
        </w:trPr>
        <w:tc>
          <w:tcPr>
            <w:tcW w:w="492" w:type="dxa"/>
          </w:tcPr>
          <w:p>
            <w:pPr>
              <w:pStyle w:val="TableParagraph"/>
              <w:spacing w:before="13"/>
              <w:ind w:right="27"/>
              <w:jc w:val="right"/>
              <w:rPr>
                <w:rFonts w:ascii="Times New Roman"/>
                <w:sz w:val="21"/>
              </w:rPr>
            </w:pPr>
            <w:r>
              <w:rPr>
                <w:rFonts w:ascii="Times New Roman"/>
                <w:sz w:val="21"/>
              </w:rPr>
              <w:t>70.</w:t>
            </w:r>
          </w:p>
        </w:tc>
        <w:tc>
          <w:tcPr>
            <w:tcW w:w="2703" w:type="dxa"/>
          </w:tcPr>
          <w:p>
            <w:pPr>
              <w:pStyle w:val="TableParagraph"/>
              <w:spacing w:line="241" w:lineRule="exact"/>
              <w:ind w:left="27"/>
              <w:rPr>
                <w:sz w:val="21"/>
              </w:rPr>
            </w:pPr>
            <w:r>
              <w:rPr>
                <w:sz w:val="21"/>
              </w:rPr>
              <w:t>肺泡蛋白质沉积症</w:t>
            </w:r>
          </w:p>
        </w:tc>
        <w:tc>
          <w:tcPr>
            <w:tcW w:w="7229" w:type="dxa"/>
          </w:tcPr>
          <w:p>
            <w:pPr>
              <w:pStyle w:val="TableParagraph"/>
              <w:spacing w:line="257" w:lineRule="exact"/>
              <w:ind w:left="303"/>
              <w:rPr>
                <w:sz w:val="21"/>
              </w:rPr>
            </w:pPr>
            <w:r>
              <w:rPr>
                <w:sz w:val="21"/>
              </w:rPr>
              <w:t>指肺泡和细支气管腔内充满不可溶性富磷脂蛋白的疾病，胸部 </w:t>
            </w:r>
            <w:r>
              <w:rPr>
                <w:rFonts w:ascii="Times New Roman" w:eastAsia="Times New Roman"/>
                <w:sz w:val="21"/>
              </w:rPr>
              <w:t>X </w:t>
            </w:r>
            <w:r>
              <w:rPr>
                <w:sz w:val="21"/>
              </w:rPr>
              <w:t>线呈双肺</w:t>
            </w:r>
          </w:p>
          <w:p>
            <w:pPr>
              <w:pStyle w:val="TableParagraph"/>
              <w:spacing w:line="256" w:lineRule="auto" w:before="21"/>
              <w:ind w:left="303" w:right="204"/>
              <w:rPr>
                <w:sz w:val="21"/>
              </w:rPr>
            </w:pPr>
            <w:r>
              <w:rPr>
                <w:sz w:val="21"/>
              </w:rPr>
              <w:t>弥漫性肺部磨玻璃影，病理学检查肺泡内充满有过碘酸雪夫（</w:t>
            </w:r>
            <w:r>
              <w:rPr>
                <w:rFonts w:ascii="Times New Roman" w:eastAsia="Times New Roman"/>
                <w:sz w:val="21"/>
              </w:rPr>
              <w:t>PAS</w:t>
            </w:r>
            <w:r>
              <w:rPr>
                <w:sz w:val="21"/>
              </w:rPr>
              <w:t>）染色阳性的蛋白样物质，并且接受了肺灌洗治疗。</w:t>
            </w:r>
          </w:p>
        </w:tc>
      </w:tr>
      <w:tr>
        <w:trPr>
          <w:trHeight w:val="2807" w:hRule="atLeast"/>
        </w:trPr>
        <w:tc>
          <w:tcPr>
            <w:tcW w:w="492" w:type="dxa"/>
          </w:tcPr>
          <w:p>
            <w:pPr>
              <w:pStyle w:val="TableParagraph"/>
              <w:spacing w:before="29"/>
              <w:ind w:right="27"/>
              <w:jc w:val="right"/>
              <w:rPr>
                <w:rFonts w:ascii="Times New Roman"/>
                <w:sz w:val="21"/>
              </w:rPr>
            </w:pPr>
            <w:r>
              <w:rPr>
                <w:rFonts w:ascii="Times New Roman"/>
                <w:sz w:val="21"/>
              </w:rPr>
              <w:t>71.</w:t>
            </w:r>
          </w:p>
        </w:tc>
        <w:tc>
          <w:tcPr>
            <w:tcW w:w="2703" w:type="dxa"/>
          </w:tcPr>
          <w:p>
            <w:pPr>
              <w:pStyle w:val="TableParagraph"/>
              <w:spacing w:line="257" w:lineRule="exact"/>
              <w:ind w:left="27"/>
              <w:rPr>
                <w:sz w:val="21"/>
              </w:rPr>
            </w:pPr>
            <w:r>
              <w:rPr>
                <w:sz w:val="21"/>
              </w:rPr>
              <w:t>原发性骨髓纤维化</w:t>
            </w:r>
          </w:p>
        </w:tc>
        <w:tc>
          <w:tcPr>
            <w:tcW w:w="7229" w:type="dxa"/>
          </w:tcPr>
          <w:p>
            <w:pPr>
              <w:pStyle w:val="TableParagraph"/>
              <w:spacing w:line="257" w:lineRule="exact"/>
              <w:ind w:left="303"/>
              <w:rPr>
                <w:sz w:val="21"/>
              </w:rPr>
            </w:pPr>
            <w:r>
              <w:rPr>
                <w:sz w:val="21"/>
              </w:rPr>
              <w:t>原发性骨髓纤维化为原因不明的骨髓中成纤维细胞增殖，伴有髓外造血，</w:t>
            </w:r>
          </w:p>
          <w:p>
            <w:pPr>
              <w:pStyle w:val="TableParagraph"/>
              <w:spacing w:line="273" w:lineRule="auto" w:before="37"/>
              <w:ind w:left="303" w:right="197"/>
              <w:jc w:val="both"/>
              <w:rPr>
                <w:sz w:val="21"/>
              </w:rPr>
            </w:pPr>
            <w:r>
              <w:rPr>
                <w:spacing w:val="-5"/>
                <w:sz w:val="21"/>
              </w:rPr>
              <w:t>表现为进行性贫血、脾肿大等症状。本病必须根据骨髓的活组织检查和周</w:t>
            </w:r>
            <w:r>
              <w:rPr>
                <w:spacing w:val="-4"/>
                <w:sz w:val="21"/>
              </w:rPr>
              <w:t>围血象检查由血液科专科医生明确诊断，并至少符合下列条件中的三项， </w:t>
            </w:r>
            <w:r>
              <w:rPr>
                <w:spacing w:val="-7"/>
                <w:sz w:val="21"/>
              </w:rPr>
              <w:t>且符合条件的状态持续 </w:t>
            </w:r>
            <w:r>
              <w:rPr>
                <w:rFonts w:ascii="Times New Roman" w:eastAsia="Times New Roman"/>
                <w:sz w:val="21"/>
              </w:rPr>
              <w:t>180 </w:t>
            </w:r>
            <w:r>
              <w:rPr>
                <w:spacing w:val="-12"/>
                <w:sz w:val="21"/>
              </w:rPr>
              <w:t>天及以上，并已经实际接受了针对此症的治疗</w:t>
            </w:r>
          </w:p>
          <w:p>
            <w:pPr>
              <w:pStyle w:val="TableParagraph"/>
              <w:spacing w:line="279" w:lineRule="exact"/>
              <w:ind w:left="303"/>
              <w:jc w:val="both"/>
              <w:rPr>
                <w:sz w:val="21"/>
              </w:rPr>
            </w:pPr>
            <w:r>
              <w:rPr>
                <w:sz w:val="21"/>
              </w:rPr>
              <w:t>（</w:t>
            </w:r>
            <w:r>
              <w:rPr>
                <w:rFonts w:ascii="Times New Roman" w:eastAsia="Times New Roman"/>
                <w:sz w:val="21"/>
              </w:rPr>
              <w:t>1</w:t>
            </w:r>
            <w:r>
              <w:rPr>
                <w:sz w:val="21"/>
              </w:rPr>
              <w:t>）血红蛋白</w:t>
            </w:r>
            <w:r>
              <w:rPr>
                <w:rFonts w:ascii="Times New Roman" w:eastAsia="Times New Roman"/>
                <w:sz w:val="21"/>
              </w:rPr>
              <w:t>&lt;100g/L</w:t>
            </w:r>
            <w:r>
              <w:rPr>
                <w:sz w:val="21"/>
              </w:rPr>
              <w:t>；</w:t>
            </w:r>
          </w:p>
          <w:p>
            <w:pPr>
              <w:pStyle w:val="TableParagraph"/>
              <w:spacing w:before="21"/>
              <w:ind w:left="303"/>
              <w:jc w:val="both"/>
              <w:rPr>
                <w:sz w:val="21"/>
              </w:rPr>
            </w:pPr>
            <w:r>
              <w:rPr>
                <w:sz w:val="21"/>
              </w:rPr>
              <w:t>（</w:t>
            </w:r>
            <w:r>
              <w:rPr>
                <w:rFonts w:ascii="Times New Roman" w:eastAsia="Times New Roman"/>
                <w:sz w:val="21"/>
              </w:rPr>
              <w:t>2</w:t>
            </w:r>
            <w:r>
              <w:rPr>
                <w:sz w:val="21"/>
              </w:rPr>
              <w:t>）白细胞计数</w:t>
            </w:r>
            <w:r>
              <w:rPr>
                <w:rFonts w:ascii="Times New Roman" w:eastAsia="Times New Roman"/>
                <w:sz w:val="21"/>
              </w:rPr>
              <w:t>&gt;25*10^9/L</w:t>
            </w:r>
            <w:r>
              <w:rPr>
                <w:sz w:val="21"/>
              </w:rPr>
              <w:t>；</w:t>
            </w:r>
          </w:p>
          <w:p>
            <w:pPr>
              <w:pStyle w:val="TableParagraph"/>
              <w:spacing w:before="21"/>
              <w:ind w:left="303"/>
              <w:jc w:val="both"/>
              <w:rPr>
                <w:sz w:val="21"/>
              </w:rPr>
            </w:pPr>
            <w:r>
              <w:rPr>
                <w:sz w:val="21"/>
              </w:rPr>
              <w:t>（</w:t>
            </w:r>
            <w:r>
              <w:rPr>
                <w:rFonts w:ascii="Times New Roman" w:hAnsi="Times New Roman" w:eastAsia="Times New Roman"/>
                <w:sz w:val="21"/>
              </w:rPr>
              <w:t>3</w:t>
            </w:r>
            <w:r>
              <w:rPr>
                <w:sz w:val="21"/>
              </w:rPr>
              <w:t>）外周血原始细胞</w:t>
            </w:r>
            <w:r>
              <w:rPr>
                <w:rFonts w:ascii="Times New Roman" w:hAnsi="Times New Roman" w:eastAsia="Times New Roman"/>
                <w:sz w:val="21"/>
              </w:rPr>
              <w:t>≥1%</w:t>
            </w:r>
            <w:r>
              <w:rPr>
                <w:sz w:val="21"/>
              </w:rPr>
              <w:t>；</w:t>
            </w:r>
          </w:p>
          <w:p>
            <w:pPr>
              <w:pStyle w:val="TableParagraph"/>
              <w:spacing w:before="21"/>
              <w:ind w:left="303"/>
              <w:jc w:val="both"/>
              <w:rPr>
                <w:sz w:val="21"/>
              </w:rPr>
            </w:pPr>
            <w:r>
              <w:rPr>
                <w:sz w:val="21"/>
              </w:rPr>
              <w:t>（</w:t>
            </w:r>
            <w:r>
              <w:rPr>
                <w:rFonts w:ascii="Times New Roman" w:eastAsia="Times New Roman"/>
                <w:sz w:val="21"/>
              </w:rPr>
              <w:t>4</w:t>
            </w:r>
            <w:r>
              <w:rPr>
                <w:sz w:val="21"/>
              </w:rPr>
              <w:t>）血小板计数</w:t>
            </w:r>
            <w:r>
              <w:rPr>
                <w:rFonts w:ascii="Times New Roman" w:eastAsia="Times New Roman"/>
                <w:sz w:val="21"/>
              </w:rPr>
              <w:t>&lt;100*10^9/L</w:t>
            </w:r>
            <w:r>
              <w:rPr>
                <w:sz w:val="21"/>
              </w:rPr>
              <w:t>。</w:t>
            </w:r>
          </w:p>
          <w:p>
            <w:pPr>
              <w:pStyle w:val="TableParagraph"/>
              <w:spacing w:before="21"/>
              <w:ind w:left="303"/>
              <w:jc w:val="both"/>
              <w:rPr>
                <w:b/>
                <w:sz w:val="21"/>
              </w:rPr>
            </w:pPr>
            <w:r>
              <w:rPr>
                <w:b/>
                <w:sz w:val="21"/>
              </w:rPr>
              <w:t>继发性骨髓纤维化不在保障范围内。</w:t>
            </w:r>
          </w:p>
        </w:tc>
      </w:tr>
      <w:tr>
        <w:trPr>
          <w:trHeight w:val="2496" w:hRule="atLeast"/>
        </w:trPr>
        <w:tc>
          <w:tcPr>
            <w:tcW w:w="492" w:type="dxa"/>
          </w:tcPr>
          <w:p>
            <w:pPr>
              <w:pStyle w:val="TableParagraph"/>
              <w:spacing w:before="29"/>
              <w:ind w:right="27"/>
              <w:jc w:val="right"/>
              <w:rPr>
                <w:rFonts w:ascii="Times New Roman"/>
                <w:sz w:val="21"/>
              </w:rPr>
            </w:pPr>
            <w:r>
              <w:rPr>
                <w:rFonts w:ascii="Times New Roman"/>
                <w:sz w:val="21"/>
              </w:rPr>
              <w:t>72.</w:t>
            </w:r>
          </w:p>
        </w:tc>
        <w:tc>
          <w:tcPr>
            <w:tcW w:w="2703" w:type="dxa"/>
          </w:tcPr>
          <w:p>
            <w:pPr>
              <w:pStyle w:val="TableParagraph"/>
              <w:spacing w:line="257" w:lineRule="exact"/>
              <w:ind w:left="27"/>
              <w:rPr>
                <w:sz w:val="21"/>
              </w:rPr>
            </w:pPr>
            <w:r>
              <w:rPr>
                <w:sz w:val="21"/>
              </w:rPr>
              <w:t>严重慢性缩窄型心包炎</w:t>
            </w:r>
          </w:p>
        </w:tc>
        <w:tc>
          <w:tcPr>
            <w:tcW w:w="7229" w:type="dxa"/>
          </w:tcPr>
          <w:p>
            <w:pPr>
              <w:pStyle w:val="TableParagraph"/>
              <w:spacing w:line="257" w:lineRule="exact"/>
              <w:ind w:left="303"/>
              <w:rPr>
                <w:sz w:val="21"/>
              </w:rPr>
            </w:pPr>
            <w:r>
              <w:rPr>
                <w:sz w:val="21"/>
              </w:rPr>
              <w:t>由于慢性心包炎症导致心包脏层和壁层广泛瘢痕粘连、增厚和钙化，心包</w:t>
            </w:r>
          </w:p>
          <w:p>
            <w:pPr>
              <w:pStyle w:val="TableParagraph"/>
              <w:spacing w:line="273" w:lineRule="auto" w:before="37"/>
              <w:ind w:left="303" w:right="202"/>
              <w:jc w:val="both"/>
              <w:rPr>
                <w:sz w:val="21"/>
              </w:rPr>
            </w:pPr>
            <w:r>
              <w:rPr>
                <w:sz w:val="21"/>
              </w:rPr>
              <w:t>腔闭塞，形成一个纤维瘢痕外壳，使心脏和大血管根部受压，阻碍心脏的舒张。被保险人被明确诊断为慢性缩窄性心包炎且必须满足下列全部条件：</w:t>
            </w:r>
          </w:p>
          <w:p>
            <w:pPr>
              <w:pStyle w:val="TableParagraph"/>
              <w:spacing w:before="7"/>
              <w:ind w:left="303"/>
              <w:jc w:val="both"/>
              <w:rPr>
                <w:sz w:val="21"/>
              </w:rPr>
            </w:pPr>
            <w:r>
              <w:rPr>
                <w:sz w:val="21"/>
              </w:rPr>
              <w:t>（</w:t>
            </w:r>
            <w:r>
              <w:rPr>
                <w:rFonts w:ascii="Times New Roman" w:eastAsia="Times New Roman"/>
                <w:sz w:val="21"/>
              </w:rPr>
              <w:t>1</w:t>
            </w:r>
            <w:r>
              <w:rPr>
                <w:sz w:val="21"/>
              </w:rPr>
              <w:t>）心功能衰竭达到美国纽约心脏病学会心功能状态分级 </w:t>
            </w:r>
            <w:r>
              <w:rPr>
                <w:rFonts w:ascii="Times New Roman" w:eastAsia="Times New Roman"/>
                <w:sz w:val="21"/>
              </w:rPr>
              <w:t>IV </w:t>
            </w:r>
            <w:r>
              <w:rPr>
                <w:sz w:val="21"/>
              </w:rPr>
              <w:t>级，并持续</w:t>
            </w:r>
          </w:p>
          <w:p>
            <w:pPr>
              <w:pStyle w:val="TableParagraph"/>
              <w:spacing w:before="21"/>
              <w:ind w:left="303"/>
              <w:jc w:val="both"/>
              <w:rPr>
                <w:sz w:val="21"/>
              </w:rPr>
            </w:pPr>
            <w:r>
              <w:rPr>
                <w:rFonts w:ascii="Times New Roman" w:eastAsia="Times New Roman"/>
                <w:sz w:val="21"/>
              </w:rPr>
              <w:t>180 </w:t>
            </w:r>
            <w:r>
              <w:rPr>
                <w:sz w:val="21"/>
              </w:rPr>
              <w:t>天以上；</w:t>
            </w:r>
          </w:p>
          <w:p>
            <w:pPr>
              <w:pStyle w:val="TableParagraph"/>
              <w:spacing w:before="21"/>
              <w:ind w:left="303"/>
              <w:jc w:val="both"/>
              <w:rPr>
                <w:sz w:val="21"/>
              </w:rPr>
            </w:pPr>
            <w:r>
              <w:rPr>
                <w:sz w:val="21"/>
              </w:rPr>
              <w:t>（</w:t>
            </w:r>
            <w:r>
              <w:rPr>
                <w:rFonts w:ascii="Times New Roman" w:eastAsia="Times New Roman"/>
                <w:sz w:val="21"/>
              </w:rPr>
              <w:t>2</w:t>
            </w:r>
            <w:r>
              <w:rPr>
                <w:sz w:val="21"/>
              </w:rPr>
              <w:t>）已经接受了开胸进行的心包剥脱或心包切除手术。</w:t>
            </w:r>
          </w:p>
          <w:p>
            <w:pPr>
              <w:pStyle w:val="TableParagraph"/>
              <w:spacing w:before="21"/>
              <w:ind w:left="303"/>
              <w:jc w:val="both"/>
              <w:rPr>
                <w:b/>
                <w:sz w:val="21"/>
              </w:rPr>
            </w:pPr>
            <w:r>
              <w:rPr>
                <w:b/>
                <w:sz w:val="21"/>
              </w:rPr>
              <w:t>经胸腔镜、胸壁打孔进行的手术、心包粘连松解手术不在保障范围内。</w:t>
            </w:r>
          </w:p>
        </w:tc>
      </w:tr>
      <w:tr>
        <w:trPr>
          <w:trHeight w:val="906" w:hRule="atLeast"/>
        </w:trPr>
        <w:tc>
          <w:tcPr>
            <w:tcW w:w="492" w:type="dxa"/>
          </w:tcPr>
          <w:p>
            <w:pPr>
              <w:pStyle w:val="TableParagraph"/>
              <w:spacing w:before="29"/>
              <w:ind w:right="27"/>
              <w:jc w:val="right"/>
              <w:rPr>
                <w:rFonts w:ascii="Times New Roman"/>
                <w:sz w:val="21"/>
              </w:rPr>
            </w:pPr>
            <w:r>
              <w:rPr>
                <w:rFonts w:ascii="Times New Roman"/>
                <w:sz w:val="21"/>
              </w:rPr>
              <w:t>73.</w:t>
            </w:r>
          </w:p>
        </w:tc>
        <w:tc>
          <w:tcPr>
            <w:tcW w:w="2703" w:type="dxa"/>
          </w:tcPr>
          <w:p>
            <w:pPr>
              <w:pStyle w:val="TableParagraph"/>
              <w:spacing w:line="273" w:lineRule="exact"/>
              <w:ind w:left="27"/>
              <w:rPr>
                <w:sz w:val="21"/>
              </w:rPr>
            </w:pPr>
            <w:r>
              <w:rPr>
                <w:sz w:val="21"/>
              </w:rPr>
              <w:t>器官移植导致的 </w:t>
            </w:r>
            <w:r>
              <w:rPr>
                <w:rFonts w:ascii="Times New Roman" w:eastAsia="Times New Roman"/>
                <w:sz w:val="21"/>
              </w:rPr>
              <w:t>HIV </w:t>
            </w:r>
            <w:r>
              <w:rPr>
                <w:sz w:val="21"/>
              </w:rPr>
              <w:t>感染</w:t>
            </w:r>
          </w:p>
        </w:tc>
        <w:tc>
          <w:tcPr>
            <w:tcW w:w="7229" w:type="dxa"/>
          </w:tcPr>
          <w:p>
            <w:pPr>
              <w:pStyle w:val="TableParagraph"/>
              <w:spacing w:line="273" w:lineRule="exact"/>
              <w:ind w:left="303"/>
              <w:rPr>
                <w:sz w:val="21"/>
              </w:rPr>
            </w:pPr>
            <w:r>
              <w:rPr>
                <w:spacing w:val="-5"/>
                <w:w w:val="100"/>
                <w:sz w:val="21"/>
              </w:rPr>
              <w:t>指因进行器官移植而感染上人类免疫缺陷病毒</w:t>
            </w:r>
            <w:r>
              <w:rPr>
                <w:spacing w:val="-3"/>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7"/>
                <w:w w:val="100"/>
                <w:sz w:val="21"/>
              </w:rPr>
              <w:t>，且须满足下列全部</w:t>
            </w:r>
          </w:p>
          <w:p>
            <w:pPr>
              <w:pStyle w:val="TableParagraph"/>
              <w:spacing w:before="21"/>
              <w:ind w:left="303"/>
              <w:rPr>
                <w:sz w:val="21"/>
              </w:rPr>
            </w:pPr>
            <w:r>
              <w:rPr>
                <w:sz w:val="21"/>
              </w:rPr>
              <w:t>条件：</w:t>
            </w:r>
          </w:p>
          <w:p>
            <w:pPr>
              <w:pStyle w:val="TableParagraph"/>
              <w:spacing w:line="280" w:lineRule="exact" w:before="37"/>
              <w:ind w:left="303"/>
              <w:rPr>
                <w:sz w:val="21"/>
              </w:rPr>
            </w:pPr>
            <w:r>
              <w:rPr>
                <w:sz w:val="21"/>
              </w:rPr>
              <w:t>（</w:t>
            </w:r>
            <w:r>
              <w:rPr>
                <w:rFonts w:ascii="Times New Roman" w:eastAsia="Times New Roman"/>
                <w:sz w:val="21"/>
              </w:rPr>
              <w:t>1</w:t>
            </w:r>
            <w:r>
              <w:rPr>
                <w:sz w:val="21"/>
              </w:rPr>
              <w:t>）在保障起始日或复效日之后，被保险人因治疗必需而实施器官移植</w:t>
            </w:r>
          </w:p>
        </w:tc>
      </w:tr>
    </w:tbl>
    <w:p>
      <w:pPr>
        <w:spacing w:after="0" w:line="280" w:lineRule="exact"/>
        <w:rPr>
          <w:sz w:val="21"/>
        </w:rPr>
        <w:sectPr>
          <w:pgSz w:w="11910" w:h="16160"/>
          <w:pgMar w:header="0" w:footer="799" w:top="1440" w:bottom="980" w:left="760" w:right="50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2"/>
        <w:gridCol w:w="2621"/>
        <w:gridCol w:w="7309"/>
      </w:tblGrid>
      <w:tr>
        <w:trPr>
          <w:trHeight w:val="2441" w:hRule="atLeast"/>
        </w:trPr>
        <w:tc>
          <w:tcPr>
            <w:tcW w:w="492" w:type="dxa"/>
          </w:tcPr>
          <w:p>
            <w:pPr>
              <w:pStyle w:val="TableParagraph"/>
              <w:rPr>
                <w:rFonts w:ascii="Times New Roman"/>
                <w:sz w:val="20"/>
              </w:rPr>
            </w:pPr>
          </w:p>
        </w:tc>
        <w:tc>
          <w:tcPr>
            <w:tcW w:w="2621" w:type="dxa"/>
          </w:tcPr>
          <w:p>
            <w:pPr>
              <w:pStyle w:val="TableParagraph"/>
              <w:rPr>
                <w:rFonts w:ascii="Times New Roman"/>
                <w:sz w:val="20"/>
              </w:rPr>
            </w:pPr>
          </w:p>
        </w:tc>
        <w:tc>
          <w:tcPr>
            <w:tcW w:w="7309" w:type="dxa"/>
          </w:tcPr>
          <w:p>
            <w:pPr>
              <w:pStyle w:val="TableParagraph"/>
              <w:spacing w:line="202" w:lineRule="exact"/>
              <w:ind w:left="385"/>
              <w:rPr>
                <w:sz w:val="21"/>
              </w:rPr>
            </w:pPr>
            <w:r>
              <w:rPr>
                <w:sz w:val="21"/>
              </w:rPr>
              <w:t>并且因器官移植而感染人类免疫缺陷病毒；</w:t>
            </w:r>
          </w:p>
          <w:p>
            <w:pPr>
              <w:pStyle w:val="TableParagraph"/>
              <w:spacing w:line="256" w:lineRule="auto" w:before="37"/>
              <w:ind w:left="385" w:right="197"/>
              <w:rPr>
                <w:sz w:val="21"/>
              </w:rPr>
            </w:pPr>
            <w:r>
              <w:rPr>
                <w:sz w:val="21"/>
              </w:rPr>
              <w:t>（</w:t>
            </w:r>
            <w:r>
              <w:rPr>
                <w:rFonts w:ascii="Times New Roman" w:eastAsia="Times New Roman"/>
                <w:sz w:val="21"/>
              </w:rPr>
              <w:t>2</w:t>
            </w:r>
            <w:r>
              <w:rPr>
                <w:sz w:val="21"/>
              </w:rPr>
              <w:t>）提供器官移植治疗的器官移植中心或医院出具该项器官移植感染， 属于医疗责任事故的报告，或者法院终审裁定为医疗责任并且不准上诉；</w:t>
            </w:r>
          </w:p>
          <w:p>
            <w:pPr>
              <w:pStyle w:val="TableParagraph"/>
              <w:spacing w:line="256" w:lineRule="auto" w:before="22"/>
              <w:ind w:left="385" w:right="204"/>
              <w:rPr>
                <w:b/>
                <w:sz w:val="21"/>
              </w:rPr>
            </w:pPr>
            <w:r>
              <w:rPr>
                <w:sz w:val="21"/>
              </w:rPr>
              <w:t>（</w:t>
            </w:r>
            <w:r>
              <w:rPr>
                <w:rFonts w:ascii="Times New Roman" w:eastAsia="Times New Roman"/>
                <w:sz w:val="21"/>
              </w:rPr>
              <w:t>3</w:t>
            </w:r>
            <w:r>
              <w:rPr>
                <w:sz w:val="21"/>
              </w:rPr>
              <w:t>）提供器官移植治疗的器官移植中心或医院必须拥有合法经营执照。</w:t>
            </w:r>
            <w:r>
              <w:rPr>
                <w:b/>
                <w:sz w:val="21"/>
              </w:rPr>
              <w:t>任何因其他传播方式（包括：性传播或静脉注射毒品）导致的 </w:t>
            </w:r>
            <w:r>
              <w:rPr>
                <w:rFonts w:ascii="Times New Roman" w:eastAsia="Times New Roman"/>
                <w:b/>
                <w:sz w:val="21"/>
              </w:rPr>
              <w:t>HIV </w:t>
            </w:r>
            <w:r>
              <w:rPr>
                <w:b/>
                <w:sz w:val="21"/>
              </w:rPr>
              <w:t>感染不在保障范围内。</w:t>
            </w:r>
          </w:p>
          <w:p>
            <w:pPr>
              <w:pStyle w:val="TableParagraph"/>
              <w:spacing w:line="273" w:lineRule="auto" w:before="22"/>
              <w:ind w:left="385" w:right="200"/>
              <w:rPr>
                <w:sz w:val="21"/>
              </w:rPr>
            </w:pPr>
            <w:r>
              <w:rPr>
                <w:sz w:val="21"/>
              </w:rPr>
              <w:t>我们承担本项疾病责任不受本合同“责任免除”中“被保险人感染艾滋病病毒或患艾滋病”的限制。</w:t>
            </w:r>
          </w:p>
        </w:tc>
      </w:tr>
      <w:tr>
        <w:trPr>
          <w:trHeight w:val="2184" w:hRule="atLeast"/>
        </w:trPr>
        <w:tc>
          <w:tcPr>
            <w:tcW w:w="492" w:type="dxa"/>
          </w:tcPr>
          <w:p>
            <w:pPr>
              <w:pStyle w:val="TableParagraph"/>
              <w:spacing w:before="29"/>
              <w:ind w:right="27"/>
              <w:jc w:val="right"/>
              <w:rPr>
                <w:rFonts w:ascii="Times New Roman"/>
                <w:sz w:val="21"/>
              </w:rPr>
            </w:pPr>
            <w:r>
              <w:rPr>
                <w:rFonts w:ascii="Times New Roman"/>
                <w:sz w:val="21"/>
              </w:rPr>
              <w:t>74.</w:t>
            </w:r>
          </w:p>
        </w:tc>
        <w:tc>
          <w:tcPr>
            <w:tcW w:w="2621" w:type="dxa"/>
          </w:tcPr>
          <w:p>
            <w:pPr>
              <w:pStyle w:val="TableParagraph"/>
              <w:spacing w:line="257" w:lineRule="exact"/>
              <w:ind w:left="27"/>
              <w:rPr>
                <w:sz w:val="21"/>
              </w:rPr>
            </w:pPr>
            <w:r>
              <w:rPr>
                <w:sz w:val="21"/>
              </w:rPr>
              <w:t>结核性脊髓炎</w:t>
            </w:r>
          </w:p>
        </w:tc>
        <w:tc>
          <w:tcPr>
            <w:tcW w:w="7309" w:type="dxa"/>
          </w:tcPr>
          <w:p>
            <w:pPr>
              <w:pStyle w:val="TableParagraph"/>
              <w:spacing w:line="257" w:lineRule="exact"/>
              <w:ind w:left="385"/>
              <w:rPr>
                <w:sz w:val="21"/>
              </w:rPr>
            </w:pPr>
            <w:r>
              <w:rPr>
                <w:sz w:val="21"/>
              </w:rPr>
              <w:t>因结核杆菌引起的脊髓炎，导致永久性神经系统功能中度障碍，即：疾病</w:t>
            </w:r>
          </w:p>
          <w:p>
            <w:pPr>
              <w:pStyle w:val="TableParagraph"/>
              <w:spacing w:before="37"/>
              <w:ind w:left="385"/>
              <w:rPr>
                <w:sz w:val="21"/>
              </w:rPr>
            </w:pPr>
            <w:r>
              <w:rPr>
                <w:sz w:val="21"/>
              </w:rPr>
              <w:t>首次确诊 </w:t>
            </w:r>
            <w:r>
              <w:rPr>
                <w:rFonts w:ascii="Times New Roman" w:eastAsia="Times New Roman"/>
                <w:sz w:val="21"/>
              </w:rPr>
              <w:t>180 </w:t>
            </w:r>
            <w:r>
              <w:rPr>
                <w:sz w:val="21"/>
              </w:rPr>
              <w:t>天后，仍遗留下列一种或一种以上障碍：</w:t>
            </w:r>
          </w:p>
          <w:p>
            <w:pPr>
              <w:pStyle w:val="TableParagraph"/>
              <w:spacing w:before="21"/>
              <w:ind w:left="385"/>
              <w:rPr>
                <w:sz w:val="21"/>
              </w:rPr>
            </w:pPr>
            <w:r>
              <w:rPr>
                <w:sz w:val="21"/>
              </w:rPr>
              <w:t>（</w:t>
            </w:r>
            <w:r>
              <w:rPr>
                <w:rFonts w:ascii="Times New Roman" w:hAnsi="Times New Roman" w:eastAsia="Times New Roman"/>
                <w:sz w:val="21"/>
              </w:rPr>
              <w:t>1</w:t>
            </w:r>
            <w:r>
              <w:rPr>
                <w:sz w:val="21"/>
              </w:rPr>
              <w:t>）一肢或一肢以上肢体肌力Ⅲ级或Ⅲ级以下的运动功能障碍；</w:t>
            </w:r>
          </w:p>
          <w:p>
            <w:pPr>
              <w:pStyle w:val="TableParagraph"/>
              <w:spacing w:line="256" w:lineRule="auto" w:before="21"/>
              <w:ind w:left="385" w:right="201"/>
              <w:rPr>
                <w:sz w:val="21"/>
              </w:rPr>
            </w:pPr>
            <w:r>
              <w:rPr>
                <w:sz w:val="21"/>
              </w:rPr>
              <w:t>（</w:t>
            </w:r>
            <w:r>
              <w:rPr>
                <w:rFonts w:ascii="Times New Roman" w:eastAsia="Times New Roman"/>
                <w:sz w:val="21"/>
              </w:rPr>
              <w:t>2</w:t>
            </w:r>
            <w:r>
              <w:rPr>
                <w:sz w:val="21"/>
              </w:rPr>
              <w:t>）自主生活能力部分丧失，无法独立完成六项基本日常生活活动中的二项或二项以上。</w:t>
            </w:r>
          </w:p>
          <w:p>
            <w:pPr>
              <w:pStyle w:val="TableParagraph"/>
              <w:spacing w:line="273" w:lineRule="auto" w:before="21"/>
              <w:ind w:left="385" w:right="200"/>
              <w:rPr>
                <w:sz w:val="21"/>
              </w:rPr>
            </w:pPr>
            <w:r>
              <w:rPr>
                <w:sz w:val="21"/>
              </w:rPr>
              <w:t>该诊断必须由我们认可医院的神经专科医生证实，并必须由适当的检查证明为结核性脊髓炎。</w:t>
            </w:r>
          </w:p>
        </w:tc>
      </w:tr>
      <w:tr>
        <w:trPr>
          <w:trHeight w:val="2184" w:hRule="atLeast"/>
        </w:trPr>
        <w:tc>
          <w:tcPr>
            <w:tcW w:w="492" w:type="dxa"/>
          </w:tcPr>
          <w:p>
            <w:pPr>
              <w:pStyle w:val="TableParagraph"/>
              <w:spacing w:before="29"/>
              <w:ind w:right="27"/>
              <w:jc w:val="right"/>
              <w:rPr>
                <w:rFonts w:ascii="Times New Roman"/>
                <w:sz w:val="21"/>
              </w:rPr>
            </w:pPr>
            <w:r>
              <w:rPr>
                <w:rFonts w:ascii="Times New Roman"/>
                <w:sz w:val="21"/>
              </w:rPr>
              <w:t>75.</w:t>
            </w:r>
          </w:p>
        </w:tc>
        <w:tc>
          <w:tcPr>
            <w:tcW w:w="2621" w:type="dxa"/>
          </w:tcPr>
          <w:p>
            <w:pPr>
              <w:pStyle w:val="TableParagraph"/>
              <w:spacing w:line="257" w:lineRule="exact"/>
              <w:ind w:left="27"/>
              <w:rPr>
                <w:sz w:val="21"/>
              </w:rPr>
            </w:pPr>
            <w:r>
              <w:rPr>
                <w:sz w:val="21"/>
              </w:rPr>
              <w:t>肺孢子菌肺炎</w:t>
            </w:r>
          </w:p>
        </w:tc>
        <w:tc>
          <w:tcPr>
            <w:tcW w:w="7309" w:type="dxa"/>
          </w:tcPr>
          <w:p>
            <w:pPr>
              <w:pStyle w:val="TableParagraph"/>
              <w:spacing w:line="257" w:lineRule="exact"/>
              <w:ind w:left="385"/>
              <w:rPr>
                <w:sz w:val="21"/>
              </w:rPr>
            </w:pPr>
            <w:r>
              <w:rPr>
                <w:sz w:val="21"/>
              </w:rPr>
              <w:t>指由肺孢子菌引起的间质性浆细胞性肺炎。并须满足下列全部条件：</w:t>
            </w:r>
          </w:p>
          <w:p>
            <w:pPr>
              <w:pStyle w:val="TableParagraph"/>
              <w:spacing w:before="37"/>
              <w:ind w:left="385"/>
              <w:rPr>
                <w:sz w:val="21"/>
              </w:rPr>
            </w:pPr>
            <w:r>
              <w:rPr>
                <w:sz w:val="21"/>
              </w:rPr>
              <w:t>（</w:t>
            </w:r>
            <w:r>
              <w:rPr>
                <w:rFonts w:ascii="Times New Roman" w:eastAsia="Times New Roman"/>
                <w:sz w:val="21"/>
              </w:rPr>
              <w:t>1</w:t>
            </w:r>
            <w:r>
              <w:rPr>
                <w:sz w:val="21"/>
              </w:rPr>
              <w:t>）第一秒末用力呼气量（</w:t>
            </w:r>
            <w:r>
              <w:rPr>
                <w:rFonts w:ascii="Times New Roman" w:eastAsia="Times New Roman"/>
                <w:sz w:val="21"/>
              </w:rPr>
              <w:t>FEV1</w:t>
            </w:r>
            <w:r>
              <w:rPr>
                <w:sz w:val="21"/>
              </w:rPr>
              <w:t>）小于 </w:t>
            </w:r>
            <w:r>
              <w:rPr>
                <w:rFonts w:ascii="Times New Roman" w:eastAsia="Times New Roman"/>
                <w:sz w:val="21"/>
              </w:rPr>
              <w:t>1 </w:t>
            </w:r>
            <w:r>
              <w:rPr>
                <w:sz w:val="21"/>
              </w:rPr>
              <w:t>升；</w:t>
            </w:r>
          </w:p>
          <w:p>
            <w:pPr>
              <w:pStyle w:val="TableParagraph"/>
              <w:spacing w:before="21"/>
              <w:ind w:left="385"/>
              <w:rPr>
                <w:sz w:val="21"/>
              </w:rPr>
            </w:pPr>
            <w:r>
              <w:rPr>
                <w:sz w:val="21"/>
              </w:rPr>
              <w:t>（</w:t>
            </w:r>
            <w:r>
              <w:rPr>
                <w:rFonts w:ascii="Times New Roman" w:eastAsia="Times New Roman"/>
                <w:sz w:val="21"/>
              </w:rPr>
              <w:t>2</w:t>
            </w:r>
            <w:r>
              <w:rPr>
                <w:sz w:val="21"/>
              </w:rPr>
              <w:t>）气道内阻力增加，至少达到 </w:t>
            </w:r>
            <w:r>
              <w:rPr>
                <w:rFonts w:ascii="Times New Roman" w:eastAsia="Times New Roman"/>
                <w:sz w:val="21"/>
              </w:rPr>
              <w:t>0.5kPa/l/s</w:t>
            </w:r>
            <w:r>
              <w:rPr>
                <w:sz w:val="21"/>
              </w:rPr>
              <w:t>；</w:t>
            </w:r>
          </w:p>
          <w:p>
            <w:pPr>
              <w:pStyle w:val="TableParagraph"/>
              <w:spacing w:before="21"/>
              <w:ind w:left="385"/>
              <w:rPr>
                <w:sz w:val="21"/>
              </w:rPr>
            </w:pPr>
            <w:r>
              <w:rPr>
                <w:sz w:val="21"/>
              </w:rPr>
              <w:t>（</w:t>
            </w:r>
            <w:r>
              <w:rPr>
                <w:rFonts w:ascii="Times New Roman" w:eastAsia="Times New Roman"/>
                <w:sz w:val="21"/>
              </w:rPr>
              <w:t>3</w:t>
            </w:r>
            <w:r>
              <w:rPr>
                <w:sz w:val="21"/>
              </w:rPr>
              <w:t>）残气容积占肺总量</w:t>
            </w:r>
            <w:r>
              <w:rPr>
                <w:rFonts w:ascii="Times New Roman" w:eastAsia="Times New Roman"/>
                <w:sz w:val="21"/>
              </w:rPr>
              <w:t>(TLC)</w:t>
            </w:r>
            <w:r>
              <w:rPr>
                <w:sz w:val="21"/>
              </w:rPr>
              <w:t>的 </w:t>
            </w:r>
            <w:r>
              <w:rPr>
                <w:rFonts w:ascii="Times New Roman" w:eastAsia="Times New Roman"/>
                <w:sz w:val="21"/>
              </w:rPr>
              <w:t>60%</w:t>
            </w:r>
            <w:r>
              <w:rPr>
                <w:sz w:val="21"/>
              </w:rPr>
              <w:t>以上；</w:t>
            </w:r>
          </w:p>
          <w:p>
            <w:pPr>
              <w:pStyle w:val="TableParagraph"/>
              <w:spacing w:before="21"/>
              <w:ind w:left="385"/>
              <w:rPr>
                <w:sz w:val="21"/>
              </w:rPr>
            </w:pPr>
            <w:r>
              <w:rPr>
                <w:sz w:val="21"/>
              </w:rPr>
              <w:t>（</w:t>
            </w:r>
            <w:r>
              <w:rPr>
                <w:rFonts w:ascii="Times New Roman" w:eastAsia="Times New Roman"/>
                <w:sz w:val="21"/>
              </w:rPr>
              <w:t>4</w:t>
            </w:r>
            <w:r>
              <w:rPr>
                <w:sz w:val="21"/>
              </w:rPr>
              <w:t>）胸内气体容积升高，超过 </w:t>
            </w:r>
            <w:r>
              <w:rPr>
                <w:rFonts w:ascii="Times New Roman" w:eastAsia="Times New Roman"/>
                <w:sz w:val="21"/>
              </w:rPr>
              <w:t>170(</w:t>
            </w:r>
            <w:r>
              <w:rPr>
                <w:sz w:val="21"/>
              </w:rPr>
              <w:t>基值的百分比</w:t>
            </w:r>
            <w:r>
              <w:rPr>
                <w:rFonts w:ascii="Times New Roman" w:eastAsia="Times New Roman"/>
                <w:sz w:val="21"/>
              </w:rPr>
              <w:t>)</w:t>
            </w:r>
            <w:r>
              <w:rPr>
                <w:sz w:val="21"/>
              </w:rPr>
              <w:t>；</w:t>
            </w:r>
          </w:p>
          <w:p>
            <w:pPr>
              <w:pStyle w:val="TableParagraph"/>
              <w:spacing w:before="21"/>
              <w:ind w:left="385"/>
              <w:rPr>
                <w:sz w:val="21"/>
              </w:rPr>
            </w:pPr>
            <w:r>
              <w:rPr>
                <w:sz w:val="21"/>
              </w:rPr>
              <w:t>（</w:t>
            </w:r>
            <w:r>
              <w:rPr>
                <w:rFonts w:ascii="Times New Roman" w:eastAsia="Times New Roman"/>
                <w:sz w:val="21"/>
              </w:rPr>
              <w:t>5</w:t>
            </w:r>
            <w:r>
              <w:rPr>
                <w:sz w:val="21"/>
              </w:rPr>
              <w:t>）</w:t>
            </w:r>
            <w:r>
              <w:rPr>
                <w:rFonts w:ascii="Times New Roman" w:eastAsia="Times New Roman"/>
                <w:sz w:val="21"/>
              </w:rPr>
              <w:t>PaO</w:t>
            </w:r>
            <w:r>
              <w:rPr>
                <w:rFonts w:ascii="Times New Roman" w:eastAsia="Times New Roman"/>
                <w:sz w:val="21"/>
                <w:vertAlign w:val="subscript"/>
              </w:rPr>
              <w:t>2</w:t>
            </w:r>
            <w:r>
              <w:rPr>
                <w:rFonts w:ascii="Times New Roman" w:eastAsia="Times New Roman"/>
                <w:sz w:val="21"/>
                <w:vertAlign w:val="baseline"/>
              </w:rPr>
              <w:t>&lt;</w:t>
            </w:r>
            <w:r>
              <w:rPr>
                <w:rFonts w:ascii="Times New Roman" w:eastAsia="Times New Roman"/>
                <w:sz w:val="21"/>
                <w:vertAlign w:val="baseline"/>
              </w:rPr>
              <w:t>60mmHg</w:t>
            </w:r>
            <w:r>
              <w:rPr>
                <w:sz w:val="21"/>
                <w:vertAlign w:val="baseline"/>
              </w:rPr>
              <w:t>，</w:t>
            </w:r>
            <w:r>
              <w:rPr>
                <w:rFonts w:ascii="Times New Roman" w:eastAsia="Times New Roman"/>
                <w:sz w:val="21"/>
                <w:vertAlign w:val="baseline"/>
              </w:rPr>
              <w:t>PaCO</w:t>
            </w:r>
            <w:r>
              <w:rPr>
                <w:rFonts w:ascii="Times New Roman" w:eastAsia="Times New Roman"/>
                <w:sz w:val="21"/>
                <w:vertAlign w:val="subscript"/>
              </w:rPr>
              <w:t>2</w:t>
            </w:r>
            <w:r>
              <w:rPr>
                <w:rFonts w:ascii="Times New Roman" w:eastAsia="Times New Roman"/>
                <w:sz w:val="21"/>
                <w:vertAlign w:val="baseline"/>
              </w:rPr>
              <w:t>&gt;</w:t>
            </w:r>
            <w:r>
              <w:rPr>
                <w:rFonts w:ascii="Times New Roman" w:eastAsia="Times New Roman"/>
                <w:sz w:val="21"/>
                <w:vertAlign w:val="baseline"/>
              </w:rPr>
              <w:t>50mmHg</w:t>
            </w:r>
            <w:r>
              <w:rPr>
                <w:sz w:val="21"/>
                <w:vertAlign w:val="baseline"/>
              </w:rPr>
              <w:t>。</w:t>
            </w:r>
          </w:p>
          <w:p>
            <w:pPr>
              <w:pStyle w:val="TableParagraph"/>
              <w:spacing w:before="21"/>
              <w:ind w:left="385"/>
              <w:rPr>
                <w:b/>
                <w:sz w:val="21"/>
              </w:rPr>
            </w:pPr>
            <w:r>
              <w:rPr>
                <w:b/>
                <w:sz w:val="21"/>
              </w:rPr>
              <w:t>感染艾滋病病毒或患艾滋病期间所患肺孢子菌肺炎不在保障范围内。</w:t>
            </w:r>
          </w:p>
        </w:tc>
      </w:tr>
      <w:tr>
        <w:trPr>
          <w:trHeight w:val="2496" w:hRule="atLeast"/>
        </w:trPr>
        <w:tc>
          <w:tcPr>
            <w:tcW w:w="492" w:type="dxa"/>
          </w:tcPr>
          <w:p>
            <w:pPr>
              <w:pStyle w:val="TableParagraph"/>
              <w:spacing w:before="29"/>
              <w:ind w:right="27"/>
              <w:jc w:val="right"/>
              <w:rPr>
                <w:rFonts w:ascii="Times New Roman"/>
                <w:sz w:val="21"/>
              </w:rPr>
            </w:pPr>
            <w:r>
              <w:rPr>
                <w:rFonts w:ascii="Times New Roman"/>
                <w:sz w:val="21"/>
              </w:rPr>
              <w:t>76.</w:t>
            </w:r>
          </w:p>
        </w:tc>
        <w:tc>
          <w:tcPr>
            <w:tcW w:w="2621" w:type="dxa"/>
          </w:tcPr>
          <w:p>
            <w:pPr>
              <w:pStyle w:val="TableParagraph"/>
              <w:spacing w:line="257" w:lineRule="exact"/>
              <w:ind w:left="27"/>
              <w:rPr>
                <w:sz w:val="21"/>
              </w:rPr>
            </w:pPr>
            <w:r>
              <w:rPr>
                <w:sz w:val="21"/>
              </w:rPr>
              <w:t>范可尼综合征</w:t>
            </w:r>
          </w:p>
        </w:tc>
        <w:tc>
          <w:tcPr>
            <w:tcW w:w="7309" w:type="dxa"/>
          </w:tcPr>
          <w:p>
            <w:pPr>
              <w:pStyle w:val="TableParagraph"/>
              <w:spacing w:line="273" w:lineRule="exact"/>
              <w:ind w:left="385"/>
              <w:rPr>
                <w:sz w:val="21"/>
              </w:rPr>
            </w:pPr>
            <w:r>
              <w:rPr>
                <w:sz w:val="21"/>
              </w:rPr>
              <w:t>也称 </w:t>
            </w:r>
            <w:r>
              <w:rPr>
                <w:rFonts w:ascii="Times New Roman" w:eastAsia="Times New Roman"/>
                <w:sz w:val="21"/>
              </w:rPr>
              <w:t>Fanconi </w:t>
            </w:r>
            <w:r>
              <w:rPr>
                <w:sz w:val="21"/>
              </w:rPr>
              <w:t>综合征，指近端肾小管的功能异常引起的一组症候群。须经</w:t>
            </w:r>
          </w:p>
          <w:p>
            <w:pPr>
              <w:pStyle w:val="TableParagraph"/>
              <w:spacing w:before="21"/>
              <w:ind w:left="385"/>
              <w:rPr>
                <w:sz w:val="21"/>
              </w:rPr>
            </w:pPr>
            <w:r>
              <w:rPr>
                <w:sz w:val="21"/>
              </w:rPr>
              <w:t>专科医生诊断，且须满足下列至少两项条件：</w:t>
            </w:r>
          </w:p>
          <w:p>
            <w:pPr>
              <w:pStyle w:val="TableParagraph"/>
              <w:spacing w:before="37"/>
              <w:ind w:left="385"/>
              <w:rPr>
                <w:sz w:val="21"/>
              </w:rPr>
            </w:pPr>
            <w:r>
              <w:rPr>
                <w:sz w:val="21"/>
              </w:rPr>
              <w:t>（</w:t>
            </w:r>
            <w:r>
              <w:rPr>
                <w:rFonts w:ascii="Times New Roman" w:eastAsia="Times New Roman"/>
                <w:sz w:val="21"/>
              </w:rPr>
              <w:t>1</w:t>
            </w:r>
            <w:r>
              <w:rPr>
                <w:sz w:val="21"/>
              </w:rPr>
              <w:t>）尿液检查出现肾性糖尿、全氨基酸糖尿或磷酸盐尿；</w:t>
            </w:r>
          </w:p>
          <w:p>
            <w:pPr>
              <w:pStyle w:val="TableParagraph"/>
              <w:spacing w:before="21"/>
              <w:ind w:left="385"/>
              <w:rPr>
                <w:sz w:val="21"/>
              </w:rPr>
            </w:pPr>
            <w:r>
              <w:rPr>
                <w:sz w:val="21"/>
              </w:rPr>
              <w:t>（</w:t>
            </w:r>
            <w:r>
              <w:rPr>
                <w:rFonts w:ascii="Times New Roman" w:eastAsia="Times New Roman"/>
                <w:sz w:val="21"/>
              </w:rPr>
              <w:t>2</w:t>
            </w:r>
            <w:r>
              <w:rPr>
                <w:sz w:val="21"/>
              </w:rPr>
              <w:t>）血液检查出现低磷血症、低尿酸血症或近端肾小管酸中毒；</w:t>
            </w:r>
          </w:p>
          <w:p>
            <w:pPr>
              <w:pStyle w:val="TableParagraph"/>
              <w:spacing w:before="21"/>
              <w:ind w:left="385"/>
              <w:rPr>
                <w:sz w:val="21"/>
              </w:rPr>
            </w:pPr>
            <w:r>
              <w:rPr>
                <w:sz w:val="21"/>
              </w:rPr>
              <w:t>（</w:t>
            </w:r>
            <w:r>
              <w:rPr>
                <w:rFonts w:ascii="Times New Roman" w:eastAsia="Times New Roman"/>
                <w:sz w:val="21"/>
              </w:rPr>
              <w:t>3</w:t>
            </w:r>
            <w:r>
              <w:rPr>
                <w:sz w:val="21"/>
              </w:rPr>
              <w:t>）出现骨质疏松、骨骼畸形或尿路结石；</w:t>
            </w:r>
          </w:p>
          <w:p>
            <w:pPr>
              <w:pStyle w:val="TableParagraph"/>
              <w:spacing w:line="256" w:lineRule="auto" w:before="21"/>
              <w:ind w:left="385" w:right="201"/>
              <w:rPr>
                <w:sz w:val="21"/>
              </w:rPr>
            </w:pPr>
            <w:r>
              <w:rPr>
                <w:sz w:val="21"/>
              </w:rPr>
              <w:t>（</w:t>
            </w:r>
            <w:r>
              <w:rPr>
                <w:rFonts w:ascii="Times New Roman" w:eastAsia="Times New Roman"/>
                <w:sz w:val="21"/>
              </w:rPr>
              <w:t>4</w:t>
            </w:r>
            <w:r>
              <w:rPr>
                <w:sz w:val="21"/>
              </w:rPr>
              <w:t>）通过骨髓片、白细胞、直肠黏膜中的结晶分析或裂隙灯检查角膜有胱氨酸结晶。</w:t>
            </w:r>
          </w:p>
          <w:p>
            <w:pPr>
              <w:pStyle w:val="TableParagraph"/>
              <w:spacing w:before="22"/>
              <w:ind w:left="385"/>
              <w:rPr>
                <w:b/>
                <w:sz w:val="21"/>
              </w:rPr>
            </w:pPr>
            <w:r>
              <w:rPr>
                <w:b/>
                <w:sz w:val="21"/>
              </w:rPr>
              <w:t>被保险人在三周岁之前罹患该疾病，我们不承担保险责任。</w:t>
            </w:r>
          </w:p>
        </w:tc>
      </w:tr>
      <w:tr>
        <w:trPr>
          <w:trHeight w:val="1248" w:hRule="atLeast"/>
        </w:trPr>
        <w:tc>
          <w:tcPr>
            <w:tcW w:w="492" w:type="dxa"/>
          </w:tcPr>
          <w:p>
            <w:pPr>
              <w:pStyle w:val="TableParagraph"/>
              <w:spacing w:before="29"/>
              <w:ind w:right="27"/>
              <w:jc w:val="right"/>
              <w:rPr>
                <w:rFonts w:ascii="Times New Roman"/>
                <w:sz w:val="21"/>
              </w:rPr>
            </w:pPr>
            <w:r>
              <w:rPr>
                <w:rFonts w:ascii="Times New Roman"/>
                <w:sz w:val="21"/>
              </w:rPr>
              <w:t>77.</w:t>
            </w:r>
          </w:p>
        </w:tc>
        <w:tc>
          <w:tcPr>
            <w:tcW w:w="2621" w:type="dxa"/>
          </w:tcPr>
          <w:p>
            <w:pPr>
              <w:pStyle w:val="TableParagraph"/>
              <w:spacing w:line="257" w:lineRule="exact"/>
              <w:ind w:left="27"/>
              <w:rPr>
                <w:sz w:val="21"/>
              </w:rPr>
            </w:pPr>
            <w:r>
              <w:rPr>
                <w:sz w:val="21"/>
              </w:rPr>
              <w:t>弥漫性血管内凝血</w:t>
            </w:r>
          </w:p>
        </w:tc>
        <w:tc>
          <w:tcPr>
            <w:tcW w:w="7309" w:type="dxa"/>
          </w:tcPr>
          <w:p>
            <w:pPr>
              <w:pStyle w:val="TableParagraph"/>
              <w:spacing w:line="257" w:lineRule="exact"/>
              <w:ind w:left="385"/>
              <w:rPr>
                <w:sz w:val="21"/>
              </w:rPr>
            </w:pPr>
            <w:r>
              <w:rPr>
                <w:sz w:val="21"/>
              </w:rPr>
              <w:t>指血液凝固系统和纤溶系统的过度活动导致微血管血栓形成、血小板及凝</w:t>
            </w:r>
          </w:p>
          <w:p>
            <w:pPr>
              <w:pStyle w:val="TableParagraph"/>
              <w:spacing w:before="37"/>
              <w:ind w:left="385"/>
              <w:rPr>
                <w:sz w:val="21"/>
              </w:rPr>
            </w:pPr>
            <w:r>
              <w:rPr>
                <w:sz w:val="21"/>
              </w:rPr>
              <w:t>血因子耗竭和严重出血，需要输注血浆和浓缩血小板进行治疗。</w:t>
            </w:r>
          </w:p>
          <w:p>
            <w:pPr>
              <w:pStyle w:val="TableParagraph"/>
              <w:spacing w:line="259" w:lineRule="auto" w:before="37"/>
              <w:ind w:left="385" w:right="202"/>
              <w:rPr>
                <w:sz w:val="21"/>
              </w:rPr>
            </w:pPr>
            <w:r>
              <w:rPr>
                <w:spacing w:val="-7"/>
                <w:sz w:val="21"/>
              </w:rPr>
              <w:t>被保险人已经接受 </w:t>
            </w:r>
            <w:r>
              <w:rPr>
                <w:rFonts w:ascii="Times New Roman" w:eastAsia="Times New Roman"/>
                <w:sz w:val="21"/>
              </w:rPr>
              <w:t>ICU </w:t>
            </w:r>
            <w:r>
              <w:rPr>
                <w:spacing w:val="-8"/>
                <w:sz w:val="21"/>
              </w:rPr>
              <w:t>重症监护病房的治疗，诊断必须经由专科医生的确诊。</w:t>
            </w:r>
          </w:p>
        </w:tc>
      </w:tr>
      <w:tr>
        <w:trPr>
          <w:trHeight w:val="935" w:hRule="atLeast"/>
        </w:trPr>
        <w:tc>
          <w:tcPr>
            <w:tcW w:w="492" w:type="dxa"/>
          </w:tcPr>
          <w:p>
            <w:pPr>
              <w:pStyle w:val="TableParagraph"/>
              <w:spacing w:before="29"/>
              <w:ind w:right="27"/>
              <w:jc w:val="right"/>
              <w:rPr>
                <w:rFonts w:ascii="Times New Roman"/>
                <w:sz w:val="21"/>
              </w:rPr>
            </w:pPr>
            <w:r>
              <w:rPr>
                <w:rFonts w:ascii="Times New Roman"/>
                <w:sz w:val="21"/>
              </w:rPr>
              <w:t>78.</w:t>
            </w:r>
          </w:p>
        </w:tc>
        <w:tc>
          <w:tcPr>
            <w:tcW w:w="2621" w:type="dxa"/>
          </w:tcPr>
          <w:p>
            <w:pPr>
              <w:pStyle w:val="TableParagraph"/>
              <w:spacing w:line="273" w:lineRule="exact"/>
              <w:ind w:left="27"/>
              <w:rPr>
                <w:sz w:val="21"/>
              </w:rPr>
            </w:pPr>
            <w:r>
              <w:rPr>
                <w:sz w:val="21"/>
              </w:rPr>
              <w:t>严重 </w:t>
            </w:r>
            <w:r>
              <w:rPr>
                <w:rFonts w:ascii="Times New Roman" w:eastAsia="Times New Roman"/>
                <w:sz w:val="21"/>
              </w:rPr>
              <w:t>III </w:t>
            </w:r>
            <w:r>
              <w:rPr>
                <w:sz w:val="21"/>
              </w:rPr>
              <w:t>度冻伤导致截肢</w:t>
            </w:r>
          </w:p>
        </w:tc>
        <w:tc>
          <w:tcPr>
            <w:tcW w:w="7309" w:type="dxa"/>
          </w:tcPr>
          <w:p>
            <w:pPr>
              <w:pStyle w:val="TableParagraph"/>
              <w:spacing w:line="273" w:lineRule="exact"/>
              <w:ind w:left="385"/>
              <w:rPr>
                <w:rFonts w:ascii="Times New Roman" w:eastAsia="Times New Roman"/>
                <w:sz w:val="21"/>
              </w:rPr>
            </w:pPr>
            <w:r>
              <w:rPr>
                <w:sz w:val="21"/>
              </w:rPr>
              <w:t>冻伤是由于寒冷潮湿作用引起的人体局部或全身损伤。指冻伤程度达到 </w:t>
            </w:r>
            <w:r>
              <w:rPr>
                <w:rFonts w:ascii="Times New Roman" w:eastAsia="Times New Roman"/>
                <w:sz w:val="21"/>
              </w:rPr>
              <w:t>III</w:t>
            </w:r>
          </w:p>
          <w:p>
            <w:pPr>
              <w:pStyle w:val="TableParagraph"/>
              <w:spacing w:line="273" w:lineRule="auto" w:before="21"/>
              <w:ind w:left="385" w:right="200"/>
              <w:rPr>
                <w:sz w:val="21"/>
              </w:rPr>
            </w:pPr>
            <w:r>
              <w:rPr>
                <w:sz w:val="21"/>
              </w:rPr>
              <w:t>度，且导致一个或一个以上肢体自腕关节或踝关节近端（靠近躯干端）以上完全性断离。</w:t>
            </w:r>
          </w:p>
        </w:tc>
      </w:tr>
      <w:tr>
        <w:trPr>
          <w:trHeight w:val="936" w:hRule="atLeast"/>
        </w:trPr>
        <w:tc>
          <w:tcPr>
            <w:tcW w:w="492" w:type="dxa"/>
          </w:tcPr>
          <w:p>
            <w:pPr>
              <w:pStyle w:val="TableParagraph"/>
              <w:spacing w:before="29"/>
              <w:ind w:right="27"/>
              <w:jc w:val="right"/>
              <w:rPr>
                <w:rFonts w:ascii="Times New Roman"/>
                <w:sz w:val="21"/>
              </w:rPr>
            </w:pPr>
            <w:r>
              <w:rPr>
                <w:rFonts w:ascii="Times New Roman"/>
                <w:sz w:val="21"/>
              </w:rPr>
              <w:t>79.</w:t>
            </w:r>
          </w:p>
        </w:tc>
        <w:tc>
          <w:tcPr>
            <w:tcW w:w="2621" w:type="dxa"/>
          </w:tcPr>
          <w:p>
            <w:pPr>
              <w:pStyle w:val="TableParagraph"/>
              <w:spacing w:line="257" w:lineRule="exact"/>
              <w:ind w:left="27"/>
              <w:rPr>
                <w:sz w:val="21"/>
              </w:rPr>
            </w:pPr>
            <w:r>
              <w:rPr>
                <w:sz w:val="21"/>
              </w:rPr>
              <w:t>大面积植皮手术</w:t>
            </w:r>
          </w:p>
        </w:tc>
        <w:tc>
          <w:tcPr>
            <w:tcW w:w="7309" w:type="dxa"/>
          </w:tcPr>
          <w:p>
            <w:pPr>
              <w:pStyle w:val="TableParagraph"/>
              <w:spacing w:line="257" w:lineRule="exact"/>
              <w:ind w:left="385"/>
              <w:rPr>
                <w:sz w:val="21"/>
              </w:rPr>
            </w:pPr>
            <w:r>
              <w:rPr>
                <w:sz w:val="21"/>
              </w:rPr>
              <w:t>指为修复皮肤与其下的组织缺损所进行的皮肤移植手术，要求皮肤移植的</w:t>
            </w:r>
          </w:p>
          <w:p>
            <w:pPr>
              <w:pStyle w:val="TableParagraph"/>
              <w:spacing w:line="256" w:lineRule="auto" w:before="37"/>
              <w:ind w:left="385" w:right="305"/>
              <w:rPr>
                <w:sz w:val="21"/>
              </w:rPr>
            </w:pPr>
            <w:r>
              <w:rPr>
                <w:spacing w:val="-7"/>
                <w:sz w:val="21"/>
              </w:rPr>
              <w:t>面积达到全身体表面积的 </w:t>
            </w:r>
            <w:r>
              <w:rPr>
                <w:rFonts w:ascii="Times New Roman" w:eastAsia="Times New Roman"/>
                <w:sz w:val="21"/>
              </w:rPr>
              <w:t>30%</w:t>
            </w:r>
            <w:r>
              <w:rPr>
                <w:spacing w:val="-20"/>
                <w:sz w:val="21"/>
              </w:rPr>
              <w:t>或 </w:t>
            </w:r>
            <w:r>
              <w:rPr>
                <w:rFonts w:ascii="Times New Roman" w:eastAsia="Times New Roman"/>
                <w:sz w:val="21"/>
              </w:rPr>
              <w:t>30%</w:t>
            </w:r>
            <w:r>
              <w:rPr>
                <w:spacing w:val="-15"/>
                <w:sz w:val="21"/>
              </w:rPr>
              <w:t>以上。体表面积根据《中国新九分法计算。</w:t>
            </w:r>
          </w:p>
        </w:tc>
      </w:tr>
      <w:tr>
        <w:trPr>
          <w:trHeight w:val="906" w:hRule="atLeast"/>
        </w:trPr>
        <w:tc>
          <w:tcPr>
            <w:tcW w:w="492" w:type="dxa"/>
          </w:tcPr>
          <w:p>
            <w:pPr>
              <w:pStyle w:val="TableParagraph"/>
              <w:spacing w:before="29"/>
              <w:ind w:right="27"/>
              <w:jc w:val="right"/>
              <w:rPr>
                <w:rFonts w:ascii="Times New Roman"/>
                <w:sz w:val="21"/>
              </w:rPr>
            </w:pPr>
            <w:r>
              <w:rPr>
                <w:rFonts w:ascii="Times New Roman"/>
                <w:sz w:val="21"/>
              </w:rPr>
              <w:t>80.</w:t>
            </w:r>
          </w:p>
        </w:tc>
        <w:tc>
          <w:tcPr>
            <w:tcW w:w="2621" w:type="dxa"/>
          </w:tcPr>
          <w:p>
            <w:pPr>
              <w:pStyle w:val="TableParagraph"/>
              <w:spacing w:line="257" w:lineRule="exact"/>
              <w:ind w:left="27"/>
              <w:rPr>
                <w:sz w:val="21"/>
              </w:rPr>
            </w:pPr>
            <w:r>
              <w:rPr>
                <w:sz w:val="21"/>
              </w:rPr>
              <w:t>出血性登革热</w:t>
            </w:r>
          </w:p>
        </w:tc>
        <w:tc>
          <w:tcPr>
            <w:tcW w:w="7309" w:type="dxa"/>
          </w:tcPr>
          <w:p>
            <w:pPr>
              <w:pStyle w:val="TableParagraph"/>
              <w:spacing w:line="257" w:lineRule="exact"/>
              <w:ind w:left="385"/>
              <w:rPr>
                <w:sz w:val="21"/>
              </w:rPr>
            </w:pPr>
            <w:r>
              <w:rPr>
                <w:spacing w:val="1"/>
                <w:w w:val="100"/>
                <w:sz w:val="21"/>
              </w:rPr>
              <w:t>严重登革热（</w:t>
            </w:r>
            <w:r>
              <w:rPr>
                <w:spacing w:val="0"/>
                <w:w w:val="100"/>
                <w:sz w:val="21"/>
              </w:rPr>
              <w:t>出血性登革热</w:t>
            </w:r>
            <w:r>
              <w:rPr>
                <w:spacing w:val="-101"/>
                <w:w w:val="100"/>
                <w:sz w:val="21"/>
              </w:rPr>
              <w:t>）</w:t>
            </w:r>
            <w:r>
              <w:rPr>
                <w:w w:val="100"/>
                <w:sz w:val="21"/>
              </w:rPr>
              <w:t>，出现了全部四种症状，包括发高烧、出血</w:t>
            </w:r>
          </w:p>
          <w:p>
            <w:pPr>
              <w:pStyle w:val="TableParagraph"/>
              <w:spacing w:line="310" w:lineRule="atLeast" w:before="18"/>
              <w:ind w:left="385" w:right="147"/>
              <w:rPr>
                <w:sz w:val="21"/>
              </w:rPr>
            </w:pPr>
            <w:r>
              <w:rPr>
                <w:sz w:val="21"/>
              </w:rPr>
              <w:t>现象、肝肿大和循环衰竭，符合登革热休克综合症标准，达到 </w:t>
            </w:r>
            <w:r>
              <w:rPr>
                <w:rFonts w:ascii="Times New Roman" w:eastAsia="Times New Roman"/>
                <w:sz w:val="21"/>
              </w:rPr>
              <w:t>WHO </w:t>
            </w:r>
            <w:r>
              <w:rPr>
                <w:sz w:val="21"/>
              </w:rPr>
              <w:t>登革热分级的第 </w:t>
            </w:r>
            <w:r>
              <w:rPr>
                <w:rFonts w:ascii="Times New Roman" w:eastAsia="Times New Roman"/>
                <w:sz w:val="21"/>
              </w:rPr>
              <w:t>III </w:t>
            </w:r>
            <w:r>
              <w:rPr>
                <w:sz w:val="21"/>
              </w:rPr>
              <w:t>级和第 </w:t>
            </w:r>
            <w:r>
              <w:rPr>
                <w:rFonts w:ascii="Times New Roman" w:eastAsia="Times New Roman"/>
                <w:sz w:val="21"/>
              </w:rPr>
              <w:t>IV </w:t>
            </w:r>
            <w:r>
              <w:rPr>
                <w:sz w:val="21"/>
              </w:rPr>
              <w:t>级。</w:t>
            </w:r>
          </w:p>
        </w:tc>
      </w:tr>
    </w:tbl>
    <w:p>
      <w:pPr>
        <w:spacing w:after="0" w:line="310" w:lineRule="atLeast"/>
        <w:rPr>
          <w:sz w:val="21"/>
        </w:rPr>
        <w:sectPr>
          <w:pgSz w:w="11910" w:h="16160"/>
          <w:pgMar w:header="0" w:footer="799" w:top="1440" w:bottom="980" w:left="760" w:right="500"/>
        </w:sectPr>
      </w:pPr>
    </w:p>
    <w:p>
      <w:pPr>
        <w:spacing w:line="273" w:lineRule="auto" w:before="7"/>
        <w:ind w:left="2696" w:right="107" w:firstLine="0"/>
        <w:jc w:val="left"/>
        <w:rPr>
          <w:b/>
          <w:sz w:val="21"/>
        </w:rPr>
      </w:pPr>
      <w:r>
        <w:rPr>
          <w:sz w:val="21"/>
        </w:rPr>
        <w:t>出血性登革热的诊断必须由我们认可医院的专科医生证实。</w:t>
      </w:r>
      <w:r>
        <w:rPr>
          <w:b/>
          <w:sz w:val="21"/>
        </w:rPr>
        <w:t>非出血性登革热不在保障范围内。</w:t>
      </w:r>
    </w:p>
    <w:p>
      <w:pPr>
        <w:pStyle w:val="BodyText"/>
        <w:rPr>
          <w:b/>
          <w:sz w:val="20"/>
        </w:rPr>
      </w:pPr>
    </w:p>
    <w:p>
      <w:pPr>
        <w:pStyle w:val="BodyText"/>
        <w:rPr>
          <w:b/>
          <w:sz w:val="20"/>
        </w:rPr>
      </w:pPr>
    </w:p>
    <w:p>
      <w:pPr>
        <w:pStyle w:val="BodyText"/>
        <w:rPr>
          <w:b/>
          <w:sz w:val="20"/>
        </w:rPr>
      </w:pPr>
    </w:p>
    <w:p>
      <w:pPr>
        <w:spacing w:before="158"/>
        <w:ind w:left="0" w:right="214" w:firstLine="0"/>
        <w:jc w:val="right"/>
        <w:rPr>
          <w:rFonts w:ascii="Times New Roman" w:eastAsia="Times New Roman"/>
          <w:b/>
          <w:sz w:val="21"/>
        </w:rPr>
      </w:pPr>
      <w:r>
        <w:rPr>
          <w:rFonts w:ascii="Times New Roman" w:eastAsia="Times New Roman"/>
          <w:b/>
          <w:sz w:val="21"/>
        </w:rPr>
        <w:t>&lt;</w:t>
      </w:r>
      <w:r>
        <w:rPr>
          <w:b/>
          <w:sz w:val="21"/>
        </w:rPr>
        <w:t>本页内容结束</w:t>
      </w:r>
      <w:r>
        <w:rPr>
          <w:rFonts w:ascii="Times New Roman" w:eastAsia="Times New Roman"/>
          <w:b/>
          <w:sz w:val="21"/>
        </w:rPr>
        <w:t>&gt;</w:t>
      </w:r>
    </w:p>
    <w:sectPr>
      <w:pgSz w:w="11910" w:h="16160"/>
      <w:pgMar w:header="0" w:footer="799" w:top="1360" w:bottom="980" w:left="168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Wingdings">
    <w:altName w:val="Wingdings"/>
    <w:charset w:val="2"/>
    <w:family w:val="auto"/>
    <w:pitch w:val="variable"/>
  </w:font>
  <w:font w:name="黑体">
    <w:altName w:val="黑体"/>
    <w:charset w:val="86"/>
    <w:family w:val="modern"/>
    <w:pitch w:val="fixed"/>
  </w:font>
  <w:font w:name="Courier New">
    <w:altName w:val="Courier New"/>
    <w:charset w:val="0"/>
    <w:family w:val="modern"/>
    <w:pitch w:val="fixed"/>
  </w:font>
  <w:font w:name="楷体">
    <w:altName w:val="楷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3.410004pt;margin-top:753.029846pt;width:196.45pt;height:13.7pt;mso-position-horizontal-relative:page;mso-position-vertical-relative:page;z-index:-48592" type="#_x0000_t202" filled="false" stroked="false">
          <v:textbox inset="0,0,0,0">
            <w:txbxContent>
              <w:p>
                <w:pPr>
                  <w:pStyle w:val="BodyText"/>
                  <w:spacing w:line="254" w:lineRule="exact"/>
                  <w:ind w:left="20"/>
                </w:pPr>
                <w:r>
                  <w:rPr>
                    <w:spacing w:val="-7"/>
                  </w:rPr>
                  <w:t>太平隽福重大疾病保险，第 </w:t>
                </w:r>
                <w:r>
                  <w:rPr/>
                  <w:fldChar w:fldCharType="begin"/>
                </w:r>
                <w:r>
                  <w:rPr>
                    <w:rFonts w:ascii="Times New Roman" w:eastAsia="Times New Roman"/>
                  </w:rPr>
                  <w:instrText> PAGE </w:instrText>
                </w:r>
                <w:r>
                  <w:rPr/>
                  <w:fldChar w:fldCharType="separate"/>
                </w:r>
                <w:r>
                  <w:rPr/>
                  <w:t>2</w:t>
                </w:r>
                <w:r>
                  <w:rPr/>
                  <w:fldChar w:fldCharType="end"/>
                </w:r>
                <w:r>
                  <w:rPr>
                    <w:rFonts w:ascii="Times New Roman" w:eastAsia="Times New Roman"/>
                  </w:rPr>
                  <w:t> </w:t>
                </w:r>
                <w:r>
                  <w:rPr>
                    <w:spacing w:val="-14"/>
                  </w:rPr>
                  <w:t>页，共 </w:t>
                </w:r>
                <w:r>
                  <w:rPr>
                    <w:rFonts w:ascii="Times New Roman" w:eastAsia="Times New Roman"/>
                  </w:rPr>
                  <w:t>25 </w:t>
                </w:r>
                <w:r>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8568" from="53.880001pt,574.390015pt" to="197.930001pt,574.390015pt" stroked="true" strokeweight=".47998pt" strokecolor="#000000">
          <v:stroke dashstyle="solid"/>
          <w10:wrap type="none"/>
        </v:line>
      </w:pict>
    </w:r>
    <w:r>
      <w:rPr/>
      <w:pict>
        <v:shape style="position:absolute;margin-left:203.410004pt;margin-top:753.029846pt;width:196.45pt;height:13.7pt;mso-position-horizontal-relative:page;mso-position-vertical-relative:page;z-index:-48544" type="#_x0000_t202" filled="false" stroked="false">
          <v:textbox inset="0,0,0,0">
            <w:txbxContent>
              <w:p>
                <w:pPr>
                  <w:pStyle w:val="BodyText"/>
                  <w:spacing w:line="254" w:lineRule="exact"/>
                  <w:ind w:left="20"/>
                </w:pPr>
                <w:r>
                  <w:rPr>
                    <w:spacing w:val="-7"/>
                  </w:rPr>
                  <w:t>太平隽福重大疾病保险，第 </w:t>
                </w:r>
                <w:r>
                  <w:rPr>
                    <w:rFonts w:ascii="Times New Roman" w:eastAsia="Times New Roman"/>
                  </w:rPr>
                  <w:t>4 </w:t>
                </w:r>
                <w:r>
                  <w:rPr>
                    <w:spacing w:val="-14"/>
                  </w:rPr>
                  <w:t>页，共 </w:t>
                </w:r>
                <w:r>
                  <w:rPr>
                    <w:rFonts w:ascii="Times New Roman" w:eastAsia="Times New Roman"/>
                  </w:rPr>
                  <w:t>25 </w:t>
                </w:r>
                <w:r>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3.410004pt;margin-top:753.029846pt;width:196.45pt;height:13.7pt;mso-position-horizontal-relative:page;mso-position-vertical-relative:page;z-index:-48520" type="#_x0000_t202" filled="false" stroked="false">
          <v:textbox inset="0,0,0,0">
            <w:txbxContent>
              <w:p>
                <w:pPr>
                  <w:pStyle w:val="BodyText"/>
                  <w:spacing w:line="254" w:lineRule="exact"/>
                  <w:ind w:left="20"/>
                </w:pPr>
                <w:r>
                  <w:rPr>
                    <w:spacing w:val="-7"/>
                  </w:rPr>
                  <w:t>太平隽福重大疾病保险，第 </w:t>
                </w:r>
                <w:r>
                  <w:rPr>
                    <w:rFonts w:ascii="Times New Roman" w:eastAsia="Times New Roman"/>
                  </w:rPr>
                  <w:t>5 </w:t>
                </w:r>
                <w:r>
                  <w:rPr>
                    <w:spacing w:val="-14"/>
                  </w:rPr>
                  <w:t>页，共 </w:t>
                </w:r>
                <w:r>
                  <w:rPr>
                    <w:rFonts w:ascii="Times New Roman" w:eastAsia="Times New Roman"/>
                  </w:rPr>
                  <w:t>25 </w:t>
                </w:r>
                <w:r>
                  <w:rPr/>
                  <w:t>页</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03.410004pt;margin-top:753.029846pt;width:196.45pt;height:13.7pt;mso-position-horizontal-relative:page;mso-position-vertical-relative:page;z-index:-48496" type="#_x0000_t202" filled="false" stroked="false">
          <v:textbox inset="0,0,0,0">
            <w:txbxContent>
              <w:p>
                <w:pPr>
                  <w:pStyle w:val="BodyText"/>
                  <w:spacing w:line="254" w:lineRule="exact"/>
                  <w:ind w:left="20"/>
                </w:pPr>
                <w:r>
                  <w:rPr>
                    <w:spacing w:val="-7"/>
                  </w:rPr>
                  <w:t>太平隽福重大疾病保险，第 </w:t>
                </w:r>
                <w:r>
                  <w:rPr/>
                  <w:fldChar w:fldCharType="begin"/>
                </w:r>
                <w:r>
                  <w:rPr>
                    <w:rFonts w:ascii="Times New Roman" w:eastAsia="Times New Roman"/>
                  </w:rPr>
                  <w:instrText> PAGE </w:instrText>
                </w:r>
                <w:r>
                  <w:rPr/>
                  <w:fldChar w:fldCharType="separate"/>
                </w:r>
                <w:r>
                  <w:rPr/>
                  <w:t>6</w:t>
                </w:r>
                <w:r>
                  <w:rPr/>
                  <w:fldChar w:fldCharType="end"/>
                </w:r>
                <w:r>
                  <w:rPr>
                    <w:rFonts w:ascii="Times New Roman" w:eastAsia="Times New Roman"/>
                  </w:rPr>
                  <w:t> </w:t>
                </w:r>
                <w:r>
                  <w:rPr>
                    <w:spacing w:val="-14"/>
                  </w:rPr>
                  <w:t>页，共 </w:t>
                </w:r>
                <w:r>
                  <w:rPr>
                    <w:rFonts w:ascii="Times New Roman" w:eastAsia="Times New Roman"/>
                  </w:rPr>
                  <w:t>25 </w:t>
                </w:r>
                <w:r>
                  <w:rPr/>
                  <w:t>页</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5"/>
      </w:rPr>
    </w:pPr>
    <w:r>
      <w:rPr/>
      <w:pict>
        <v:shape style="position:absolute;margin-left:200.770004pt;margin-top:753.029846pt;width:201.75pt;height:13.7pt;mso-position-horizontal-relative:page;mso-position-vertical-relative:page;z-index:-48472" type="#_x0000_t202" filled="false" stroked="false">
          <v:textbox inset="0,0,0,0">
            <w:txbxContent>
              <w:p>
                <w:pPr>
                  <w:pStyle w:val="BodyText"/>
                  <w:spacing w:line="254" w:lineRule="exact"/>
                  <w:ind w:left="20"/>
                </w:pPr>
                <w:r>
                  <w:rPr>
                    <w:spacing w:val="-7"/>
                  </w:rPr>
                  <w:t>太平隽福重大疾病保险，第 </w:t>
                </w:r>
                <w:r>
                  <w:rPr/>
                  <w:fldChar w:fldCharType="begin"/>
                </w:r>
                <w:r>
                  <w:rPr>
                    <w:rFonts w:ascii="Times New Roman" w:eastAsia="Times New Roman"/>
                  </w:rPr>
                  <w:instrText> PAGE </w:instrText>
                </w:r>
                <w:r>
                  <w:rPr/>
                  <w:fldChar w:fldCharType="separate"/>
                </w:r>
                <w:r>
                  <w:rPr/>
                  <w:t>15</w:t>
                </w:r>
                <w:r>
                  <w:rPr/>
                  <w:fldChar w:fldCharType="end"/>
                </w:r>
                <w:r>
                  <w:rPr>
                    <w:rFonts w:ascii="Times New Roman" w:eastAsia="Times New Roman"/>
                  </w:rPr>
                  <w:t> </w:t>
                </w:r>
                <w:r>
                  <w:rPr>
                    <w:spacing w:val="-14"/>
                  </w:rPr>
                  <w:t>页，共 </w:t>
                </w:r>
                <w:r>
                  <w:rPr>
                    <w:rFonts w:ascii="Times New Roman" w:eastAsia="Times New Roman"/>
                  </w:rPr>
                  <w:t>25 </w:t>
                </w:r>
                <w:r>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9">
    <w:multiLevelType w:val="hybridMultilevel"/>
    <w:lvl w:ilvl="0">
      <w:start w:val="1"/>
      <w:numFmt w:val="upperRoman"/>
      <w:lvlText w:val="%1"/>
      <w:lvlJc w:val="left"/>
      <w:pPr>
        <w:ind w:left="224" w:hanging="120"/>
        <w:jc w:val="left"/>
      </w:pPr>
      <w:rPr>
        <w:rFonts w:hint="default" w:ascii="Times New Roman" w:hAnsi="Times New Roman" w:eastAsia="Times New Roman" w:cs="Times New Roman"/>
        <w:w w:val="100"/>
        <w:sz w:val="21"/>
        <w:szCs w:val="21"/>
      </w:rPr>
    </w:lvl>
    <w:lvl w:ilvl="1">
      <w:start w:val="0"/>
      <w:numFmt w:val="bullet"/>
      <w:lvlText w:val="•"/>
      <w:lvlJc w:val="left"/>
      <w:pPr>
        <w:ind w:left="889" w:hanging="120"/>
      </w:pPr>
      <w:rPr>
        <w:rFonts w:hint="default"/>
      </w:rPr>
    </w:lvl>
    <w:lvl w:ilvl="2">
      <w:start w:val="0"/>
      <w:numFmt w:val="bullet"/>
      <w:lvlText w:val="•"/>
      <w:lvlJc w:val="left"/>
      <w:pPr>
        <w:ind w:left="1559" w:hanging="120"/>
      </w:pPr>
      <w:rPr>
        <w:rFonts w:hint="default"/>
      </w:rPr>
    </w:lvl>
    <w:lvl w:ilvl="3">
      <w:start w:val="0"/>
      <w:numFmt w:val="bullet"/>
      <w:lvlText w:val="•"/>
      <w:lvlJc w:val="left"/>
      <w:pPr>
        <w:ind w:left="2229" w:hanging="120"/>
      </w:pPr>
      <w:rPr>
        <w:rFonts w:hint="default"/>
      </w:rPr>
    </w:lvl>
    <w:lvl w:ilvl="4">
      <w:start w:val="0"/>
      <w:numFmt w:val="bullet"/>
      <w:lvlText w:val="•"/>
      <w:lvlJc w:val="left"/>
      <w:pPr>
        <w:ind w:left="2898" w:hanging="120"/>
      </w:pPr>
      <w:rPr>
        <w:rFonts w:hint="default"/>
      </w:rPr>
    </w:lvl>
    <w:lvl w:ilvl="5">
      <w:start w:val="0"/>
      <w:numFmt w:val="bullet"/>
      <w:lvlText w:val="•"/>
      <w:lvlJc w:val="left"/>
      <w:pPr>
        <w:ind w:left="3568" w:hanging="120"/>
      </w:pPr>
      <w:rPr>
        <w:rFonts w:hint="default"/>
      </w:rPr>
    </w:lvl>
    <w:lvl w:ilvl="6">
      <w:start w:val="0"/>
      <w:numFmt w:val="bullet"/>
      <w:lvlText w:val="•"/>
      <w:lvlJc w:val="left"/>
      <w:pPr>
        <w:ind w:left="4238" w:hanging="120"/>
      </w:pPr>
      <w:rPr>
        <w:rFonts w:hint="default"/>
      </w:rPr>
    </w:lvl>
    <w:lvl w:ilvl="7">
      <w:start w:val="0"/>
      <w:numFmt w:val="bullet"/>
      <w:lvlText w:val="•"/>
      <w:lvlJc w:val="left"/>
      <w:pPr>
        <w:ind w:left="4907" w:hanging="120"/>
      </w:pPr>
      <w:rPr>
        <w:rFonts w:hint="default"/>
      </w:rPr>
    </w:lvl>
    <w:lvl w:ilvl="8">
      <w:start w:val="0"/>
      <w:numFmt w:val="bullet"/>
      <w:lvlText w:val="•"/>
      <w:lvlJc w:val="left"/>
      <w:pPr>
        <w:ind w:left="5577" w:hanging="120"/>
      </w:pPr>
      <w:rPr>
        <w:rFonts w:hint="default"/>
      </w:rPr>
    </w:lvl>
  </w:abstractNum>
  <w:abstractNum w:abstractNumId="8">
    <w:multiLevelType w:val="hybridMultilevel"/>
    <w:lvl w:ilvl="0">
      <w:start w:val="27"/>
      <w:numFmt w:val="decimal"/>
      <w:lvlText w:val="%1."/>
      <w:lvlJc w:val="left"/>
      <w:pPr>
        <w:ind w:left="437" w:hanging="320"/>
        <w:jc w:val="left"/>
      </w:pPr>
      <w:rPr>
        <w:rFonts w:hint="default" w:ascii="Times New Roman" w:hAnsi="Times New Roman" w:eastAsia="Times New Roman" w:cs="Times New Roman"/>
        <w:w w:val="100"/>
        <w:sz w:val="21"/>
        <w:szCs w:val="21"/>
      </w:rPr>
    </w:lvl>
    <w:lvl w:ilvl="1">
      <w:start w:val="0"/>
      <w:numFmt w:val="bullet"/>
      <w:lvlText w:val="•"/>
      <w:lvlJc w:val="left"/>
      <w:pPr>
        <w:ind w:left="1428" w:hanging="320"/>
      </w:pPr>
      <w:rPr>
        <w:rFonts w:hint="default"/>
      </w:rPr>
    </w:lvl>
    <w:lvl w:ilvl="2">
      <w:start w:val="0"/>
      <w:numFmt w:val="bullet"/>
      <w:lvlText w:val="•"/>
      <w:lvlJc w:val="left"/>
      <w:pPr>
        <w:ind w:left="2417" w:hanging="320"/>
      </w:pPr>
      <w:rPr>
        <w:rFonts w:hint="default"/>
      </w:rPr>
    </w:lvl>
    <w:lvl w:ilvl="3">
      <w:start w:val="0"/>
      <w:numFmt w:val="bullet"/>
      <w:lvlText w:val="•"/>
      <w:lvlJc w:val="left"/>
      <w:pPr>
        <w:ind w:left="3405" w:hanging="320"/>
      </w:pPr>
      <w:rPr>
        <w:rFonts w:hint="default"/>
      </w:rPr>
    </w:lvl>
    <w:lvl w:ilvl="4">
      <w:start w:val="0"/>
      <w:numFmt w:val="bullet"/>
      <w:lvlText w:val="•"/>
      <w:lvlJc w:val="left"/>
      <w:pPr>
        <w:ind w:left="4394" w:hanging="320"/>
      </w:pPr>
      <w:rPr>
        <w:rFonts w:hint="default"/>
      </w:rPr>
    </w:lvl>
    <w:lvl w:ilvl="5">
      <w:start w:val="0"/>
      <w:numFmt w:val="bullet"/>
      <w:lvlText w:val="•"/>
      <w:lvlJc w:val="left"/>
      <w:pPr>
        <w:ind w:left="5383" w:hanging="320"/>
      </w:pPr>
      <w:rPr>
        <w:rFonts w:hint="default"/>
      </w:rPr>
    </w:lvl>
    <w:lvl w:ilvl="6">
      <w:start w:val="0"/>
      <w:numFmt w:val="bullet"/>
      <w:lvlText w:val="•"/>
      <w:lvlJc w:val="left"/>
      <w:pPr>
        <w:ind w:left="6371" w:hanging="320"/>
      </w:pPr>
      <w:rPr>
        <w:rFonts w:hint="default"/>
      </w:rPr>
    </w:lvl>
    <w:lvl w:ilvl="7">
      <w:start w:val="0"/>
      <w:numFmt w:val="bullet"/>
      <w:lvlText w:val="•"/>
      <w:lvlJc w:val="left"/>
      <w:pPr>
        <w:ind w:left="7360" w:hanging="320"/>
      </w:pPr>
      <w:rPr>
        <w:rFonts w:hint="default"/>
      </w:rPr>
    </w:lvl>
    <w:lvl w:ilvl="8">
      <w:start w:val="0"/>
      <w:numFmt w:val="bullet"/>
      <w:lvlText w:val="•"/>
      <w:lvlJc w:val="left"/>
      <w:pPr>
        <w:ind w:left="8349" w:hanging="320"/>
      </w:pPr>
      <w:rPr>
        <w:rFonts w:hint="default"/>
      </w:rPr>
    </w:lvl>
  </w:abstractNum>
  <w:abstractNum w:abstractNumId="7">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6">
    <w:multiLevelType w:val="hybridMultilevel"/>
    <w:lvl w:ilvl="0">
      <w:start w:val="1"/>
      <w:numFmt w:val="decimal"/>
      <w:lvlText w:val="%1."/>
      <w:lvlJc w:val="left"/>
      <w:pPr>
        <w:ind w:left="538"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510" w:hanging="264"/>
      </w:pPr>
      <w:rPr>
        <w:rFonts w:hint="default"/>
      </w:rPr>
    </w:lvl>
    <w:lvl w:ilvl="2">
      <w:start w:val="0"/>
      <w:numFmt w:val="bullet"/>
      <w:lvlText w:val="•"/>
      <w:lvlJc w:val="left"/>
      <w:pPr>
        <w:ind w:left="2481" w:hanging="264"/>
      </w:pPr>
      <w:rPr>
        <w:rFonts w:hint="default"/>
      </w:rPr>
    </w:lvl>
    <w:lvl w:ilvl="3">
      <w:start w:val="0"/>
      <w:numFmt w:val="bullet"/>
      <w:lvlText w:val="•"/>
      <w:lvlJc w:val="left"/>
      <w:pPr>
        <w:ind w:left="3451" w:hanging="264"/>
      </w:pPr>
      <w:rPr>
        <w:rFonts w:hint="default"/>
      </w:rPr>
    </w:lvl>
    <w:lvl w:ilvl="4">
      <w:start w:val="0"/>
      <w:numFmt w:val="bullet"/>
      <w:lvlText w:val="•"/>
      <w:lvlJc w:val="left"/>
      <w:pPr>
        <w:ind w:left="4422" w:hanging="264"/>
      </w:pPr>
      <w:rPr>
        <w:rFonts w:hint="default"/>
      </w:rPr>
    </w:lvl>
    <w:lvl w:ilvl="5">
      <w:start w:val="0"/>
      <w:numFmt w:val="bullet"/>
      <w:lvlText w:val="•"/>
      <w:lvlJc w:val="left"/>
      <w:pPr>
        <w:ind w:left="5393" w:hanging="264"/>
      </w:pPr>
      <w:rPr>
        <w:rFonts w:hint="default"/>
      </w:rPr>
    </w:lvl>
    <w:lvl w:ilvl="6">
      <w:start w:val="0"/>
      <w:numFmt w:val="bullet"/>
      <w:lvlText w:val="•"/>
      <w:lvlJc w:val="left"/>
      <w:pPr>
        <w:ind w:left="6363" w:hanging="264"/>
      </w:pPr>
      <w:rPr>
        <w:rFonts w:hint="default"/>
      </w:rPr>
    </w:lvl>
    <w:lvl w:ilvl="7">
      <w:start w:val="0"/>
      <w:numFmt w:val="bullet"/>
      <w:lvlText w:val="•"/>
      <w:lvlJc w:val="left"/>
      <w:pPr>
        <w:ind w:left="7334" w:hanging="264"/>
      </w:pPr>
      <w:rPr>
        <w:rFonts w:hint="default"/>
      </w:rPr>
    </w:lvl>
    <w:lvl w:ilvl="8">
      <w:start w:val="0"/>
      <w:numFmt w:val="bullet"/>
      <w:lvlText w:val="•"/>
      <w:lvlJc w:val="left"/>
      <w:pPr>
        <w:ind w:left="8305" w:hanging="264"/>
      </w:pPr>
      <w:rPr>
        <w:rFonts w:hint="default"/>
      </w:rPr>
    </w:lvl>
  </w:abstractNum>
  <w:abstractNum w:abstractNumId="5">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4">
    <w:multiLevelType w:val="hybridMultilevel"/>
    <w:lvl w:ilvl="0">
      <w:start w:val="1"/>
      <w:numFmt w:val="decimal"/>
      <w:lvlText w:val="%1."/>
      <w:lvlJc w:val="left"/>
      <w:pPr>
        <w:ind w:left="802"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744" w:hanging="264"/>
      </w:pPr>
      <w:rPr>
        <w:rFonts w:hint="default"/>
      </w:rPr>
    </w:lvl>
    <w:lvl w:ilvl="2">
      <w:start w:val="0"/>
      <w:numFmt w:val="bullet"/>
      <w:lvlText w:val="•"/>
      <w:lvlJc w:val="left"/>
      <w:pPr>
        <w:ind w:left="2689" w:hanging="264"/>
      </w:pPr>
      <w:rPr>
        <w:rFonts w:hint="default"/>
      </w:rPr>
    </w:lvl>
    <w:lvl w:ilvl="3">
      <w:start w:val="0"/>
      <w:numFmt w:val="bullet"/>
      <w:lvlText w:val="•"/>
      <w:lvlJc w:val="left"/>
      <w:pPr>
        <w:ind w:left="3633" w:hanging="264"/>
      </w:pPr>
      <w:rPr>
        <w:rFonts w:hint="default"/>
      </w:rPr>
    </w:lvl>
    <w:lvl w:ilvl="4">
      <w:start w:val="0"/>
      <w:numFmt w:val="bullet"/>
      <w:lvlText w:val="•"/>
      <w:lvlJc w:val="left"/>
      <w:pPr>
        <w:ind w:left="4578" w:hanging="264"/>
      </w:pPr>
      <w:rPr>
        <w:rFonts w:hint="default"/>
      </w:rPr>
    </w:lvl>
    <w:lvl w:ilvl="5">
      <w:start w:val="0"/>
      <w:numFmt w:val="bullet"/>
      <w:lvlText w:val="•"/>
      <w:lvlJc w:val="left"/>
      <w:pPr>
        <w:ind w:left="5523" w:hanging="264"/>
      </w:pPr>
      <w:rPr>
        <w:rFonts w:hint="default"/>
      </w:rPr>
    </w:lvl>
    <w:lvl w:ilvl="6">
      <w:start w:val="0"/>
      <w:numFmt w:val="bullet"/>
      <w:lvlText w:val="•"/>
      <w:lvlJc w:val="left"/>
      <w:pPr>
        <w:ind w:left="6467" w:hanging="264"/>
      </w:pPr>
      <w:rPr>
        <w:rFonts w:hint="default"/>
      </w:rPr>
    </w:lvl>
    <w:lvl w:ilvl="7">
      <w:start w:val="0"/>
      <w:numFmt w:val="bullet"/>
      <w:lvlText w:val="•"/>
      <w:lvlJc w:val="left"/>
      <w:pPr>
        <w:ind w:left="7412" w:hanging="264"/>
      </w:pPr>
      <w:rPr>
        <w:rFonts w:hint="default"/>
      </w:rPr>
    </w:lvl>
    <w:lvl w:ilvl="8">
      <w:start w:val="0"/>
      <w:numFmt w:val="bullet"/>
      <w:lvlText w:val="•"/>
      <w:lvlJc w:val="left"/>
      <w:pPr>
        <w:ind w:left="8357" w:hanging="264"/>
      </w:pPr>
      <w:rPr>
        <w:rFonts w:hint="default"/>
      </w:rPr>
    </w:lvl>
  </w:abstractNum>
  <w:abstractNum w:abstractNumId="3">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4"/>
      </w:pPr>
      <w:rPr>
        <w:rFonts w:hint="default"/>
      </w:rPr>
    </w:lvl>
    <w:lvl w:ilvl="2">
      <w:start w:val="0"/>
      <w:numFmt w:val="bullet"/>
      <w:lvlText w:val="•"/>
      <w:lvlJc w:val="left"/>
      <w:pPr>
        <w:ind w:left="2133" w:hanging="264"/>
      </w:pPr>
      <w:rPr>
        <w:rFonts w:hint="default"/>
      </w:rPr>
    </w:lvl>
    <w:lvl w:ilvl="3">
      <w:start w:val="0"/>
      <w:numFmt w:val="bullet"/>
      <w:lvlText w:val="•"/>
      <w:lvlJc w:val="left"/>
      <w:pPr>
        <w:ind w:left="3139" w:hanging="264"/>
      </w:pPr>
      <w:rPr>
        <w:rFonts w:hint="default"/>
      </w:rPr>
    </w:lvl>
    <w:lvl w:ilvl="4">
      <w:start w:val="0"/>
      <w:numFmt w:val="bullet"/>
      <w:lvlText w:val="•"/>
      <w:lvlJc w:val="left"/>
      <w:pPr>
        <w:ind w:left="4146" w:hanging="264"/>
      </w:pPr>
      <w:rPr>
        <w:rFonts w:hint="default"/>
      </w:rPr>
    </w:lvl>
    <w:lvl w:ilvl="5">
      <w:start w:val="0"/>
      <w:numFmt w:val="bullet"/>
      <w:lvlText w:val="•"/>
      <w:lvlJc w:val="left"/>
      <w:pPr>
        <w:ind w:left="5153" w:hanging="264"/>
      </w:pPr>
      <w:rPr>
        <w:rFonts w:hint="default"/>
      </w:rPr>
    </w:lvl>
    <w:lvl w:ilvl="6">
      <w:start w:val="0"/>
      <w:numFmt w:val="bullet"/>
      <w:lvlText w:val="•"/>
      <w:lvlJc w:val="left"/>
      <w:pPr>
        <w:ind w:left="6159" w:hanging="264"/>
      </w:pPr>
      <w:rPr>
        <w:rFonts w:hint="default"/>
      </w:rPr>
    </w:lvl>
    <w:lvl w:ilvl="7">
      <w:start w:val="0"/>
      <w:numFmt w:val="bullet"/>
      <w:lvlText w:val="•"/>
      <w:lvlJc w:val="left"/>
      <w:pPr>
        <w:ind w:left="7166" w:hanging="264"/>
      </w:pPr>
      <w:rPr>
        <w:rFonts w:hint="default"/>
      </w:rPr>
    </w:lvl>
    <w:lvl w:ilvl="8">
      <w:start w:val="0"/>
      <w:numFmt w:val="bullet"/>
      <w:lvlText w:val="•"/>
      <w:lvlJc w:val="left"/>
      <w:pPr>
        <w:ind w:left="8173" w:hanging="264"/>
      </w:pPr>
      <w:rPr>
        <w:rFonts w:hint="default"/>
      </w:rPr>
    </w:lvl>
  </w:abstractNum>
  <w:abstractNum w:abstractNumId="2">
    <w:multiLevelType w:val="hybridMultilevel"/>
    <w:lvl w:ilvl="0">
      <w:start w:val="1"/>
      <w:numFmt w:val="decimal"/>
      <w:lvlText w:val="%1."/>
      <w:lvlJc w:val="left"/>
      <w:pPr>
        <w:ind w:left="117" w:hanging="269"/>
        <w:jc w:val="left"/>
      </w:pPr>
      <w:rPr>
        <w:rFonts w:hint="default" w:ascii="Times New Roman" w:hAnsi="Times New Roman" w:eastAsia="Times New Roman" w:cs="Times New Roman"/>
        <w:w w:val="100"/>
        <w:sz w:val="21"/>
        <w:szCs w:val="21"/>
      </w:rPr>
    </w:lvl>
    <w:lvl w:ilvl="1">
      <w:start w:val="0"/>
      <w:numFmt w:val="bullet"/>
      <w:lvlText w:val="•"/>
      <w:lvlJc w:val="left"/>
      <w:pPr>
        <w:ind w:left="1126" w:hanging="269"/>
      </w:pPr>
      <w:rPr>
        <w:rFonts w:hint="default"/>
      </w:rPr>
    </w:lvl>
    <w:lvl w:ilvl="2">
      <w:start w:val="0"/>
      <w:numFmt w:val="bullet"/>
      <w:lvlText w:val="•"/>
      <w:lvlJc w:val="left"/>
      <w:pPr>
        <w:ind w:left="2133" w:hanging="269"/>
      </w:pPr>
      <w:rPr>
        <w:rFonts w:hint="default"/>
      </w:rPr>
    </w:lvl>
    <w:lvl w:ilvl="3">
      <w:start w:val="0"/>
      <w:numFmt w:val="bullet"/>
      <w:lvlText w:val="•"/>
      <w:lvlJc w:val="left"/>
      <w:pPr>
        <w:ind w:left="3139" w:hanging="269"/>
      </w:pPr>
      <w:rPr>
        <w:rFonts w:hint="default"/>
      </w:rPr>
    </w:lvl>
    <w:lvl w:ilvl="4">
      <w:start w:val="0"/>
      <w:numFmt w:val="bullet"/>
      <w:lvlText w:val="•"/>
      <w:lvlJc w:val="left"/>
      <w:pPr>
        <w:ind w:left="4146" w:hanging="269"/>
      </w:pPr>
      <w:rPr>
        <w:rFonts w:hint="default"/>
      </w:rPr>
    </w:lvl>
    <w:lvl w:ilvl="5">
      <w:start w:val="0"/>
      <w:numFmt w:val="bullet"/>
      <w:lvlText w:val="•"/>
      <w:lvlJc w:val="left"/>
      <w:pPr>
        <w:ind w:left="5153" w:hanging="269"/>
      </w:pPr>
      <w:rPr>
        <w:rFonts w:hint="default"/>
      </w:rPr>
    </w:lvl>
    <w:lvl w:ilvl="6">
      <w:start w:val="0"/>
      <w:numFmt w:val="bullet"/>
      <w:lvlText w:val="•"/>
      <w:lvlJc w:val="left"/>
      <w:pPr>
        <w:ind w:left="6159" w:hanging="269"/>
      </w:pPr>
      <w:rPr>
        <w:rFonts w:hint="default"/>
      </w:rPr>
    </w:lvl>
    <w:lvl w:ilvl="7">
      <w:start w:val="0"/>
      <w:numFmt w:val="bullet"/>
      <w:lvlText w:val="•"/>
      <w:lvlJc w:val="left"/>
      <w:pPr>
        <w:ind w:left="7166" w:hanging="269"/>
      </w:pPr>
      <w:rPr>
        <w:rFonts w:hint="default"/>
      </w:rPr>
    </w:lvl>
    <w:lvl w:ilvl="8">
      <w:start w:val="0"/>
      <w:numFmt w:val="bullet"/>
      <w:lvlText w:val="•"/>
      <w:lvlJc w:val="left"/>
      <w:pPr>
        <w:ind w:left="8173" w:hanging="269"/>
      </w:pPr>
      <w:rPr>
        <w:rFonts w:hint="default"/>
      </w:rPr>
    </w:lvl>
  </w:abstractNum>
  <w:abstractNum w:abstractNumId="1">
    <w:multiLevelType w:val="hybridMultilevel"/>
    <w:lvl w:ilvl="0">
      <w:start w:val="1"/>
      <w:numFmt w:val="decimal"/>
      <w:lvlText w:val="%1."/>
      <w:lvlJc w:val="left"/>
      <w:pPr>
        <w:ind w:left="117" w:hanging="264"/>
        <w:jc w:val="left"/>
      </w:pPr>
      <w:rPr>
        <w:rFonts w:hint="default" w:ascii="Times New Roman" w:hAnsi="Times New Roman" w:eastAsia="Times New Roman" w:cs="Times New Roman"/>
        <w:w w:val="100"/>
        <w:sz w:val="21"/>
        <w:szCs w:val="21"/>
      </w:rPr>
    </w:lvl>
    <w:lvl w:ilvl="1">
      <w:start w:val="0"/>
      <w:numFmt w:val="bullet"/>
      <w:lvlText w:val="•"/>
      <w:lvlJc w:val="left"/>
      <w:pPr>
        <w:ind w:left="1122" w:hanging="264"/>
      </w:pPr>
      <w:rPr>
        <w:rFonts w:hint="default"/>
      </w:rPr>
    </w:lvl>
    <w:lvl w:ilvl="2">
      <w:start w:val="0"/>
      <w:numFmt w:val="bullet"/>
      <w:lvlText w:val="•"/>
      <w:lvlJc w:val="left"/>
      <w:pPr>
        <w:ind w:left="2125" w:hanging="264"/>
      </w:pPr>
      <w:rPr>
        <w:rFonts w:hint="default"/>
      </w:rPr>
    </w:lvl>
    <w:lvl w:ilvl="3">
      <w:start w:val="0"/>
      <w:numFmt w:val="bullet"/>
      <w:lvlText w:val="•"/>
      <w:lvlJc w:val="left"/>
      <w:pPr>
        <w:ind w:left="3127" w:hanging="264"/>
      </w:pPr>
      <w:rPr>
        <w:rFonts w:hint="default"/>
      </w:rPr>
    </w:lvl>
    <w:lvl w:ilvl="4">
      <w:start w:val="0"/>
      <w:numFmt w:val="bullet"/>
      <w:lvlText w:val="•"/>
      <w:lvlJc w:val="left"/>
      <w:pPr>
        <w:ind w:left="4130" w:hanging="264"/>
      </w:pPr>
      <w:rPr>
        <w:rFonts w:hint="default"/>
      </w:rPr>
    </w:lvl>
    <w:lvl w:ilvl="5">
      <w:start w:val="0"/>
      <w:numFmt w:val="bullet"/>
      <w:lvlText w:val="•"/>
      <w:lvlJc w:val="left"/>
      <w:pPr>
        <w:ind w:left="5133" w:hanging="264"/>
      </w:pPr>
      <w:rPr>
        <w:rFonts w:hint="default"/>
      </w:rPr>
    </w:lvl>
    <w:lvl w:ilvl="6">
      <w:start w:val="0"/>
      <w:numFmt w:val="bullet"/>
      <w:lvlText w:val="•"/>
      <w:lvlJc w:val="left"/>
      <w:pPr>
        <w:ind w:left="6135" w:hanging="264"/>
      </w:pPr>
      <w:rPr>
        <w:rFonts w:hint="default"/>
      </w:rPr>
    </w:lvl>
    <w:lvl w:ilvl="7">
      <w:start w:val="0"/>
      <w:numFmt w:val="bullet"/>
      <w:lvlText w:val="•"/>
      <w:lvlJc w:val="left"/>
      <w:pPr>
        <w:ind w:left="7138" w:hanging="264"/>
      </w:pPr>
      <w:rPr>
        <w:rFonts w:hint="default"/>
      </w:rPr>
    </w:lvl>
    <w:lvl w:ilvl="8">
      <w:start w:val="0"/>
      <w:numFmt w:val="bullet"/>
      <w:lvlText w:val="•"/>
      <w:lvlJc w:val="left"/>
      <w:pPr>
        <w:ind w:left="8141" w:hanging="264"/>
      </w:pPr>
      <w:rPr>
        <w:rFonts w:hint="default"/>
      </w:rPr>
    </w:lvl>
  </w:abstractNum>
  <w:abstractNum w:abstractNumId="0">
    <w:multiLevelType w:val="hybridMultilevel"/>
    <w:lvl w:ilvl="0">
      <w:start w:val="0"/>
      <w:numFmt w:val="bullet"/>
      <w:lvlText w:val=""/>
      <w:lvlJc w:val="left"/>
      <w:pPr>
        <w:ind w:left="1898" w:hanging="420"/>
      </w:pPr>
      <w:rPr>
        <w:rFonts w:hint="default" w:ascii="Wingdings" w:hAnsi="Wingdings" w:eastAsia="Wingdings" w:cs="Wingdings"/>
        <w:w w:val="100"/>
        <w:sz w:val="24"/>
        <w:szCs w:val="24"/>
      </w:rPr>
    </w:lvl>
    <w:lvl w:ilvl="1">
      <w:start w:val="0"/>
      <w:numFmt w:val="bullet"/>
      <w:lvlText w:val="•"/>
      <w:lvlJc w:val="left"/>
      <w:pPr>
        <w:ind w:left="2802" w:hanging="420"/>
      </w:pPr>
      <w:rPr>
        <w:rFonts w:hint="default"/>
      </w:rPr>
    </w:lvl>
    <w:lvl w:ilvl="2">
      <w:start w:val="0"/>
      <w:numFmt w:val="bullet"/>
      <w:lvlText w:val="•"/>
      <w:lvlJc w:val="left"/>
      <w:pPr>
        <w:ind w:left="3705" w:hanging="420"/>
      </w:pPr>
      <w:rPr>
        <w:rFonts w:hint="default"/>
      </w:rPr>
    </w:lvl>
    <w:lvl w:ilvl="3">
      <w:start w:val="0"/>
      <w:numFmt w:val="bullet"/>
      <w:lvlText w:val="•"/>
      <w:lvlJc w:val="left"/>
      <w:pPr>
        <w:ind w:left="4607" w:hanging="420"/>
      </w:pPr>
      <w:rPr>
        <w:rFonts w:hint="default"/>
      </w:rPr>
    </w:lvl>
    <w:lvl w:ilvl="4">
      <w:start w:val="0"/>
      <w:numFmt w:val="bullet"/>
      <w:lvlText w:val="•"/>
      <w:lvlJc w:val="left"/>
      <w:pPr>
        <w:ind w:left="5510" w:hanging="420"/>
      </w:pPr>
      <w:rPr>
        <w:rFonts w:hint="default"/>
      </w:rPr>
    </w:lvl>
    <w:lvl w:ilvl="5">
      <w:start w:val="0"/>
      <w:numFmt w:val="bullet"/>
      <w:lvlText w:val="•"/>
      <w:lvlJc w:val="left"/>
      <w:pPr>
        <w:ind w:left="6413" w:hanging="420"/>
      </w:pPr>
      <w:rPr>
        <w:rFonts w:hint="default"/>
      </w:rPr>
    </w:lvl>
    <w:lvl w:ilvl="6">
      <w:start w:val="0"/>
      <w:numFmt w:val="bullet"/>
      <w:lvlText w:val="•"/>
      <w:lvlJc w:val="left"/>
      <w:pPr>
        <w:ind w:left="7315" w:hanging="420"/>
      </w:pPr>
      <w:rPr>
        <w:rFonts w:hint="default"/>
      </w:rPr>
    </w:lvl>
    <w:lvl w:ilvl="7">
      <w:start w:val="0"/>
      <w:numFmt w:val="bullet"/>
      <w:lvlText w:val="•"/>
      <w:lvlJc w:val="left"/>
      <w:pPr>
        <w:ind w:left="8218" w:hanging="420"/>
      </w:pPr>
      <w:rPr>
        <w:rFonts w:hint="default"/>
      </w:rPr>
    </w:lvl>
    <w:lvl w:ilvl="8">
      <w:start w:val="0"/>
      <w:numFmt w:val="bullet"/>
      <w:lvlText w:val="•"/>
      <w:lvlJc w:val="left"/>
      <w:pPr>
        <w:ind w:left="9121" w:hanging="420"/>
      </w:pPr>
      <w:rPr>
        <w:rFonts w:hint="default"/>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41"/>
      <w:ind w:left="117"/>
    </w:pPr>
    <w:rPr>
      <w:rFonts w:ascii="宋体" w:hAnsi="宋体" w:eastAsia="宋体" w:cs="宋体"/>
      <w:b/>
      <w:bCs/>
      <w:sz w:val="21"/>
      <w:szCs w:val="21"/>
    </w:rPr>
  </w:style>
  <w:style w:styleId="TOC2" w:type="paragraph">
    <w:name w:val="TOC 2"/>
    <w:basedOn w:val="Normal"/>
    <w:uiPriority w:val="1"/>
    <w:qFormat/>
    <w:pPr>
      <w:spacing w:before="62"/>
      <w:ind w:left="538"/>
    </w:pPr>
    <w:rPr>
      <w:rFonts w:ascii="宋体" w:hAnsi="宋体" w:eastAsia="宋体" w:cs="宋体"/>
      <w:sz w:val="18"/>
      <w:szCs w:val="18"/>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outlineLvl w:val="1"/>
    </w:pPr>
    <w:rPr>
      <w:rFonts w:ascii="宋体" w:hAnsi="宋体" w:eastAsia="宋体" w:cs="宋体"/>
      <w:b/>
      <w:bCs/>
      <w:sz w:val="24"/>
      <w:szCs w:val="24"/>
    </w:rPr>
  </w:style>
  <w:style w:styleId="Heading2" w:type="paragraph">
    <w:name w:val="Heading 2"/>
    <w:basedOn w:val="Normal"/>
    <w:uiPriority w:val="1"/>
    <w:qFormat/>
    <w:pPr>
      <w:ind w:left="117"/>
      <w:outlineLvl w:val="2"/>
    </w:pPr>
    <w:rPr>
      <w:rFonts w:ascii="宋体" w:hAnsi="宋体" w:eastAsia="宋体" w:cs="宋体"/>
      <w:b/>
      <w:bCs/>
      <w:sz w:val="21"/>
      <w:szCs w:val="21"/>
    </w:rPr>
  </w:style>
  <w:style w:styleId="ListParagraph" w:type="paragraph">
    <w:name w:val="List Paragraph"/>
    <w:basedOn w:val="Normal"/>
    <w:uiPriority w:val="1"/>
    <w:qFormat/>
    <w:pPr>
      <w:spacing w:before="21"/>
      <w:ind w:left="117" w:firstLine="42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wugm11</dc:creator>
  <dcterms:created xsi:type="dcterms:W3CDTF">2018-10-19T23:39:52Z</dcterms:created>
  <dcterms:modified xsi:type="dcterms:W3CDTF">2018-10-19T23:39:52Z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2017-06-26T00:00:00Z</vt:filetime>
  </property>
  <property fmtid="{D5CDD505-2E9C-101B-9397-08002B2CF9AE}" pid="3" name="Creator">
    <vt:lpwstr>Microsoft® Word 2010</vt:lpwstr>
  </property>
  <property fmtid="{D5CDD505-2E9C-101B-9397-08002B2CF9AE}" pid="4" name="LastSaved">
    <vt:filetime>2018-10-19T00:00:00Z</vt:filetime>
  </property>
</Properties>
</file>